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4"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tc>
        <w:tc>
          <w:tcPr>
            <w:tcW w:w="40" w:type="dxa"/>
            <w:vAlign w:val="bottom"/>
          </w:tcPr>
          <w:p>
            <w:pPr>
              <w:spacing w:after="0"/>
              <w:rPr>
                <w:sz w:val="24"/>
                <w:szCs w:val="24"/>
                <w:color w:val="auto"/>
              </w:rPr>
            </w:pPr>
          </w:p>
        </w:tc>
      </w:tr>
      <w:tr>
        <w:trPr>
          <w:trHeight w:val="439"/>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29"/>
                <w:szCs w:val="29"/>
                <w:b w:val="1"/>
                <w:bCs w:val="1"/>
                <w:color w:val="auto"/>
                <w:w w:val="98"/>
              </w:rPr>
              <w:t>TRIMAS CORPORATION</w:t>
            </w:r>
          </w:p>
        </w:tc>
        <w:tc>
          <w:tcPr>
            <w:tcW w:w="40" w:type="dxa"/>
            <w:vAlign w:val="bottom"/>
          </w:tcPr>
          <w:p>
            <w:pPr>
              <w:spacing w:after="0"/>
              <w:rPr>
                <w:sz w:val="24"/>
                <w:szCs w:val="24"/>
                <w:color w:val="auto"/>
              </w:rPr>
            </w:pPr>
          </w:p>
        </w:tc>
      </w:tr>
      <w:tr>
        <w:trPr>
          <w:trHeight w:val="303"/>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0" w:type="dxa"/>
            <w:vAlign w:val="bottom"/>
          </w:tcPr>
          <w:p>
            <w:pPr>
              <w:spacing w:after="0"/>
              <w:rPr>
                <w:sz w:val="24"/>
                <w:szCs w:val="24"/>
                <w:color w:val="auto"/>
              </w:rPr>
            </w:pPr>
          </w:p>
        </w:tc>
      </w:tr>
      <w:tr>
        <w:trPr>
          <w:trHeight w:val="346"/>
        </w:trPr>
        <w:tc>
          <w:tcPr>
            <w:tcW w:w="2800" w:type="dxa"/>
            <w:vAlign w:val="bottom"/>
          </w:tcPr>
          <w:p>
            <w:pPr>
              <w:jc w:val="center"/>
              <w:ind w:right="5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38-2687639</w:t>
            </w:r>
          </w:p>
        </w:tc>
        <w:tc>
          <w:tcPr>
            <w:tcW w:w="40" w:type="dxa"/>
            <w:vAlign w:val="bottom"/>
          </w:tcPr>
          <w:p>
            <w:pPr>
              <w:spacing w:after="0"/>
              <w:rPr>
                <w:sz w:val="24"/>
                <w:szCs w:val="24"/>
                <w:color w:val="auto"/>
              </w:rPr>
            </w:pPr>
          </w:p>
        </w:tc>
      </w:tr>
      <w:tr>
        <w:trPr>
          <w:trHeight w:val="180"/>
        </w:trPr>
        <w:tc>
          <w:tcPr>
            <w:tcW w:w="2800" w:type="dxa"/>
            <w:vAlign w:val="bottom"/>
          </w:tcPr>
          <w:p>
            <w:pPr>
              <w:jc w:val="center"/>
              <w:ind w:right="522"/>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780" w:type="dxa"/>
            <w:vAlign w:val="bottom"/>
            <w:gridSpan w:val="3"/>
          </w:tcPr>
          <w:p>
            <w:pPr>
              <w:jc w:val="center"/>
              <w:ind w:left="430"/>
              <w:spacing w:after="0" w:line="181" w:lineRule="exact"/>
              <w:rPr>
                <w:sz w:val="20"/>
                <w:szCs w:val="20"/>
                <w:color w:val="auto"/>
              </w:rPr>
            </w:pPr>
            <w:r>
              <w:rPr>
                <w:rFonts w:ascii="Times New Roman" w:cs="Times New Roman" w:eastAsia="Times New Roman" w:hAnsi="Times New Roman"/>
                <w:sz w:val="18"/>
                <w:szCs w:val="18"/>
                <w:color w:val="auto"/>
              </w:rPr>
              <w:t>(IRS Employer</w:t>
            </w:r>
          </w:p>
        </w:tc>
        <w:tc>
          <w:tcPr>
            <w:tcW w:w="40" w:type="dxa"/>
            <w:vAlign w:val="bottom"/>
          </w:tcPr>
          <w:p>
            <w:pPr>
              <w:spacing w:after="0"/>
              <w:rPr>
                <w:sz w:val="15"/>
                <w:szCs w:val="15"/>
                <w:color w:val="auto"/>
              </w:rPr>
            </w:pPr>
          </w:p>
        </w:tc>
      </w:tr>
      <w:tr>
        <w:trPr>
          <w:trHeight w:val="234"/>
        </w:trPr>
        <w:tc>
          <w:tcPr>
            <w:tcW w:w="2800" w:type="dxa"/>
            <w:vAlign w:val="bottom"/>
          </w:tcPr>
          <w:p>
            <w:pPr>
              <w:jc w:val="center"/>
              <w:ind w:right="54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29" w:lineRule="exact"/>
        <w:rPr>
          <w:sz w:val="24"/>
          <w:szCs w:val="24"/>
          <w:color w:val="auto"/>
        </w:rPr>
      </w:pPr>
    </w:p>
    <w:p>
      <w:pPr>
        <w:jc w:val="both"/>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1600" w:type="dxa"/>
        <w:tblCellMar>
          <w:top w:w="0" w:type="dxa"/>
          <w:left w:w="0" w:type="dxa"/>
          <w:bottom w:w="0" w:type="dxa"/>
          <w:right w:w="0" w:type="dxa"/>
        </w:tblCellMar>
      </w:tblPr>
      <w:tr>
        <w:trPr>
          <w:trHeight w:val="338"/>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jc w:val="both"/>
        <w:ind w:right="184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April 20, 2023, the number of outstanding shares of the Registrant's common stock, $0.01 par value, was 41,496,268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gridSpan w:val="1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11"/>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7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4560" w:type="dxa"/>
            <w:vAlign w:val="bottom"/>
            <w:gridSpan w:val="11"/>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 as of March 31, 2023 and December 31, 2022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Consolidated Statement of Income for the Three Months Ended March 31, 2023 and 2022</w:t>
            </w:r>
          </w:p>
        </w:tc>
        <w:tc>
          <w:tcPr>
            <w:tcW w:w="2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Income for the Three Months Ended March</w:t>
            </w:r>
          </w:p>
        </w:tc>
        <w:tc>
          <w:tcPr>
            <w:tcW w:w="240" w:type="dxa"/>
            <w:vAlign w:val="bottom"/>
          </w:tcPr>
          <w:p>
            <w:pPr>
              <w:spacing w:after="0"/>
              <w:rPr>
                <w:sz w:val="24"/>
                <w:szCs w:val="24"/>
                <w:color w:val="auto"/>
              </w:rPr>
            </w:pP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3"/>
              </w:rPr>
              <w:t>31, 2023 and 2022</w:t>
            </w:r>
          </w:p>
        </w:tc>
        <w:tc>
          <w:tcPr>
            <w:tcW w:w="496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Three Months Ended March 31, 2023 and</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2022</w:t>
            </w: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Shareholders' Equity for the Three Months Ended March 31,</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7"/>
              </w:rPr>
              <w:t>2023 and 2022</w:t>
            </w:r>
          </w:p>
        </w:tc>
        <w:tc>
          <w:tcPr>
            <w:tcW w:w="5240" w:type="dxa"/>
            <w:vAlign w:val="bottom"/>
            <w:tcBorders>
              <w:top w:val="single" w:sz="8" w:color="0000FF"/>
            </w:tcBorders>
            <w:gridSpan w:val="11"/>
          </w:tcPr>
          <w:p>
            <w:pPr>
              <w:spacing w:after="0"/>
              <w:rPr>
                <w:sz w:val="14"/>
                <w:szCs w:val="14"/>
                <w:color w:val="auto"/>
              </w:rPr>
            </w:pPr>
          </w:p>
        </w:tc>
        <w:tc>
          <w:tcPr>
            <w:tcW w:w="1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20" w:type="dxa"/>
            <w:vAlign w:val="bottom"/>
            <w:gridSpan w:val="8"/>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500" w:type="dxa"/>
            <w:vAlign w:val="bottom"/>
          </w:tcPr>
          <w:p>
            <w:pPr>
              <w:spacing w:after="0"/>
              <w:rPr>
                <w:sz w:val="24"/>
                <w:szCs w:val="24"/>
                <w:color w:val="auto"/>
              </w:rPr>
            </w:pPr>
          </w:p>
        </w:tc>
        <w:tc>
          <w:tcPr>
            <w:tcW w:w="1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280" w:type="dxa"/>
            <w:vAlign w:val="bottom"/>
            <w:gridSpan w:val="17"/>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360" w:type="dxa"/>
            <w:vAlign w:val="bottom"/>
            <w:gridSpan w:val="1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20" w:type="dxa"/>
            <w:vAlign w:val="bottom"/>
            <w:gridSpan w:val="2"/>
          </w:tcPr>
          <w:p>
            <w:pPr>
              <w:spacing w:after="0"/>
              <w:rPr>
                <w:sz w:val="24"/>
                <w:szCs w:val="24"/>
                <w:color w:val="auto"/>
              </w:rPr>
            </w:pP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9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r>
              <w:rPr>
                <w:rFonts w:ascii="Times New Roman" w:cs="Times New Roman" w:eastAsia="Times New Roman" w:hAnsi="Times New Roman"/>
                <w:sz w:val="18"/>
                <w:szCs w:val="18"/>
                <w:color w:val="0033CC"/>
              </w:rPr>
              <w: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the severity and duration of the ongoing coronavirus (“COVID-19”) pandemic;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rising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such as the ongoing coronavirus pandemic;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2022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disclose important factors that could cause our actual results to differ materially from our expectations implied by our forward-looking statements under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3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7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112,090</w:t>
            </w: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 of reserves of $1.7 million as of March 31, 2023 and December 31, 2022</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163,360</w:t>
            </w:r>
          </w:p>
        </w:tc>
      </w:tr>
      <w:tr>
        <w:trPr>
          <w:trHeight w:val="229"/>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422,660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277,750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339,810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1,319,370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1,305,000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85,210</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394,730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653,170</w:t>
            </w:r>
          </w:p>
        </w:tc>
      </w:tr>
      <w:tr>
        <w:trPr>
          <w:trHeight w:val="155"/>
        </w:trPr>
        <w:tc>
          <w:tcPr>
            <w:tcW w:w="7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Issued and outstanding: 41,509,463 shares at March 31, 2023 and 41,724,762 shares at December 31,</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696,160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1,319,370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1,305,000</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26"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4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224,310</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(170,600)</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53,710</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41,543,625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42,799,206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2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2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Weighted average common shares—diluted</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41,802,037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43,109,693</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6"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214"/>
        </w:trPr>
        <w:tc>
          <w:tcPr>
            <w:tcW w:w="8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9)</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3"/>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acquisition impact: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loss on dispositions of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inventories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prepaid expenses and other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2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 net of acquisition impact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proceeds from disposition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for the period</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r>
      <w:tr>
        <w:trPr>
          <w:trHeight w:val="223"/>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648,760</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633,830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The accompanying consolidated financial statements and notes thereto should be read in conjunction with the Company's 2022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280" w:type="dxa"/>
            <w:vAlign w:val="bottom"/>
          </w:tcPr>
          <w:p>
            <w:pPr>
              <w:spacing w:after="0"/>
              <w:rPr>
                <w:sz w:val="18"/>
                <w:szCs w:val="18"/>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107,560</w:t>
            </w: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44,520</w:t>
            </w:r>
          </w:p>
        </w:tc>
      </w:tr>
      <w:tr>
        <w:trPr>
          <w:trHeight w:val="23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72,230</w:t>
            </w:r>
          </w:p>
        </w:tc>
      </w:tr>
      <w:tr>
        <w:trPr>
          <w:trHeight w:val="223"/>
        </w:trPr>
        <w:tc>
          <w:tcPr>
            <w:tcW w:w="7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224,310</w:t>
            </w: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Realignment 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Realignment Actions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the Company incurred realignment charges in its Packaging segment related to adjusting its labor force in facilities with lower demand, finalizing its Indianapolis, Indiana facility consolidation, costs incurred to reorganize its benefit plans in the United Kingdom, and for costs incurred as part of the Company's start-up and relocation to a new, larger facility in New Albany, Ohio. The Company also completed the Aerospace segment footprint realignment which began in 2021. In connection with these actions, the Company recorded pre-tax realignment charges of $2.3 million, of which $1.4 million were for employee-related costs and $0.9 million related to facility move and consolidation costs. For the three months ended March 31, 2022, $0.9 million and $1.4 million of these charges were included in cost of sales and selling, general and administrative expenses, respectively,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2023, the Company acquired Aarts Packaging B.V. ("Aarts"), a luxury packaging solutions provider for beauty and lifestyle brands, as well as for customers in the food and life sciences end markets, for a purchase price of $37.8 million, net of cash acquired. The fair value of assets acquired and liabilities assumed included $20.4 million of goodwill, $10.9 million of intangible assets, $8.5 million of property and equipment, $7.4 million of net working capital, $3.9 million of net deferred tax liabilities and $5.5 million of other liabilities. Aarts, which is reported in the Company's Packaging segment, is located in Waalwijk, The Netherlands and historically generated €23 million in annual revenue.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acquired Intertech Plastics LLC and related companies (collectively, "Intertech") for a purchase price of $64.1 million, net of cash acquired. Intertech is a manufacturer of custom injection molded products used in medical applications, as well as products and assemblies for consumer and industrial applications. The fair value of assets acquired and liabilities assumed included $32.4 million of goodwill, $13.5 million of intangible assets, $12.2 million of property and equipment and $6.0 million of net working capital. Intertech, which is reported in the Company's Packaging segment, has two manufacturing facilities located in the Denver, Colorado area and historically generated $32 million in annual 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2023 are summarized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339,810</w:t>
            </w: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285,310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69,720</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361,590</w:t>
            </w:r>
          </w:p>
        </w:tc>
      </w:tr>
      <w:tr>
        <w:trPr>
          <w:trHeight w:val="21"/>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(79,320)</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433,290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421,810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8"/>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included in selling, general and administrative expenses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171,750</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163,360</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90,910</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478,720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461,480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567,610</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295,220</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277,750</w:t>
            </w:r>
          </w:p>
        </w:tc>
        <w:tc>
          <w:tcPr>
            <w:tcW w:w="0" w:type="dxa"/>
            <w:vAlign w:val="bottom"/>
          </w:tcPr>
          <w:p>
            <w:pPr>
              <w:spacing w:after="0"/>
              <w:rPr>
                <w:sz w:val="1"/>
                <w:szCs w:val="1"/>
                <w:color w:val="auto"/>
              </w:rPr>
            </w:pPr>
          </w:p>
        </w:tc>
      </w:tr>
      <w:tr>
        <w:trPr>
          <w:trHeight w:val="21"/>
        </w:trPr>
        <w:tc>
          <w:tcPr>
            <w:tcW w:w="806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9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 expenses</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394,730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April 15, 2024, the Company may redeem up to 40% of the principal amount of the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Senior Notes at a redemption price equal to 100% of the principal amount thereof, plus accrued and unpaid interest, if any, to the redemption date, plus a "make whole" premium. On or after April 15, 2024, 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45"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("SONIA") and Euro borrowings to the Euro InterBank Offered Rate (“EURIBOR”), both plus a spread of 1.625%, and U.S. dollar borrowings subject to the Secured Overnight Financing Rate ("SOFR") plus a spread of 1.725%. The interest rate spread is based upon the leverage ratio, as defined, as of the most recent determination date. The Company's revolving credit facility allows for the issuance of letters of credit, not to exceed $40.0 million in aggregate.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and December 31, 2022, the Company had no amounts outstanding under its revolving credit facility and had $293.9 million potentially available after giving effect to $6.1 million of letters of credit issued and outstanding. After consideration of leverage restrictions contained in the Credit Agreement, as of March 31, 2023, the Company had $246.8 million of borrowing capacity available for general corporate purposes. The Company's borrowing capacity was not reduced by leverage restrictions contained in the Credit Agreement as of December 31, 2022.</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March 31, 2023, the Company was in compliance with its financial covenants contained in the Credit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March 31, 2023 and December 31,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5"/>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500" w:type="dxa"/>
            <w:vAlign w:val="bottom"/>
          </w:tcPr>
          <w:p>
            <w:pPr>
              <w:spacing w:after="0"/>
              <w:rPr>
                <w:sz w:val="18"/>
                <w:szCs w:val="18"/>
                <w:color w:val="auto"/>
              </w:rPr>
            </w:pPr>
          </w:p>
        </w:tc>
        <w:tc>
          <w:tcPr>
            <w:tcW w:w="128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Pr>
          <w:p>
            <w:pPr>
              <w:spacing w:after="0"/>
              <w:rPr>
                <w:sz w:val="18"/>
                <w:szCs w:val="18"/>
                <w:color w:val="auto"/>
              </w:rPr>
            </w:pPr>
          </w:p>
        </w:tc>
        <w:tc>
          <w:tcPr>
            <w:tcW w:w="146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Instruments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the Company entered into cross-currency swap agreements to hedge its net investment in Euro-denominated assets against future volatility in the exchange rate between the U.S. dollar and the Euro. By doing so, the Company synthetically converts a portion of its U.S. dollar-based long-term debt into Euro-denominated long-term debt. The agreements have notional amounts totaling $150.0 million, which decline to $75.0 million over contract periods ending on October 15, 2023 and April 15, 2024. Under the terms of the agreements, the Company is to receive net interest payments at fixed rates of approximately 2.4% to 2.6% of the notional amounts. At inception, the cross-currency swaps were designated as net investment hedges.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immediately prior to entering into the new cross-currency swap agreements, the Company terminated its existing cross-currency swap agreements, de-designating the swaps as net investment hedges and receiving $26.2 million of cash. The cross-currency swap agreements had notional amounts totaling $250.0 million, which declined to $25.0 million over various contract periods ending between October 15, 2023 and October 15, 2027. Under the terms of the agreements, the Company was to receive net interest payments at fixed rates ranging from approximately 0.8% to 2.9% of the notional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the fair value carrying amount of the Company's derivatives designated as hedging instruments are recorded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c>
          <w:tcPr>
            <w:tcW w:w="0" w:type="dxa"/>
            <w:vAlign w:val="bottom"/>
          </w:tcPr>
          <w:p>
            <w:pPr>
              <w:spacing w:after="0"/>
              <w:rPr>
                <w:sz w:val="1"/>
                <w:szCs w:val="1"/>
                <w:color w:val="auto"/>
              </w:rPr>
            </w:pPr>
          </w:p>
        </w:tc>
      </w:tr>
      <w:tr>
        <w:trPr>
          <w:trHeight w:val="158"/>
        </w:trPr>
        <w:tc>
          <w:tcPr>
            <w:tcW w:w="44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134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4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March 31, 2023 and December 31, 2022, and the amounts reclassified from AOCI into earnings for the three and three months ended March 31, 2023 and 2022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Amount of Income (Loss) Reclassified</w:t>
            </w:r>
          </w:p>
        </w:tc>
        <w:tc>
          <w:tcPr>
            <w:tcW w:w="0" w:type="dxa"/>
            <w:vAlign w:val="bottom"/>
          </w:tcPr>
          <w:p>
            <w:pPr>
              <w:spacing w:after="0"/>
              <w:rPr>
                <w:sz w:val="1"/>
                <w:szCs w:val="1"/>
                <w:color w:val="auto"/>
              </w:rPr>
            </w:pPr>
          </w:p>
        </w:tc>
      </w:tr>
      <w:tr>
        <w:trPr>
          <w:trHeight w:val="214"/>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from AOCI into Earnings</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gridSpan w:val="5"/>
            <w:vMerge w:val="continu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4"/>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line="20" w:lineRule="exact"/>
              <w:rPr>
                <w:sz w:val="1"/>
                <w:szCs w:val="1"/>
                <w:color w:val="auto"/>
              </w:rPr>
            </w:pPr>
          </w:p>
        </w:tc>
      </w:tr>
      <w:tr>
        <w:trPr>
          <w:trHeight w:val="16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in AOCI on Derivatives</w:t>
            </w: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center"/>
              <w:ind w:left="798"/>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60"/>
              <w:spacing w:after="0" w:line="159" w:lineRule="exact"/>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57"/>
              <w:spacing w:after="0" w:line="159" w:lineRule="exact"/>
              <w:rPr>
                <w:sz w:val="20"/>
                <w:szCs w:val="20"/>
                <w:color w:val="auto"/>
              </w:rPr>
            </w:pPr>
            <w:r>
              <w:rPr>
                <w:rFonts w:ascii="Times New Roman" w:cs="Times New Roman" w:eastAsia="Times New Roman" w:hAnsi="Times New Roman"/>
                <w:sz w:val="16"/>
                <w:szCs w:val="16"/>
                <w:b w:val="1"/>
                <w:bCs w:val="1"/>
                <w:color w:val="auto"/>
              </w:rPr>
              <w:t>As of</w:t>
            </w:r>
          </w:p>
        </w:tc>
        <w:tc>
          <w:tcPr>
            <w:tcW w:w="120" w:type="dxa"/>
            <w:vAlign w:val="bottom"/>
          </w:tcPr>
          <w:p>
            <w:pPr>
              <w:spacing w:after="0"/>
              <w:rPr>
                <w:sz w:val="13"/>
                <w:szCs w:val="13"/>
                <w:color w:val="auto"/>
              </w:rPr>
            </w:pPr>
          </w:p>
        </w:tc>
        <w:tc>
          <w:tcPr>
            <w:tcW w:w="27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Location of Income Reclassified from</w:t>
            </w: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AOCI into Earnings (Effective</w:t>
            </w:r>
          </w:p>
        </w:tc>
        <w:tc>
          <w:tcPr>
            <w:tcW w:w="140" w:type="dxa"/>
            <w:vAlign w:val="bottom"/>
          </w:tcPr>
          <w:p>
            <w:pPr>
              <w:spacing w:after="0"/>
              <w:rPr>
                <w:sz w:val="14"/>
                <w:szCs w:val="14"/>
                <w:color w:val="auto"/>
              </w:rPr>
            </w:pPr>
          </w:p>
        </w:tc>
        <w:tc>
          <w:tcPr>
            <w:tcW w:w="1300" w:type="dxa"/>
            <w:vAlign w:val="bottom"/>
            <w:vMerge w:val="restart"/>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4"/>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20" w:type="dxa"/>
            <w:vAlign w:val="bottom"/>
          </w:tcPr>
          <w:p>
            <w:pPr>
              <w:spacing w:after="0"/>
              <w:rPr>
                <w:sz w:val="20"/>
                <w:szCs w:val="20"/>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2023, the Company was party to foreign currency exchange forward contracts to economically hedge changes in foreign currency rates with notional amounts of $185.7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September 2023. These contracts are not designated as hedge instruments; therefore, gains and losses on these contracts are recognized each period directly into the consolidated statement of income.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4"/>
          </w:tcPr>
          <w:p>
            <w:pPr>
              <w:jc w:val="center"/>
              <w:ind w:left="277"/>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Borders>
              <w:bottom w:val="single" w:sz="8" w:color="auto"/>
            </w:tcBorders>
            <w:gridSpan w:val="4"/>
          </w:tcPr>
          <w:p>
            <w:pPr>
              <w:jc w:val="center"/>
              <w:ind w:left="317"/>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6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140" w:type="dxa"/>
            <w:vAlign w:val="bottom"/>
            <w:gridSpan w:val="3"/>
          </w:tcPr>
          <w:p>
            <w:pPr>
              <w:jc w:val="center"/>
              <w:ind w:right="595"/>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right="57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29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29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10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0"/>
                <w:szCs w:val="20"/>
                <w:color w:val="auto"/>
              </w:rPr>
            </w:pPr>
          </w:p>
        </w:tc>
        <w:tc>
          <w:tcPr>
            <w:tcW w:w="136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March 31, 2023 and December 31, 2022 are shown below (dollars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are shown below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4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41,010</w:t>
            </w: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49,290</w:t>
            </w:r>
          </w:p>
        </w:tc>
      </w:tr>
      <w:tr>
        <w:trPr>
          <w:trHeight w:val="20"/>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Finance leases were recorded net of accumulated depreciation of $0.1 million as of March 31,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Borders>
              <w:bottom w:val="single" w:sz="8" w:color="auto"/>
            </w:tcBorders>
            <w:gridSpan w:val="7"/>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4080" w:type="dxa"/>
            <w:vAlign w:val="bottom"/>
            <w:gridSpan w:val="3"/>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Cost of sales and Selling, general and administrative</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5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of lease assets</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418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and Selling, general and administrative</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variable and other lease costs</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0"/>
        </w:trPr>
        <w:tc>
          <w:tcPr>
            <w:tcW w:w="69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960" w:type="dxa"/>
            <w:vAlign w:val="bottom"/>
            <w:gridSpan w:val="4"/>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440" w:type="dxa"/>
            <w:vAlign w:val="bottom"/>
          </w:tcPr>
          <w:p>
            <w:pPr>
              <w:spacing w:after="0"/>
              <w:rPr>
                <w:sz w:val="24"/>
                <w:szCs w:val="24"/>
                <w:color w:val="auto"/>
              </w:rPr>
            </w:pPr>
          </w:p>
        </w:tc>
        <w:tc>
          <w:tcPr>
            <w:tcW w:w="164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6"/>
              </w:rPr>
              <w:t>Finance Leases</w:t>
            </w:r>
            <w:r>
              <w:rPr>
                <w:rFonts w:ascii="Times New Roman" w:cs="Times New Roman" w:eastAsia="Times New Roman" w:hAnsi="Times New Roman"/>
                <w:sz w:val="23"/>
                <w:szCs w:val="23"/>
                <w:color w:val="auto"/>
                <w:w w:val="96"/>
                <w:vertAlign w:val="superscript"/>
              </w:rPr>
              <w:t>(a)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(excluding the three months ended March 31, 2023)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are as follows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304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and finance leases as of March 31, 2023 is 6.6 years and 4.3 years, respectively. The weighted-average discount rate for the operating leases and finance leases as of March 31, 2023 is 3.9% and 2.6%,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2023, the Company was a party to 434 pending cases involving an aggregate of 4,817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57"/>
        </w:trPr>
        <w:tc>
          <w:tcPr>
            <w:tcW w:w="22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Three Months Ended March</w:t>
            </w: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4,817 claims pending at March 31, 2023, 40 set forth specific amounts of damages (other than those stating the statutory minimum or maximum). At March 31, 2023, of the 40 claims that set forth specific amounts, there were zero claims seeking more than $5 million for punitive damages. Below is a breakdown of the compensatory damages sought for those claims seeking specific amounts:</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37</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30 years ago, have been $12.7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2022, the Company commissioned its actuary to update the study, based on data as of September 30, 2022, which yielded a range of possible future liability of $29.6 million to $39.5 million. The Company did not believe any amount within the range of potential outcomes represented a better estimate than another given the many factors and assumptions inherent in the projections, and therefore recorded a non-cash, pre-tax charge of $5.6 million to increase the liability estimate to $29.6 million, at the low-end of the range. As of March 31, 2023, the Company’s total asbestos-related liability is $28.6 million, and is included in accrued liabilities and other long-term liabilities, respectively, in the accompanying consolidated balance sheet.</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Affaba &amp; Ferrari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Taplast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Rapak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Plastic Srl, Aarts Packaging, Intertech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Omega brands. TriMas Packaging develops and manufactures a broad array of dispensing products (such as foaming pumps, lotion and hand soaps and sanitizer pumps, beverage dispensers, perfume sprayers, nasal sprayers and trigger sprayers), polymeric and steel caps and closures (such as food lids, flip-top closures, child resistance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2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which includes the Monogram Aerospace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Allfast Fastening Systems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TFI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Aerospace, RSA Engineered Products and Martinic Engineering brands, develops, qualifies and manufactures highly-engineered, precision fasteners, tubular products and assemblies for fluid conveyance, and machined products and assemblies to serve the aerospace and defense market.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Arrow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 brands, designs, manufactures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highly-engineered steel cylinders, wellhead engines and compression systems for use within industrial markets.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293"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79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Aerospace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Aerospace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three months ended March 31, 2023:</w:t>
      </w:r>
    </w:p>
    <w:p>
      <w:pPr>
        <w:spacing w:after="0" w:line="158"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250,625 RSUs to certain employees, which are subject only to a service condition and vest ratably over three years so long as the employee remains with the Company;</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27,560 RSUs to its non-employee independent directors, which fully vest one year from date of grant so long as the director and/or Company does not terminate the director's service prior to the vesting date;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31 RSUs to certain employees related to dividend equivalent rights on existing equity awards.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2023, the Company also awarded 95,017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2023 and ending December 31, 2025.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4.36% and annualized volatility of 33.9%. Depending on the performance achieved for these two metrics, the amount of shares earned, if any, can vary for each metric from 0% of the target award to a maximum of 250% of the target.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2020, the Company awarded performance-based RSUs to certain Company key employees which were earned 50% based upon the Company's achievement of earnings per share compound annual growth rate metric over a period beginning January 1, 2020 and ending December 31, 2022. The remaining 50% of the awards were earned based on the Company's total shareholder return relative to the TSR of the common stock of a pre-defined industry peer-group, measured over the performance period. The Company attained 62.7% of the target on a weighted average basis, resulting in a decrease of 32,430 shares during the three months ended March 31, 2023.</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2020, the Company awarded performance-based RSUs to certain Company key employees which were earned based upon the Company's stock price performance over the period beginning January 1, 2020 and ending December 31, 2022. The stock price achievement was calculated based on the Company's average closing stock price for each quarter end for the 20 trading days up to and including March 31, June 30, September 30 and December 31, 2022, respectively. The Company did not meet the minimum performance threshold resulting in a decrease of 86,275 shares during the three months ended March 31,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March 31, 2023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560" w:type="dxa"/>
            <w:vAlign w:val="bottom"/>
            <w:tcBorders>
              <w:top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9"/>
              </w:rPr>
              <w:t>719,449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9"/>
              </w:rPr>
              <w:t>373,233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9"/>
              </w:rPr>
              <w:t>(237,865)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color w:val="auto"/>
                <w:w w:val="99"/>
              </w:rPr>
              <w:t>(137,661)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560" w:type="dxa"/>
            <w:vAlign w:val="bottom"/>
            <w:tcBorders>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9"/>
              </w:rPr>
              <w:t>717,156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19,979,966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2023, there was $13.6 million of unrecognized compensation cost related to unvested RSUs that is expected to be recorded over a weighted average period of 1.8 years.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RSUs of $2.9 million and $2.8 million during the three months ended March 31, 2023 and 2022, respectively. The stock-based compensation expense is included in selling, general and administrative expenses in the accompanying consolidated statement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RSUs. The following table summarizes the dilutive effect of RSUs to purchase common stock for the three months ended March 31, 2023 and 2022:</w:t>
      </w:r>
    </w:p>
    <w:p>
      <w:pPr>
        <w:spacing w:after="0" w:line="230"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4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41,543,625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42,799,206</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258,412</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310,487</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41,802,037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43,109,693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This announcement represented the most recent update from the initial authorization, approved in November 2015, of up to $50 million of purchases in the aggregate of its common stock. In the three months ended March 31, 2023, the Company purchased 350,862 shares of its outstanding common stock for $10.4 million. During the three months ended March 31, 2022, the Company purchased 282,003 shares of its outstanding common stock for $9.1 million. As of March 31, 2023, the Company has $95.3 million remaining under the repurchase authorization.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During the three months ended March 31, 2023 and 2022, the Company's cash dividends declared were $0.04 per share of common stock and total dividends declared and paid on common shares were $1.7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Benefit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pension cost (income) are as follows (dollars in thousands):</w:t>
      </w:r>
    </w:p>
    <w:p>
      <w:pPr>
        <w:spacing w:after="0" w:line="21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4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6"/>
              </w:rPr>
              <w:t>200</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6"/>
              </w:rPr>
              <w:t>230</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w w:val="97"/>
              </w:rPr>
              <w:t>(410)</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Settlement/curtailment loss</w:t>
            </w:r>
          </w:p>
        </w:tc>
        <w:tc>
          <w:tcPr>
            <w:tcW w:w="8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6"/>
              </w:rPr>
              <w:t>150</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6"/>
              </w:rPr>
              <w:t>140</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531"/>
              <w:spacing w:after="0"/>
              <w:rPr>
                <w:sz w:val="20"/>
                <w:szCs w:val="20"/>
                <w:color w:val="auto"/>
              </w:rPr>
            </w:pPr>
            <w:r>
              <w:rPr>
                <w:rFonts w:ascii="Times New Roman" w:cs="Times New Roman" w:eastAsia="Times New Roman" w:hAnsi="Times New Roman"/>
                <w:sz w:val="18"/>
                <w:szCs w:val="18"/>
                <w:color w:val="auto"/>
                <w:w w:val="96"/>
              </w:rPr>
              <w:t>310</w:t>
            </w:r>
          </w:p>
        </w:tc>
      </w:tr>
      <w:tr>
        <w:trPr>
          <w:trHeight w:val="20"/>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a non-cash curtailment expense of $0.2 million, as it transitioned certain active employees previously participating in a defined benefit plan in the United Kingdom to a defined contribution plan, thereby eliminating future service cost accruals for all employees under this defined benefit plan.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contributed $0.3 million to its defined benefit pension plans during the three months ended March 31, 2023. The Company expects to contribute $1.2 million to its defined benefit pension plans for the full year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Comprehensive Income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2023 are summarized as follows, net of tax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$0.6 million. See Note 9,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2022 are summarized as follows, net of tax (dollars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8"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$0.5 million. See Note 9,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92"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$0.1 million. See Note 16,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20, 2023, the Company announced that its Board of Directors had declared a cash dividend of $0.04 per share of TriMas Corporation common stock, which will be payable on May 11, 2023 to shareholders of record as of the close of business on May 4, 2023.</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2023, the Company acquired the operating net assets of Weldmac Manufacturing Company (“Weldmac”) for an initial purchase price of $35.7 million. The acquisition is subject to customary closing conditions, as well as additional contingent consideration of up to $10.0 million to be paid based on achievement of earnings targets, as defined in the purchase agreement. Weldmac is a leading designer and manufacturer of high-performance, complex metal fabricated components and assemblies for the aerospace, defense and space launch end markets with annual net sales of $33 million. Weldmac will become part of the Aerospace reportable segment.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2022.</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have been materially impacted over the past few years by macro-economic factors, first by the onset and proliferation of the coronavirus ("COVID-19") pandemic, then further from increased energy costs and supply chain disruptions from the Russia-Ukraine conflict, and more recently by cost inflation (raw materials, wage rates and freight) and a lack of material availability. These factors significantly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and for the last three quarters demand abruptly falling as a result of some of our larger customers' choices to rebalance on-hand inventory levels given the current macro-economic environment. Sales of certain of our industrial and aerospace-related products were significantly depressed from historical levels following the onset of the pandemic, but demand has significantly increased in recent quarters, to where the industrial demand in our Specialty Products segment has rebounded to pre-pandemic levels, while demand in our Aerospace segment continues to increase (and more quickly than expected) as air travel has picked-up and new aircraft build rates improve. Altogether, this significant level of volatility in demand levels, input and transportation costs and material and labor availability have pressured our ability to operate efficiently and at historical margin levels.</w:t>
      </w:r>
    </w:p>
    <w:p>
      <w:pPr>
        <w:spacing w:after="0" w:line="9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Overall, our first quarter 2023 net sales decreased $8.9 million, or 3.9%, compared to first quarter 2022. We experienced sales growth from acquisitions in our Packaging segment as well as sales increases within our Specialty Products and Aerospace segments as a result of increased demand levels in North America. We also believe that supply constraints, specifically the availability of certain specialized metallic raw materials, impacted our ability to capture additional sales in the quarter within TriMas Aerospace. These factors were more than offset by reduced demand for dispensers and closures used in consumer products and industrial applications within our Packaging segment, which we believe declined primarily due to initiatives by several of our larger customers to rebalance their inventory levels as well as a result of continued weaker consumer sentiment.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first quarter 2023 compared with first quarter 2022, other than as directly impacted by sales changes, were the impact of our recent acquisitions and $3.9 million higher third party business diligence and consulting expenses in our corporate office in support of prospective streamlining actions and growth initiatives.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we acquired Aarts Packaging B.V. ("Aarts"), a luxury packaging solutions provider for beauty and lifestyle brands, as well as for customers in the food and life sciences end markets, for a purchase price of $37.8 million, net of cash acquired. Aarts, which is reported in the Company's Packaging segment, is located in Waalwijk, The Netherlands and contributed $4.3 million of net sales during first quarter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executed significant realignment actions over the past few years, primarily in our Aerospace and Specialty Products segments, and also in certain Packaging product areas where demand has fallen. We will continue to assess further actions if required. However, as a result of the current period of macroeconomic inflation and uncertainty, the impact of the COVID-19 pandemic, and the potential impact of such factors to our future results of operations, as well if there is an impact to TriMas' market capitalization, we may record additional cash and non-cash charges related to incremental realignment actions, asset impairments as well as for uncollectible customer account balances, excess inventory and idle production equipment.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resins (such as polypropylene and polyethylene), steel, aluminum and other oil and metal-based purchased components, the costs for each of which have been somewhat volatile over the past couple of years.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 If input costs increase at rapid rates, our ability to recover cost increases on a timely basis is made more difficult by the lag nature of these contracts.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first quarter 2023, we purchased 350,862 shares of our outstanding common stock for an aggregate purchase price of $10.4 million. As of March 31, 2023, we had $95.3 million remaining under the repurchase authorization.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first quarter 2023, we declared dividends of $0.04 per share of common stock and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March 31, 2023 and 2022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41"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March 31, 2023, compared with the three months ended March 31, 2022, were:</w:t>
      </w:r>
    </w:p>
    <w:p>
      <w:pPr>
        <w:spacing w:after="0" w:line="144" w:lineRule="exact"/>
        <w:rPr>
          <w:sz w:val="20"/>
          <w:szCs w:val="20"/>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demand for products in certain end markets due to significant customer inventory rebalancing;</w:t>
      </w:r>
    </w:p>
    <w:p>
      <w:pPr>
        <w:spacing w:after="0" w:line="15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acquisitions, primarily Intertech and Aarts;</w:t>
      </w:r>
    </w:p>
    <w:p>
      <w:pPr>
        <w:spacing w:after="0" w:line="15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demand increases in our Aerospace and Specialty Products segments; and</w:t>
      </w:r>
    </w:p>
    <w:p>
      <w:pPr>
        <w:spacing w:after="0" w:line="14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business diligence and consulting fees in support of our growth initiatives.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 Compared with Three Months Ended March 31, 2022</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decreased $8.9 million, or 3.9%, to $215.5 million for the three months ended March 31, 2023, as compared with $224.3 million in the three months ended March 31, 2022. Acquisition-related sales growth was $9.5 million, comprised of $5.2 million resulting from the January through February 2023 sales of our February 2022 acquisition of Intertech and $4.3 million from our February 2023 acquisition of Aarts. Organic sales, excluding the impact of currency exchange and acquisitions, decreased $15.9 million, as increases in our Specialty Products and Aerospace segments driven by end market demand improvements were more than offset by decreases in the Packaging segment due to lower market demand, primarily as a result of several of our larger customers' choices to rebalance their inventory levels. In addition, net sales decreased by $2.6 million due to currency exchange, as our reported results in U.S. dollars were unfavorably impacted as a result of a strengthening U.S. dollar relative to foreign currencies.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22.1% and 23.9% for the three months ended March 31, 2023 and 2022, respectively. Gross profit margin decreased due to lower sales and lower absorption of fixed costs within the Packaging segment, a less favorable product sales mix and inefficiencies driven by material availability delays within the Aerospace segment, partially offset by margin improvement within the Specialty Products segment due to higher sales leveraged across our existing fixed costs.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4.6% and 9.8% for the three months ended March 31, 2023 and 2022, respectively. Operating profit decreased $11.9 million to $10.0 million in the three months ended March 31, 2023, from $21.9 million for the three months ended March 31, 2022, primarily due to lower sales levels and lower absorption of fixed costs within our Packaging segment, a less favorable product sales mix, inefficiencies resulting from material availability delays in our Aerospace segment, and higher selling, general and administrative expenses in our Aerospace segment, and an increase in professional fees, partially offset by higher sales levels and a favorable product sales mix within our Specialty Products segment.</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$0.3 million, to $3.7 million for the three months ended March 31, 2023, compared to $3.4 million for the three months ended March 31, 2022, due to a higher effective interest rate as a result of lower notional amounts of cross-currency swaps.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decreased $0.2 million to $0.1 million of expense for the three months ended March 31, 2023, as compared to $0.3 million of expense for the three months ended March 31, 2022, primarily due to a decrease in losses on transactions denominated in foreign currencies.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2023 and 2022 was 21.1% and 22.3%, respectively. We recorded income tax expense of $1.3 million and $4.1 million for the three months ended March 31, 2023 and 2022, respectively.</w:t>
      </w:r>
    </w:p>
    <w:p>
      <w:pPr>
        <w:spacing w:after="0" w:line="1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income decreased $9.3 million, to $4.9 million for the three months ended March 31, 2023, as compared to $14.2 million for the three months ended March 31, 2022. The decrease was primarily the result of a decrease in operating profit of $11.9 million and an increase in interest expense of $0.3 million, partially offset by a decrease in income tax expense of $2.8 million and a decrease in other expense of $0.2 million.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decreased $22.3 million, or 16.1%, to $116.2 million in the three months ended March 31, 2023, as compared to $138.5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2022. Acquisition-related sales growth was $9.5 million, comprised of $5.2 million resulting from the January through February 2023 sales of our February 2022 acquisition of Intertech and $4.3 million from our February 2023 acquisition of Aarts. Sales of products used in food and beverage markets decreased by $9.8 million, primarily due to lower demand for closures and dispensers. Sales of products used in industrial markets decreased by $9.8 million, primarily as a result of lower demand for drum closure products in North America. Sales of dispensing products used in beauty and personal care, as well as home care, applications decreased by $9.7 million. We believe that the decrease in sales in each of these categories reflects ongoing actions by many of our customers to work-down elevated inventory positions and closely manage their order activity given continuing uncertainty around consumer sentiment as a result of the inflationary environment. Net sales decreased by $2.5 million due to currency exchange, as our reported results in U.S. dollars were unfavorably impacted as a result of the strengthening U.S. dollar relative to foreign currencies, as compared to first quarter 2022.</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decreased $9.1 million to $27.2 million, or 23.4% of sales, in the three months ended March 31, 2023, as compared to $36.4 million, or 26.3% of sales, in the three months ended March 31, 2022, primarily due to lower sales and resulting lower absorption of fixed costs. Gross profit further declined in first quarter 2023 due to $0.8 million of unfavorable currency exchange, as our reported results in U.S. dollars were impacted as a result of the strengthening U.S. dollar relative to foreign currencies. The decrease in gross profit was partially offset by $1.2 million of lower energy costs compared with the spike in costs in first quarter 2022, primarily in the Europe-based operations.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$2.2 million to $12.9 million, or 11.1% of sales, in the three months ended March 31, 2023, as compared to $15.0 million, or 10.9% of sales, in the three months ended March 31, 2022, primarily due to $1.3 million of employee-related costs associated with our realignment actions in first quarter of 2022, that did not repeat in first quarter of 2023. In addition, we incurred lower intangible asset amortization expense due to certain assets becoming fully amortized, as well as lowered overall spending levels in first quarter 2023, consistent with current lower demand levels. These decreases offset the higher ongoing selling, general and administrative costs associated with our acquisitions.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decreased $6.9 million to $14.4 million, or 12.4% of sales, in the three months ended March 31, 2023, as compared to $21.3 million, or 15.4% of sales, in the three months ended March 31, 2022, as the impact of lower selling, general and administrative expenses and energy costs was more than offset by lower sales levels, lower absorption of fixed costs and the impact of $0.3 million of unfavorable currency exchange.</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March 31, 2023 increased $5.5 million, or 12.3%, to $50.0 million, as compared to $44.5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2022. Sales of our fasteners products increased by $3.5 million due to increases in demand for fasteners used in new aircraft builds plus market share gains. Sales of our engineered components products increased by $2.0 million due to higher end market demand.</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$0.6 million to $8.6 million, or 17.2% of sales, in the three months ended March 31, 2023, from $8.0 million, or 18.0% of sales, in the three months ended March 31, 2022. Gross profit dollars increased primarily due to higher sales levels, while gross profit margin declined due to a less favorable product sales mix and inefficiencies driven by material availability constraints and delays.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$1.0 million to $7.2 million, or 14.3% of sales, in the three months ended March 31, 2023, as compared to $6.2 million, or 13.9% of sales, in the three months ended March 31, 2022, primarily due to higher employee-related costs in support of the increased sales levels.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decreased $0.4 million to $1.4 million, or 2.9% of sales, in the three months ended March 31, 2023, as compared to $1.8 million, or 4.1% of sales, in the three months ended March 31, 2022, as the impact of higher sales was offset by a less favorable product sales mix, inefficiencies resulting from material availability delays, and higher selling, general and administrative expenses.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March 31, 2023 increased $8.0 million, or 19.2%, to $49.3 million, as compared to $41.3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three months ended March 31, 2022. Sales of our cylinder products increased $3.5 million due to higher demand for steel cylinders in North America. Sales of engines, compressors and related parts used in stationary power generation and assistance applications for natural gas and crude oil extraction increased by $4.5 million, primarily as a result of higher oil-field activity in North America.</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$2.6 million to $11.9 million, or 24.1% of sales, in the three months ended March 31, 2023, as compared to $9.3 million, or 22.6% of sales, in the three months ended March 31, 2022. Gross profit increased in the first quarter of 2023 primarily as a result of higher sales levels, while margin also improved due to leveraging the higher sales levels with the existing cost footprint.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flat at $2.1 million, or 4.3% of sales, in the three months ended March 31, 2023, as compared to $2.1 million, or 5.0% of sales, in the three months ended March 31, 2022, as the business leveraged the higher sales levels without need for incremental spending.</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profit increased $2.5 million to $9.8 million, or 19.8% of sales, in the three months ended March 31, 2023, as compared to $7.2 million, or 17.5% of sales, in the three months ended March 31, 2022, primarily due to higher sales levels.</w:t>
      </w:r>
    </w:p>
    <w:p>
      <w:pPr>
        <w:spacing w:after="0" w:line="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consist of the following (dollars in millions):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11"/>
        </w:trPr>
        <w:tc>
          <w:tcPr>
            <w:tcW w:w="78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expenses increased $7.1 million to $15.6 million for the three months ended March 31, 2023, from $8.5 million for the three months ended March 31, 2022, due to $3.9 million higher professional fees primarily for business diligence and consulting as well as $0.6 million increased incentive compensation expense in the three months ended March 31, 2023 as compared to the three months ended March 31, 2022, in addition to $1.5 million of costs now reported as corporate operating expenses related to centralizing certain of our information technology costs in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were $9.7 million for the three months ended March 31, 2023, as compared to $5.7 million for the three months ended March 31, 2022. Significant changes in cash flows provided by operating activities and the reasons for such changes were as follows:</w:t>
      </w:r>
    </w:p>
    <w:p>
      <w:pPr>
        <w:spacing w:after="0" w:line="94" w:lineRule="exact"/>
        <w:rPr>
          <w:sz w:val="20"/>
          <w:szCs w:val="20"/>
          <w:color w:val="auto"/>
        </w:rPr>
      </w:pPr>
    </w:p>
    <w:p>
      <w:pPr>
        <w:jc w:val="both"/>
        <w:ind w:left="980" w:hanging="324"/>
        <w:spacing w:after="0" w:line="25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the Company generated $24.0 million in cash flows, based on the reported net income of $4.9 million and after considering the effects of non-cash items related to depreciation, amortization, (gain) loss on dispositions of assets, changes in deferred income taxes, stock-based compensation and other operating activities. For the three months ended March 31, 2022, the Company generated $34.8 million in cash flows based on the reported net income of $14.2 million and after considering the effects of similar non-cash items.</w:t>
      </w:r>
    </w:p>
    <w:p>
      <w:pPr>
        <w:spacing w:after="0" w:line="1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$11.9 million and $22.3 million for the three months ended March 31, 2023 and 2022, respectively. The increased use of cash for each of the three month periods is due primarily to the timing of sales and collection of cash related thereto within the periods. Days sales outstanding of receivables increased by three days through the three months ended March 31, 2023, and increased by six days through the three months ended March 31, 2022.</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$1.6 million and $0.9 million for the three months ended March 31, 2023 and 2022, respectively. Our days sales in inventory decreased by two days through the three months ended March 31, 2023, and decreased by three days through the three months ended March 31, 2022, as we continue to moderate inventory levels in line with sales levels.</w:t>
      </w:r>
    </w:p>
    <w:p>
      <w:pPr>
        <w:spacing w:after="0" w:line="10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prepaid expenses and other assets resulted in a source of cash of $1.5 million for the three months ended March 31, 2023, while an increase in prepaid expenses and other assets resulted in a use of cash of $0.7 million for the three months ended March 31, 2022.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liabilities resulted in a use of cash of $2.4 million and $5.2 million for the three months ended March 31, 2023 and 2022, respectively. Days accounts payable on hand decreased by three days through the three months ended March 31, 2023 while remaining consistent through the three months ended March 31, 2022. Our days accounts payable on hand fluctuate primarily as a result of the timing of payments made to suppliers and the mix of vendors and related terms.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2023 and 2022 was $52.6 million and $75.8 million, respectively. During the first three months of 2023, we invested $14.8 million in capital expenditures, as we continued our investment in growth, capacity and productivity-related capital projects, and paid $37.8 million, net of cash acquired, to acquire Aarts. During the first three months of 2022, we invested $11.9 million in capital expenditures and paid $64.0 million, net of cash acquired, to acquire Intertech.</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for the three months ended March 31, 2023 and 2022 was $17.3 million and $11.8 million, respectively. During the three months ended March 31, 2023, we purchased $10.4 million of outstanding common stock, used a net cash amount of $2.3 million related to our stock compensation arrangements, paid dividends of $1.7 million and paid $3.0 million related to liabilities assumed in our acquisition of Aarts. During the three months ended March 31, 2022, we purchased $9.1 million of outstanding common stock, used a net cash amount of $1.0 million related to our stock compensation arrangements, and paid dividends of $1.7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March 2021, we issued $400.0 million aggregate principal amount of 4.125% senior notes due April 15, 2029 ("Senior Notes") at par value in a private placement under Rule 144A of the Securities Act of 1933, as amended ("Securities Act"). The Senior Notes accrues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April 15, 2024, we may redeem up to 40% of the principal amount of the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Senior Notes at a redemption price equal to 100% of the principal amount thereof, plus accrued and unpaid interest, if any, to the redemption date, plus a "make whole" premium.</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our consolidated subsidiaries that do not guarantee the Senior Notes represented 29% of the total of guarantor and non-guarantor net sales, treating each as a consolidated group and excluding intercompany transactions between guarantor and non-guarantor subsidiaries. In addition, our non-guarantor subsidiaries represented 38% and 14% of the total guarantor and non-guarantor assets and liabilities, respectively, as of March 31, 2023, treating the guarantor and non-guarantor subsidiaries each as a consolidated group.</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("SONIA") and Euro borrowings to the Euro InterBank Offered Rate (“EURIBOR”), both plus a spread of 1.625%, and U.S. dollar borrowings subject to the Secured Overnight Financing Rate ("SOFR") plus a spread of 1.725%. The interest rate spread is based upon the leverage ratio, as defined, as of the most recent determination date. Our revolving credit facility allows for the issuance of letters of credit, not to exceed $40.0 million in aggregate.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March 31, 2023. If we were to complete an acquisition which qualifies for a Covenant Holiday Period, as defined in our Credit Agreement, then our permitted total net leverage ratio cannot exceed 4.50 to 1.00 during that period. Our actual total net leverage ratio was 2.37 to 1.00 at March 31, 2023. Our permitted interest expense coverage ratio under the Credit Agreement is 3.00 to 1.00 as of March 31, 2023. Our actual interest expense coverage ratio was 11.97 to 1.00 at March 31, 2023. At March 31, 2023,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March 31, 2023 (dollars in thousands). We present Consolidated Bank EBITDA to show our performance under our financial covenants.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5"/>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Permitted acquisitions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151,850</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896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360,640</w:t>
            </w: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151,850</w:t>
            </w: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6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896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151,850</w:t>
            </w: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3"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12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purchase accounting costs, severance, relocation, restructuring and curtailment expenses.</w:t>
      </w:r>
    </w:p>
    <w:p>
      <w:pPr>
        <w:spacing w:after="0" w:line="132" w:lineRule="exact"/>
        <w:rPr>
          <w:rFonts w:ascii="Times New Roman" w:cs="Times New Roman" w:eastAsia="Times New Roman" w:hAnsi="Times New Roman"/>
          <w:sz w:val="9"/>
          <w:szCs w:val="9"/>
          <w:color w:val="auto"/>
        </w:rPr>
      </w:pPr>
    </w:p>
    <w:p>
      <w:pPr>
        <w:ind w:left="400" w:hanging="392"/>
        <w:spacing w:after="0"/>
        <w:tabs>
          <w:tab w:leader="none" w:pos="4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$2.5 million of finance leases as of March 31,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2023 and December 31, 2022, we had no amounts outstanding under our revolving credit facility and had $293.9 million potentially available after giving effect to $6.1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March 31, 2023, we had $246.8 million of borrowing capacity available for general corporate purposes. Our borrowing capacity was not reduced by leverage restrictions contained in the Credit Agreement as of December 31, 2022.</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during the first three months of 2023 approximated $403.0 million, compared to $400.0 million during the first three months of 2022, primarily due to borrowings made on our revolving credit facility.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 million. The facility is guaranteed by TriMas Corporation. There were no borrowings on this loan facility as of March 31, 2023.</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more than half of our cash on hand as of March 31, 2023 is located outside of the U.S., given available funding under our revolving credit facility of $246.8 million at March 31, 2023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At March 31, 2023, we had no amounts outstanding on our revolving credit facility and, therefore, no variable rate-based borrowings outstanding.</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The majority of our lease transactions are accounted for as operating leases, and annual rent expense for continuing operations related thereto approximated $13.9 million in 2022. We expect leasing will continue to be an available financing option to fund future capital expenditure requirements.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first quarter 2023 acquisition of Aarts, we assumed a $2.9 million liability to a bank related to the advance funding of certain accounts receivable invoices. We terminated this arrangement, and repaid the outstanding balance, in March 2023.</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an increase of $100 million from the prior authorization. In the three months ended March 31, 2023, we purchased 350,862 shares of our outstanding common stock for an aggregate purchase price of and $10.4 million, respectively. Since the initial authorization through March 31, 2023, we have purchased 5,465,765 shares of our outstanding common stock for an aggregate purchase price of $154.7 million. We will continue to evaluate opportunities to return capital to shareholders through the purchase of our common stock and the payment of dividends, depending on market conditions, including the potential impact of the COVID-19 pandemic, and other 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March 31, 2023, we were party to foreign exchange forward and swap contracts to hedge changes in foreign currency exchange rates with notional amounts of $185.7 million. We also use cross-currency swap agreements to mitigate currency risks associated with the net investment in certain of our foreign subsidiaries. See Note 9,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1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 Our stock trades under the symbol "TRS."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March 31, 2023, Moody's affirmed a Ba3 rating to our Senior Notes.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affirmed a Ba2 Corporate Family Rating and maintained its outlook as stable. On May 12, 2022, Standard &amp; Poor's affirmed a BB- rating to our Senior Notes. Standard &amp; Poor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expect that the current macro-economic and global market uncertainties will persist in 2023, making it a challenging environment to effectively and efficiently transact business in the end markets we serve. We continue to experience volatility in our customers' order patterns, inflationary pressures for certain input costs (raw materials and wage rates in particular), with supply chain disruptions limiting material availability for certain products, and with labor availability remaining at lower levels than prior to the pandemic. While our Specialty Products segment continues to grow to meet higher industrial demand, and is converting that demand at near record-level margins, the macro-economic impacts are more challenging in our Packaging segment, primarily due to significantly elevated inventory positions and uncertainty regarding future consumer sentiment in the current inflationary environment, all of which have reduced current demand levels, and in our Aerospace segment, which is experiencing strong order intake but is challenged with material constraints. No matter the outcome of these factors, we expect to continue to mitigate, as much as practical, the impact of these challenges, executing on streamlining actions and taking other steps as necessary, to maintain our strong balance sheet and generate cash in support of our capital allocation strategy.</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our TriMas Business Model to manage our multi-industry businesses on a longer-term basis, to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issued or effective as of March 31, 2023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2023,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9,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2023,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2023,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March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2022 Annual Report on Form 10-K, which could materially affect our business, financial condition or future results. There have been no significant changes in our risk factors as disclosed in our 2022 Annual Report on Form 10-K.</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 Company's common stock during the three months ended March 31, 2023.</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7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the Program </w:t>
            </w:r>
            <w:r>
              <w:rPr>
                <w:rFonts w:ascii="Times New Roman" w:cs="Times New Roman" w:eastAsia="Times New Roman" w:hAnsi="Times New Roman"/>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2023 to January 31, 2023</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190,040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100,108,531</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2023 to February 28, 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105,405</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96,861,569</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2023 to March 31, 2023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55,417</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95,289,038</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350,862</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95,289,038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line="245" w:lineRule="auto"/>
        <w:tabs>
          <w:tab w:leader="none" w:pos="309"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March 31, 2023, the Company repurchased 350,862 shares of its common stock at a cost of $10.4 million. The share repurchase program is effective and has no expiration date.</w:t>
      </w:r>
    </w:p>
    <w:p>
      <w:pPr>
        <w:spacing w:after="0" w:line="1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3"/>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1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18"/>
                <w:szCs w:val="18"/>
                <w:color w:val="auto"/>
              </w:rPr>
            </w:pPr>
          </w:p>
        </w:tc>
        <w:tc>
          <w:tcPr>
            <w:tcW w:w="9500" w:type="dxa"/>
            <w:vAlign w:val="bottom"/>
            <w:gridSpan w:val="12"/>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Fourth Amended and Restated Certificate of Incorporation of TriMas Corporation (Incorporated by reference to the Exhibits filed</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with TriMas Corporation's Quarterly Report on Form 10-Q filed on August 3, 2007 (File No. 001-10716)).</w:t>
              </w:r>
            </w:hyperlink>
          </w:p>
        </w:tc>
        <w:tc>
          <w:tcPr>
            <w:tcW w:w="1640" w:type="dxa"/>
            <w:vAlign w:val="bottom"/>
            <w:tcBorders>
              <w:top w:val="single" w:sz="8" w:color="0000FF"/>
            </w:tcBorders>
            <w:gridSpan w:val="6"/>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18"/>
                <w:szCs w:val="18"/>
                <w:color w:val="auto"/>
              </w:rPr>
            </w:pPr>
          </w:p>
        </w:tc>
        <w:tc>
          <w:tcPr>
            <w:tcW w:w="9500" w:type="dxa"/>
            <w:vAlign w:val="bottom"/>
            <w:gridSpan w:val="12"/>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Third Amended and Restated By-laws of TriMas Corporation (Incorporated by reference to the Exhibits filed with TriMas</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Corporation's Current Report on Form 8-K filed on December 18, 2015 (File No. 001-10716)).</w:t>
              </w:r>
            </w:hyperlink>
          </w:p>
        </w:tc>
        <w:tc>
          <w:tcPr>
            <w:tcW w:w="30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8"/>
                <w:szCs w:val="18"/>
                <w:color w:val="auto"/>
              </w:rPr>
            </w:pPr>
          </w:p>
        </w:tc>
        <w:tc>
          <w:tcPr>
            <w:tcW w:w="8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Form of Performance Stock Units Agreement - 2023 LTI - under the 2017 Equity and Incentive Compensation Plan.*</w:t>
            </w:r>
          </w:p>
        </w:tc>
        <w:tc>
          <w:tcPr>
            <w:tcW w:w="1040" w:type="dxa"/>
            <w:vAlign w:val="bottom"/>
            <w:gridSpan w:val="7"/>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tcPr>
          <w:p>
            <w:pPr>
              <w:spacing w:after="0"/>
              <w:rPr>
                <w:sz w:val="18"/>
                <w:szCs w:val="18"/>
                <w:color w:val="auto"/>
              </w:rPr>
            </w:pPr>
          </w:p>
        </w:tc>
        <w:tc>
          <w:tcPr>
            <w:tcW w:w="95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(Three-Year Vest) - 2023 LTI - under the 2017 Equity and Incentive Compensation</w:t>
            </w:r>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1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Plan.*</w:t>
            </w:r>
          </w:p>
        </w:tc>
        <w:tc>
          <w:tcPr>
            <w:tcW w:w="3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spacing w:after="0"/>
              <w:rPr>
                <w:sz w:val="18"/>
                <w:szCs w:val="18"/>
                <w:color w:val="auto"/>
              </w:rPr>
            </w:pPr>
          </w:p>
        </w:tc>
        <w:tc>
          <w:tcPr>
            <w:tcW w:w="95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Form of Restricted Stock Units Agreement (Board Of Directors) (One-Year Vest) - 2023 LTI - under the 2017 Equity and Incentive</w:t>
            </w:r>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Compensation Plan.*</w:t>
            </w:r>
          </w:p>
        </w:tc>
        <w:tc>
          <w:tcPr>
            <w:tcW w:w="6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18"/>
                <w:szCs w:val="18"/>
                <w:color w:val="auto"/>
              </w:rPr>
            </w:pPr>
          </w:p>
        </w:tc>
        <w:tc>
          <w:tcPr>
            <w:tcW w:w="1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Certification pursuant</w:t>
            </w:r>
          </w:p>
        </w:tc>
        <w:tc>
          <w:tcPr>
            <w:tcW w:w="7960" w:type="dxa"/>
            <w:vAlign w:val="bottom"/>
            <w:gridSpan w:val="10"/>
          </w:tcPr>
          <w:p>
            <w:pPr>
              <w:ind w:left="80"/>
              <w:spacing w:after="0" w:line="207" w:lineRule="exact"/>
              <w:rPr>
                <w:sz w:val="20"/>
                <w:szCs w:val="20"/>
                <w:color w:val="auto"/>
              </w:rPr>
            </w:pPr>
            <w:r>
              <w:rPr>
                <w:rFonts w:ascii="Times New Roman" w:cs="Times New Roman" w:eastAsia="Times New Roman" w:hAnsi="Times New Roman"/>
                <w:sz w:val="18"/>
                <w:szCs w:val="18"/>
                <w:color w:val="0000FF"/>
              </w:rPr>
              <w:t>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18"/>
                <w:szCs w:val="18"/>
                <w:color w:val="auto"/>
              </w:rPr>
            </w:pPr>
          </w:p>
        </w:tc>
        <w:tc>
          <w:tcPr>
            <w:tcW w:w="8720" w:type="dxa"/>
            <w:vAlign w:val="bottom"/>
            <w:tcBorders>
              <w:top w:val="single" w:sz="8" w:color="0000FF"/>
              <w:bottom w:val="single" w:sz="8" w:color="0000FF"/>
            </w:tcBorders>
            <w:gridSpan w:val="6"/>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FF"/>
            </w:tcBorders>
          </w:tcPr>
          <w:p>
            <w:pPr>
              <w:spacing w:after="0"/>
              <w:rPr>
                <w:sz w:val="18"/>
                <w:szCs w:val="18"/>
                <w:color w:val="auto"/>
              </w:rPr>
            </w:pPr>
          </w:p>
        </w:tc>
        <w:tc>
          <w:tcPr>
            <w:tcW w:w="760" w:type="dxa"/>
            <w:vAlign w:val="bottom"/>
            <w:gridSpan w:val="5"/>
          </w:tcPr>
          <w:p>
            <w:pPr>
              <w:spacing w:after="0"/>
              <w:rPr>
                <w:sz w:val="18"/>
                <w:szCs w:val="18"/>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18"/>
                <w:szCs w:val="18"/>
                <w:color w:val="auto"/>
              </w:rPr>
            </w:pPr>
          </w:p>
        </w:tc>
        <w:tc>
          <w:tcPr>
            <w:tcW w:w="8740" w:type="dxa"/>
            <w:vAlign w:val="bottom"/>
            <w:tcBorders>
              <w:bottom w:val="single" w:sz="8" w:color="0000FF"/>
            </w:tcBorders>
            <w:gridSpan w:val="7"/>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760" w:type="dxa"/>
            <w:vAlign w:val="bottom"/>
            <w:gridSpan w:val="5"/>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18"/>
                <w:szCs w:val="18"/>
                <w:color w:val="auto"/>
              </w:rPr>
            </w:pPr>
          </w:p>
        </w:tc>
        <w:tc>
          <w:tcPr>
            <w:tcW w:w="8720" w:type="dxa"/>
            <w:vAlign w:val="bottom"/>
            <w:tcBorders>
              <w:bottom w:val="single" w:sz="8" w:color="0000FF"/>
            </w:tcBorders>
            <w:gridSpan w:val="6"/>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Pr>
          <w:p>
            <w:pPr>
              <w:spacing w:after="0"/>
              <w:rPr>
                <w:sz w:val="18"/>
                <w:szCs w:val="18"/>
                <w:color w:val="auto"/>
              </w:rPr>
            </w:pPr>
          </w:p>
        </w:tc>
        <w:tc>
          <w:tcPr>
            <w:tcW w:w="760" w:type="dxa"/>
            <w:vAlign w:val="bottom"/>
            <w:gridSpan w:val="5"/>
          </w:tcPr>
          <w:p>
            <w:pPr>
              <w:spacing w:after="0"/>
              <w:rPr>
                <w:sz w:val="18"/>
                <w:szCs w:val="18"/>
                <w:color w:val="auto"/>
              </w:rPr>
            </w:pPr>
          </w:p>
        </w:tc>
      </w:tr>
      <w:tr>
        <w:trPr>
          <w:trHeight w:val="205"/>
        </w:trPr>
        <w:tc>
          <w:tcPr>
            <w:tcW w:w="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7"/>
                <w:szCs w:val="17"/>
                <w:color w:val="auto"/>
              </w:rPr>
            </w:pPr>
          </w:p>
        </w:tc>
        <w:tc>
          <w:tcPr>
            <w:tcW w:w="950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auto"/>
              </w:rPr>
              <w:t>The following materials from TriMas Corporation's Quarterly Report on Form 10-Q for the quarter ended March 31, 2023,</w:t>
            </w:r>
          </w:p>
        </w:tc>
      </w:tr>
      <w:tr>
        <w:trPr>
          <w:trHeight w:val="180"/>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12"/>
          </w:tcPr>
          <w:p>
            <w:pPr>
              <w:spacing w:after="0" w:line="181"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 the Consolidated Balance Sheet, (ii) the Consolidated</w:t>
            </w:r>
          </w:p>
        </w:tc>
      </w:tr>
      <w:tr>
        <w:trPr>
          <w:trHeight w:val="191"/>
        </w:trPr>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500" w:type="dxa"/>
            <w:vAlign w:val="bottom"/>
            <w:gridSpan w:val="12"/>
          </w:tcPr>
          <w:p>
            <w:pPr>
              <w:spacing w:after="0" w:line="191" w:lineRule="exact"/>
              <w:rPr>
                <w:sz w:val="20"/>
                <w:szCs w:val="20"/>
                <w:color w:val="auto"/>
              </w:rPr>
            </w:pPr>
            <w:r>
              <w:rPr>
                <w:rFonts w:ascii="Times New Roman" w:cs="Times New Roman" w:eastAsia="Times New Roman" w:hAnsi="Times New Roman"/>
                <w:sz w:val="18"/>
                <w:szCs w:val="18"/>
                <w:color w:val="auto"/>
              </w:rPr>
              <w:t>Statement of Income, (iii) the Consolidated Statement of Comprehensive Income, (iv) the Consolidated Statement of Cash Flows,</w:t>
            </w:r>
          </w:p>
        </w:tc>
      </w:tr>
    </w:tbl>
    <w:p>
      <w:pPr>
        <w:ind w:left="1680" w:hanging="7"/>
        <w:spacing w:after="0" w:line="233" w:lineRule="auto"/>
        <w:tabs>
          <w:tab w:leader="none" w:pos="19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Shareholders' Equity, (vi) Notes to Consolidated Financial Statements, and (vii) document and entity information.</w:t>
      </w:r>
    </w:p>
    <w:p>
      <w:pPr>
        <w:spacing w:after="0" w:line="1"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41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TRIMAS CORPORATION (Registrant)</w:t>
            </w:r>
          </w:p>
        </w:tc>
        <w:tc>
          <w:tcPr>
            <w:tcW w:w="4440" w:type="dxa"/>
            <w:vAlign w:val="bottom"/>
          </w:tcPr>
          <w:p>
            <w:pPr>
              <w:spacing w:after="0"/>
              <w:rPr>
                <w:sz w:val="20"/>
                <w:szCs w:val="20"/>
                <w:color w:val="auto"/>
              </w:rPr>
            </w:pPr>
          </w:p>
        </w:tc>
      </w:tr>
      <w:tr>
        <w:trPr>
          <w:trHeight w:val="486"/>
        </w:trPr>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9"/>
              </w:rPr>
              <w:t>/s/ SCOTT A. MELL</w:t>
            </w:r>
          </w:p>
        </w:tc>
      </w:tr>
      <w:tr>
        <w:trPr>
          <w:trHeight w:val="54"/>
        </w:trPr>
        <w:tc>
          <w:tcPr>
            <w:tcW w:w="2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176"/>
        </w:trPr>
        <w:tc>
          <w:tcPr>
            <w:tcW w:w="2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40" w:type="dxa"/>
            <w:vAlign w:val="bottom"/>
          </w:tcPr>
          <w:p>
            <w:pPr>
              <w:jc w:val="center"/>
              <w:ind w:right="2490"/>
              <w:spacing w:after="0" w:line="176" w:lineRule="exact"/>
              <w:rPr>
                <w:sz w:val="20"/>
                <w:szCs w:val="20"/>
                <w:color w:val="auto"/>
              </w:rPr>
            </w:pPr>
            <w:r>
              <w:rPr>
                <w:rFonts w:ascii="Times New Roman" w:cs="Times New Roman" w:eastAsia="Times New Roman" w:hAnsi="Times New Roman"/>
                <w:sz w:val="18"/>
                <w:szCs w:val="18"/>
                <w:color w:val="auto"/>
              </w:rPr>
              <w:t>Scott A. Mell</w:t>
            </w: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2023</w:t>
            </w:r>
          </w:p>
        </w:tc>
        <w:tc>
          <w:tcPr>
            <w:tcW w:w="41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1/1/23 – 12/31/25 Award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EQUITY AND INCENTIVE COMPENSATION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1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2017 Equity and Incentive Compensation Plan (“Plan”), and as approved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Unless otherwise defined in this Agreement or in one or more Appendices to this Agreement, the terms used in this Agreement have the same meanings as defined in the Plan.</w:t>
      </w:r>
    </w:p>
    <w:p>
      <w:pPr>
        <w:sectPr>
          <w:pgSz w:w="11900" w:h="16838" w:orient="portrait"/>
          <w:cols w:equalWidth="0" w:num="1">
            <w:col w:w="11240"/>
          </w:cols>
          <w:pgMar w:left="320" w:top="1418" w:right="339" w:bottom="1440" w:gutter="0" w:footer="0" w:header="0"/>
        </w:sectPr>
      </w:pPr>
    </w:p>
    <w:p>
      <w:pPr>
        <w:spacing w:after="0" w:line="146"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 OF PSU AWARD</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Date of Agreement:</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Number of PSUs in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[specify Grantee’s name]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[enter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71" w:lineRule="exact"/>
        <w:rPr>
          <w:sz w:val="20"/>
          <w:szCs w:val="20"/>
          <w:color w:val="auto"/>
        </w:rPr>
      </w:pPr>
    </w:p>
    <w:p>
      <w:pPr>
        <w:ind w:right="900"/>
        <w:spacing w:after="0" w:line="225" w:lineRule="auto"/>
        <w:rPr>
          <w:sz w:val="20"/>
          <w:szCs w:val="20"/>
          <w:color w:val="auto"/>
        </w:rPr>
      </w:pPr>
      <w:r>
        <w:rPr>
          <w:rFonts w:ascii="Times New Roman" w:cs="Times New Roman" w:eastAsia="Times New Roman" w:hAnsi="Times New Roman"/>
          <w:sz w:val="22"/>
          <w:szCs w:val="22"/>
          <w:color w:val="auto"/>
        </w:rPr>
        <w:t>[number of PSUs] (“Target”), subject to addition or subtraction as set forth on Appendix A depending on achievement of applicable Management Objectives</w:t>
      </w:r>
    </w:p>
    <w:p>
      <w:pPr>
        <w:spacing w:after="0" w:line="8" w:lineRule="exact"/>
        <w:rPr>
          <w:sz w:val="20"/>
          <w:szCs w:val="20"/>
          <w:color w:val="auto"/>
        </w:rPr>
      </w:pPr>
    </w:p>
    <w:p>
      <w:pPr>
        <w:sectPr>
          <w:pgSz w:w="11900" w:h="16838" w:orient="portrait"/>
          <w:cols w:equalWidth="0" w:num="2">
            <w:col w:w="4160" w:space="720"/>
            <w:col w:w="6360"/>
          </w:cols>
          <w:pgMar w:left="320" w:top="1418" w:right="339" w:bottom="1440" w:gutter="0" w:footer="0" w:header="0"/>
          <w:type w:val="continuous"/>
        </w:sectPr>
      </w:pPr>
    </w:p>
    <w:tbl>
      <w:tblPr>
        <w:tblLayout w:type="fixed"/>
        <w:tblInd w:w="180" w:type="dxa"/>
        <w:tblCellMar>
          <w:top w:w="0" w:type="dxa"/>
          <w:left w:w="0" w:type="dxa"/>
          <w:bottom w:w="0" w:type="dxa"/>
          <w:right w:w="0" w:type="dxa"/>
        </w:tblCellMar>
      </w:tblPr>
      <w:tr>
        <w:trPr>
          <w:trHeight w:val="253"/>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Performance Period:</w:t>
            </w:r>
          </w:p>
        </w:tc>
        <w:tc>
          <w:tcPr>
            <w:tcW w:w="6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Beginning on January 1, 2023, and continuing through</w:t>
            </w:r>
          </w:p>
        </w:tc>
        <w:tc>
          <w:tcPr>
            <w:tcW w:w="0" w:type="dxa"/>
            <w:vAlign w:val="bottom"/>
          </w:tcPr>
          <w:p>
            <w:pPr>
              <w:spacing w:after="0"/>
              <w:rPr>
                <w:sz w:val="1"/>
                <w:szCs w:val="1"/>
                <w:color w:val="auto"/>
              </w:rPr>
            </w:pPr>
          </w:p>
        </w:tc>
      </w:tr>
      <w:tr>
        <w:trPr>
          <w:trHeight w:val="270"/>
        </w:trPr>
        <w:tc>
          <w:tcPr>
            <w:tcW w:w="33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Settlement Date</w:t>
            </w:r>
          </w:p>
        </w:tc>
        <w:tc>
          <w:tcPr>
            <w:tcW w:w="6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December 31, 2025</w:t>
            </w:r>
          </w:p>
        </w:tc>
        <w:tc>
          <w:tcPr>
            <w:tcW w:w="0" w:type="dxa"/>
            <w:vAlign w:val="bottom"/>
          </w:tcPr>
          <w:p>
            <w:pPr>
              <w:spacing w:after="0"/>
              <w:rPr>
                <w:sz w:val="1"/>
                <w:szCs w:val="1"/>
                <w:color w:val="auto"/>
              </w:rPr>
            </w:pPr>
          </w:p>
        </w:tc>
      </w:tr>
      <w:tr>
        <w:trPr>
          <w:trHeight w:val="266"/>
        </w:trPr>
        <w:tc>
          <w:tcPr>
            <w:tcW w:w="3320" w:type="dxa"/>
            <w:vAlign w:val="bottom"/>
            <w:vMerge w:val="continue"/>
          </w:tcPr>
          <w:p>
            <w:pPr>
              <w:spacing w:after="0"/>
              <w:rPr>
                <w:sz w:val="23"/>
                <w:szCs w:val="23"/>
                <w:color w:val="auto"/>
              </w:rPr>
            </w:pPr>
          </w:p>
        </w:tc>
        <w:tc>
          <w:tcPr>
            <w:tcW w:w="6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March 11, 2026</w:t>
            </w:r>
          </w:p>
        </w:tc>
        <w:tc>
          <w:tcPr>
            <w:tcW w:w="0" w:type="dxa"/>
            <w:vAlign w:val="bottom"/>
          </w:tcPr>
          <w:p>
            <w:pPr>
              <w:spacing w:after="0"/>
              <w:rPr>
                <w:sz w:val="1"/>
                <w:szCs w:val="1"/>
                <w:color w:val="auto"/>
              </w:rPr>
            </w:pPr>
          </w:p>
        </w:tc>
      </w:tr>
      <w:tr>
        <w:trPr>
          <w:trHeight w:val="220"/>
        </w:trPr>
        <w:tc>
          <w:tcPr>
            <w:tcW w:w="3320" w:type="dxa"/>
            <w:vAlign w:val="bottom"/>
          </w:tcPr>
          <w:p>
            <w:pPr>
              <w:spacing w:after="0" w:line="221" w:lineRule="exact"/>
              <w:rPr>
                <w:sz w:val="20"/>
                <w:szCs w:val="20"/>
                <w:color w:val="auto"/>
              </w:rPr>
            </w:pPr>
            <w:r>
              <w:rPr>
                <w:rFonts w:ascii="Times New Roman" w:cs="Times New Roman" w:eastAsia="Times New Roman" w:hAnsi="Times New Roman"/>
                <w:sz w:val="22"/>
                <w:szCs w:val="22"/>
                <w:b w:val="1"/>
                <w:bCs w:val="1"/>
                <w:color w:val="auto"/>
              </w:rPr>
              <w:t>Settlement Method:</w:t>
            </w:r>
          </w:p>
        </w:tc>
        <w:tc>
          <w:tcPr>
            <w:tcW w:w="6900" w:type="dxa"/>
            <w:vAlign w:val="bottom"/>
          </w:tcPr>
          <w:p>
            <w:pPr>
              <w:ind w:left="1380"/>
              <w:spacing w:after="0" w:line="221" w:lineRule="exact"/>
              <w:rPr>
                <w:sz w:val="20"/>
                <w:szCs w:val="20"/>
                <w:color w:val="auto"/>
              </w:rPr>
            </w:pPr>
            <w:r>
              <w:rPr>
                <w:rFonts w:ascii="Times New Roman" w:cs="Times New Roman" w:eastAsia="Times New Roman" w:hAnsi="Times New Roman"/>
                <w:sz w:val="22"/>
                <w:szCs w:val="22"/>
                <w:color w:val="auto"/>
                <w:w w:val="97"/>
              </w:rPr>
              <w:t>Earned and vested PSUs will be settled by delivery of one share</w:t>
            </w:r>
          </w:p>
        </w:tc>
        <w:tc>
          <w:tcPr>
            <w:tcW w:w="0" w:type="dxa"/>
            <w:vAlign w:val="bottom"/>
          </w:tcPr>
          <w:p>
            <w:pPr>
              <w:spacing w:after="0"/>
              <w:rPr>
                <w:sz w:val="1"/>
                <w:szCs w:val="1"/>
                <w:color w:val="auto"/>
              </w:rPr>
            </w:pPr>
          </w:p>
        </w:tc>
      </w:tr>
      <w:tr>
        <w:trPr>
          <w:trHeight w:val="282"/>
        </w:trPr>
        <w:tc>
          <w:tcPr>
            <w:tcW w:w="3320" w:type="dxa"/>
            <w:vAlign w:val="bottom"/>
          </w:tcPr>
          <w:p>
            <w:pPr>
              <w:spacing w:after="0"/>
              <w:rPr>
                <w:sz w:val="24"/>
                <w:szCs w:val="24"/>
                <w:color w:val="auto"/>
              </w:rPr>
            </w:pPr>
          </w:p>
        </w:tc>
        <w:tc>
          <w:tcPr>
            <w:tcW w:w="6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of Common Stock for each PSU being settled</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192" w:lineRule="exact"/>
        <w:rPr>
          <w:rFonts w:ascii="Times New Roman" w:cs="Times New Roman" w:eastAsia="Times New Roman" w:hAnsi="Times New Roman"/>
          <w:sz w:val="22"/>
          <w:szCs w:val="22"/>
          <w:color w:val="auto"/>
        </w:rPr>
      </w:pPr>
    </w:p>
    <w:p>
      <w:pPr>
        <w:jc w:val="both"/>
        <w:ind w:firstLine="299"/>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to earn the number of PSUs described above, subject to the terms of this Agreement (this “Award”). The PSUs evidenced by this Agreement 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ectPr>
          <w:pgSz w:w="11900" w:h="16838" w:orient="portrait"/>
          <w:cols w:equalWidth="0" w:num="1">
            <w:col w:w="11240"/>
          </w:cols>
          <w:pgMar w:left="320" w:top="1418" w:right="339" w:bottom="1440" w:gutter="0" w:footer="0" w:header="0"/>
          <w:type w:val="continuous"/>
        </w:sectPr>
      </w:pPr>
    </w:p>
    <w:bookmarkStart w:id="39" w:name="page40"/>
    <w:bookmarkEnd w:id="39"/>
    <w:p>
      <w:pPr>
        <w:jc w:val="both"/>
        <w:ind w:firstLine="476"/>
        <w:spacing w:after="0" w:line="232" w:lineRule="auto"/>
        <w:tabs>
          <w:tab w:leader="none" w:pos="864" w:val="left"/>
        </w:tabs>
        <w:numPr>
          <w:ilvl w:val="1"/>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Except as otherwise designated in this Agreement, Grantee must be a Service Provider on the Settlement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46" w:lineRule="exact"/>
        <w:rPr>
          <w:rFonts w:ascii="Times New Roman" w:cs="Times New Roman" w:eastAsia="Times New Roman" w:hAnsi="Times New Roman"/>
          <w:sz w:val="21"/>
          <w:szCs w:val="21"/>
          <w:b w:val="1"/>
          <w:bCs w:val="1"/>
          <w:color w:val="auto"/>
        </w:rPr>
      </w:pPr>
    </w:p>
    <w:p>
      <w:pPr>
        <w:jc w:val="both"/>
        <w:ind w:firstLine="440"/>
        <w:spacing w:after="0" w:line="227" w:lineRule="auto"/>
        <w:tabs>
          <w:tab w:leader="none" w:pos="81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Goals to Earn PSUs</w:t>
      </w:r>
      <w:r>
        <w:rPr>
          <w:rFonts w:ascii="Times New Roman" w:cs="Times New Roman" w:eastAsia="Times New Roman" w:hAnsi="Times New Roman"/>
          <w:sz w:val="22"/>
          <w:szCs w:val="22"/>
          <w:color w:val="auto"/>
        </w:rPr>
        <w:t>. Grantee will only receive shares of Common Stock related to, and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are earned pursuant to, the Management Objectives and goals specified in Appendix A to this Agreement (“Performance Goals”).</w:t>
      </w:r>
    </w:p>
    <w:p>
      <w:pPr>
        <w:spacing w:after="0" w:line="146" w:lineRule="exact"/>
        <w:rPr>
          <w:rFonts w:ascii="Times New Roman" w:cs="Times New Roman" w:eastAsia="Times New Roman" w:hAnsi="Times New Roman"/>
          <w:sz w:val="22"/>
          <w:szCs w:val="22"/>
          <w:b w:val="1"/>
          <w:bCs w:val="1"/>
          <w:color w:val="auto"/>
        </w:rPr>
      </w:pPr>
    </w:p>
    <w:p>
      <w:pPr>
        <w:jc w:val="both"/>
        <w:ind w:firstLine="503"/>
        <w:spacing w:after="0" w:line="212" w:lineRule="auto"/>
        <w:tabs>
          <w:tab w:leader="none" w:pos="904" w:val="left"/>
        </w:tabs>
        <w:numPr>
          <w:ilvl w:val="2"/>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PSU equal to the amount of each cash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48" w:lineRule="exact"/>
        <w:rPr>
          <w:rFonts w:ascii="Times New Roman" w:cs="Times New Roman" w:eastAsia="Times New Roman" w:hAnsi="Times New Roman"/>
          <w:sz w:val="22"/>
          <w:szCs w:val="22"/>
          <w:b w:val="1"/>
          <w:bCs w:val="1"/>
          <w:color w:val="auto"/>
        </w:rPr>
      </w:pPr>
    </w:p>
    <w:p>
      <w:pPr>
        <w:jc w:val="both"/>
        <w:ind w:firstLine="642"/>
        <w:spacing w:after="0" w:line="214" w:lineRule="auto"/>
        <w:tabs>
          <w:tab w:leader="none" w:pos="1120" w:val="left"/>
        </w:tabs>
        <w:numPr>
          <w:ilvl w:val="3"/>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color w:val="auto"/>
        </w:rPr>
        <w:t>. This Award does not entitle Grantee to any ownership interest in any actual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49" w:lineRule="exact"/>
        <w:rPr>
          <w:sz w:val="20"/>
          <w:szCs w:val="20"/>
          <w:color w:val="auto"/>
        </w:rPr>
      </w:pPr>
    </w:p>
    <w:p>
      <w:pPr>
        <w:ind w:left="820" w:hanging="380"/>
        <w:spacing w:after="0"/>
        <w:tabs>
          <w:tab w:leader="none" w:pos="82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covered by this Award will be subject to adjustment as provided in Section 11 of the Plan.</w:t>
      </w:r>
    </w:p>
    <w:p>
      <w:pPr>
        <w:spacing w:after="0" w:line="179"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Service; Forfeiture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hanging="220"/>
        <w:spacing w:after="0" w:line="218" w:lineRule="auto"/>
        <w:tabs>
          <w:tab w:leader="none" w:pos="95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by Company; Breach of Other Obligations</w:t>
      </w:r>
      <w:r>
        <w:rPr>
          <w:rFonts w:ascii="Times New Roman" w:cs="Times New Roman" w:eastAsia="Times New Roman" w:hAnsi="Times New Roman"/>
          <w:sz w:val="22"/>
          <w:szCs w:val="22"/>
          <w:color w:val="auto"/>
        </w:rPr>
        <w:t>. Any PSUs subject to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canceled and forfeited if, prior to the Settlement Date, Grantee voluntarily terminates as a Service Provider (other than for Good Reason or as a result of Retirement as provided below), if Grantee’s status as a Service Provider is terminated by the Company or a Subsidiary for any reason (other than death, Disability, or Retirement), or if Grantee violates the provisions of Section II.B.3 below.</w:t>
      </w:r>
    </w:p>
    <w:p>
      <w:pPr>
        <w:spacing w:after="0" w:line="147" w:lineRule="exact"/>
        <w:rPr>
          <w:rFonts w:ascii="Times New Roman" w:cs="Times New Roman" w:eastAsia="Times New Roman" w:hAnsi="Times New Roman"/>
          <w:sz w:val="22"/>
          <w:szCs w:val="22"/>
          <w:color w:val="auto"/>
        </w:rPr>
      </w:pPr>
    </w:p>
    <w:p>
      <w:pPr>
        <w:jc w:val="both"/>
        <w:ind w:left="660" w:hanging="120"/>
        <w:spacing w:after="0" w:line="218" w:lineRule="auto"/>
        <w:tabs>
          <w:tab w:leader="none" w:pos="1128"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Notwithstanding the foregoing, and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 (f) of this Section II.A.6, if Grantee ceases to be a Service Provider prior to the Settlement Date as a result of Grantee’s Qualifying Termination, Grantee shall become vested on the Determination Date in a pro-rata portion of the number of PSUs, if any, that are earned under Section II.A.2 due to the achievement of the performance measures specified in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40" w:name="page41"/>
    <w:bookmarkEnd w:id="40"/>
    <w:p>
      <w:pPr>
        <w:jc w:val="both"/>
        <w:ind w:left="200"/>
        <w:spacing w:after="0" w:line="227" w:lineRule="auto"/>
        <w:rPr>
          <w:sz w:val="20"/>
          <w:szCs w:val="20"/>
          <w:color w:val="auto"/>
        </w:rPr>
      </w:pPr>
      <w:r>
        <w:rPr>
          <w:rFonts w:ascii="Times New Roman" w:cs="Times New Roman" w:eastAsia="Times New Roman" w:hAnsi="Times New Roman"/>
          <w:sz w:val="21"/>
          <w:szCs w:val="21"/>
          <w:color w:val="auto"/>
        </w:rPr>
        <w:t>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 greater than 1), the numerator of which is the number of whole calendar months Grantee was employed or rendering services from the beginning of the Performance Period through the date of Grantee’s Qualifying Termination, and the denominator of which is 36.</w:t>
      </w:r>
    </w:p>
    <w:p>
      <w:pPr>
        <w:spacing w:after="0" w:line="150" w:lineRule="exact"/>
        <w:rPr>
          <w:sz w:val="20"/>
          <w:szCs w:val="20"/>
          <w:color w:val="auto"/>
        </w:rPr>
      </w:pPr>
    </w:p>
    <w:p>
      <w:pPr>
        <w:jc w:val="both"/>
        <w:ind w:left="200" w:hanging="130"/>
        <w:spacing w:after="0" w:line="218" w:lineRule="auto"/>
        <w:tabs>
          <w:tab w:leader="none" w:pos="575"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Notwithstanding the foregoing, and except as set forth in subsection (f) of this Section II.A.6, if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ceases to be a Service Provider prior to the Settlement Date as a result of Grantee’s Disability,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47" w:lineRule="exact"/>
        <w:rPr>
          <w:rFonts w:ascii="Times New Roman" w:cs="Times New Roman" w:eastAsia="Times New Roman" w:hAnsi="Times New Roman"/>
          <w:sz w:val="22"/>
          <w:szCs w:val="22"/>
          <w:color w:val="auto"/>
        </w:rPr>
      </w:pPr>
    </w:p>
    <w:p>
      <w:pPr>
        <w:jc w:val="both"/>
        <w:ind w:left="200" w:hanging="103"/>
        <w:spacing w:after="0" w:line="227" w:lineRule="auto"/>
        <w:tabs>
          <w:tab w:leader="none" w:pos="627"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Notwithstanding the foregoing, if Grantee ceases to be a Service Provider prior to the Settlement Date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Grantee’s death, Grantee’s PSUs shall immediately become fully vested based on the Target number set forth in “Number of PSUs in Award” in Section I.</w:t>
      </w:r>
    </w:p>
    <w:p>
      <w:pPr>
        <w:spacing w:after="0" w:line="146" w:lineRule="exact"/>
        <w:rPr>
          <w:rFonts w:ascii="Times New Roman" w:cs="Times New Roman" w:eastAsia="Times New Roman" w:hAnsi="Times New Roman"/>
          <w:sz w:val="22"/>
          <w:szCs w:val="22"/>
          <w:color w:val="auto"/>
        </w:rPr>
      </w:pPr>
    </w:p>
    <w:p>
      <w:pPr>
        <w:jc w:val="both"/>
        <w:ind w:left="200" w:hanging="79"/>
        <w:spacing w:after="0" w:line="232" w:lineRule="auto"/>
        <w:tabs>
          <w:tab w:leader="none" w:pos="723" w:val="left"/>
        </w:tabs>
        <w:numPr>
          <w:ilvl w:val="3"/>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If Grantee ceases to be a Service Provider prior to the Settlement Date due to Grantee’s Retirement,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set forth in subsection (f) of this Section II.A.6,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46" w:lineRule="exact"/>
        <w:rPr>
          <w:rFonts w:ascii="Times New Roman" w:cs="Times New Roman" w:eastAsia="Times New Roman" w:hAnsi="Times New Roman"/>
          <w:sz w:val="21"/>
          <w:szCs w:val="21"/>
          <w:color w:val="auto"/>
        </w:rPr>
      </w:pPr>
    </w:p>
    <w:p>
      <w:pPr>
        <w:ind w:left="200" w:hanging="193"/>
        <w:spacing w:after="0" w:line="238" w:lineRule="auto"/>
        <w:tabs>
          <w:tab w:leader="none" w:pos="45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Settlement Date, the PSUs will vest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this Section II.A.6(f).</w:t>
      </w:r>
    </w:p>
    <w:p>
      <w:pPr>
        <w:spacing w:after="0" w:line="150" w:lineRule="exact"/>
        <w:rPr>
          <w:rFonts w:ascii="Times New Roman" w:cs="Times New Roman" w:eastAsia="Times New Roman" w:hAnsi="Times New Roman"/>
          <w:sz w:val="22"/>
          <w:szCs w:val="22"/>
          <w:color w:val="auto"/>
        </w:rPr>
      </w:pPr>
    </w:p>
    <w:p>
      <w:pPr>
        <w:jc w:val="both"/>
        <w:ind w:left="840" w:firstLine="652"/>
        <w:spacing w:after="0" w:line="220" w:lineRule="auto"/>
        <w:tabs>
          <w:tab w:leader="none" w:pos="1927" w:val="left"/>
        </w:tabs>
        <w:numPr>
          <w:ilvl w:val="5"/>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set forth herein to the contrary, if at any time before the Settlement Date or forfeiture of the PSUs, and while Grantee is continuously a Service Provider, a Change in Control occurs, then the PSUs will vest (except to the extent that a Replacement Award is provided to Grantee in accordance with Section II.A.6(f)(ii) to continue, replace or assume the PSUs covered by this Agreement (the “Replaced Award”)) as follows: the number of PSUs under this Award that shall become vested and non-forfeitable (the “Change in Control Payout Level”) shall equal the greater of (A) the Target number set forth in “Number of PSUs in Award” in Section I, and (B) the number of PSUs that would have been actually earned due to the achievement of the performance measures specified in Appendix A if the date of the Change in Control had been the last day of the Performance Period (as determined by the Committee as constituted immediately prior to the Change in Control), less the number of PSUs that had already become vested as of the date of such Change in Control, but in no event may negative discretion be exercised with respect to the number of PSUs vested. Any PSUs that are not earned and do not vest in accordance with the foregoing sentence shall terminate and be forfeited.</w:t>
      </w:r>
    </w:p>
    <w:p>
      <w:pPr>
        <w:spacing w:after="0" w:line="151" w:lineRule="exact"/>
        <w:rPr>
          <w:rFonts w:ascii="Times New Roman" w:cs="Times New Roman" w:eastAsia="Times New Roman" w:hAnsi="Times New Roman"/>
          <w:sz w:val="21"/>
          <w:szCs w:val="21"/>
          <w:color w:val="auto"/>
        </w:rPr>
      </w:pPr>
    </w:p>
    <w:p>
      <w:pPr>
        <w:jc w:val="both"/>
        <w:ind w:left="840" w:firstLine="652"/>
        <w:spacing w:after="0" w:line="222" w:lineRule="auto"/>
        <w:tabs>
          <w:tab w:leader="none" w:pos="1968" w:val="left"/>
        </w:tabs>
        <w:numPr>
          <w:ilvl w:val="5"/>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“Replacement Award” means an award: (A) consisting of an award of time-based restricted stock units that is not subject to performance conditions; (B) that has a value at least equal to the value of the Replaced Award, which shall be the value of the PSUs at the Change in Control Payout Level;</w:t>
      </w:r>
    </w:p>
    <w:p>
      <w:pPr>
        <w:spacing w:after="0" w:line="1" w:lineRule="exact"/>
        <w:rPr>
          <w:rFonts w:ascii="Times New Roman" w:cs="Times New Roman" w:eastAsia="Times New Roman" w:hAnsi="Times New Roman"/>
          <w:sz w:val="21"/>
          <w:szCs w:val="21"/>
          <w:color w:val="auto"/>
        </w:rPr>
      </w:pPr>
    </w:p>
    <w:p>
      <w:pPr>
        <w:ind w:left="840" w:firstLine="4"/>
        <w:spacing w:after="0" w:line="225" w:lineRule="auto"/>
        <w:tabs>
          <w:tab w:leader="none" w:pos="1201" w:val="left"/>
        </w:tabs>
        <w:numPr>
          <w:ilvl w:val="4"/>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relates to publicly traded equity securities of the Company or its successor in the Change in Control or another entity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780"/>
          </w:cols>
          <w:pgMar w:left="780" w:top="1395" w:right="339" w:bottom="1440" w:gutter="0" w:footer="0" w:header="0"/>
        </w:sectPr>
      </w:pPr>
    </w:p>
    <w:bookmarkStart w:id="41" w:name="page42"/>
    <w:bookmarkEnd w:id="41"/>
    <w:p>
      <w:pPr>
        <w:jc w:val="both"/>
        <w:ind w:left="1300"/>
        <w:spacing w:after="0" w:line="210" w:lineRule="auto"/>
        <w:rPr>
          <w:sz w:val="20"/>
          <w:szCs w:val="20"/>
          <w:color w:val="auto"/>
        </w:rPr>
      </w:pPr>
      <w:r>
        <w:rPr>
          <w:rFonts w:ascii="Times New Roman" w:cs="Times New Roman" w:eastAsia="Times New Roman" w:hAnsi="Times New Roman"/>
          <w:sz w:val="22"/>
          <w:szCs w:val="22"/>
          <w:color w:val="auto"/>
        </w:rPr>
        <w:t>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specifically taking into account the Change in Control Payout Level for any subsequent vesting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II.A.6(f)(ii) are satisfied will be made by the Committee, as constituted immediately before the Change in Control, in its sole discretion.</w:t>
      </w:r>
    </w:p>
    <w:p>
      <w:pPr>
        <w:spacing w:after="0" w:line="152" w:lineRule="exact"/>
        <w:rPr>
          <w:sz w:val="20"/>
          <w:szCs w:val="20"/>
          <w:color w:val="auto"/>
        </w:rPr>
      </w:pPr>
    </w:p>
    <w:p>
      <w:pPr>
        <w:jc w:val="both"/>
        <w:ind w:left="1300" w:firstLine="652"/>
        <w:spacing w:after="0" w:line="212" w:lineRule="auto"/>
        <w:tabs>
          <w:tab w:leader="none" w:pos="250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(A) Grantee experiences a Qualifying Termination with the Company or a Subsidiary (or any of their successors) (as applicable, the “Successor”) or (B) Grantee ceases to be a Service Provider as a result of Grantee’s Retirement or Disability, in each case within a period of two years after the Change in Control and prior to the Settlement Date, the Replacement Award shall become vested and non-forfeitable in full, specifically taking into account the Change in Control Payout Level for the Replaced Award, less the portion of the award that had already become vested as of the date of such termination or cessation of service. Any portion of the Replacement Award that does not vest in accordance with the foregoing sentence shall terminate and be forfeited.</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4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PSUs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5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146" w:lineRule="exact"/>
        <w:rPr>
          <w:sz w:val="20"/>
          <w:szCs w:val="20"/>
          <w:color w:val="auto"/>
        </w:rPr>
      </w:pPr>
    </w:p>
    <w:p>
      <w:pPr>
        <w:ind w:left="820" w:hanging="380"/>
        <w:spacing w:after="0"/>
        <w:tabs>
          <w:tab w:leader="none" w:pos="82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Determination of PSUs Earned and Vested; Settlement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60" w:firstLine="644"/>
        <w:spacing w:after="0" w:line="216" w:lineRule="auto"/>
        <w:tabs>
          <w:tab w:leader="none" w:pos="195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Subject to Section II.A.7(b), upon the Committee’s certification of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and Grantee’s satisfaction of the vesting 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March 11, 2025 (the “Settlement Date”).</w:t>
      </w:r>
    </w:p>
    <w:p>
      <w:pPr>
        <w:spacing w:after="0" w:line="145" w:lineRule="exact"/>
        <w:rPr>
          <w:rFonts w:ascii="Times New Roman" w:cs="Times New Roman" w:eastAsia="Times New Roman" w:hAnsi="Times New Roman"/>
          <w:sz w:val="22"/>
          <w:szCs w:val="22"/>
          <w:color w:val="auto"/>
        </w:rPr>
      </w:pPr>
    </w:p>
    <w:p>
      <w:pPr>
        <w:ind w:left="660" w:firstLine="644"/>
        <w:spacing w:after="0" w:line="238" w:lineRule="auto"/>
        <w:tabs>
          <w:tab w:leader="none" w:pos="195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Payment Events. </w:t>
      </w:r>
      <w:r>
        <w:rPr>
          <w:rFonts w:ascii="Times New Roman" w:cs="Times New Roman" w:eastAsia="Times New Roman" w:hAnsi="Times New Roman"/>
          <w:sz w:val="22"/>
          <w:szCs w:val="22"/>
          <w:color w:val="auto"/>
        </w:rPr>
        <w:t>Notwithstanding Section II.A.7(a), to the extent that the PSUs are vested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dates set forth below, payment with respect to the PSUs will be made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42" w:name="page43"/>
    <w:bookmarkEnd w:id="42"/>
    <w:p>
      <w:pPr>
        <w:jc w:val="both"/>
        <w:ind w:left="1280" w:firstLine="642"/>
        <w:spacing w:after="0" w:line="220" w:lineRule="auto"/>
        <w:tabs>
          <w:tab w:leader="none" w:pos="2340" w:val="left"/>
        </w:tabs>
        <w:numPr>
          <w:ilvl w:val="4"/>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PSUs are vested as a result of Section II.A.6 (and have not previously been settled) on the date of Grantee’s death, such vested PSUs will be settled by issuing to Grantee one share of Common Stock for each such vested PSU within 30 days of Grantee’s death, and Grantee’s name shall be entered as the shareholder of record on the books of the Company with respect to such shares; and</w:t>
      </w:r>
    </w:p>
    <w:p>
      <w:pPr>
        <w:spacing w:after="0" w:line="179" w:lineRule="exact"/>
        <w:rPr>
          <w:rFonts w:ascii="Times New Roman" w:cs="Times New Roman" w:eastAsia="Times New Roman" w:hAnsi="Times New Roman"/>
          <w:sz w:val="22"/>
          <w:szCs w:val="22"/>
          <w:color w:val="auto"/>
        </w:rPr>
      </w:pPr>
    </w:p>
    <w:p>
      <w:pPr>
        <w:jc w:val="both"/>
        <w:ind w:left="1280" w:firstLine="642"/>
        <w:spacing w:after="0" w:line="212" w:lineRule="auto"/>
        <w:tabs>
          <w:tab w:leader="none" w:pos="2437" w:val="left"/>
        </w:tabs>
        <w:numPr>
          <w:ilvl w:val="4"/>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PSUs are vested as a result of Section II.A.6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this Agreement had such Change in Control not occurred; and</w:t>
      </w:r>
    </w:p>
    <w:p>
      <w:pPr>
        <w:spacing w:after="0" w:line="156" w:lineRule="exact"/>
        <w:rPr>
          <w:rFonts w:ascii="Times New Roman" w:cs="Times New Roman" w:eastAsia="Times New Roman" w:hAnsi="Times New Roman"/>
          <w:sz w:val="22"/>
          <w:szCs w:val="22"/>
          <w:color w:val="auto"/>
        </w:rPr>
      </w:pPr>
    </w:p>
    <w:p>
      <w:pPr>
        <w:jc w:val="both"/>
        <w:ind w:left="1280" w:firstLine="642"/>
        <w:spacing w:after="0" w:line="226" w:lineRule="auto"/>
        <w:tabs>
          <w:tab w:leader="none" w:pos="2545" w:val="left"/>
        </w:tabs>
        <w:numPr>
          <w:ilvl w:val="4"/>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PSUs are vested (and have not previously been settled) on the date of Grantee’s “separation from service” with the Company and its Subsidiaries (determined in accordance with Section 409A(a)</w:t>
      </w:r>
    </w:p>
    <w:p>
      <w:pPr>
        <w:spacing w:after="0" w:line="1" w:lineRule="exact"/>
        <w:rPr>
          <w:rFonts w:ascii="Times New Roman" w:cs="Times New Roman" w:eastAsia="Times New Roman" w:hAnsi="Times New Roman"/>
          <w:sz w:val="21"/>
          <w:szCs w:val="21"/>
          <w:color w:val="auto"/>
        </w:rPr>
      </w:pPr>
    </w:p>
    <w:p>
      <w:pPr>
        <w:jc w:val="both"/>
        <w:ind w:left="1280"/>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(2)(A)(i) of the Code) within two years following the occurrence of a Change in Control that constitutes a “change in control” for purposes of Section 409A(a)(2)(A)(v) of the Code, such vested PSUs will be settled by issuing to Grantee one share of Common Stock for each such vested PSU within 30 days of the date of such separation from service.</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3" w:val="left"/>
        </w:tabs>
        <w:numPr>
          <w:ilvl w:val="3"/>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148" w:lineRule="exact"/>
        <w:rPr>
          <w:rFonts w:ascii="Times New Roman" w:cs="Times New Roman" w:eastAsia="Times New Roman" w:hAnsi="Times New Roman"/>
          <w:sz w:val="22"/>
          <w:szCs w:val="22"/>
          <w:color w:val="auto"/>
        </w:rPr>
      </w:pPr>
    </w:p>
    <w:p>
      <w:pPr>
        <w:ind w:left="640" w:hanging="416"/>
        <w:spacing w:after="0"/>
        <w:tabs>
          <w:tab w:leader="none" w:pos="6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firstLine="467"/>
        <w:spacing w:after="0" w:line="227" w:lineRule="auto"/>
        <w:tabs>
          <w:tab w:leader="none" w:pos="850" w:val="left"/>
        </w:tabs>
        <w:numPr>
          <w:ilvl w:val="1"/>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this Award and the PSUs subject to this Award may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46" w:lineRule="exact"/>
        <w:rPr>
          <w:rFonts w:ascii="Times New Roman" w:cs="Times New Roman" w:eastAsia="Times New Roman" w:hAnsi="Times New Roman"/>
          <w:sz w:val="22"/>
          <w:szCs w:val="22"/>
          <w:b w:val="1"/>
          <w:bCs w:val="1"/>
          <w:color w:val="auto"/>
        </w:rPr>
      </w:pPr>
    </w:p>
    <w:p>
      <w:pPr>
        <w:jc w:val="both"/>
        <w:ind w:firstLine="593"/>
        <w:spacing w:after="0" w:line="211" w:lineRule="auto"/>
        <w:tabs>
          <w:tab w:leader="none" w:pos="1039" w:val="left"/>
        </w:tabs>
        <w:numPr>
          <w:ilvl w:val="2"/>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43" w:name="page44"/>
    <w:bookmarkEnd w:id="43"/>
    <w:p>
      <w:pPr>
        <w:jc w:val="both"/>
        <w:spacing w:after="0" w:line="210" w:lineRule="auto"/>
        <w:rPr>
          <w:sz w:val="20"/>
          <w:szCs w:val="20"/>
          <w:color w:val="auto"/>
        </w:rPr>
      </w:pPr>
      <w:r>
        <w:rPr>
          <w:rFonts w:ascii="Times New Roman" w:cs="Times New Roman" w:eastAsia="Times New Roman" w:hAnsi="Times New Roman"/>
          <w:sz w:val="22"/>
          <w:szCs w:val="22"/>
          <w:color w:val="auto"/>
        </w:rPr>
        <w:t>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w:t>
      </w:r>
    </w:p>
    <w:p>
      <w:pPr>
        <w:spacing w:after="0" w:line="3"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determined by the Committee after the date hereof, the minimum amount required to be withheld.</w:t>
      </w:r>
    </w:p>
    <w:p>
      <w:pPr>
        <w:spacing w:after="0" w:line="151"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40" w:firstLine="644"/>
        <w:spacing w:after="0" w:line="212" w:lineRule="auto"/>
        <w:tabs>
          <w:tab w:leader="none" w:pos="1936"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48" w:lineRule="exact"/>
        <w:rPr>
          <w:rFonts w:ascii="Times New Roman" w:cs="Times New Roman" w:eastAsia="Times New Roman" w:hAnsi="Times New Roman"/>
          <w:sz w:val="22"/>
          <w:szCs w:val="22"/>
          <w:color w:val="auto"/>
        </w:rPr>
      </w:pPr>
    </w:p>
    <w:p>
      <w:pPr>
        <w:jc w:val="both"/>
        <w:ind w:left="640" w:firstLine="644"/>
        <w:spacing w:after="0" w:line="207" w:lineRule="auto"/>
        <w:tabs>
          <w:tab w:leader="none" w:pos="1935"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PSUs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prohibits or is intended to restrict or impede Grantee from discussing the terms and conditions of their employment with coworkers or union representatives or exercising protected rights under Section 7 of the National Labor Relations Act, or prevents Grantee from providing, without prior notice to the Company, information to governmental authorities regarding possible legal violations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44" w:name="page45"/>
    <w:bookmarkEnd w:id="44"/>
    <w:p>
      <w:pPr>
        <w:jc w:val="both"/>
        <w:spacing w:after="0" w:line="225" w:lineRule="auto"/>
        <w:rPr>
          <w:sz w:val="20"/>
          <w:szCs w:val="20"/>
          <w:color w:val="auto"/>
        </w:rPr>
      </w:pPr>
      <w:r>
        <w:rPr>
          <w:rFonts w:ascii="Times New Roman" w:cs="Times New Roman" w:eastAsia="Times New Roman" w:hAnsi="Times New Roman"/>
          <w:sz w:val="22"/>
          <w:szCs w:val="22"/>
          <w:color w:val="auto"/>
        </w:rPr>
        <w:t>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48" w:lineRule="exact"/>
        <w:rPr>
          <w:sz w:val="20"/>
          <w:szCs w:val="20"/>
          <w:color w:val="auto"/>
        </w:rPr>
      </w:pPr>
    </w:p>
    <w:p>
      <w:pPr>
        <w:ind w:left="680" w:hanging="448"/>
        <w:spacing w:after="0"/>
        <w:tabs>
          <w:tab w:leader="none" w:pos="6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60" w:hanging="208"/>
        <w:spacing w:after="0" w:line="211" w:lineRule="auto"/>
        <w:tabs>
          <w:tab w:leader="none" w:pos="86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51" w:lineRule="exact"/>
        <w:rPr>
          <w:rFonts w:ascii="Times New Roman" w:cs="Times New Roman" w:eastAsia="Times New Roman" w:hAnsi="Times New Roman"/>
          <w:sz w:val="22"/>
          <w:szCs w:val="22"/>
          <w:color w:val="auto"/>
        </w:rPr>
      </w:pPr>
    </w:p>
    <w:p>
      <w:pPr>
        <w:jc w:val="both"/>
        <w:ind w:left="660" w:firstLine="337"/>
        <w:spacing w:after="0" w:line="213" w:lineRule="auto"/>
        <w:tabs>
          <w:tab w:leader="none" w:pos="1591" w:val="left"/>
        </w:tabs>
        <w:numPr>
          <w:ilvl w:val="4"/>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56" w:lineRule="exact"/>
        <w:rPr>
          <w:rFonts w:ascii="Times New Roman" w:cs="Times New Roman" w:eastAsia="Times New Roman" w:hAnsi="Times New Roman"/>
          <w:sz w:val="22"/>
          <w:szCs w:val="22"/>
          <w:color w:val="auto"/>
        </w:rPr>
      </w:pPr>
    </w:p>
    <w:p>
      <w:pPr>
        <w:jc w:val="both"/>
        <w:ind w:left="660" w:hanging="112"/>
        <w:spacing w:after="0" w:line="212" w:lineRule="auto"/>
        <w:tabs>
          <w:tab w:leader="none" w:pos="1134"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52" w:lineRule="exact"/>
        <w:rPr>
          <w:rFonts w:ascii="Times New Roman" w:cs="Times New Roman" w:eastAsia="Times New Roman" w:hAnsi="Times New Roman"/>
          <w:sz w:val="22"/>
          <w:szCs w:val="22"/>
          <w:color w:val="auto"/>
        </w:rPr>
      </w:pPr>
    </w:p>
    <w:p>
      <w:pPr>
        <w:jc w:val="both"/>
        <w:ind w:left="640" w:firstLine="4"/>
        <w:spacing w:after="0" w:line="221" w:lineRule="auto"/>
        <w:tabs>
          <w:tab w:leader="none" w:pos="1189" w:val="left"/>
        </w:tabs>
        <w:numPr>
          <w:ilvl w:val="3"/>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48" w:lineRule="exact"/>
        <w:rPr>
          <w:rFonts w:ascii="Times New Roman" w:cs="Times New Roman" w:eastAsia="Times New Roman" w:hAnsi="Times New Roman"/>
          <w:sz w:val="22"/>
          <w:szCs w:val="22"/>
          <w:color w:val="auto"/>
        </w:rPr>
      </w:pPr>
    </w:p>
    <w:p>
      <w:pPr>
        <w:ind w:left="1100" w:hanging="456"/>
        <w:spacing w:after="0"/>
        <w:tabs>
          <w:tab w:leader="none" w:pos="1100" w:val="left"/>
        </w:tabs>
        <w:numPr>
          <w:ilvl w:val="3"/>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600"/>
          </w:cols>
          <w:pgMar w:left="960" w:top="1395" w:right="339" w:bottom="1440" w:gutter="0" w:footer="0" w:header="0"/>
        </w:sectPr>
      </w:pPr>
    </w:p>
    <w:bookmarkStart w:id="45" w:name="page46"/>
    <w:bookmarkEnd w:id="45"/>
    <w:p>
      <w:pPr>
        <w:jc w:val="both"/>
        <w:ind w:left="180" w:firstLine="622"/>
        <w:spacing w:after="0" w:line="214" w:lineRule="auto"/>
        <w:tabs>
          <w:tab w:leader="none" w:pos="128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rFonts w:ascii="Times New Roman" w:cs="Times New Roman" w:eastAsia="Times New Roman" w:hAnsi="Times New Roman"/>
          <w:sz w:val="22"/>
          <w:szCs w:val="22"/>
          <w:color w:val="auto"/>
        </w:rPr>
      </w:pPr>
    </w:p>
    <w:p>
      <w:pPr>
        <w:jc w:val="both"/>
        <w:ind w:left="180" w:firstLine="622"/>
        <w:spacing w:after="0" w:line="227" w:lineRule="auto"/>
        <w:tabs>
          <w:tab w:leader="none" w:pos="138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46" w:lineRule="exact"/>
        <w:rPr>
          <w:rFonts w:ascii="Times New Roman" w:cs="Times New Roman" w:eastAsia="Times New Roman" w:hAnsi="Times New Roman"/>
          <w:sz w:val="22"/>
          <w:szCs w:val="22"/>
          <w:color w:val="auto"/>
        </w:rPr>
      </w:pPr>
    </w:p>
    <w:p>
      <w:pPr>
        <w:jc w:val="both"/>
        <w:ind w:left="180" w:firstLine="622"/>
        <w:spacing w:after="0" w:line="210" w:lineRule="auto"/>
        <w:tabs>
          <w:tab w:leader="none" w:pos="1527"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46" w:lineRule="exact"/>
        <w:rPr>
          <w:rFonts w:ascii="Times New Roman" w:cs="Times New Roman" w:eastAsia="Times New Roman" w:hAnsi="Times New Roman"/>
          <w:sz w:val="22"/>
          <w:szCs w:val="22"/>
          <w:color w:val="auto"/>
        </w:rPr>
      </w:pPr>
    </w:p>
    <w:p>
      <w:pPr>
        <w:jc w:val="both"/>
        <w:ind w:left="-480" w:firstLine="644"/>
        <w:spacing w:after="0" w:line="221" w:lineRule="auto"/>
        <w:tabs>
          <w:tab w:leader="none" w:pos="60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48" w:lineRule="exact"/>
        <w:rPr>
          <w:rFonts w:ascii="Times New Roman" w:cs="Times New Roman" w:eastAsia="Times New Roman" w:hAnsi="Times New Roman"/>
          <w:sz w:val="22"/>
          <w:szCs w:val="22"/>
          <w:color w:val="auto"/>
        </w:rPr>
      </w:pPr>
    </w:p>
    <w:p>
      <w:pPr>
        <w:jc w:val="both"/>
        <w:ind w:left="-480" w:firstLine="644"/>
        <w:spacing w:after="0" w:line="210" w:lineRule="auto"/>
        <w:tabs>
          <w:tab w:leader="none" w:pos="6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120"/>
          </w:cols>
          <w:pgMar w:left="1440" w:top="1391" w:right="339" w:bottom="1440" w:gutter="0" w:footer="0" w:header="0"/>
        </w:sectPr>
      </w:pPr>
    </w:p>
    <w:bookmarkStart w:id="46" w:name="page47"/>
    <w:bookmarkEnd w:id="46"/>
    <w:p>
      <w:pPr>
        <w:jc w:val="both"/>
        <w:ind w:left="640"/>
        <w:spacing w:after="0" w:line="225" w:lineRule="auto"/>
        <w:rPr>
          <w:sz w:val="20"/>
          <w:szCs w:val="20"/>
          <w:color w:val="auto"/>
        </w:rPr>
      </w:pPr>
      <w:r>
        <w:rPr>
          <w:rFonts w:ascii="Times New Roman" w:cs="Times New Roman" w:eastAsia="Times New Roman" w:hAnsi="Times New Roman"/>
          <w:sz w:val="22"/>
          <w:szCs w:val="22"/>
          <w:color w:val="auto"/>
        </w:rPr>
        <w:t>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48" w:lineRule="exact"/>
        <w:rPr>
          <w:sz w:val="20"/>
          <w:szCs w:val="20"/>
          <w:color w:val="auto"/>
        </w:rPr>
      </w:pPr>
    </w:p>
    <w:p>
      <w:pPr>
        <w:ind w:left="640" w:firstLine="644"/>
        <w:spacing w:after="0" w:line="238" w:lineRule="auto"/>
        <w:tabs>
          <w:tab w:leader="none" w:pos="1908" w:val="left"/>
        </w:tabs>
        <w:numPr>
          <w:ilvl w:val="5"/>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6" w:lineRule="exact"/>
        <w:rPr>
          <w:rFonts w:ascii="Times New Roman" w:cs="Times New Roman" w:eastAsia="Times New Roman" w:hAnsi="Times New Roman"/>
          <w:sz w:val="22"/>
          <w:szCs w:val="22"/>
          <w:color w:val="auto"/>
        </w:rPr>
      </w:pPr>
    </w:p>
    <w:p>
      <w:pPr>
        <w:jc w:val="both"/>
        <w:ind w:firstLine="485"/>
        <w:spacing w:after="0" w:line="216" w:lineRule="auto"/>
        <w:tabs>
          <w:tab w:leader="none" w:pos="877"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45" w:lineRule="exact"/>
        <w:rPr>
          <w:rFonts w:ascii="Times New Roman" w:cs="Times New Roman" w:eastAsia="Times New Roman" w:hAnsi="Times New Roman"/>
          <w:sz w:val="22"/>
          <w:szCs w:val="22"/>
          <w:b w:val="1"/>
          <w:bCs w:val="1"/>
          <w:color w:val="auto"/>
        </w:rPr>
      </w:pPr>
    </w:p>
    <w:p>
      <w:pPr>
        <w:jc w:val="both"/>
        <w:ind w:firstLine="521"/>
        <w:spacing w:after="0" w:line="218" w:lineRule="auto"/>
        <w:tabs>
          <w:tab w:leader="none" w:pos="931" w:val="left"/>
        </w:tabs>
        <w:numPr>
          <w:ilvl w:val="2"/>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color w:val="auto"/>
        </w:rPr>
        <w:t>. 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47" w:lineRule="exact"/>
        <w:rPr>
          <w:rFonts w:ascii="Times New Roman" w:cs="Times New Roman" w:eastAsia="Times New Roman" w:hAnsi="Times New Roman"/>
          <w:sz w:val="22"/>
          <w:szCs w:val="22"/>
          <w:b w:val="1"/>
          <w:bCs w:val="1"/>
          <w:color w:val="auto"/>
        </w:rPr>
      </w:pPr>
    </w:p>
    <w:p>
      <w:pPr>
        <w:jc w:val="both"/>
        <w:ind w:firstLine="449"/>
        <w:spacing w:after="0" w:line="221" w:lineRule="auto"/>
        <w:tabs>
          <w:tab w:leader="none" w:pos="823"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color w:val="auto"/>
        </w:rPr>
        <w:t>. In no event will the value, at any time, of the PSUs or any other payment or right to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48" w:lineRule="exact"/>
        <w:rPr>
          <w:rFonts w:ascii="Times New Roman" w:cs="Times New Roman" w:eastAsia="Times New Roman" w:hAnsi="Times New Roman"/>
          <w:sz w:val="22"/>
          <w:szCs w:val="22"/>
          <w:b w:val="1"/>
          <w:bCs w:val="1"/>
          <w:color w:val="auto"/>
        </w:rPr>
      </w:pPr>
    </w:p>
    <w:p>
      <w:pPr>
        <w:jc w:val="both"/>
        <w:ind w:firstLine="566"/>
        <w:spacing w:after="0" w:line="227" w:lineRule="auto"/>
        <w:tabs>
          <w:tab w:leader="none" w:pos="999" w:val="left"/>
        </w:tabs>
        <w:numPr>
          <w:ilvl w:val="3"/>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46" w:lineRule="exact"/>
        <w:rPr>
          <w:rFonts w:ascii="Times New Roman" w:cs="Times New Roman" w:eastAsia="Times New Roman" w:hAnsi="Times New Roman"/>
          <w:sz w:val="22"/>
          <w:szCs w:val="22"/>
          <w:b w:val="1"/>
          <w:bCs w:val="1"/>
          <w:color w:val="auto"/>
        </w:rPr>
      </w:pPr>
    </w:p>
    <w:p>
      <w:pPr>
        <w:jc w:val="both"/>
        <w:ind w:firstLine="530"/>
        <w:spacing w:after="0" w:line="227" w:lineRule="auto"/>
        <w:tabs>
          <w:tab w:leader="none" w:pos="945" w:val="left"/>
        </w:tabs>
        <w:numPr>
          <w:ilvl w:val="2"/>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PSUs and rights under this Agreement has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other than those of a general creditor of the Company. The PSUs represent an unfunded and unsecured obligation of the Company, subject to the terms and conditions of this Agreement and the Plan.</w:t>
      </w:r>
    </w:p>
    <w:p>
      <w:pPr>
        <w:spacing w:after="0" w:line="146" w:lineRule="exact"/>
        <w:rPr>
          <w:rFonts w:ascii="Times New Roman" w:cs="Times New Roman" w:eastAsia="Times New Roman" w:hAnsi="Times New Roman"/>
          <w:sz w:val="22"/>
          <w:szCs w:val="22"/>
          <w:b w:val="1"/>
          <w:bCs w:val="1"/>
          <w:color w:val="auto"/>
        </w:rPr>
      </w:pPr>
    </w:p>
    <w:p>
      <w:pPr>
        <w:jc w:val="both"/>
        <w:ind w:firstLine="746"/>
        <w:spacing w:after="0" w:line="221" w:lineRule="auto"/>
        <w:tabs>
          <w:tab w:leader="none" w:pos="1269" w:val="left"/>
        </w:tabs>
        <w:numPr>
          <w:ilvl w:val="4"/>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48" w:lineRule="exact"/>
        <w:rPr>
          <w:sz w:val="20"/>
          <w:szCs w:val="20"/>
          <w:color w:val="auto"/>
        </w:rPr>
      </w:pPr>
    </w:p>
    <w:p>
      <w:pPr>
        <w:jc w:val="both"/>
        <w:ind w:firstLine="656"/>
        <w:spacing w:after="0" w:line="218" w:lineRule="auto"/>
        <w:tabs>
          <w:tab w:leader="none" w:pos="1242"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PSUs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47" w:name="page48"/>
    <w:bookmarkEnd w:id="47"/>
    <w:p>
      <w:pPr>
        <w:ind w:left="480" w:hanging="480"/>
        <w:spacing w:after="0"/>
        <w:tabs>
          <w:tab w:leader="none" w:pos="4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183" w:lineRule="exact"/>
        <w:rPr>
          <w:rFonts w:ascii="Times New Roman" w:cs="Times New Roman" w:eastAsia="Times New Roman" w:hAnsi="Times New Roman"/>
          <w:sz w:val="22"/>
          <w:szCs w:val="22"/>
          <w:b w:val="1"/>
          <w:bCs w:val="1"/>
          <w:color w:val="auto"/>
        </w:rPr>
      </w:pPr>
    </w:p>
    <w:p>
      <w:pPr>
        <w:ind w:left="220" w:right="20" w:firstLine="227"/>
        <w:spacing w:after="0" w:line="255" w:lineRule="auto"/>
        <w:tabs>
          <w:tab w:leader="none" w:pos="921" w:val="left"/>
        </w:tabs>
        <w:numPr>
          <w:ilvl w:val="2"/>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4" w:lineRule="exact"/>
        <w:rPr>
          <w:rFonts w:ascii="Times New Roman" w:cs="Times New Roman" w:eastAsia="Times New Roman" w:hAnsi="Times New Roman"/>
          <w:sz w:val="21"/>
          <w:szCs w:val="21"/>
          <w:color w:val="auto"/>
        </w:rPr>
      </w:pPr>
    </w:p>
    <w:p>
      <w:pPr>
        <w:ind w:left="220" w:firstLine="258"/>
        <w:spacing w:after="0" w:line="236" w:lineRule="auto"/>
        <w:tabs>
          <w:tab w:leader="none" w:pos="996" w:val="left"/>
        </w:tabs>
        <w:numPr>
          <w:ilvl w:val="3"/>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150" w:lineRule="exact"/>
        <w:rPr>
          <w:rFonts w:ascii="Times New Roman" w:cs="Times New Roman" w:eastAsia="Times New Roman" w:hAnsi="Times New Roman"/>
          <w:sz w:val="22"/>
          <w:szCs w:val="22"/>
          <w:color w:val="auto"/>
        </w:rPr>
      </w:pPr>
    </w:p>
    <w:p>
      <w:pPr>
        <w:ind w:left="880" w:hanging="448"/>
        <w:spacing w:after="0"/>
        <w:tabs>
          <w:tab w:leader="none" w:pos="88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if any, will be at the sole discretion of the Committee;</w:t>
      </w:r>
    </w:p>
    <w:p>
      <w:pPr>
        <w:spacing w:after="0" w:line="179" w:lineRule="exact"/>
        <w:rPr>
          <w:rFonts w:ascii="Times New Roman" w:cs="Times New Roman" w:eastAsia="Times New Roman" w:hAnsi="Times New Roman"/>
          <w:sz w:val="22"/>
          <w:szCs w:val="22"/>
          <w:color w:val="auto"/>
        </w:rPr>
      </w:pPr>
    </w:p>
    <w:p>
      <w:pPr>
        <w:ind w:left="900" w:hanging="468"/>
        <w:spacing w:after="0"/>
        <w:tabs>
          <w:tab w:leader="none" w:pos="9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179" w:lineRule="exact"/>
        <w:rPr>
          <w:rFonts w:ascii="Times New Roman" w:cs="Times New Roman" w:eastAsia="Times New Roman" w:hAnsi="Times New Roman"/>
          <w:sz w:val="22"/>
          <w:szCs w:val="22"/>
          <w:color w:val="auto"/>
        </w:rPr>
      </w:pPr>
    </w:p>
    <w:p>
      <w:pPr>
        <w:jc w:val="both"/>
        <w:ind w:left="220" w:firstLine="372"/>
        <w:spacing w:after="0" w:line="225" w:lineRule="auto"/>
        <w:tabs>
          <w:tab w:leader="none" w:pos="1211" w:val="left"/>
        </w:tabs>
        <w:numPr>
          <w:ilvl w:val="5"/>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52" w:lineRule="exact"/>
        <w:rPr>
          <w:rFonts w:ascii="Times New Roman" w:cs="Times New Roman" w:eastAsia="Times New Roman" w:hAnsi="Times New Roman"/>
          <w:sz w:val="22"/>
          <w:szCs w:val="22"/>
          <w:color w:val="auto"/>
        </w:rPr>
      </w:pPr>
    </w:p>
    <w:p>
      <w:pPr>
        <w:ind w:left="220" w:firstLine="380"/>
        <w:spacing w:after="0" w:line="236" w:lineRule="auto"/>
        <w:tabs>
          <w:tab w:leader="none" w:pos="1204" w:val="left"/>
        </w:tabs>
        <w:numPr>
          <w:ilvl w:val="5"/>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not intended to replace any pension rights or compensation;</w:t>
      </w:r>
    </w:p>
    <w:p>
      <w:pPr>
        <w:spacing w:after="0" w:line="150" w:lineRule="exact"/>
        <w:rPr>
          <w:rFonts w:ascii="Times New Roman" w:cs="Times New Roman" w:eastAsia="Times New Roman" w:hAnsi="Times New Roman"/>
          <w:sz w:val="22"/>
          <w:szCs w:val="22"/>
          <w:color w:val="auto"/>
        </w:rPr>
      </w:pPr>
    </w:p>
    <w:p>
      <w:pPr>
        <w:ind w:left="900" w:hanging="468"/>
        <w:spacing w:after="0"/>
        <w:tabs>
          <w:tab w:leader="none" w:pos="90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179" w:lineRule="exact"/>
        <w:rPr>
          <w:rFonts w:ascii="Times New Roman" w:cs="Times New Roman" w:eastAsia="Times New Roman" w:hAnsi="Times New Roman"/>
          <w:sz w:val="22"/>
          <w:szCs w:val="22"/>
          <w:color w:val="auto"/>
        </w:rPr>
      </w:pPr>
    </w:p>
    <w:p>
      <w:pPr>
        <w:jc w:val="both"/>
        <w:ind w:left="220" w:firstLine="305"/>
        <w:spacing w:after="0" w:line="225" w:lineRule="auto"/>
        <w:tabs>
          <w:tab w:leader="none" w:pos="1090" w:val="left"/>
        </w:tabs>
        <w:numPr>
          <w:ilvl w:val="4"/>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53" w:lineRule="exact"/>
        <w:rPr>
          <w:sz w:val="20"/>
          <w:szCs w:val="20"/>
          <w:color w:val="auto"/>
        </w:rPr>
      </w:pPr>
    </w:p>
    <w:p>
      <w:pPr>
        <w:jc w:val="both"/>
        <w:ind w:left="220" w:firstLine="272"/>
        <w:spacing w:after="0" w:line="215" w:lineRule="auto"/>
        <w:tabs>
          <w:tab w:leader="none" w:pos="976"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52" w:lineRule="exact"/>
        <w:rPr>
          <w:rFonts w:ascii="Times New Roman" w:cs="Times New Roman" w:eastAsia="Times New Roman" w:hAnsi="Times New Roman"/>
          <w:sz w:val="22"/>
          <w:szCs w:val="22"/>
          <w:color w:val="auto"/>
        </w:rPr>
      </w:pPr>
    </w:p>
    <w:p>
      <w:pPr>
        <w:jc w:val="both"/>
        <w:ind w:left="220" w:firstLine="225"/>
        <w:spacing w:after="0" w:line="217" w:lineRule="auto"/>
        <w:tabs>
          <w:tab w:leader="none" w:pos="88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48" w:lineRule="exact"/>
        <w:rPr>
          <w:rFonts w:ascii="Times New Roman" w:cs="Times New Roman" w:eastAsia="Times New Roman" w:hAnsi="Times New Roman"/>
          <w:sz w:val="22"/>
          <w:szCs w:val="22"/>
          <w:color w:val="auto"/>
        </w:rPr>
      </w:pPr>
    </w:p>
    <w:p>
      <w:pPr>
        <w:ind w:left="560" w:hanging="479"/>
        <w:spacing w:after="0"/>
        <w:tabs>
          <w:tab w:leader="none" w:pos="56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220" w:firstLine="644"/>
        <w:spacing w:after="0" w:line="227" w:lineRule="auto"/>
        <w:tabs>
          <w:tab w:leader="none" w:pos="1337" w:val="left"/>
        </w:tabs>
        <w:numPr>
          <w:ilvl w:val="3"/>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PSUs shall also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special terms and conditions set forth in the Non-U.S. Addendum attached as Appendix C to this Agreement for Grantees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800"/>
          </w:cols>
          <w:pgMar w:left="760" w:top="1391" w:right="339" w:bottom="1440" w:gutter="0" w:footer="0" w:header="0"/>
        </w:sectPr>
      </w:pPr>
    </w:p>
    <w:bookmarkStart w:id="48" w:name="page49"/>
    <w:bookmarkEnd w:id="48"/>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reside in any country covered therein.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48" w:lineRule="exact"/>
        <w:rPr>
          <w:sz w:val="20"/>
          <w:szCs w:val="20"/>
          <w:color w:val="auto"/>
        </w:rPr>
      </w:pPr>
    </w:p>
    <w:p>
      <w:pPr>
        <w:jc w:val="both"/>
        <w:ind w:left="660" w:firstLine="644"/>
        <w:spacing w:after="0" w:line="218" w:lineRule="auto"/>
        <w:tabs>
          <w:tab w:leader="none" w:pos="1816" w:val="left"/>
        </w:tabs>
        <w:numPr>
          <w:ilvl w:val="5"/>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PSUs shall also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special terms and conditions set forth in the California Addendum attached as Appendix D to this Agreement if Grantee is employed and/or resides in California or if the Company determines that the application of such terms and conditions is necessary or advisable in order to comply with applicable law. The California Addendum attached hereto as Appendix D constitutes part of this Agreement.</w:t>
      </w:r>
    </w:p>
    <w:p>
      <w:pPr>
        <w:spacing w:after="0" w:line="147" w:lineRule="exact"/>
        <w:rPr>
          <w:rFonts w:ascii="Times New Roman" w:cs="Times New Roman" w:eastAsia="Times New Roman" w:hAnsi="Times New Roman"/>
          <w:sz w:val="22"/>
          <w:szCs w:val="22"/>
          <w:color w:val="auto"/>
        </w:rPr>
      </w:pPr>
    </w:p>
    <w:p>
      <w:pPr>
        <w:jc w:val="both"/>
        <w:ind w:firstLine="494"/>
        <w:spacing w:after="0" w:line="218" w:lineRule="auto"/>
        <w:tabs>
          <w:tab w:leader="none" w:pos="999" w:val="left"/>
        </w:tabs>
        <w:numPr>
          <w:ilvl w:val="2"/>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47" w:lineRule="exact"/>
        <w:rPr>
          <w:rFonts w:ascii="Times New Roman" w:cs="Times New Roman" w:eastAsia="Times New Roman" w:hAnsi="Times New Roman"/>
          <w:sz w:val="22"/>
          <w:szCs w:val="22"/>
          <w:b w:val="1"/>
          <w:bCs w:val="1"/>
          <w:color w:val="auto"/>
        </w:rPr>
      </w:pPr>
    </w:p>
    <w:p>
      <w:pPr>
        <w:jc w:val="both"/>
        <w:ind w:firstLine="467"/>
        <w:spacing w:after="0" w:line="221" w:lineRule="auto"/>
        <w:tabs>
          <w:tab w:leader="none" w:pos="958"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48" w:lineRule="exact"/>
        <w:rPr>
          <w:rFonts w:ascii="Times New Roman" w:cs="Times New Roman" w:eastAsia="Times New Roman" w:hAnsi="Times New Roman"/>
          <w:sz w:val="22"/>
          <w:szCs w:val="22"/>
          <w:b w:val="1"/>
          <w:bCs w:val="1"/>
          <w:color w:val="auto"/>
        </w:rPr>
      </w:pPr>
    </w:p>
    <w:p>
      <w:pPr>
        <w:jc w:val="both"/>
        <w:ind w:firstLine="449"/>
        <w:spacing w:after="0" w:line="217" w:lineRule="auto"/>
        <w:tabs>
          <w:tab w:leader="none" w:pos="931"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 FULLEST EXTENT PERMITTED BY LAW, EACH PARTY WAIVES ANY</w:t>
      </w:r>
    </w:p>
    <w:p>
      <w:pPr>
        <w:spacing w:after="0" w:line="6" w:lineRule="exact"/>
        <w:rPr>
          <w:rFonts w:ascii="Times New Roman" w:cs="Times New Roman" w:eastAsia="Times New Roman" w:hAnsi="Times New Roman"/>
          <w:sz w:val="21"/>
          <w:szCs w:val="21"/>
          <w:b w:val="1"/>
          <w:bCs w:val="1"/>
          <w:color w:val="auto"/>
        </w:rPr>
      </w:pPr>
    </w:p>
    <w:p>
      <w:pPr>
        <w:spacing w:after="0" w:line="22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RIGHT TO TRIAL BY JURY WITH RESPECT TO ANY PROCEEDING ARISING OUT OF OR RELATING TO THIS AGREEMENT.</w:t>
      </w:r>
    </w:p>
    <w:p>
      <w:pPr>
        <w:spacing w:after="0" w:line="145"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640" w:firstLine="644"/>
        <w:spacing w:after="0" w:line="222" w:lineRule="auto"/>
        <w:tabs>
          <w:tab w:leader="none" w:pos="1936" w:val="left"/>
        </w:tabs>
        <w:numPr>
          <w:ilvl w:val="4"/>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shares of Common Stock issued to Grantee in settlement of the PSUs (plus dividend equivalent payments) shall be subject to the terms of this Agreement and the Company’s recoupment policy, if any, as in effect from time to time. Further, notwithstanding anything in this Agreement to the contrary, Grantee acknowledges and agrees that</w:t>
      </w:r>
    </w:p>
    <w:p>
      <w:pPr>
        <w:spacing w:after="0" w:line="1" w:lineRule="exact"/>
        <w:rPr>
          <w:rFonts w:ascii="Times New Roman" w:cs="Times New Roman" w:eastAsia="Times New Roman" w:hAnsi="Times New Roman"/>
          <w:sz w:val="21"/>
          <w:szCs w:val="21"/>
          <w:color w:val="auto"/>
        </w:rPr>
      </w:pPr>
    </w:p>
    <w:p>
      <w:pPr>
        <w:jc w:val="both"/>
        <w:ind w:left="640" w:firstLine="6"/>
        <w:spacing w:after="0" w:line="214" w:lineRule="auto"/>
        <w:tabs>
          <w:tab w:leader="none" w:pos="936" w:val="left"/>
        </w:tabs>
        <w:numPr>
          <w:ilvl w:val="3"/>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this Award described herein (and any settlement thereof) are subject to the terms and conditions of such policy, or any other form of Company recoupment (or similar) policy (if any) as may be in effect from time to time including specifically to implement Section 10D of the Exchange Act and any applicable rules or regulations promulgated thereunder (including applicable rules and regulations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1"/>
          <w:szCs w:val="21"/>
          <w:color w:val="auto"/>
        </w:rPr>
        <w:t>any national securities exchange on which the Common Stock may be traded) (the “Compensation Recovery Policy”), and</w:t>
      </w:r>
    </w:p>
    <w:p>
      <w:pPr>
        <w:ind w:firstLine="6"/>
        <w:spacing w:after="0" w:line="225" w:lineRule="auto"/>
        <w:tabs>
          <w:tab w:leader="none" w:pos="31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provisions of this Agreement shall be deemed superseded by and subject to the terms and conditions of the Compensation Recovery Policy from and after the effective date thereof.</w:t>
      </w:r>
    </w:p>
    <w:p>
      <w:pPr>
        <w:spacing w:after="0" w:line="149" w:lineRule="exact"/>
        <w:rPr>
          <w:rFonts w:ascii="Times New Roman" w:cs="Times New Roman" w:eastAsia="Times New Roman" w:hAnsi="Times New Roman"/>
          <w:sz w:val="22"/>
          <w:szCs w:val="22"/>
          <w:color w:val="auto"/>
        </w:rPr>
      </w:pPr>
    </w:p>
    <w:p>
      <w:pPr>
        <w:jc w:val="both"/>
        <w:ind w:right="20" w:firstLine="644"/>
        <w:spacing w:after="0" w:line="236" w:lineRule="auto"/>
        <w:tabs>
          <w:tab w:leader="none" w:pos="1295"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violation of Section II.B.3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15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600"/>
          </w:cols>
          <w:pgMar w:left="960" w:top="1393" w:right="339" w:bottom="1440" w:gutter="0" w:footer="0" w:header="0"/>
        </w:sectPr>
      </w:pPr>
    </w:p>
    <w:bookmarkStart w:id="50" w:name="page51"/>
    <w:bookmarkEnd w:id="50"/>
    <w:p>
      <w:pPr>
        <w:spacing w:after="0" w:line="236"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4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204" w:lineRule="auto"/>
        <w:rPr>
          <w:sz w:val="20"/>
          <w:szCs w:val="20"/>
          <w:color w:val="auto"/>
        </w:rPr>
      </w:pPr>
      <w:r>
        <w:rPr>
          <w:rFonts w:ascii="Times New Roman" w:cs="Times New Roman" w:eastAsia="Times New Roman" w:hAnsi="Times New Roman"/>
          <w:sz w:val="22"/>
          <w:szCs w:val="22"/>
          <w:color w:val="auto"/>
        </w:rPr>
        <w:t>Name: Thomas A. Amato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395" w:right="339" w:bottom="1440" w:gutter="0" w:footer="0" w:header="0"/>
          <w:type w:val="continuous"/>
        </w:sectPr>
      </w:pPr>
    </w:p>
    <w:p>
      <w:pPr>
        <w:spacing w:after="0" w:line="370" w:lineRule="exact"/>
        <w:rPr>
          <w:sz w:val="20"/>
          <w:szCs w:val="20"/>
          <w:color w:val="auto"/>
        </w:rPr>
      </w:pPr>
    </w:p>
    <w:p>
      <w:pPr>
        <w:jc w:val="both"/>
        <w:ind w:left="660"/>
        <w:spacing w:after="0" w:line="216"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46" w:lineRule="exact"/>
        <w:rPr>
          <w:sz w:val="20"/>
          <w:szCs w:val="20"/>
          <w:color w:val="auto"/>
        </w:rPr>
      </w:pPr>
    </w:p>
    <w:p>
      <w:pPr>
        <w:jc w:val="both"/>
        <w:ind w:left="660"/>
        <w:spacing w:after="0" w:line="224" w:lineRule="auto"/>
        <w:rPr>
          <w:sz w:val="20"/>
          <w:szCs w:val="20"/>
          <w:color w:val="auto"/>
        </w:rPr>
      </w:pPr>
      <w:r>
        <w:rPr>
          <w:rFonts w:ascii="Times New Roman" w:cs="Times New Roman" w:eastAsia="Times New Roman" w:hAnsi="Times New Roman"/>
          <w:sz w:val="21"/>
          <w:szCs w:val="21"/>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GOALS FOR PSU AWARD</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actual number of PSUs earned by Grantee will be determined by the Committee by March 11, 2026 following the end of the Performance Period (“Determination Date”), using data as of, and including, December 31, 2025 under the rules described below. Any PSUs not earned as of the Determination Date will be canceled and forfeited.</w:t>
      </w:r>
    </w:p>
    <w:p>
      <w:pPr>
        <w:spacing w:after="0" w:line="179" w:lineRule="exact"/>
        <w:rPr>
          <w:sz w:val="20"/>
          <w:szCs w:val="20"/>
          <w:color w:val="auto"/>
        </w:rPr>
      </w:pPr>
    </w:p>
    <w:p>
      <w:pPr>
        <w:ind w:firstLine="8"/>
        <w:spacing w:after="0" w:line="255" w:lineRule="auto"/>
        <w:tabs>
          <w:tab w:leader="none" w:pos="40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161" w:lineRule="exact"/>
        <w:rPr>
          <w:rFonts w:ascii="Times New Roman" w:cs="Times New Roman" w:eastAsia="Times New Roman" w:hAnsi="Times New Roman"/>
          <w:sz w:val="21"/>
          <w:szCs w:val="21"/>
          <w:color w:val="auto"/>
        </w:rPr>
      </w:pPr>
    </w:p>
    <w:p>
      <w:pPr>
        <w:ind w:firstLine="8"/>
        <w:spacing w:after="0" w:line="236" w:lineRule="auto"/>
        <w:tabs>
          <w:tab w:leader="none" w:pos="37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subject to this Award are earned based on the achievement of specific performance measures over the Performance Period (i.e., January 1, 2023 through December 31, 2025) and determined on the Determination Date.</w:t>
      </w:r>
    </w:p>
    <w:p>
      <w:pPr>
        <w:spacing w:after="0" w:line="171" w:lineRule="exact"/>
        <w:rPr>
          <w:rFonts w:ascii="Times New Roman" w:cs="Times New Roman" w:eastAsia="Times New Roman" w:hAnsi="Times New Roman"/>
          <w:sz w:val="22"/>
          <w:szCs w:val="22"/>
          <w:color w:val="auto"/>
        </w:rPr>
      </w:pPr>
    </w:p>
    <w:p>
      <w:pPr>
        <w:jc w:val="both"/>
        <w:ind w:firstLine="8"/>
        <w:spacing w:after="0" w:line="227" w:lineRule="auto"/>
        <w:tabs>
          <w:tab w:leader="none" w:pos="37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Target PSUs will be initially earned based on the achievement of EPS CAGR (the “</w:t>
      </w:r>
      <w:r>
        <w:rPr>
          <w:rFonts w:ascii="Times New Roman" w:cs="Times New Roman" w:eastAsia="Times New Roman" w:hAnsi="Times New Roman"/>
          <w:sz w:val="22"/>
          <w:szCs w:val="22"/>
          <w:b w:val="1"/>
          <w:bCs w:val="1"/>
          <w:i w:val="1"/>
          <w:iCs w:val="1"/>
          <w:color w:val="auto"/>
        </w:rPr>
        <w:t>EPS CAGR PSUs</w:t>
      </w:r>
      <w:r>
        <w:rPr>
          <w:rFonts w:ascii="Times New Roman" w:cs="Times New Roman" w:eastAsia="Times New Roman" w:hAnsi="Times New Roman"/>
          <w:sz w:val="22"/>
          <w:szCs w:val="22"/>
          <w:color w:val="auto"/>
        </w:rPr>
        <w:t>”), and 50% of the Target PSUs will be initially earned based on the achievement of Cash RONA (“</w:t>
      </w:r>
      <w:r>
        <w:rPr>
          <w:rFonts w:ascii="Times New Roman" w:cs="Times New Roman" w:eastAsia="Times New Roman" w:hAnsi="Times New Roman"/>
          <w:sz w:val="22"/>
          <w:szCs w:val="22"/>
          <w:b w:val="1"/>
          <w:bCs w:val="1"/>
          <w:i w:val="1"/>
          <w:iCs w:val="1"/>
          <w:color w:val="auto"/>
        </w:rPr>
        <w:t>Cash RONA PSUs</w:t>
      </w:r>
      <w:r>
        <w:rPr>
          <w:rFonts w:ascii="Times New Roman" w:cs="Times New Roman" w:eastAsia="Times New Roman" w:hAnsi="Times New Roman"/>
          <w:sz w:val="22"/>
          <w:szCs w:val="22"/>
          <w:color w:val="auto"/>
        </w:rPr>
        <w:t>”). The total EPS CAGR PSUs and Cash RONA PSUs initially earned shall be subject to modification based on RTSR Performance.</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w:t>
      </w:r>
    </w:p>
    <w:p>
      <w:pPr>
        <w:spacing w:after="0" w:line="200" w:lineRule="exact"/>
        <w:rPr>
          <w:rFonts w:ascii="Times New Roman" w:cs="Times New Roman" w:eastAsia="Times New Roman" w:hAnsi="Times New Roman"/>
          <w:sz w:val="22"/>
          <w:szCs w:val="22"/>
          <w:color w:val="auto"/>
        </w:rPr>
      </w:pPr>
    </w:p>
    <w:p>
      <w:pPr>
        <w:ind w:left="1300" w:hanging="644"/>
        <w:spacing w:after="0" w:line="222" w:lineRule="auto"/>
        <w:tabs>
          <w:tab w:leader="none" w:pos="118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EPS CAGR</w:t>
      </w:r>
      <w:r>
        <w:rPr>
          <w:rFonts w:ascii="Times New Roman" w:cs="Times New Roman" w:eastAsia="Times New Roman" w:hAnsi="Times New Roman"/>
          <w:sz w:val="22"/>
          <w:szCs w:val="22"/>
          <w:color w:val="auto"/>
        </w:rPr>
        <w:t>” means the cumulative average growth rate during the Performance Period of the diluted earnings per share from continuing operations as reported in the Company’s Income Statement within the applicable Form 10-Q and Form 10-K, plus or minus special items that may occur from time-to-time that the Committee believes should adjust the as-reported results for measurement of performance.</w:t>
      </w:r>
    </w:p>
    <w:p>
      <w:pPr>
        <w:spacing w:after="0" w:line="170" w:lineRule="exact"/>
        <w:rPr>
          <w:rFonts w:ascii="Times New Roman" w:cs="Times New Roman" w:eastAsia="Times New Roman" w:hAnsi="Times New Roman"/>
          <w:sz w:val="22"/>
          <w:szCs w:val="22"/>
          <w:color w:val="auto"/>
        </w:rPr>
      </w:pPr>
    </w:p>
    <w:p>
      <w:pPr>
        <w:ind w:left="1300" w:hanging="644"/>
        <w:spacing w:after="0" w:line="227" w:lineRule="auto"/>
        <w:tabs>
          <w:tab w:leader="none" w:pos="119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w:t>
      </w:r>
      <w:r>
        <w:rPr>
          <w:rFonts w:ascii="Times New Roman" w:cs="Times New Roman" w:eastAsia="Times New Roman" w:hAnsi="Times New Roman"/>
          <w:sz w:val="22"/>
          <w:szCs w:val="22"/>
          <w:color w:val="auto"/>
        </w:rPr>
        <w:t xml:space="preserve">” means, of a benchmark group of </w:t>
      </w:r>
      <w:r>
        <w:rPr>
          <w:rFonts w:ascii="Times New Roman" w:cs="Times New Roman" w:eastAsia="Times New Roman" w:hAnsi="Times New Roman"/>
          <w:sz w:val="22"/>
          <w:szCs w:val="22"/>
          <w:b w:val="1"/>
          <w:bCs w:val="1"/>
          <w:color w:val="auto"/>
        </w:rPr>
        <w:t>89</w:t>
      </w:r>
      <w:r>
        <w:rPr>
          <w:rFonts w:ascii="Times New Roman" w:cs="Times New Roman" w:eastAsia="Times New Roman" w:hAnsi="Times New Roman"/>
          <w:sz w:val="22"/>
          <w:szCs w:val="22"/>
          <w:color w:val="auto"/>
        </w:rPr>
        <w:t xml:space="preserve"> entities currently in the S&amp;P SmallCap 600 Capped Industrials index (the names of which are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those entities that remain in the Peer Group as of the end of the Performance Period after application of the Peer Group Adjustment Protocol.</w:t>
      </w:r>
    </w:p>
    <w:p>
      <w:pPr>
        <w:spacing w:after="0" w:line="173" w:lineRule="exact"/>
        <w:rPr>
          <w:rFonts w:ascii="Times New Roman" w:cs="Times New Roman" w:eastAsia="Times New Roman" w:hAnsi="Times New Roman"/>
          <w:sz w:val="22"/>
          <w:szCs w:val="22"/>
          <w:color w:val="auto"/>
        </w:rPr>
      </w:pPr>
    </w:p>
    <w:p>
      <w:pPr>
        <w:ind w:left="1300" w:hanging="644"/>
        <w:spacing w:after="0" w:line="221" w:lineRule="auto"/>
        <w:tabs>
          <w:tab w:leader="none" w:pos="115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Peer Group Adjustment Protocol</w:t>
      </w:r>
      <w:r>
        <w:rPr>
          <w:rFonts w:ascii="Times New Roman" w:cs="Times New Roman" w:eastAsia="Times New Roman" w:hAnsi="Times New Roman"/>
          <w:sz w:val="21"/>
          <w:szCs w:val="21"/>
          <w:color w:val="auto"/>
        </w:rPr>
        <w:t xml:space="preserve">” means: (i) if an entity listed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has been acquired and/or is no longer existing as a public company that is traded on its primary stock exchange (other than for the reasons as described in subsection (i) 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such entity shall be deemed to include any successor to all or substantially all of the primary business of such entity at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382" w:right="339" w:bottom="1440" w:gutter="0" w:footer="0" w:header="0"/>
        </w:sectPr>
      </w:pPr>
    </w:p>
    <w:bookmarkStart w:id="52" w:name="page53"/>
    <w:bookmarkEnd w:id="52"/>
    <w:p>
      <w:pPr>
        <w:spacing w:after="0" w:line="192" w:lineRule="exact"/>
        <w:rPr>
          <w:sz w:val="20"/>
          <w:szCs w:val="20"/>
          <w:color w:val="auto"/>
        </w:rPr>
      </w:pPr>
    </w:p>
    <w:p>
      <w:pPr>
        <w:jc w:val="both"/>
        <w:ind w:left="1300" w:hanging="644"/>
        <w:spacing w:after="0" w:line="227" w:lineRule="auto"/>
        <w:tabs>
          <w:tab w:leader="none" w:pos="123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Relative Total Shareholder Return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RTSR</w:t>
      </w:r>
      <w:r>
        <w:rPr>
          <w:rFonts w:ascii="Times New Roman" w:cs="Times New Roman" w:eastAsia="Times New Roman" w:hAnsi="Times New Roman"/>
          <w:sz w:val="22"/>
          <w:szCs w:val="22"/>
          <w:color w:val="auto"/>
        </w:rPr>
        <w:t>” means the percentile rank of the Company’s Total Shareholder Return among the Total Shareholder Returns of all members of the Peer Group, ranked in descending order, at the end of the Performance Period.</w:t>
      </w:r>
    </w:p>
    <w:p>
      <w:pPr>
        <w:spacing w:after="0" w:line="173" w:lineRule="exact"/>
        <w:rPr>
          <w:rFonts w:ascii="Times New Roman" w:cs="Times New Roman" w:eastAsia="Times New Roman" w:hAnsi="Times New Roman"/>
          <w:sz w:val="22"/>
          <w:szCs w:val="22"/>
          <w:color w:val="auto"/>
        </w:rPr>
      </w:pPr>
    </w:p>
    <w:p>
      <w:pPr>
        <w:ind w:left="1300" w:hanging="644"/>
        <w:spacing w:after="0" w:line="226" w:lineRule="auto"/>
        <w:tabs>
          <w:tab w:leader="none" w:pos="114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Cash Return on Net Assets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Cash RONA</w:t>
      </w:r>
      <w:r>
        <w:rPr>
          <w:rFonts w:ascii="Times New Roman" w:cs="Times New Roman" w:eastAsia="Times New Roman" w:hAnsi="Times New Roman"/>
          <w:sz w:val="21"/>
          <w:szCs w:val="21"/>
          <w:color w:val="auto"/>
        </w:rPr>
        <w:t>” means (net adjusted operating profit after income taxes (“</w:t>
      </w:r>
      <w:r>
        <w:rPr>
          <w:rFonts w:ascii="Times New Roman" w:cs="Times New Roman" w:eastAsia="Times New Roman" w:hAnsi="Times New Roman"/>
          <w:sz w:val="21"/>
          <w:szCs w:val="21"/>
          <w:b w:val="1"/>
          <w:bCs w:val="1"/>
          <w:i w:val="1"/>
          <w:iCs w:val="1"/>
          <w:color w:val="auto"/>
        </w:rPr>
        <w:t>NOPAT</w:t>
      </w:r>
      <w:r>
        <w:rPr>
          <w:rFonts w:ascii="Times New Roman" w:cs="Times New Roman" w:eastAsia="Times New Roman" w:hAnsi="Times New Roman"/>
          <w:sz w:val="21"/>
          <w:szCs w:val="21"/>
          <w:color w:val="auto"/>
        </w:rPr>
        <w:t>”) plus acquisition-related amortization expense ) divided by average net assets employed (net working capital plus property and equipment plus goodwill and other intangible assets). The Company uses its long-term expected effective tax rate of 23% in the calculation of NOPAT for all periods to eliminate potential volatility in year-to-year results from tax planning strategies which may impact the measurement of operating returns. The calculation of achieved Cash RONA is to exclude the impact of any acquisition that closes during the Performance Period.</w:t>
      </w:r>
    </w:p>
    <w:p>
      <w:pPr>
        <w:spacing w:after="0" w:line="174" w:lineRule="exact"/>
        <w:rPr>
          <w:rFonts w:ascii="Times New Roman" w:cs="Times New Roman" w:eastAsia="Times New Roman" w:hAnsi="Times New Roman"/>
          <w:sz w:val="21"/>
          <w:szCs w:val="21"/>
          <w:color w:val="auto"/>
        </w:rPr>
      </w:pPr>
    </w:p>
    <w:p>
      <w:pPr>
        <w:jc w:val="both"/>
        <w:ind w:left="1300" w:hanging="644"/>
        <w:spacing w:after="0" w:line="213" w:lineRule="auto"/>
        <w:tabs>
          <w:tab w:leader="none" w:pos="125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Shareholder Return</w:t>
      </w:r>
      <w:r>
        <w:rPr>
          <w:rFonts w:ascii="Times New Roman" w:cs="Times New Roman" w:eastAsia="Times New Roman" w:hAnsi="Times New Roman"/>
          <w:sz w:val="22"/>
          <w:szCs w:val="22"/>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2023 on the principal stock exchange on which the stock is then traded and the ending stock price will be based on the average closing stock price for the 20 trading days immediately preceding January 1, 2026 on the principal stock exchange on which the stock then trades.</w:t>
      </w:r>
    </w:p>
    <w:p>
      <w:pPr>
        <w:spacing w:after="0" w:line="180" w:lineRule="exact"/>
        <w:rPr>
          <w:rFonts w:ascii="Times New Roman" w:cs="Times New Roman" w:eastAsia="Times New Roman" w:hAnsi="Times New Roman"/>
          <w:sz w:val="22"/>
          <w:szCs w:val="22"/>
          <w:color w:val="auto"/>
        </w:rPr>
      </w:pPr>
    </w:p>
    <w:p>
      <w:pPr>
        <w:ind w:right="20" w:firstLine="8"/>
        <w:spacing w:after="0" w:line="236" w:lineRule="auto"/>
        <w:tabs>
          <w:tab w:leader="none" w:pos="40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EPS CAGR Performance Matrix</w:t>
      </w:r>
      <w:r>
        <w:rPr>
          <w:rFonts w:ascii="Times New Roman" w:cs="Times New Roman" w:eastAsia="Times New Roman" w:hAnsi="Times New Roman"/>
          <w:sz w:val="22"/>
          <w:szCs w:val="22"/>
          <w:color w:val="auto"/>
        </w:rPr>
        <w:t>. From 0% to 200% of the EPS CAGR PSUs will be initially earned based on achievement of the EPS CAGR performance goal during the Performance Period as follows:</w:t>
      </w:r>
    </w:p>
    <w:p>
      <w:pPr>
        <w:spacing w:after="0" w:line="225" w:lineRule="exact"/>
        <w:rPr>
          <w:sz w:val="20"/>
          <w:szCs w:val="20"/>
          <w:color w:val="auto"/>
        </w:rPr>
      </w:pPr>
    </w:p>
    <w:tbl>
      <w:tblPr>
        <w:tblLayout w:type="fixed"/>
        <w:tblInd w:w="1810" w:type="dxa"/>
        <w:tblCellMar>
          <w:top w:w="0" w:type="dxa"/>
          <w:left w:w="0" w:type="dxa"/>
          <w:bottom w:w="0" w:type="dxa"/>
          <w:right w:w="0" w:type="dxa"/>
        </w:tblCellMar>
      </w:tblPr>
      <w:tr>
        <w:trPr>
          <w:trHeight w:val="216"/>
        </w:trPr>
        <w:tc>
          <w:tcPr>
            <w:tcW w:w="2640" w:type="dxa"/>
            <w:vAlign w:val="bottom"/>
            <w:tcBorders>
              <w:top w:val="single" w:sz="8" w:color="auto"/>
              <w:left w:val="single" w:sz="8" w:color="auto"/>
              <w:right w:val="single" w:sz="8" w:color="auto"/>
            </w:tcBorders>
            <w:vMerge w:val="restart"/>
          </w:tcPr>
          <w:p>
            <w:pPr>
              <w:ind w:left="640"/>
              <w:spacing w:after="0"/>
              <w:rPr>
                <w:sz w:val="20"/>
                <w:szCs w:val="20"/>
                <w:color w:val="auto"/>
              </w:rPr>
            </w:pPr>
            <w:r>
              <w:rPr>
                <w:rFonts w:ascii="Times New Roman" w:cs="Times New Roman" w:eastAsia="Times New Roman" w:hAnsi="Times New Roman"/>
                <w:sz w:val="22"/>
                <w:szCs w:val="22"/>
                <w:b w:val="1"/>
                <w:bCs w:val="1"/>
                <w:color w:val="auto"/>
              </w:rPr>
              <w:t>EPS CAGR %</w:t>
            </w:r>
          </w:p>
        </w:tc>
        <w:tc>
          <w:tcPr>
            <w:tcW w:w="28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Initial EPS CAGR</w:t>
            </w:r>
          </w:p>
        </w:tc>
        <w:tc>
          <w:tcPr>
            <w:tcW w:w="0" w:type="dxa"/>
            <w:vAlign w:val="bottom"/>
          </w:tcPr>
          <w:p>
            <w:pPr>
              <w:spacing w:after="0"/>
              <w:rPr>
                <w:sz w:val="1"/>
                <w:szCs w:val="1"/>
                <w:color w:val="auto"/>
              </w:rPr>
            </w:pPr>
          </w:p>
        </w:tc>
      </w:tr>
      <w:tr>
        <w:trPr>
          <w:trHeight w:val="283"/>
        </w:trPr>
        <w:tc>
          <w:tcPr>
            <w:tcW w:w="264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w:t>
            </w: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40.00%</w:t>
            </w:r>
          </w:p>
        </w:tc>
        <w:tc>
          <w:tcPr>
            <w:tcW w:w="0" w:type="dxa"/>
            <w:vAlign w:val="bottom"/>
          </w:tcPr>
          <w:p>
            <w:pPr>
              <w:spacing w:after="0"/>
              <w:rPr>
                <w:sz w:val="1"/>
                <w:szCs w:val="1"/>
                <w:color w:val="auto"/>
              </w:rPr>
            </w:pP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50.00%</w:t>
            </w:r>
          </w:p>
        </w:tc>
        <w:tc>
          <w:tcPr>
            <w:tcW w:w="0" w:type="dxa"/>
            <w:vAlign w:val="bottom"/>
          </w:tcPr>
          <w:p>
            <w:pPr>
              <w:spacing w:after="0"/>
              <w:rPr>
                <w:sz w:val="1"/>
                <w:szCs w:val="1"/>
                <w:color w:val="auto"/>
              </w:rPr>
            </w:pP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60.00%</w:t>
            </w: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70.00%</w:t>
            </w:r>
          </w:p>
        </w:tc>
        <w:tc>
          <w:tcPr>
            <w:tcW w:w="0" w:type="dxa"/>
            <w:vAlign w:val="bottom"/>
          </w:tcPr>
          <w:p>
            <w:pPr>
              <w:spacing w:after="0"/>
              <w:rPr>
                <w:sz w:val="1"/>
                <w:szCs w:val="1"/>
                <w:color w:val="auto"/>
              </w:rPr>
            </w:pP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80.00%</w:t>
            </w: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90.00%</w:t>
            </w:r>
          </w:p>
        </w:tc>
        <w:tc>
          <w:tcPr>
            <w:tcW w:w="0" w:type="dxa"/>
            <w:vAlign w:val="bottom"/>
          </w:tcPr>
          <w:p>
            <w:pPr>
              <w:spacing w:after="0"/>
              <w:rPr>
                <w:sz w:val="1"/>
                <w:szCs w:val="1"/>
                <w:color w:val="auto"/>
              </w:rPr>
            </w:pP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100.00%</w:t>
            </w:r>
          </w:p>
        </w:tc>
        <w:tc>
          <w:tcPr>
            <w:tcW w:w="0" w:type="dxa"/>
            <w:vAlign w:val="bottom"/>
          </w:tcPr>
          <w:p>
            <w:pPr>
              <w:spacing w:after="0"/>
              <w:rPr>
                <w:sz w:val="1"/>
                <w:szCs w:val="1"/>
                <w:color w:val="auto"/>
              </w:rPr>
            </w:pP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128.60%</w:t>
            </w: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157.10%</w:t>
            </w:r>
          </w:p>
        </w:tc>
        <w:tc>
          <w:tcPr>
            <w:tcW w:w="0" w:type="dxa"/>
            <w:vAlign w:val="bottom"/>
          </w:tcPr>
          <w:p>
            <w:pPr>
              <w:spacing w:after="0"/>
              <w:rPr>
                <w:sz w:val="1"/>
                <w:szCs w:val="1"/>
                <w:color w:val="auto"/>
              </w:rPr>
            </w:pP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185.70%</w:t>
            </w:r>
          </w:p>
        </w:tc>
        <w:tc>
          <w:tcPr>
            <w:tcW w:w="0" w:type="dxa"/>
            <w:vAlign w:val="bottom"/>
          </w:tcPr>
          <w:p>
            <w:pPr>
              <w:spacing w:after="0"/>
              <w:rPr>
                <w:sz w:val="1"/>
                <w:szCs w:val="1"/>
                <w:color w:val="auto"/>
              </w:rPr>
            </w:pP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200.00%</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firstLine="8"/>
        <w:spacing w:after="0" w:line="236" w:lineRule="auto"/>
        <w:tabs>
          <w:tab w:leader="none" w:pos="43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EPS CAGR PSUs Earned</w:t>
      </w:r>
      <w:r>
        <w:rPr>
          <w:rFonts w:ascii="Times New Roman" w:cs="Times New Roman" w:eastAsia="Times New Roman" w:hAnsi="Times New Roman"/>
          <w:sz w:val="22"/>
          <w:szCs w:val="22"/>
          <w:color w:val="auto"/>
        </w:rPr>
        <w:t>. Following the Performance Period, on the Determination Date, the Committee shall determine whether and to what extent the EPS CAGR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1440" w:right="339" w:bottom="1440" w:gutter="0" w:footer="0" w:header="0"/>
        </w:sectPr>
      </w:pPr>
    </w:p>
    <w:bookmarkStart w:id="53" w:name="page54"/>
    <w:bookmarkEnd w:id="53"/>
    <w:p>
      <w:pPr>
        <w:jc w:val="both"/>
        <w:spacing w:after="0" w:line="225" w:lineRule="auto"/>
        <w:rPr>
          <w:sz w:val="20"/>
          <w:szCs w:val="20"/>
          <w:color w:val="auto"/>
        </w:rPr>
      </w:pPr>
      <w:r>
        <w:rPr>
          <w:rFonts w:ascii="Times New Roman" w:cs="Times New Roman" w:eastAsia="Times New Roman" w:hAnsi="Times New Roman"/>
          <w:sz w:val="22"/>
          <w:szCs w:val="22"/>
          <w:color w:val="auto"/>
        </w:rPr>
        <w:t>performance goal has been satisfied for the Performance Period and shall determine the percentage of the EPS CAGR PSUs that shall become initially earned hereunder and under the Agreement (the “</w:t>
      </w:r>
      <w:r>
        <w:rPr>
          <w:rFonts w:ascii="Times New Roman" w:cs="Times New Roman" w:eastAsia="Times New Roman" w:hAnsi="Times New Roman"/>
          <w:sz w:val="22"/>
          <w:szCs w:val="22"/>
          <w:b w:val="1"/>
          <w:bCs w:val="1"/>
          <w:i w:val="1"/>
          <w:iCs w:val="1"/>
          <w:color w:val="auto"/>
        </w:rPr>
        <w:t>Initial EPS CAGR Percentage</w:t>
      </w:r>
      <w:r>
        <w:rPr>
          <w:rFonts w:ascii="Times New Roman" w:cs="Times New Roman" w:eastAsia="Times New Roman" w:hAnsi="Times New Roman"/>
          <w:sz w:val="22"/>
          <w:szCs w:val="22"/>
          <w:color w:val="auto"/>
        </w:rPr>
        <w:t>”), subject to modification pursuant to Section 9, on the basis of the following:</w:t>
      </w:r>
    </w:p>
    <w:p>
      <w:pPr>
        <w:spacing w:after="0" w:line="179" w:lineRule="exact"/>
        <w:rPr>
          <w:sz w:val="20"/>
          <w:szCs w:val="20"/>
          <w:color w:val="auto"/>
        </w:rPr>
      </w:pPr>
    </w:p>
    <w:p>
      <w:pPr>
        <w:ind w:left="1300" w:right="60" w:hanging="725"/>
        <w:spacing w:after="0" w:line="225" w:lineRule="auto"/>
        <w:tabs>
          <w:tab w:leader="none" w:pos="108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EPS CAGR for the Performance Period falls below the lowest EPS CAGR level set forth in the Performance Matrix, the Initial EPS CAGR Percentage shall be 0%.</w:t>
      </w:r>
    </w:p>
    <w:p>
      <w:pPr>
        <w:spacing w:after="0" w:line="179" w:lineRule="exact"/>
        <w:rPr>
          <w:rFonts w:ascii="Times New Roman" w:cs="Times New Roman" w:eastAsia="Times New Roman" w:hAnsi="Times New Roman"/>
          <w:sz w:val="22"/>
          <w:szCs w:val="22"/>
          <w:color w:val="auto"/>
        </w:rPr>
      </w:pPr>
    </w:p>
    <w:p>
      <w:pPr>
        <w:ind w:left="1300" w:hanging="644"/>
        <w:spacing w:after="0" w:line="215" w:lineRule="auto"/>
        <w:tabs>
          <w:tab w:leader="none" w:pos="1183"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EPS CAGR for the Performance Period is exactly equal to one of the levels set forth in the Performance Matrix, the Initial EPS CAGR Percentage shall be equal to the percentage set forth opposite such level in the Performance Matrix. If, upon the conclusion of the Performance Period, EPS CAGR for the Performance Period falls between two levels set forth in the Performance Matrix, the Initial EPS CAGR Percentage shall be based on straight-line mathematical interpolation between the percentages applicable to such levels.</w:t>
      </w:r>
    </w:p>
    <w:p>
      <w:pPr>
        <w:spacing w:after="0" w:line="179" w:lineRule="exact"/>
        <w:rPr>
          <w:rFonts w:ascii="Times New Roman" w:cs="Times New Roman" w:eastAsia="Times New Roman" w:hAnsi="Times New Roman"/>
          <w:sz w:val="22"/>
          <w:szCs w:val="22"/>
          <w:color w:val="auto"/>
        </w:rPr>
      </w:pPr>
    </w:p>
    <w:p>
      <w:pPr>
        <w:ind w:firstLine="8"/>
        <w:spacing w:after="0" w:line="236" w:lineRule="auto"/>
        <w:tabs>
          <w:tab w:leader="none" w:pos="37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RONA Performance Matrix</w:t>
      </w:r>
      <w:r>
        <w:rPr>
          <w:rFonts w:ascii="Times New Roman" w:cs="Times New Roman" w:eastAsia="Times New Roman" w:hAnsi="Times New Roman"/>
          <w:sz w:val="22"/>
          <w:szCs w:val="22"/>
          <w:color w:val="auto"/>
        </w:rPr>
        <w:t>. From 0% to 200% of the Cash RONA PSUs will be initially earned based on achievement of the Cash RONA performance goal during the 2025 fiscal year as follows:</w:t>
      </w:r>
    </w:p>
    <w:p>
      <w:pPr>
        <w:spacing w:after="0" w:line="225" w:lineRule="exact"/>
        <w:rPr>
          <w:sz w:val="20"/>
          <w:szCs w:val="20"/>
          <w:color w:val="auto"/>
        </w:rPr>
      </w:pPr>
    </w:p>
    <w:tbl>
      <w:tblPr>
        <w:tblLayout w:type="fixed"/>
        <w:tblInd w:w="1810" w:type="dxa"/>
        <w:tblCellMar>
          <w:top w:w="0" w:type="dxa"/>
          <w:left w:w="0" w:type="dxa"/>
          <w:bottom w:w="0" w:type="dxa"/>
          <w:right w:w="0" w:type="dxa"/>
        </w:tblCellMar>
      </w:tblPr>
      <w:tr>
        <w:trPr>
          <w:trHeight w:val="216"/>
        </w:trPr>
        <w:tc>
          <w:tcPr>
            <w:tcW w:w="264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5"/>
              </w:rPr>
              <w:t>2025 Fiscal Year</w:t>
            </w:r>
          </w:p>
        </w:tc>
        <w:tc>
          <w:tcPr>
            <w:tcW w:w="28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Initial Cash RONA</w:t>
            </w:r>
          </w:p>
        </w:tc>
      </w:tr>
      <w:tr>
        <w:trPr>
          <w:trHeight w:val="283"/>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Cash RONA</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w:t>
            </w: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40.0%</w:t>
            </w:r>
          </w:p>
        </w:tc>
      </w:tr>
      <w:tr>
        <w:trPr>
          <w:trHeight w:val="264"/>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60.0%</w:t>
            </w: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133.3%</w:t>
            </w:r>
          </w:p>
        </w:tc>
      </w:tr>
      <w:tr>
        <w:trPr>
          <w:trHeight w:val="264"/>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166.7%</w:t>
            </w: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w:t>
            </w:r>
          </w:p>
        </w:tc>
      </w:tr>
    </w:tbl>
    <w:p>
      <w:pPr>
        <w:spacing w:after="0" w:line="297" w:lineRule="exact"/>
        <w:rPr>
          <w:sz w:val="20"/>
          <w:szCs w:val="20"/>
          <w:color w:val="auto"/>
        </w:rPr>
      </w:pPr>
    </w:p>
    <w:p>
      <w:pPr>
        <w:jc w:val="both"/>
        <w:ind w:firstLine="8"/>
        <w:spacing w:after="0" w:line="220" w:lineRule="auto"/>
        <w:tabs>
          <w:tab w:leader="none" w:pos="4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Cash RONA PSUs Earned</w:t>
      </w:r>
      <w:r>
        <w:rPr>
          <w:rFonts w:ascii="Times New Roman" w:cs="Times New Roman" w:eastAsia="Times New Roman" w:hAnsi="Times New Roman"/>
          <w:sz w:val="22"/>
          <w:szCs w:val="22"/>
          <w:color w:val="auto"/>
        </w:rPr>
        <w:t>. Following the Performance Period, on the Determination Date, the Committee shall determine whether and to what extent the Cash RONA performance goal has been satisfied for the 2025 fiscal year and shall determine the percentage of the Cash RONA PSUs that shall become initially earned hereunder and under the Agreement (the “</w:t>
      </w:r>
      <w:r>
        <w:rPr>
          <w:rFonts w:ascii="Times New Roman" w:cs="Times New Roman" w:eastAsia="Times New Roman" w:hAnsi="Times New Roman"/>
          <w:sz w:val="22"/>
          <w:szCs w:val="22"/>
          <w:b w:val="1"/>
          <w:bCs w:val="1"/>
          <w:i w:val="1"/>
          <w:iCs w:val="1"/>
          <w:color w:val="auto"/>
        </w:rPr>
        <w:t>Initial Cash RONA Percentage</w:t>
      </w:r>
      <w:r>
        <w:rPr>
          <w:rFonts w:ascii="Times New Roman" w:cs="Times New Roman" w:eastAsia="Times New Roman" w:hAnsi="Times New Roman"/>
          <w:sz w:val="22"/>
          <w:szCs w:val="22"/>
          <w:color w:val="auto"/>
        </w:rPr>
        <w:t>”), subject to modification pursuant to Section 9, on the basis of the following:</w:t>
      </w:r>
    </w:p>
    <w:p>
      <w:pPr>
        <w:spacing w:after="0" w:line="179" w:lineRule="exact"/>
        <w:rPr>
          <w:rFonts w:ascii="Times New Roman" w:cs="Times New Roman" w:eastAsia="Times New Roman" w:hAnsi="Times New Roman"/>
          <w:sz w:val="22"/>
          <w:szCs w:val="22"/>
          <w:color w:val="auto"/>
        </w:rPr>
      </w:pPr>
    </w:p>
    <w:p>
      <w:pPr>
        <w:ind w:left="1300" w:right="180" w:hanging="725"/>
        <w:spacing w:after="0" w:line="225" w:lineRule="auto"/>
        <w:tabs>
          <w:tab w:leader="none" w:pos="108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Cash RONA for the 2025 fiscal year falls below the lowest Cash RONA level set forth in the Performance Matrix, the Initial Cash RONA Percentage shall be 0%.</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37"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Cash RONA for the 2025 fiscal year is exactly equal to one of the levels set forth in the Performance Matrix, the Initial Cash RONA Percentage shall be equal to the percentage set forth opposite such level in the Performance Matrix. If, upon the conclusion of the Performance Period, Cash RONA for the 2025 fiscal year falls between two levels set forth in the Performance Matrix, the Initial Cash RONA Percentage shall be based on straight-line mathematical interpolation between the percentages applicable to such levels.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40"/>
          </w:cols>
          <w:pgMar w:left="320" w:top="1395" w:right="339" w:bottom="1440" w:gutter="0" w:footer="0" w:header="0"/>
        </w:sectPr>
      </w:pPr>
    </w:p>
    <w:bookmarkStart w:id="54" w:name="page55"/>
    <w:bookmarkEnd w:id="54"/>
    <w:p>
      <w:pPr>
        <w:spacing w:after="0" w:line="198" w:lineRule="exact"/>
        <w:rPr>
          <w:sz w:val="20"/>
          <w:szCs w:val="20"/>
          <w:color w:val="auto"/>
        </w:rPr>
      </w:pPr>
    </w:p>
    <w:p>
      <w:pPr>
        <w:jc w:val="both"/>
        <w:ind w:right="20" w:firstLine="8"/>
        <w:spacing w:after="0" w:line="225" w:lineRule="auto"/>
        <w:tabs>
          <w:tab w:leader="none" w:pos="44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RTSR Modifier Performance Matrix</w:t>
      </w:r>
      <w:r>
        <w:rPr>
          <w:rFonts w:ascii="Times New Roman" w:cs="Times New Roman" w:eastAsia="Times New Roman" w:hAnsi="Times New Roman"/>
          <w:sz w:val="22"/>
          <w:szCs w:val="22"/>
          <w:color w:val="auto"/>
        </w:rPr>
        <w:t>. Following the Performance Period, on the Determination Date, the Committee shall determine whether and to what extent the RTSR performance goal has been satisfied for the Performance Period and shall determine a percentage modifier (the “</w:t>
      </w:r>
      <w:r>
        <w:rPr>
          <w:rFonts w:ascii="Times New Roman" w:cs="Times New Roman" w:eastAsia="Times New Roman" w:hAnsi="Times New Roman"/>
          <w:sz w:val="22"/>
          <w:szCs w:val="22"/>
          <w:b w:val="1"/>
          <w:bCs w:val="1"/>
          <w:i w:val="1"/>
          <w:iCs w:val="1"/>
          <w:color w:val="auto"/>
        </w:rPr>
        <w:t>RTSR Percentage Modifier</w:t>
      </w:r>
      <w:r>
        <w:rPr>
          <w:rFonts w:ascii="Times New Roman" w:cs="Times New Roman" w:eastAsia="Times New Roman" w:hAnsi="Times New Roman"/>
          <w:sz w:val="22"/>
          <w:szCs w:val="22"/>
          <w:color w:val="auto"/>
        </w:rPr>
        <w:t>”) in accordance with the following table:</w:t>
      </w:r>
    </w:p>
    <w:p>
      <w:pPr>
        <w:spacing w:after="0" w:line="227" w:lineRule="exact"/>
        <w:rPr>
          <w:sz w:val="20"/>
          <w:szCs w:val="20"/>
          <w:color w:val="auto"/>
        </w:rPr>
      </w:pPr>
    </w:p>
    <w:tbl>
      <w:tblPr>
        <w:tblLayout w:type="fixed"/>
        <w:tblInd w:w="1430" w:type="dxa"/>
        <w:tblCellMar>
          <w:top w:w="0" w:type="dxa"/>
          <w:left w:w="0" w:type="dxa"/>
          <w:bottom w:w="0" w:type="dxa"/>
          <w:right w:w="0" w:type="dxa"/>
        </w:tblCellMar>
      </w:tblPr>
      <w:tr>
        <w:trPr>
          <w:trHeight w:val="216"/>
        </w:trPr>
        <w:tc>
          <w:tcPr>
            <w:tcW w:w="446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Relative Total Shareholder Return</w:t>
            </w:r>
          </w:p>
        </w:tc>
        <w:tc>
          <w:tcPr>
            <w:tcW w:w="2080" w:type="dxa"/>
            <w:vAlign w:val="bottom"/>
            <w:tcBorders>
              <w:top w:val="single" w:sz="8" w:color="auto"/>
              <w:right w:val="single" w:sz="8" w:color="auto"/>
            </w:tcBorders>
            <w:shd w:val="clear" w:color="auto" w:fill="BFBFBF"/>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RTSR Percentage</w:t>
            </w:r>
          </w:p>
        </w:tc>
        <w:tc>
          <w:tcPr>
            <w:tcW w:w="0" w:type="dxa"/>
            <w:vAlign w:val="bottom"/>
          </w:tcPr>
          <w:p>
            <w:pPr>
              <w:spacing w:after="0"/>
              <w:rPr>
                <w:sz w:val="1"/>
                <w:szCs w:val="1"/>
                <w:color w:val="auto"/>
              </w:rPr>
            </w:pPr>
          </w:p>
        </w:tc>
      </w:tr>
      <w:tr>
        <w:trPr>
          <w:trHeight w:val="283"/>
        </w:trPr>
        <w:tc>
          <w:tcPr>
            <w:tcW w:w="4460" w:type="dxa"/>
            <w:vAlign w:val="bottom"/>
            <w:tcBorders>
              <w:left w:val="single" w:sz="8" w:color="auto"/>
              <w:bottom w:val="single" w:sz="8" w:color="auto"/>
              <w:right w:val="single" w:sz="8" w:color="auto"/>
            </w:tcBorders>
            <w:vMerge w:val="continue"/>
            <w:shd w:val="clear" w:color="auto" w:fill="BFBFBF"/>
          </w:tcPr>
          <w:p>
            <w:pPr>
              <w:spacing w:after="0"/>
              <w:rPr>
                <w:sz w:val="24"/>
                <w:szCs w:val="24"/>
                <w:color w:val="auto"/>
              </w:rPr>
            </w:pPr>
          </w:p>
        </w:tc>
        <w:tc>
          <w:tcPr>
            <w:tcW w:w="20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Modifier</w:t>
            </w:r>
          </w:p>
        </w:tc>
        <w:tc>
          <w:tcPr>
            <w:tcW w:w="0" w:type="dxa"/>
            <w:vAlign w:val="bottom"/>
          </w:tcPr>
          <w:p>
            <w:pPr>
              <w:spacing w:after="0"/>
              <w:rPr>
                <w:sz w:val="1"/>
                <w:szCs w:val="1"/>
                <w:color w:val="auto"/>
              </w:rPr>
            </w:pPr>
          </w:p>
        </w:tc>
      </w:tr>
      <w:tr>
        <w:trPr>
          <w:trHeight w:val="263"/>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Ranked below or at _ percentile</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75%</w:t>
            </w:r>
          </w:p>
        </w:tc>
        <w:tc>
          <w:tcPr>
            <w:tcW w:w="0" w:type="dxa"/>
            <w:vAlign w:val="bottom"/>
          </w:tcPr>
          <w:p>
            <w:pPr>
              <w:spacing w:after="0"/>
              <w:rPr>
                <w:sz w:val="1"/>
                <w:szCs w:val="1"/>
                <w:color w:val="auto"/>
              </w:rPr>
            </w:pPr>
          </w:p>
        </w:tc>
      </w:tr>
      <w:tr>
        <w:trPr>
          <w:trHeight w:val="264"/>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Ranked above _ percentile but below _ percentile</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3"/>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Ranked at or above _ percentile</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125%</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22"/>
          <w:szCs w:val="22"/>
          <w:color w:val="auto"/>
        </w:rPr>
        <w:t>If, upon the conclusion of the Performance Period, RTSR performance for the Performance Period falls below the lowest RTSR performance level set forth in the Performance Matrix, the RTSR Percentage Modifier for the Performance Period will be 75%. If, upon the conclusion of the Performance Period, RTSR performance for the Performance Period is exactly equal to one of the levels set forth in the Performance Matrix, the RTSR Percentage Modifier for the Performance Period shall be equal to the percentage set forth opposite such level in the Performance Matrix. If, upon the conclusion of the Performance Period, RTSR performance for the Performance Period falls between two levels set forth in the Performance Matrix, the RTSR Percentage Modifier for the Performance Period shall be 100%.</w:t>
      </w:r>
    </w:p>
    <w:p>
      <w:pPr>
        <w:spacing w:after="0" w:line="183" w:lineRule="exact"/>
        <w:rPr>
          <w:sz w:val="20"/>
          <w:szCs w:val="20"/>
          <w:color w:val="auto"/>
        </w:rPr>
      </w:pPr>
    </w:p>
    <w:p>
      <w:pPr>
        <w:jc w:val="both"/>
        <w:ind w:firstLine="8"/>
        <w:spacing w:after="0" w:line="225" w:lineRule="auto"/>
        <w:tabs>
          <w:tab w:leader="none" w:pos="52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Number of PSUs Earned</w:t>
      </w:r>
      <w:r>
        <w:rPr>
          <w:rFonts w:ascii="Times New Roman" w:cs="Times New Roman" w:eastAsia="Times New Roman" w:hAnsi="Times New Roman"/>
          <w:sz w:val="22"/>
          <w:szCs w:val="22"/>
          <w:color w:val="auto"/>
        </w:rPr>
        <w:t xml:space="preserve">. The total number of PSUs earned shall be a percentage of the PSUs (rounded down to the nearest whole number of PSUs) equal to the product of (A) 50% of the sum of the Initial EPS CAGR Percentage and the Initial Cash RONA Percentage,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RTSR Percentage Modifier.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ILLUSTRATIVE EXAMPLE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illustration only, assume that:</w:t>
      </w:r>
    </w:p>
    <w:p>
      <w:pPr>
        <w:ind w:left="660" w:hanging="328"/>
        <w:spacing w:after="0" w:line="204" w:lineRule="auto"/>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EPS CAGR Percentage is 50%;</w:t>
      </w:r>
    </w:p>
    <w:p>
      <w:pPr>
        <w:ind w:left="660" w:hanging="328"/>
        <w:spacing w:after="0" w:line="204" w:lineRule="auto"/>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Cash RONA Percentage is 100%; and</w:t>
      </w:r>
    </w:p>
    <w:p>
      <w:pPr>
        <w:ind w:left="660" w:hanging="328"/>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RTSR Percentage Modifier is 125%.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such case, </w:t>
      </w:r>
      <w:r>
        <w:rPr>
          <w:rFonts w:ascii="Times New Roman" w:cs="Times New Roman" w:eastAsia="Times New Roman" w:hAnsi="Times New Roman"/>
          <w:sz w:val="22"/>
          <w:szCs w:val="22"/>
          <w:b w:val="1"/>
          <w:bCs w:val="1"/>
          <w:u w:val="single" w:color="auto"/>
          <w:color w:val="auto"/>
        </w:rPr>
        <w:t>93.75%</w:t>
      </w:r>
      <w:r>
        <w:rPr>
          <w:rFonts w:ascii="Times New Roman" w:cs="Times New Roman" w:eastAsia="Times New Roman" w:hAnsi="Times New Roman"/>
          <w:sz w:val="22"/>
          <w:szCs w:val="22"/>
          <w:color w:val="auto"/>
        </w:rPr>
        <w:t xml:space="preserve"> of the PSUs would be earned, calculated as follows:</w:t>
      </w:r>
    </w:p>
    <w:p>
      <w:pPr>
        <w:spacing w:after="0" w:line="241"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w w:val="97"/>
              </w:rPr>
              <w:t>(50% + 100%)</w:t>
            </w:r>
          </w:p>
        </w:tc>
        <w:tc>
          <w:tcPr>
            <w:tcW w:w="17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7"/>
              </w:rPr>
              <w:t>X 125% = 93.75%</w:t>
            </w:r>
          </w:p>
        </w:tc>
        <w:tc>
          <w:tcPr>
            <w:tcW w:w="0" w:type="dxa"/>
            <w:vAlign w:val="bottom"/>
          </w:tcPr>
          <w:p>
            <w:pPr>
              <w:spacing w:after="0"/>
              <w:rPr>
                <w:sz w:val="1"/>
                <w:szCs w:val="1"/>
                <w:color w:val="auto"/>
              </w:rPr>
            </w:pPr>
          </w:p>
        </w:tc>
      </w:tr>
      <w:tr>
        <w:trPr>
          <w:trHeight w:val="168"/>
        </w:trPr>
        <w:tc>
          <w:tcPr>
            <w:tcW w:w="1280" w:type="dxa"/>
            <w:vAlign w:val="bottom"/>
            <w:tcBorders>
              <w:top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rPr>
              <w:t>2</w:t>
            </w:r>
          </w:p>
        </w:tc>
        <w:tc>
          <w:tcPr>
            <w:tcW w:w="16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40"/>
          </w:cols>
          <w:pgMar w:left="320" w:top="1440" w:right="33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840" w:type="dxa"/>
            <w:vAlign w:val="bottom"/>
            <w:tcBorders>
              <w:left w:val="single" w:sz="8" w:color="1F497D"/>
              <w:right w:val="single" w:sz="8" w:color="1F497D"/>
            </w:tcBorders>
            <w:shd w:val="clear" w:color="auto" w:fill="1F497D"/>
          </w:tcPr>
          <w:p>
            <w:pPr>
              <w:spacing w:after="0"/>
              <w:rPr>
                <w:sz w:val="19"/>
                <w:szCs w:val="19"/>
                <w:color w:val="auto"/>
              </w:rPr>
            </w:pPr>
          </w:p>
        </w:tc>
        <w:tc>
          <w:tcPr>
            <w:tcW w:w="900" w:type="dxa"/>
            <w:vAlign w:val="bottom"/>
            <w:shd w:val="clear" w:color="auto" w:fill="1F497D"/>
          </w:tcPr>
          <w:p>
            <w:pPr>
              <w:spacing w:after="0"/>
              <w:rPr>
                <w:sz w:val="19"/>
                <w:szCs w:val="19"/>
                <w:color w:val="auto"/>
              </w:rPr>
            </w:pPr>
          </w:p>
        </w:tc>
        <w:tc>
          <w:tcPr>
            <w:tcW w:w="3800" w:type="dxa"/>
            <w:vAlign w:val="bottom"/>
            <w:tcBorders>
              <w:right w:val="single" w:sz="8" w:color="1F497D"/>
            </w:tcBorders>
            <w:gridSpan w:val="4"/>
            <w:shd w:val="clear" w:color="auto" w:fill="1F497D"/>
          </w:tcPr>
          <w:p>
            <w:pPr>
              <w:spacing w:after="0"/>
              <w:rPr>
                <w:sz w:val="20"/>
                <w:szCs w:val="20"/>
                <w:color w:val="auto"/>
              </w:rPr>
            </w:pPr>
            <w:r>
              <w:rPr>
                <w:rFonts w:ascii="Times New Roman" w:cs="Times New Roman" w:eastAsia="Times New Roman" w:hAnsi="Times New Roman"/>
                <w:sz w:val="18"/>
                <w:szCs w:val="18"/>
                <w:b w:val="1"/>
                <w:bCs w:val="1"/>
                <w:color w:val="FFFFFF"/>
              </w:rPr>
              <w:t>S&amp;P SmallCap 600 Industrials (January 1, 2023)</w:t>
            </w:r>
          </w:p>
        </w:tc>
        <w:tc>
          <w:tcPr>
            <w:tcW w:w="2660" w:type="dxa"/>
            <w:vAlign w:val="bottom"/>
            <w:tcBorders>
              <w:right w:val="single" w:sz="8" w:color="1F497D"/>
            </w:tcBorders>
            <w:shd w:val="clear" w:color="auto" w:fill="1F497D"/>
          </w:tcPr>
          <w:p>
            <w:pPr>
              <w:spacing w:after="0"/>
              <w:rPr>
                <w:sz w:val="19"/>
                <w:szCs w:val="19"/>
                <w:color w:val="auto"/>
              </w:rPr>
            </w:pPr>
          </w:p>
        </w:tc>
        <w:tc>
          <w:tcPr>
            <w:tcW w:w="1060" w:type="dxa"/>
            <w:vAlign w:val="bottom"/>
            <w:tcBorders>
              <w:right w:val="single" w:sz="8" w:color="1F497D"/>
            </w:tcBorders>
            <w:shd w:val="clear" w:color="auto" w:fill="1F497D"/>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40" w:type="dxa"/>
            <w:vAlign w:val="bottom"/>
            <w:tcBorders>
              <w:left w:val="single" w:sz="8" w:color="1F497D"/>
              <w:bottom w:val="single" w:sz="8" w:color="auto"/>
              <w:right w:val="single" w:sz="8" w:color="1F497D"/>
            </w:tcBorders>
            <w:shd w:val="clear" w:color="auto" w:fill="1F497D"/>
          </w:tcPr>
          <w:p>
            <w:pPr>
              <w:ind w:left="8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00" w:type="dxa"/>
            <w:vAlign w:val="bottom"/>
            <w:tcBorders>
              <w:bottom w:val="single" w:sz="8" w:color="auto"/>
            </w:tcBorders>
            <w:shd w:val="clear" w:color="auto" w:fill="1F497D"/>
          </w:tcPr>
          <w:p>
            <w:pPr>
              <w:ind w:left="380"/>
              <w:spacing w:after="0"/>
              <w:rPr>
                <w:sz w:val="20"/>
                <w:szCs w:val="20"/>
                <w:color w:val="auto"/>
              </w:rPr>
            </w:pPr>
            <w:r>
              <w:rPr>
                <w:rFonts w:ascii="Times New Roman" w:cs="Times New Roman" w:eastAsia="Times New Roman" w:hAnsi="Times New Roman"/>
                <w:sz w:val="18"/>
                <w:szCs w:val="18"/>
                <w:b w:val="1"/>
                <w:bCs w:val="1"/>
                <w:color w:val="FFFFFF"/>
                <w:w w:val="97"/>
              </w:rPr>
              <w:t>Ticker</w:t>
            </w:r>
          </w:p>
        </w:tc>
        <w:tc>
          <w:tcPr>
            <w:tcW w:w="60" w:type="dxa"/>
            <w:vAlign w:val="bottom"/>
            <w:tcBorders>
              <w:bottom w:val="single" w:sz="8" w:color="auto"/>
              <w:right w:val="single" w:sz="8" w:color="1F497D"/>
            </w:tcBorders>
            <w:shd w:val="clear" w:color="auto" w:fill="1F497D"/>
          </w:tcPr>
          <w:p>
            <w:pPr>
              <w:spacing w:after="0"/>
              <w:rPr>
                <w:sz w:val="20"/>
                <w:szCs w:val="20"/>
                <w:color w:val="auto"/>
              </w:rPr>
            </w:pPr>
          </w:p>
        </w:tc>
        <w:tc>
          <w:tcPr>
            <w:tcW w:w="340" w:type="dxa"/>
            <w:vAlign w:val="bottom"/>
            <w:tcBorders>
              <w:bottom w:val="single" w:sz="8" w:color="auto"/>
            </w:tcBorders>
            <w:shd w:val="clear" w:color="auto" w:fill="1F497D"/>
          </w:tcPr>
          <w:p>
            <w:pPr>
              <w:spacing w:after="0"/>
              <w:rPr>
                <w:sz w:val="20"/>
                <w:szCs w:val="20"/>
                <w:color w:val="auto"/>
              </w:rPr>
            </w:pPr>
          </w:p>
        </w:tc>
        <w:tc>
          <w:tcPr>
            <w:tcW w:w="2440" w:type="dxa"/>
            <w:vAlign w:val="bottom"/>
            <w:tcBorders>
              <w:right w:val="single" w:sz="8" w:color="1F497D"/>
            </w:tcBorders>
            <w:shd w:val="clear" w:color="auto" w:fill="1F497D"/>
          </w:tcPr>
          <w:p>
            <w:pPr>
              <w:ind w:left="8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right w:val="single" w:sz="8" w:color="1F497D"/>
            </w:tcBorders>
            <w:shd w:val="clear" w:color="auto" w:fill="1F497D"/>
          </w:tcPr>
          <w:p>
            <w:pPr>
              <w:ind w:left="200"/>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660" w:type="dxa"/>
            <w:vAlign w:val="bottom"/>
            <w:tcBorders>
              <w:bottom w:val="single" w:sz="8" w:color="auto"/>
              <w:right w:val="single" w:sz="8" w:color="1F497D"/>
            </w:tcBorders>
            <w:shd w:val="clear" w:color="auto" w:fill="1F497D"/>
          </w:tcPr>
          <w:p>
            <w:pPr>
              <w:ind w:left="6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1060" w:type="dxa"/>
            <w:vAlign w:val="bottom"/>
            <w:tcBorders>
              <w:bottom w:val="single" w:sz="8" w:color="auto"/>
              <w:right w:val="single" w:sz="8" w:color="1F497D"/>
            </w:tcBorders>
            <w:shd w:val="clear" w:color="auto" w:fill="1F497D"/>
          </w:tcPr>
          <w:p>
            <w:pPr>
              <w:ind w:left="260"/>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3D Systems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DDD</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Forward Air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FWRD</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NV5 Global,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NVEE</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AAON,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AAON</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Franklin Electric Co.,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FELE</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Aerospace Corp.</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PKE</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AAR Corp.</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AIR</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Gibraltar Industries,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PGT Innovations,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PGTI</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ABM Industries Incorporated</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ABM</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GMS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GMS</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Pitney Bowes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PBI</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Aerojet Rocketdyne Holdings,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AJRD</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Granite Construction Incorporated</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GVA</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Powell Industries,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POWL</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AeroVironment,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AVAV</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Griffon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GFF</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Proto Labs,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PRLB</w:t>
            </w:r>
          </w:p>
        </w:tc>
        <w:tc>
          <w:tcPr>
            <w:tcW w:w="0" w:type="dxa"/>
            <w:vAlign w:val="bottom"/>
          </w:tcPr>
          <w:p>
            <w:pPr>
              <w:spacing w:after="0"/>
              <w:rPr>
                <w:sz w:val="1"/>
                <w:szCs w:val="1"/>
                <w:color w:val="auto"/>
              </w:rPr>
            </w:pPr>
          </w:p>
        </w:tc>
      </w:tr>
      <w:tr>
        <w:trPr>
          <w:trHeight w:val="169"/>
        </w:trPr>
        <w:tc>
          <w:tcPr>
            <w:tcW w:w="28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Alamo Group Inc.</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ALG</w:t>
            </w:r>
          </w:p>
        </w:tc>
        <w:tc>
          <w:tcPr>
            <w:tcW w:w="60" w:type="dxa"/>
            <w:vAlign w:val="bottom"/>
            <w:tcBorders>
              <w:right w:val="single" w:sz="8" w:color="auto"/>
            </w:tcBorders>
          </w:tcPr>
          <w:p>
            <w:pPr>
              <w:spacing w:after="0"/>
              <w:rPr>
                <w:sz w:val="14"/>
                <w:szCs w:val="14"/>
                <w:color w:val="auto"/>
              </w:rPr>
            </w:pPr>
          </w:p>
        </w:tc>
        <w:tc>
          <w:tcPr>
            <w:tcW w:w="27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Harsco Corporation</w:t>
            </w:r>
          </w:p>
        </w:tc>
        <w:tc>
          <w:tcPr>
            <w:tcW w:w="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HSC</w:t>
            </w:r>
          </w:p>
        </w:tc>
        <w:tc>
          <w:tcPr>
            <w:tcW w:w="266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Quanex Building Products</w:t>
            </w:r>
          </w:p>
        </w:tc>
        <w:tc>
          <w:tcPr>
            <w:tcW w:w="1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NX</w:t>
            </w:r>
          </w:p>
        </w:tc>
        <w:tc>
          <w:tcPr>
            <w:tcW w:w="0" w:type="dxa"/>
            <w:vAlign w:val="bottom"/>
          </w:tcPr>
          <w:p>
            <w:pPr>
              <w:spacing w:after="0"/>
              <w:rPr>
                <w:sz w:val="1"/>
                <w:szCs w:val="1"/>
                <w:color w:val="auto"/>
              </w:rPr>
            </w:pPr>
          </w:p>
        </w:tc>
      </w:tr>
      <w:tr>
        <w:trPr>
          <w:trHeight w:val="148"/>
        </w:trPr>
        <w:tc>
          <w:tcPr>
            <w:tcW w:w="284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780" w:type="dxa"/>
            <w:vAlign w:val="bottom"/>
            <w:tcBorders>
              <w:right w:val="single" w:sz="8" w:color="auto"/>
            </w:tcBorders>
            <w:gridSpan w:val="2"/>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2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8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Albany International Corp.</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AIN</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Hawaiian Holdings,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Resideo Technologies,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REZI</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Allegiant Travel Company</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ALGT</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Healthcare Services Group,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HCSG</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Resources Connection,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RGP</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Woodmark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AMWD</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Heartland Express,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HTLD</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SkyWest,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SKYW</w:t>
            </w:r>
          </w:p>
        </w:tc>
        <w:tc>
          <w:tcPr>
            <w:tcW w:w="0" w:type="dxa"/>
            <w:vAlign w:val="bottom"/>
          </w:tcPr>
          <w:p>
            <w:pPr>
              <w:spacing w:after="0"/>
              <w:rPr>
                <w:sz w:val="1"/>
                <w:szCs w:val="1"/>
                <w:color w:val="auto"/>
              </w:rPr>
            </w:pPr>
          </w:p>
        </w:tc>
      </w:tr>
      <w:tr>
        <w:trPr>
          <w:trHeight w:val="169"/>
        </w:trPr>
        <w:tc>
          <w:tcPr>
            <w:tcW w:w="28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Apogee Enterprises, Inc.</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APOG</w:t>
            </w:r>
          </w:p>
        </w:tc>
        <w:tc>
          <w:tcPr>
            <w:tcW w:w="60" w:type="dxa"/>
            <w:vAlign w:val="bottom"/>
            <w:tcBorders>
              <w:right w:val="single" w:sz="8" w:color="auto"/>
            </w:tcBorders>
          </w:tcPr>
          <w:p>
            <w:pPr>
              <w:spacing w:after="0"/>
              <w:rPr>
                <w:sz w:val="14"/>
                <w:szCs w:val="14"/>
                <w:color w:val="auto"/>
              </w:rPr>
            </w:pPr>
          </w:p>
        </w:tc>
        <w:tc>
          <w:tcPr>
            <w:tcW w:w="278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Heidrick &amp; Struggles International,</w:t>
            </w:r>
          </w:p>
        </w:tc>
        <w:tc>
          <w:tcPr>
            <w:tcW w:w="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HSII</w:t>
            </w:r>
          </w:p>
        </w:tc>
        <w:tc>
          <w:tcPr>
            <w:tcW w:w="2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SPX Technologies, Inc.</w:t>
            </w:r>
          </w:p>
        </w:tc>
        <w:tc>
          <w:tcPr>
            <w:tcW w:w="1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SPXC</w:t>
            </w:r>
          </w:p>
        </w:tc>
        <w:tc>
          <w:tcPr>
            <w:tcW w:w="0" w:type="dxa"/>
            <w:vAlign w:val="bottom"/>
          </w:tcPr>
          <w:p>
            <w:pPr>
              <w:spacing w:after="0"/>
              <w:rPr>
                <w:sz w:val="1"/>
                <w:szCs w:val="1"/>
                <w:color w:val="auto"/>
              </w:rPr>
            </w:pPr>
          </w:p>
        </w:tc>
      </w:tr>
      <w:tr>
        <w:trPr>
          <w:trHeight w:val="148"/>
        </w:trPr>
        <w:tc>
          <w:tcPr>
            <w:tcW w:w="284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7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960" w:type="dxa"/>
            <w:vAlign w:val="bottom"/>
            <w:tcBorders>
              <w:right w:val="single" w:sz="8" w:color="auto"/>
            </w:tcBorders>
            <w:vMerge w:val="continue"/>
          </w:tcPr>
          <w:p>
            <w:pPr>
              <w:spacing w:after="0"/>
              <w:rPr>
                <w:sz w:val="12"/>
                <w:szCs w:val="12"/>
                <w:color w:val="auto"/>
              </w:rPr>
            </w:pPr>
          </w:p>
        </w:tc>
        <w:tc>
          <w:tcPr>
            <w:tcW w:w="266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8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780" w:type="dxa"/>
            <w:vAlign w:val="bottom"/>
            <w:tcBorders>
              <w:bottom w:val="single" w:sz="8" w:color="auto"/>
              <w:right w:val="single" w:sz="8" w:color="auto"/>
            </w:tcBorders>
            <w:gridSpan w:val="2"/>
            <w:vMerge w:val="continue"/>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Applied Industrial Technologies,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AIT</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Hillenbrand,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Standex International 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SXI</w:t>
            </w:r>
          </w:p>
        </w:tc>
        <w:tc>
          <w:tcPr>
            <w:tcW w:w="0" w:type="dxa"/>
            <w:vAlign w:val="bottom"/>
          </w:tcPr>
          <w:p>
            <w:pPr>
              <w:spacing w:after="0"/>
              <w:rPr>
                <w:sz w:val="1"/>
                <w:szCs w:val="1"/>
                <w:color w:val="auto"/>
              </w:rPr>
            </w:pPr>
          </w:p>
        </w:tc>
      </w:tr>
      <w:tr>
        <w:trPr>
          <w:trHeight w:val="169"/>
        </w:trPr>
        <w:tc>
          <w:tcPr>
            <w:tcW w:w="28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ArcBest Corporation</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ARCB</w:t>
            </w:r>
          </w:p>
        </w:tc>
        <w:tc>
          <w:tcPr>
            <w:tcW w:w="60" w:type="dxa"/>
            <w:vAlign w:val="bottom"/>
            <w:tcBorders>
              <w:right w:val="single" w:sz="8" w:color="auto"/>
            </w:tcBorders>
          </w:tcPr>
          <w:p>
            <w:pPr>
              <w:spacing w:after="0"/>
              <w:rPr>
                <w:sz w:val="14"/>
                <w:szCs w:val="14"/>
                <w:color w:val="auto"/>
              </w:rPr>
            </w:pPr>
          </w:p>
        </w:tc>
        <w:tc>
          <w:tcPr>
            <w:tcW w:w="27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HNI Corporation</w:t>
            </w:r>
          </w:p>
        </w:tc>
        <w:tc>
          <w:tcPr>
            <w:tcW w:w="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HNI</w:t>
            </w:r>
          </w:p>
        </w:tc>
        <w:tc>
          <w:tcPr>
            <w:tcW w:w="266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Sun Country Airlines Holdings,</w:t>
            </w:r>
          </w:p>
        </w:tc>
        <w:tc>
          <w:tcPr>
            <w:tcW w:w="1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SNCY</w:t>
            </w:r>
          </w:p>
        </w:tc>
        <w:tc>
          <w:tcPr>
            <w:tcW w:w="0" w:type="dxa"/>
            <w:vAlign w:val="bottom"/>
          </w:tcPr>
          <w:p>
            <w:pPr>
              <w:spacing w:after="0"/>
              <w:rPr>
                <w:sz w:val="1"/>
                <w:szCs w:val="1"/>
                <w:color w:val="auto"/>
              </w:rPr>
            </w:pPr>
          </w:p>
        </w:tc>
      </w:tr>
      <w:tr>
        <w:trPr>
          <w:trHeight w:val="148"/>
        </w:trPr>
        <w:tc>
          <w:tcPr>
            <w:tcW w:w="284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780" w:type="dxa"/>
            <w:vAlign w:val="bottom"/>
            <w:tcBorders>
              <w:right w:val="single" w:sz="8" w:color="auto"/>
            </w:tcBorders>
            <w:gridSpan w:val="2"/>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2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8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Arcosa,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ACA</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Hub Group,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HUBG</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Tennant Company</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TNC</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Astec Industries,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ASTE</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Insteel Industries,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IIIN</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GEO Group,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GEO</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Atlas Air Worldwide Holdings,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AAWW</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Interface,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TILE</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Greenbrier Companies,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GBX</w:t>
            </w:r>
          </w:p>
        </w:tc>
        <w:tc>
          <w:tcPr>
            <w:tcW w:w="0" w:type="dxa"/>
            <w:vAlign w:val="bottom"/>
          </w:tcPr>
          <w:p>
            <w:pPr>
              <w:spacing w:after="0"/>
              <w:rPr>
                <w:sz w:val="1"/>
                <w:szCs w:val="1"/>
                <w:color w:val="auto"/>
              </w:rPr>
            </w:pPr>
          </w:p>
        </w:tc>
      </w:tr>
      <w:tr>
        <w:trPr>
          <w:trHeight w:val="169"/>
        </w:trPr>
        <w:tc>
          <w:tcPr>
            <w:tcW w:w="28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AZZ Inc.</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AZZ</w:t>
            </w:r>
          </w:p>
        </w:tc>
        <w:tc>
          <w:tcPr>
            <w:tcW w:w="60" w:type="dxa"/>
            <w:vAlign w:val="bottom"/>
            <w:tcBorders>
              <w:right w:val="single" w:sz="8" w:color="auto"/>
            </w:tcBorders>
          </w:tcPr>
          <w:p>
            <w:pPr>
              <w:spacing w:after="0"/>
              <w:rPr>
                <w:sz w:val="14"/>
                <w:szCs w:val="14"/>
                <w:color w:val="auto"/>
              </w:rPr>
            </w:pPr>
          </w:p>
        </w:tc>
        <w:tc>
          <w:tcPr>
            <w:tcW w:w="278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John Bean Technologies</w:t>
            </w:r>
          </w:p>
        </w:tc>
        <w:tc>
          <w:tcPr>
            <w:tcW w:w="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JBT</w:t>
            </w:r>
          </w:p>
        </w:tc>
        <w:tc>
          <w:tcPr>
            <w:tcW w:w="2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Titan International, Inc.</w:t>
            </w:r>
          </w:p>
        </w:tc>
        <w:tc>
          <w:tcPr>
            <w:tcW w:w="10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TWI</w:t>
            </w:r>
          </w:p>
        </w:tc>
        <w:tc>
          <w:tcPr>
            <w:tcW w:w="0" w:type="dxa"/>
            <w:vAlign w:val="bottom"/>
          </w:tcPr>
          <w:p>
            <w:pPr>
              <w:spacing w:after="0"/>
              <w:rPr>
                <w:sz w:val="1"/>
                <w:szCs w:val="1"/>
                <w:color w:val="auto"/>
              </w:rPr>
            </w:pPr>
          </w:p>
        </w:tc>
      </w:tr>
      <w:tr>
        <w:trPr>
          <w:trHeight w:val="149"/>
        </w:trPr>
        <w:tc>
          <w:tcPr>
            <w:tcW w:w="284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7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960" w:type="dxa"/>
            <w:vAlign w:val="bottom"/>
            <w:tcBorders>
              <w:right w:val="single" w:sz="8" w:color="auto"/>
            </w:tcBorders>
            <w:vMerge w:val="continue"/>
          </w:tcPr>
          <w:p>
            <w:pPr>
              <w:spacing w:after="0"/>
              <w:rPr>
                <w:sz w:val="12"/>
                <w:szCs w:val="12"/>
                <w:color w:val="auto"/>
              </w:rPr>
            </w:pPr>
          </w:p>
        </w:tc>
        <w:tc>
          <w:tcPr>
            <w:tcW w:w="266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8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780" w:type="dxa"/>
            <w:vAlign w:val="bottom"/>
            <w:tcBorders>
              <w:bottom w:val="single" w:sz="8" w:color="auto"/>
              <w:right w:val="single" w:sz="8" w:color="auto"/>
            </w:tcBorders>
            <w:gridSpan w:val="2"/>
            <w:vMerge w:val="continue"/>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Barnes Group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Kaman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KAMN</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Trinity Industries,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TRN</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Boise Cascade Company</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BCC</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KAR Auction Services,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KAR</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Triumph Group,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TGI</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Brady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BRC</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Kelly Services,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KELY.A</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TrueBlue,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TBI</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CIRCOR International,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CIR</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Korn Ferry</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KFY</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UFP Industries,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UFPI</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Comfort Systems USA,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FIX</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Lindsay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LNN</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UniFirst 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UNF</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CoreCivic,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CXW</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Marten Transport, Ltd.</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MRTN</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Veritiv 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VRTV</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Deluxe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DLX</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MasterBrand,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MBC</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Viad Corp</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VVI</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DXP Enterprises,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DXPE</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Matson,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MATX</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Wabash National 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WNC</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Encore Wire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WIRE</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Matthews International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MATW</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Enerpac Tool Group Corp.</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EPAC</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MillerKnoll,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MLKN</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EnPro Industries,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NPO</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Moog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MOG.A</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ESCO Technologies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ESE</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Mueller Industries,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MLI</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Exponent,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EXPO</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MYR Group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MYRG</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Federal Signal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FSS</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National Presto Industries,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NPK</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Forrester Research,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FORR</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NOW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DNOW</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-5596890</wp:posOffset>
            </wp:positionV>
            <wp:extent cx="2383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1260"/>
          </w:cols>
          <w:pgMar w:left="320" w:top="1391" w:right="319" w:bottom="1440" w:gutter="0" w:footer="0" w:header="0"/>
        </w:sectPr>
      </w:pPr>
    </w:p>
    <w:bookmarkStart w:id="56" w:name="page57"/>
    <w:bookmarkEnd w:id="56"/>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GLOSSARY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0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7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79" w:lineRule="exact"/>
        <w:rPr>
          <w:sz w:val="20"/>
          <w:szCs w:val="20"/>
          <w:color w:val="auto"/>
        </w:rPr>
      </w:pPr>
    </w:p>
    <w:p>
      <w:pPr>
        <w:ind w:left="1300" w:hanging="644"/>
        <w:spacing w:after="0" w:line="236" w:lineRule="auto"/>
        <w:tabs>
          <w:tab w:leader="none" w:pos="115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77" w:lineRule="exact"/>
        <w:rPr>
          <w:rFonts w:ascii="Times New Roman" w:cs="Times New Roman" w:eastAsia="Times New Roman" w:hAnsi="Times New Roman"/>
          <w:sz w:val="22"/>
          <w:szCs w:val="22"/>
          <w:color w:val="auto"/>
        </w:rPr>
      </w:pPr>
    </w:p>
    <w:p>
      <w:pPr>
        <w:ind w:left="1300" w:right="20" w:hanging="644"/>
        <w:spacing w:after="0" w:line="236" w:lineRule="auto"/>
        <w:tabs>
          <w:tab w:leader="none" w:pos="121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7" w:lineRule="exact"/>
        <w:rPr>
          <w:rFonts w:ascii="Times New Roman" w:cs="Times New Roman" w:eastAsia="Times New Roman" w:hAnsi="Times New Roman"/>
          <w:sz w:val="22"/>
          <w:szCs w:val="22"/>
          <w:color w:val="auto"/>
        </w:rPr>
      </w:pPr>
    </w:p>
    <w:p>
      <w:pPr>
        <w:ind w:left="1300" w:hanging="644"/>
        <w:spacing w:after="0" w:line="225" w:lineRule="auto"/>
        <w:tabs>
          <w:tab w:leader="none" w:pos="110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79" w:lineRule="exact"/>
        <w:rPr>
          <w:sz w:val="20"/>
          <w:szCs w:val="20"/>
          <w:color w:val="auto"/>
        </w:rPr>
      </w:pPr>
    </w:p>
    <w:p>
      <w:pPr>
        <w:jc w:val="both"/>
        <w:ind w:left="660"/>
        <w:spacing w:after="0" w:line="21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240"/>
          </w:cols>
          <w:pgMar w:left="320" w:top="1440" w:right="339" w:bottom="1440" w:gutter="0" w:footer="0" w:header="0"/>
        </w:sectPr>
      </w:pPr>
    </w:p>
    <w:bookmarkStart w:id="57" w:name="page58"/>
    <w:bookmarkEnd w:id="57"/>
    <w:p>
      <w:pPr>
        <w:ind w:left="660"/>
        <w:spacing w:after="0" w:line="236" w:lineRule="auto"/>
        <w:rPr>
          <w:sz w:val="20"/>
          <w:szCs w:val="20"/>
          <w:color w:val="auto"/>
        </w:rPr>
      </w:pPr>
      <w:r>
        <w:rPr>
          <w:rFonts w:ascii="Times New Roman" w:cs="Times New Roman" w:eastAsia="Times New Roman" w:hAnsi="Times New Roman"/>
          <w:sz w:val="22"/>
          <w:szCs w:val="22"/>
          <w:color w:val="auto"/>
        </w:rPr>
        <w:t>examination properly requested by the Committee or the Company, then in any such event Grantee shall be deemed to have recovered from such Disability.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60" w:hanging="504"/>
        <w:spacing w:after="0"/>
        <w:tabs>
          <w:tab w:leader="none" w:pos="11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25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50"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19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77" w:lineRule="exact"/>
        <w:rPr>
          <w:sz w:val="20"/>
          <w:szCs w:val="20"/>
          <w:color w:val="auto"/>
        </w:rPr>
      </w:pPr>
    </w:p>
    <w:p>
      <w:pPr>
        <w:ind w:left="1080" w:hanging="424"/>
        <w:spacing w:after="0"/>
        <w:tabs>
          <w:tab w:leader="none" w:pos="10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17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179" w:lineRule="exact"/>
        <w:rPr>
          <w:rFonts w:ascii="Times New Roman" w:cs="Times New Roman" w:eastAsia="Times New Roman" w:hAnsi="Times New Roman"/>
          <w:sz w:val="22"/>
          <w:szCs w:val="22"/>
          <w:color w:val="auto"/>
        </w:rPr>
      </w:pPr>
    </w:p>
    <w:p>
      <w:pPr>
        <w:ind w:left="760" w:hanging="536"/>
        <w:spacing w:after="0"/>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0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0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1240"/>
          </w:cols>
          <w:pgMar w:left="320" w:top="1395" w:right="339" w:bottom="1440" w:gutter="0" w:footer="0" w:header="0"/>
        </w:sectPr>
      </w:pPr>
    </w:p>
    <w:bookmarkStart w:id="58" w:name="page59"/>
    <w:bookmarkEnd w:id="5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1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2017 Equity and Incentive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to you under the TriMas Corporation 2017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UK Sub-Plan</w:t>
      </w:r>
      <w:r>
        <w:rPr>
          <w:rFonts w:ascii="Times New Roman" w:cs="Times New Roman" w:eastAsia="Times New Roman" w:hAnsi="Times New Roman"/>
          <w:sz w:val="22"/>
          <w:szCs w:val="22"/>
          <w:color w:val="auto"/>
        </w:rPr>
        <w:t>. Your grant of PSUs is being made pursuant to the UK Sub-Plan, which contains additional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govern your PSUs and participation in the Plan. Please review that document carefully.</w:t>
      </w:r>
    </w:p>
    <w:p>
      <w:pPr>
        <w:spacing w:after="0" w:line="17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B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Retirement. </w:t>
      </w:r>
      <w:r>
        <w:rPr>
          <w:rFonts w:ascii="Times New Roman" w:cs="Times New Roman" w:eastAsia="Times New Roman" w:hAnsi="Times New Roman"/>
          <w:sz w:val="22"/>
          <w:szCs w:val="22"/>
          <w:color w:val="auto"/>
        </w:rPr>
        <w:t>For purposes of the Agreement, the definition of “Retirement” in Appendix B hereto shall not apply.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II.A.6(e) of the Agreement is hereby amended in its entirety to read as follows:</w:t>
      </w:r>
    </w:p>
    <w:p>
      <w:pPr>
        <w:spacing w:after="0" w:line="173"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prior to the Settlement Date due to Grantee’s retirement,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10"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“Grantee shall be notionally credited with cash per PSU equal to the amount of each cash dividend paid by the Company (if any) to holders of Common Stock generally with a record date occurring on or after the Date of Grant and prior to the time when the PSUs are earned and/or vest and are settled in accordance with Section II.A.7 hereof. Any amounts notionally credited pursuant to the immediately preceding sentence shall be subject to the same applicable terms and conditions (including earning, vesting, payment, and forfeitability) as apply to the PSUs based on which the dividend equivalents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viii</w:t>
      </w:r>
    </w:p>
    <w:p>
      <w:pPr>
        <w:sectPr>
          <w:pgSz w:w="11900" w:h="16838" w:orient="portrait"/>
          <w:cols w:equalWidth="0" w:num="1">
            <w:col w:w="11240"/>
          </w:cols>
          <w:pgMar w:left="320" w:top="1440" w:right="339" w:bottom="1440" w:gutter="0" w:footer="0" w:header="0"/>
        </w:sectPr>
      </w:pPr>
    </w:p>
    <w:bookmarkStart w:id="59" w:name="page60"/>
    <w:bookmarkEnd w:id="59"/>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notionally credited, and such amounts shall be paid in Common Stock at the same time as the PSUs to which they relate. The number of shares so paid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PSUs (or the Common Stock representing the same, as the case may be) either legally or beneficially unless and until Grantee becomes entitled to receive the actual Common Stock in respect of this Award pursuant to Section II.A.7 of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06" w:lineRule="exact"/>
        <w:rPr>
          <w:sz w:val="20"/>
          <w:szCs w:val="20"/>
          <w:color w:val="auto"/>
        </w:rPr>
      </w:pPr>
    </w:p>
    <w:p>
      <w:pPr>
        <w:ind w:left="1960" w:right="640" w:hanging="656"/>
        <w:spacing w:after="0" w:line="220" w:lineRule="auto"/>
        <w:tabs>
          <w:tab w:leader="none" w:pos="175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earning and/or vesting of this Award (or which would not otherwise have arisen but for the grant of this Award to Grantee); and</w:t>
      </w:r>
    </w:p>
    <w:p>
      <w:pPr>
        <w:spacing w:after="0" w:line="179" w:lineRule="exact"/>
        <w:rPr>
          <w:rFonts w:ascii="Times New Roman" w:cs="Times New Roman" w:eastAsia="Times New Roman" w:hAnsi="Times New Roman"/>
          <w:sz w:val="22"/>
          <w:szCs w:val="22"/>
          <w:color w:val="auto"/>
        </w:rPr>
      </w:pPr>
    </w:p>
    <w:p>
      <w:pPr>
        <w:jc w:val="right"/>
        <w:ind w:left="1960" w:right="640" w:hanging="656"/>
        <w:spacing w:after="0" w:line="219" w:lineRule="auto"/>
        <w:tabs>
          <w:tab w:leader="none" w:pos="179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w:t>
      </w:r>
    </w:p>
    <w:p>
      <w:pPr>
        <w:ind w:left="1960"/>
        <w:spacing w:after="0" w:line="207" w:lineRule="auto"/>
        <w:rPr>
          <w:sz w:val="20"/>
          <w:szCs w:val="20"/>
          <w:color w:val="auto"/>
        </w:rPr>
      </w:pPr>
      <w:r>
        <w:rPr>
          <w:rFonts w:ascii="Times New Roman" w:cs="Times New Roman" w:eastAsia="Times New Roman" w:hAnsi="Times New Roman"/>
          <w:sz w:val="22"/>
          <w:szCs w:val="22"/>
          <w:color w:val="auto"/>
        </w:rPr>
        <w:t>by Grantee,</w:t>
      </w:r>
    </w:p>
    <w:p>
      <w:pPr>
        <w:jc w:val="both"/>
        <w:ind w:left="660" w:right="640" w:hanging="381"/>
        <w:spacing w:after="0" w:line="208"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187" w:lineRule="exact"/>
        <w:rPr>
          <w:sz w:val="20"/>
          <w:szCs w:val="20"/>
          <w:color w:val="auto"/>
        </w:rPr>
      </w:pPr>
    </w:p>
    <w:p>
      <w:pPr>
        <w:jc w:val="both"/>
        <w:ind w:left="660" w:right="640" w:hanging="406"/>
        <w:spacing w:after="0" w:line="217"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ix</w:t>
      </w:r>
    </w:p>
    <w:p>
      <w:pPr>
        <w:sectPr>
          <w:pgSz w:w="11900" w:h="16838" w:orient="portrait"/>
          <w:cols w:equalWidth="0" w:num="1">
            <w:col w:w="11240"/>
          </w:cols>
          <w:pgMar w:left="320" w:top="1395" w:right="339" w:bottom="1440" w:gutter="0" w:footer="0" w:header="0"/>
        </w:sectPr>
      </w:pPr>
    </w:p>
    <w:bookmarkStart w:id="60" w:name="page61"/>
    <w:bookmarkEnd w:id="60"/>
    <w:p>
      <w:pPr>
        <w:ind w:left="660"/>
        <w:spacing w:after="0" w:line="236" w:lineRule="auto"/>
        <w:rPr>
          <w:sz w:val="20"/>
          <w:szCs w:val="20"/>
          <w:color w:val="auto"/>
        </w:rPr>
      </w:pPr>
      <w:r>
        <w:rPr>
          <w:rFonts w:ascii="Times New Roman" w:cs="Times New Roman" w:eastAsia="Times New Roman" w:hAnsi="Times New Roman"/>
          <w:sz w:val="22"/>
          <w:szCs w:val="22"/>
          <w:color w:val="auto"/>
        </w:rPr>
        <w:t>issued the number of shares of Common Stock so withheld in order to make good the amounts due under (i) above.</w:t>
      </w:r>
    </w:p>
    <w:p>
      <w:pPr>
        <w:spacing w:after="0" w:line="177" w:lineRule="exact"/>
        <w:rPr>
          <w:sz w:val="20"/>
          <w:szCs w:val="20"/>
          <w:color w:val="auto"/>
        </w:rPr>
      </w:pPr>
    </w:p>
    <w:p>
      <w:pPr>
        <w:jc w:val="both"/>
        <w:ind w:left="660" w:right="20" w:hanging="428"/>
        <w:spacing w:after="0" w:line="225"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79" w:lineRule="exact"/>
        <w:rPr>
          <w:sz w:val="20"/>
          <w:szCs w:val="20"/>
          <w:color w:val="auto"/>
        </w:rPr>
      </w:pPr>
    </w:p>
    <w:p>
      <w:pPr>
        <w:jc w:val="both"/>
        <w:ind w:left="660" w:right="20" w:hanging="401"/>
        <w:spacing w:after="0" w:line="217"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The last sentence of Section II.B.3(b) is hereby amended in its entirety to read as follows:</w:t>
      </w:r>
    </w:p>
    <w:p>
      <w:pPr>
        <w:spacing w:after="0" w:line="210" w:lineRule="exact"/>
        <w:rPr>
          <w:sz w:val="20"/>
          <w:szCs w:val="20"/>
          <w:color w:val="auto"/>
        </w:rPr>
      </w:pPr>
    </w:p>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nothing in this Agreement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06" w:lineRule="exact"/>
        <w:rPr>
          <w:sz w:val="20"/>
          <w:szCs w:val="20"/>
          <w:color w:val="auto"/>
        </w:rPr>
      </w:pPr>
    </w:p>
    <w:p>
      <w:pPr>
        <w:jc w:val="both"/>
        <w:ind w:left="660" w:hanging="330"/>
        <w:spacing w:after="0" w:line="216"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179" w:lineRule="exact"/>
        <w:rPr>
          <w:sz w:val="20"/>
          <w:szCs w:val="20"/>
          <w:color w:val="auto"/>
        </w:rPr>
      </w:pPr>
    </w:p>
    <w:p>
      <w:pPr>
        <w:ind w:left="1280" w:right="20" w:hanging="644"/>
        <w:spacing w:after="0" w:line="236" w:lineRule="auto"/>
        <w:tabs>
          <w:tab w:leader="none" w:pos="11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150" w:lineRule="exact"/>
        <w:rPr>
          <w:rFonts w:ascii="Times New Roman" w:cs="Times New Roman" w:eastAsia="Times New Roman" w:hAnsi="Times New Roman"/>
          <w:sz w:val="22"/>
          <w:szCs w:val="22"/>
          <w:color w:val="auto"/>
        </w:rPr>
      </w:pPr>
    </w:p>
    <w:p>
      <w:pPr>
        <w:ind w:left="1280" w:hanging="644"/>
        <w:spacing w:after="0" w:line="236" w:lineRule="auto"/>
        <w:tabs>
          <w:tab w:leader="none" w:pos="132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0" w:lineRule="exact"/>
        <w:rPr>
          <w:rFonts w:ascii="Times New Roman" w:cs="Times New Roman" w:eastAsia="Times New Roman" w:hAnsi="Times New Roman"/>
          <w:sz w:val="22"/>
          <w:szCs w:val="22"/>
          <w:color w:val="auto"/>
        </w:rPr>
      </w:pPr>
    </w:p>
    <w:p>
      <w:pPr>
        <w:ind w:left="1180" w:hanging="544"/>
        <w:spacing w:after="0"/>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x</w:t>
      </w:r>
    </w:p>
    <w:p>
      <w:pPr>
        <w:sectPr>
          <w:pgSz w:w="11900" w:h="16838" w:orient="portrait"/>
          <w:cols w:equalWidth="0" w:num="1">
            <w:col w:w="10600"/>
          </w:cols>
          <w:pgMar w:left="320" w:top="1395" w:right="979" w:bottom="1440" w:gutter="0" w:footer="0" w:header="0"/>
        </w:sectPr>
      </w:pPr>
    </w:p>
    <w:bookmarkStart w:id="61" w:name="page62"/>
    <w:bookmarkEnd w:id="61"/>
    <w:p>
      <w:pPr>
        <w:ind w:left="1160" w:hanging="524"/>
        <w:spacing w:after="0"/>
        <w:tabs>
          <w:tab w:leader="none" w:pos="11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179"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17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179"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179" w:lineRule="exact"/>
        <w:rPr>
          <w:rFonts w:ascii="Times New Roman" w:cs="Times New Roman" w:eastAsia="Times New Roman" w:hAnsi="Times New Roman"/>
          <w:sz w:val="22"/>
          <w:szCs w:val="22"/>
          <w:color w:val="auto"/>
        </w:rPr>
      </w:pPr>
    </w:p>
    <w:p>
      <w:pPr>
        <w:ind w:left="1280" w:right="20" w:hanging="644"/>
        <w:spacing w:after="0" w:line="236" w:lineRule="auto"/>
        <w:tabs>
          <w:tab w:leader="none" w:pos="130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50" w:lineRule="exact"/>
        <w:rPr>
          <w:rFonts w:ascii="Times New Roman" w:cs="Times New Roman" w:eastAsia="Times New Roman" w:hAnsi="Times New Roman"/>
          <w:sz w:val="22"/>
          <w:szCs w:val="22"/>
          <w:color w:val="auto"/>
        </w:rPr>
      </w:pPr>
    </w:p>
    <w:p>
      <w:pPr>
        <w:ind w:left="1280" w:hanging="644"/>
        <w:spacing w:after="0" w:line="236" w:lineRule="auto"/>
        <w:tabs>
          <w:tab w:leader="none" w:pos="122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0"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17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179" w:lineRule="exact"/>
        <w:rPr>
          <w:rFonts w:ascii="Times New Roman" w:cs="Times New Roman" w:eastAsia="Times New Roman" w:hAnsi="Times New Roman"/>
          <w:sz w:val="22"/>
          <w:szCs w:val="22"/>
          <w:color w:val="auto"/>
        </w:rPr>
      </w:pPr>
    </w:p>
    <w:p>
      <w:pPr>
        <w:jc w:val="both"/>
        <w:ind w:left="1280" w:right="20" w:hanging="644"/>
        <w:spacing w:after="0" w:line="217" w:lineRule="auto"/>
        <w:tabs>
          <w:tab w:leader="none" w:pos="12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52" w:lineRule="exact"/>
        <w:rPr>
          <w:rFonts w:ascii="Times New Roman" w:cs="Times New Roman" w:eastAsia="Times New Roman" w:hAnsi="Times New Roman"/>
          <w:sz w:val="22"/>
          <w:szCs w:val="22"/>
          <w:color w:val="auto"/>
        </w:rPr>
      </w:pPr>
    </w:p>
    <w:p>
      <w:pPr>
        <w:ind w:left="1280" w:right="20" w:hanging="644"/>
        <w:spacing w:after="0" w:line="236" w:lineRule="auto"/>
        <w:tabs>
          <w:tab w:leader="none" w:pos="132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50"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52"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ind w:left="1300" w:right="20"/>
        <w:spacing w:after="0" w:line="235" w:lineRule="auto"/>
        <w:rPr>
          <w:sz w:val="20"/>
          <w:szCs w:val="20"/>
          <w:color w:val="auto"/>
        </w:rPr>
      </w:pPr>
      <w:r>
        <w:rPr>
          <w:rFonts w:ascii="Times New Roman" w:cs="Times New Roman" w:eastAsia="Times New Roman" w:hAnsi="Times New Roman"/>
          <w:sz w:val="21"/>
          <w:szCs w:val="21"/>
          <w:color w:val="auto"/>
        </w:rPr>
        <w:t>“(1)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means (A) during the Grantee’s employment with the Company, the Company and any and all direct and indirect subsidiary, parent, affiliated or related companies of the Company for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xi</w:t>
      </w:r>
    </w:p>
    <w:p>
      <w:pPr>
        <w:sectPr>
          <w:pgSz w:w="11900" w:h="16838" w:orient="portrait"/>
          <w:cols w:equalWidth="0" w:num="1">
            <w:col w:w="10600"/>
          </w:cols>
          <w:pgMar w:left="320" w:top="1395" w:right="979" w:bottom="1440" w:gutter="0" w:footer="0" w:header="0"/>
        </w:sectPr>
      </w:pPr>
    </w:p>
    <w:bookmarkStart w:id="62" w:name="page63"/>
    <w:bookmarkEnd w:id="62"/>
    <w:p>
      <w:pPr>
        <w:jc w:val="both"/>
        <w:ind w:left="180"/>
        <w:spacing w:after="0" w:line="217" w:lineRule="auto"/>
        <w:rPr>
          <w:sz w:val="20"/>
          <w:szCs w:val="20"/>
          <w:color w:val="auto"/>
        </w:rPr>
      </w:pPr>
      <w:r>
        <w:rPr>
          <w:rFonts w:ascii="Times New Roman" w:cs="Times New Roman" w:eastAsia="Times New Roman" w:hAnsi="Times New Roman"/>
          <w:sz w:val="22"/>
          <w:szCs w:val="22"/>
          <w:color w:val="auto"/>
        </w:rPr>
        <w:t>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sz w:val="20"/>
          <w:szCs w:val="20"/>
          <w:color w:val="auto"/>
        </w:rPr>
      </w:pPr>
    </w:p>
    <w:p>
      <w:pPr>
        <w:jc w:val="both"/>
        <w:ind w:left="180" w:right="20" w:firstLine="4"/>
        <w:spacing w:after="0" w:line="227" w:lineRule="auto"/>
        <w:tabs>
          <w:tab w:leader="none" w:pos="52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46" w:lineRule="exact"/>
        <w:rPr>
          <w:rFonts w:ascii="Times New Roman" w:cs="Times New Roman" w:eastAsia="Times New Roman" w:hAnsi="Times New Roman"/>
          <w:sz w:val="22"/>
          <w:szCs w:val="22"/>
          <w:color w:val="auto"/>
        </w:rPr>
      </w:pPr>
    </w:p>
    <w:p>
      <w:pPr>
        <w:jc w:val="both"/>
        <w:ind w:left="180" w:firstLine="4"/>
        <w:spacing w:after="0" w:line="209" w:lineRule="auto"/>
        <w:tabs>
          <w:tab w:leader="none" w:pos="85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5" w:lineRule="exact"/>
        <w:rPr>
          <w:rFonts w:ascii="Times New Roman" w:cs="Times New Roman" w:eastAsia="Times New Roman" w:hAnsi="Times New Roman"/>
          <w:sz w:val="22"/>
          <w:szCs w:val="22"/>
          <w:color w:val="auto"/>
        </w:rPr>
      </w:pPr>
    </w:p>
    <w:p>
      <w:pPr>
        <w:jc w:val="both"/>
        <w:ind w:left="180" w:right="20" w:firstLine="4"/>
        <w:spacing w:after="0" w:line="227" w:lineRule="auto"/>
        <w:tabs>
          <w:tab w:leader="none" w:pos="76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46" w:lineRule="exact"/>
        <w:rPr>
          <w:rFonts w:ascii="Times New Roman" w:cs="Times New Roman" w:eastAsia="Times New Roman" w:hAnsi="Times New Roman"/>
          <w:sz w:val="22"/>
          <w:szCs w:val="22"/>
          <w:color w:val="auto"/>
        </w:rPr>
      </w:pPr>
    </w:p>
    <w:p>
      <w:pPr>
        <w:ind w:left="180" w:right="20" w:firstLine="4"/>
        <w:spacing w:after="0" w:line="238" w:lineRule="auto"/>
        <w:tabs>
          <w:tab w:leader="none" w:pos="7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46" w:lineRule="exact"/>
        <w:rPr>
          <w:rFonts w:ascii="Times New Roman" w:cs="Times New Roman" w:eastAsia="Times New Roman" w:hAnsi="Times New Roman"/>
          <w:sz w:val="22"/>
          <w:szCs w:val="22"/>
          <w:color w:val="auto"/>
        </w:rPr>
      </w:pPr>
    </w:p>
    <w:p>
      <w:pPr>
        <w:jc w:val="both"/>
        <w:ind w:left="180" w:right="20" w:firstLine="4"/>
        <w:spacing w:after="0" w:line="221" w:lineRule="auto"/>
        <w:tabs>
          <w:tab w:leader="none" w:pos="6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48" w:lineRule="exact"/>
        <w:rPr>
          <w:rFonts w:ascii="Times New Roman" w:cs="Times New Roman" w:eastAsia="Times New Roman" w:hAnsi="Times New Roman"/>
          <w:sz w:val="22"/>
          <w:szCs w:val="22"/>
          <w:color w:val="auto"/>
        </w:rPr>
      </w:pPr>
    </w:p>
    <w:p>
      <w:pPr>
        <w:jc w:val="both"/>
        <w:ind w:left="180" w:right="20" w:firstLine="4"/>
        <w:spacing w:after="0" w:line="227" w:lineRule="auto"/>
        <w:tabs>
          <w:tab w:leader="none" w:pos="6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xii</w:t>
      </w:r>
    </w:p>
    <w:p>
      <w:pPr>
        <w:sectPr>
          <w:pgSz w:w="11900" w:h="16838" w:orient="portrait"/>
          <w:cols w:equalWidth="0" w:num="1">
            <w:col w:w="9480"/>
          </w:cols>
          <w:pgMar w:left="1440" w:top="1395" w:right="979" w:bottom="1440" w:gutter="0" w:footer="0" w:header="0"/>
        </w:sectPr>
      </w:pPr>
    </w:p>
    <w:bookmarkStart w:id="63" w:name="page64"/>
    <w:bookmarkEnd w:id="63"/>
    <w:p>
      <w:pPr>
        <w:jc w:val="both"/>
        <w:ind w:left="1300" w:right="660" w:firstLine="4"/>
        <w:spacing w:after="0" w:line="227" w:lineRule="auto"/>
        <w:tabs>
          <w:tab w:leader="none" w:pos="180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46" w:lineRule="exact"/>
        <w:rPr>
          <w:rFonts w:ascii="Times New Roman" w:cs="Times New Roman" w:eastAsia="Times New Roman" w:hAnsi="Times New Roman"/>
          <w:sz w:val="22"/>
          <w:szCs w:val="22"/>
          <w:color w:val="auto"/>
        </w:rPr>
      </w:pPr>
    </w:p>
    <w:p>
      <w:pPr>
        <w:jc w:val="both"/>
        <w:ind w:left="1300" w:right="640" w:firstLine="4"/>
        <w:spacing w:after="0" w:line="227" w:lineRule="auto"/>
        <w:tabs>
          <w:tab w:leader="none" w:pos="182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46" w:lineRule="exact"/>
        <w:rPr>
          <w:rFonts w:ascii="Times New Roman" w:cs="Times New Roman" w:eastAsia="Times New Roman" w:hAnsi="Times New Roman"/>
          <w:sz w:val="22"/>
          <w:szCs w:val="22"/>
          <w:color w:val="auto"/>
        </w:rPr>
      </w:pPr>
    </w:p>
    <w:p>
      <w:pPr>
        <w:jc w:val="both"/>
        <w:ind w:left="1300" w:right="660" w:firstLine="4"/>
        <w:spacing w:after="0" w:line="221" w:lineRule="auto"/>
        <w:tabs>
          <w:tab w:leader="none" w:pos="197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II.B.17 is added to the Agreement to read as follows:</w:t>
      </w:r>
    </w:p>
    <w:p>
      <w:pPr>
        <w:spacing w:after="0" w:line="210" w:lineRule="exact"/>
        <w:rPr>
          <w:sz w:val="20"/>
          <w:szCs w:val="20"/>
          <w:color w:val="auto"/>
        </w:rPr>
      </w:pPr>
    </w:p>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179" w:lineRule="exact"/>
        <w:rPr>
          <w:sz w:val="20"/>
          <w:szCs w:val="20"/>
          <w:color w:val="auto"/>
        </w:rPr>
      </w:pPr>
    </w:p>
    <w:p>
      <w:pPr>
        <w:ind w:left="1940" w:hanging="312"/>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179" w:lineRule="exact"/>
        <w:rPr>
          <w:rFonts w:ascii="Times New Roman" w:cs="Times New Roman" w:eastAsia="Times New Roman" w:hAnsi="Times New Roman"/>
          <w:sz w:val="18"/>
          <w:szCs w:val="18"/>
          <w:color w:val="auto"/>
        </w:rPr>
      </w:pPr>
    </w:p>
    <w:p>
      <w:pPr>
        <w:ind w:left="1960" w:hanging="332"/>
        <w:spacing w:after="0" w:line="236" w:lineRule="auto"/>
        <w:tabs>
          <w:tab w:leader="none" w:pos="19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xiii</w:t>
      </w:r>
    </w:p>
    <w:p>
      <w:pPr>
        <w:sectPr>
          <w:pgSz w:w="11900" w:h="16838" w:orient="portrait"/>
          <w:cols w:equalWidth="0" w:num="1">
            <w:col w:w="11240"/>
          </w:cols>
          <w:pgMar w:left="320" w:top="1391" w:right="339" w:bottom="1440" w:gutter="0" w:footer="0" w:header="0"/>
        </w:sectPr>
      </w:pPr>
    </w:p>
    <w:bookmarkStart w:id="64" w:name="page65"/>
    <w:bookmarkEnd w:id="64"/>
    <w:p>
      <w:pPr>
        <w:ind w:left="840" w:hanging="332"/>
        <w:spacing w:after="0" w:line="236" w:lineRule="auto"/>
        <w:tabs>
          <w:tab w:leader="none" w:pos="8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50" w:lineRule="exact"/>
        <w:rPr>
          <w:sz w:val="20"/>
          <w:szCs w:val="20"/>
          <w:color w:val="auto"/>
        </w:rPr>
      </w:pPr>
    </w:p>
    <w:p>
      <w:pPr>
        <w:ind w:left="180"/>
        <w:spacing w:after="0" w:line="236"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179" w:lineRule="exact"/>
        <w:rPr>
          <w:sz w:val="20"/>
          <w:szCs w:val="20"/>
          <w:color w:val="auto"/>
        </w:rPr>
      </w:pPr>
    </w:p>
    <w:p>
      <w:pPr>
        <w:ind w:left="840" w:right="20" w:hanging="332"/>
        <w:spacing w:after="0" w:line="236" w:lineRule="auto"/>
        <w:tabs>
          <w:tab w:leader="none" w:pos="8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50" w:lineRule="exact"/>
        <w:rPr>
          <w:rFonts w:ascii="Times New Roman" w:cs="Times New Roman" w:eastAsia="Times New Roman" w:hAnsi="Times New Roman"/>
          <w:sz w:val="18"/>
          <w:szCs w:val="18"/>
          <w:color w:val="auto"/>
        </w:rPr>
      </w:pPr>
    </w:p>
    <w:p>
      <w:pPr>
        <w:jc w:val="both"/>
        <w:ind w:left="840" w:hanging="332"/>
        <w:spacing w:after="0" w:line="225" w:lineRule="auto"/>
        <w:tabs>
          <w:tab w:leader="none" w:pos="8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52" w:lineRule="exact"/>
        <w:rPr>
          <w:rFonts w:ascii="Times New Roman" w:cs="Times New Roman" w:eastAsia="Times New Roman" w:hAnsi="Times New Roman"/>
          <w:sz w:val="18"/>
          <w:szCs w:val="18"/>
          <w:color w:val="auto"/>
        </w:rPr>
      </w:pPr>
    </w:p>
    <w:p>
      <w:pPr>
        <w:ind w:left="840" w:right="20" w:hanging="332"/>
        <w:spacing w:after="0" w:line="236" w:lineRule="auto"/>
        <w:tabs>
          <w:tab w:leader="none" w:pos="8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50" w:lineRule="exact"/>
        <w:rPr>
          <w:rFonts w:ascii="Times New Roman" w:cs="Times New Roman" w:eastAsia="Times New Roman" w:hAnsi="Times New Roman"/>
          <w:sz w:val="18"/>
          <w:szCs w:val="18"/>
          <w:color w:val="auto"/>
        </w:rPr>
      </w:pPr>
    </w:p>
    <w:p>
      <w:pPr>
        <w:jc w:val="both"/>
        <w:ind w:left="840" w:hanging="332"/>
        <w:spacing w:after="0" w:line="225" w:lineRule="auto"/>
        <w:tabs>
          <w:tab w:leader="none" w:pos="8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52" w:lineRule="exact"/>
        <w:rPr>
          <w:rFonts w:ascii="Times New Roman" w:cs="Times New Roman" w:eastAsia="Times New Roman" w:hAnsi="Times New Roman"/>
          <w:sz w:val="18"/>
          <w:szCs w:val="18"/>
          <w:color w:val="auto"/>
        </w:rPr>
      </w:pPr>
    </w:p>
    <w:p>
      <w:pPr>
        <w:ind w:left="820" w:hanging="312"/>
        <w:spacing w:after="0"/>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179" w:lineRule="exact"/>
        <w:rPr>
          <w:rFonts w:ascii="Times New Roman" w:cs="Times New Roman" w:eastAsia="Times New Roman" w:hAnsi="Times New Roman"/>
          <w:sz w:val="18"/>
          <w:szCs w:val="18"/>
          <w:color w:val="auto"/>
        </w:rPr>
      </w:pPr>
    </w:p>
    <w:p>
      <w:pPr>
        <w:ind w:left="820" w:hanging="312"/>
        <w:spacing w:after="0"/>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179" w:lineRule="exact"/>
        <w:rPr>
          <w:sz w:val="20"/>
          <w:szCs w:val="20"/>
          <w:color w:val="auto"/>
        </w:rPr>
      </w:pPr>
    </w:p>
    <w:p>
      <w:pPr>
        <w:jc w:val="both"/>
        <w:ind w:left="840" w:hanging="332"/>
        <w:spacing w:after="0" w:line="225" w:lineRule="auto"/>
        <w:tabs>
          <w:tab w:leader="none" w:pos="8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52" w:lineRule="exact"/>
        <w:rPr>
          <w:rFonts w:ascii="Times New Roman" w:cs="Times New Roman" w:eastAsia="Times New Roman" w:hAnsi="Times New Roman"/>
          <w:sz w:val="18"/>
          <w:szCs w:val="18"/>
          <w:color w:val="auto"/>
        </w:rPr>
      </w:pPr>
    </w:p>
    <w:p>
      <w:pPr>
        <w:jc w:val="both"/>
        <w:ind w:left="840" w:hanging="332"/>
        <w:spacing w:after="0" w:line="220" w:lineRule="auto"/>
        <w:tabs>
          <w:tab w:leader="none" w:pos="8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52" w:lineRule="exact"/>
        <w:rPr>
          <w:rFonts w:ascii="Times New Roman" w:cs="Times New Roman" w:eastAsia="Times New Roman" w:hAnsi="Times New Roman"/>
          <w:sz w:val="18"/>
          <w:szCs w:val="18"/>
          <w:color w:val="auto"/>
        </w:rPr>
      </w:pPr>
    </w:p>
    <w:p>
      <w:pPr>
        <w:ind w:left="840" w:hanging="332"/>
        <w:spacing w:after="0" w:line="236" w:lineRule="auto"/>
        <w:tabs>
          <w:tab w:leader="none" w:pos="8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Performance Stock Units Agreement between the Grantee and TriMas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xiv</w:t>
      </w:r>
    </w:p>
    <w:p>
      <w:pPr>
        <w:sectPr>
          <w:pgSz w:w="11900" w:h="16838" w:orient="portrait"/>
          <w:cols w:equalWidth="0" w:num="1">
            <w:col w:w="10120"/>
          </w:cols>
          <w:pgMar w:left="1440" w:top="1395" w:right="339" w:bottom="1440" w:gutter="0" w:footer="0" w:header="0"/>
        </w:sectPr>
      </w:pPr>
    </w:p>
    <w:bookmarkStart w:id="65" w:name="page66"/>
    <w:bookmarkEnd w:id="65"/>
    <w:p>
      <w:pPr>
        <w:jc w:val="both"/>
        <w:ind w:left="180" w:right="20"/>
        <w:spacing w:after="0" w:line="236"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183" w:lineRule="exact"/>
        <w:rPr>
          <w:sz w:val="20"/>
          <w:szCs w:val="20"/>
          <w:color w:val="auto"/>
        </w:rPr>
      </w:pPr>
    </w:p>
    <w:p>
      <w:pPr>
        <w:jc w:val="both"/>
        <w:ind w:left="180" w:right="20"/>
        <w:spacing w:after="0" w:line="236"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50" w:lineRule="exact"/>
        <w:rPr>
          <w:sz w:val="20"/>
          <w:szCs w:val="20"/>
          <w:color w:val="auto"/>
        </w:rPr>
      </w:pPr>
    </w:p>
    <w:p>
      <w:pPr>
        <w:jc w:val="both"/>
        <w:ind w:left="180"/>
        <w:spacing w:after="0" w:line="215"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52" w:lineRule="exact"/>
        <w:rPr>
          <w:sz w:val="20"/>
          <w:szCs w:val="20"/>
          <w:color w:val="auto"/>
        </w:rPr>
      </w:pPr>
    </w:p>
    <w:p>
      <w:pPr>
        <w:jc w:val="both"/>
        <w:ind w:left="180"/>
        <w:spacing w:after="0" w:line="212"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0000FF"/>
        </w:rPr>
        <w:t>www.netbenefits.fidelity.com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visiting the Plan &amp; Grant Documents section of the Grantee’s account.</w:t>
      </w:r>
    </w:p>
    <w:p>
      <w:pPr>
        <w:spacing w:after="0" w:line="156" w:lineRule="exact"/>
        <w:rPr>
          <w:sz w:val="20"/>
          <w:szCs w:val="20"/>
          <w:color w:val="auto"/>
        </w:rPr>
      </w:pPr>
    </w:p>
    <w:p>
      <w:pPr>
        <w:jc w:val="both"/>
        <w:ind w:left="180"/>
        <w:spacing w:after="0" w:line="225"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53" w:lineRule="exact"/>
        <w:rPr>
          <w:sz w:val="20"/>
          <w:szCs w:val="20"/>
          <w:color w:val="auto"/>
        </w:rPr>
      </w:pPr>
    </w:p>
    <w:p>
      <w:pPr>
        <w:ind w:left="820" w:hanging="312"/>
        <w:spacing w:after="0"/>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179" w:lineRule="exact"/>
        <w:rPr>
          <w:rFonts w:ascii="Times New Roman" w:cs="Times New Roman" w:eastAsia="Times New Roman" w:hAnsi="Times New Roman"/>
          <w:sz w:val="18"/>
          <w:szCs w:val="18"/>
          <w:color w:val="auto"/>
        </w:rPr>
      </w:pPr>
    </w:p>
    <w:p>
      <w:pPr>
        <w:ind w:left="840" w:right="20" w:hanging="332"/>
        <w:spacing w:after="0" w:line="236" w:lineRule="auto"/>
        <w:tabs>
          <w:tab w:leader="none" w:pos="8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50" w:lineRule="exact"/>
        <w:rPr>
          <w:rFonts w:ascii="Times New Roman" w:cs="Times New Roman" w:eastAsia="Times New Roman" w:hAnsi="Times New Roman"/>
          <w:sz w:val="18"/>
          <w:szCs w:val="18"/>
          <w:color w:val="auto"/>
        </w:rPr>
      </w:pPr>
    </w:p>
    <w:p>
      <w:pPr>
        <w:ind w:left="820" w:hanging="312"/>
        <w:spacing w:after="0"/>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179" w:lineRule="exact"/>
        <w:rPr>
          <w:sz w:val="20"/>
          <w:szCs w:val="20"/>
          <w:color w:val="auto"/>
        </w:rPr>
      </w:pPr>
    </w:p>
    <w:p>
      <w:pPr>
        <w:ind w:left="820" w:hanging="312"/>
        <w:spacing w:after="0"/>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179" w:lineRule="exact"/>
        <w:rPr>
          <w:rFonts w:ascii="Times New Roman" w:cs="Times New Roman" w:eastAsia="Times New Roman" w:hAnsi="Times New Roman"/>
          <w:sz w:val="18"/>
          <w:szCs w:val="18"/>
          <w:color w:val="auto"/>
        </w:rPr>
      </w:pPr>
    </w:p>
    <w:p>
      <w:pPr>
        <w:jc w:val="both"/>
        <w:ind w:left="840" w:hanging="332"/>
        <w:spacing w:after="0" w:line="225" w:lineRule="auto"/>
        <w:tabs>
          <w:tab w:leader="none" w:pos="8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xv</w:t>
      </w:r>
    </w:p>
    <w:p>
      <w:pPr>
        <w:sectPr>
          <w:pgSz w:w="11900" w:h="16838" w:orient="portrait"/>
          <w:cols w:equalWidth="0" w:num="1">
            <w:col w:w="10120"/>
          </w:cols>
          <w:pgMar w:left="1440" w:top="1395" w:right="339" w:bottom="1440" w:gutter="0" w:footer="0" w:header="0"/>
        </w:sectPr>
      </w:pPr>
    </w:p>
    <w:bookmarkStart w:id="66" w:name="page67"/>
    <w:bookmarkEnd w:id="66"/>
    <w:p>
      <w:pPr>
        <w:jc w:val="both"/>
        <w:ind w:left="840" w:hanging="332"/>
        <w:spacing w:after="0" w:line="225" w:lineRule="auto"/>
        <w:tabs>
          <w:tab w:leader="none" w:pos="8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183" w:lineRule="exact"/>
        <w:rPr>
          <w:sz w:val="20"/>
          <w:szCs w:val="20"/>
          <w:color w:val="auto"/>
        </w:rPr>
      </w:pPr>
    </w:p>
    <w:p>
      <w:pPr>
        <w:jc w:val="both"/>
        <w:ind w:left="180"/>
        <w:spacing w:after="0" w:line="236"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50" w:lineRule="exact"/>
        <w:rPr>
          <w:sz w:val="20"/>
          <w:szCs w:val="20"/>
          <w:color w:val="auto"/>
        </w:rPr>
      </w:pPr>
    </w:p>
    <w:p>
      <w:pPr>
        <w:jc w:val="both"/>
        <w:ind w:left="180"/>
        <w:spacing w:after="0" w:line="225"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191" w:lineRule="exact"/>
        <w:rPr>
          <w:sz w:val="20"/>
          <w:szCs w:val="20"/>
          <w:color w:val="auto"/>
        </w:rPr>
      </w:pPr>
    </w:p>
    <w:p>
      <w:pPr>
        <w:ind w:left="840" w:right="20" w:hanging="332"/>
        <w:spacing w:after="0" w:line="236" w:lineRule="auto"/>
        <w:tabs>
          <w:tab w:leader="none" w:pos="8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0" w:lineRule="exact"/>
        <w:rPr>
          <w:rFonts w:ascii="Times New Roman" w:cs="Times New Roman" w:eastAsia="Times New Roman" w:hAnsi="Times New Roman"/>
          <w:sz w:val="18"/>
          <w:szCs w:val="18"/>
          <w:color w:val="auto"/>
        </w:rPr>
      </w:pPr>
    </w:p>
    <w:p>
      <w:pPr>
        <w:jc w:val="both"/>
        <w:ind w:left="840" w:hanging="332"/>
        <w:spacing w:after="0" w:line="217" w:lineRule="auto"/>
        <w:tabs>
          <w:tab w:leader="none" w:pos="8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52" w:lineRule="exact"/>
        <w:rPr>
          <w:rFonts w:ascii="Times New Roman" w:cs="Times New Roman" w:eastAsia="Times New Roman" w:hAnsi="Times New Roman"/>
          <w:sz w:val="18"/>
          <w:szCs w:val="18"/>
          <w:color w:val="auto"/>
        </w:rPr>
      </w:pPr>
    </w:p>
    <w:p>
      <w:pPr>
        <w:jc w:val="both"/>
        <w:ind w:left="840" w:hanging="332"/>
        <w:spacing w:after="0" w:line="220" w:lineRule="auto"/>
        <w:tabs>
          <w:tab w:leader="none" w:pos="8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52" w:lineRule="exact"/>
        <w:rPr>
          <w:rFonts w:ascii="Times New Roman" w:cs="Times New Roman" w:eastAsia="Times New Roman" w:hAnsi="Times New Roman"/>
          <w:sz w:val="18"/>
          <w:szCs w:val="18"/>
          <w:color w:val="auto"/>
        </w:rPr>
      </w:pPr>
    </w:p>
    <w:p>
      <w:pPr>
        <w:jc w:val="both"/>
        <w:ind w:left="840" w:hanging="332"/>
        <w:spacing w:after="0" w:line="217" w:lineRule="auto"/>
        <w:tabs>
          <w:tab w:leader="none" w:pos="8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179" w:lineRule="exact"/>
        <w:rPr>
          <w:rFonts w:ascii="Times New Roman" w:cs="Times New Roman" w:eastAsia="Times New Roman" w:hAnsi="Times New Roman"/>
          <w:sz w:val="18"/>
          <w:szCs w:val="18"/>
          <w:color w:val="auto"/>
        </w:rPr>
      </w:pPr>
    </w:p>
    <w:p>
      <w:pPr>
        <w:jc w:val="both"/>
        <w:ind w:left="840" w:hanging="332"/>
        <w:spacing w:after="0" w:line="220" w:lineRule="auto"/>
        <w:tabs>
          <w:tab w:leader="none" w:pos="8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xvi</w:t>
      </w:r>
    </w:p>
    <w:p>
      <w:pPr>
        <w:sectPr>
          <w:pgSz w:w="11900" w:h="16838" w:orient="portrait"/>
          <w:cols w:equalWidth="0" w:num="1">
            <w:col w:w="10120"/>
          </w:cols>
          <w:pgMar w:left="1440" w:top="1395" w:right="339" w:bottom="1440" w:gutter="0" w:footer="0" w:header="0"/>
        </w:sectPr>
      </w:pPr>
    </w:p>
    <w:bookmarkStart w:id="67" w:name="page68"/>
    <w:bookmarkEnd w:id="67"/>
    <w:p>
      <w:pPr>
        <w:jc w:val="both"/>
        <w:ind w:left="1300"/>
        <w:spacing w:after="0" w:line="217" w:lineRule="auto"/>
        <w:rPr>
          <w:sz w:val="20"/>
          <w:szCs w:val="20"/>
          <w:color w:val="auto"/>
        </w:rPr>
      </w:pPr>
      <w:r>
        <w:rPr>
          <w:rFonts w:ascii="Times New Roman" w:cs="Times New Roman" w:eastAsia="Times New Roman" w:hAnsi="Times New Roman"/>
          <w:sz w:val="22"/>
          <w:szCs w:val="22"/>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2"/>
          <w:szCs w:val="22"/>
          <w:u w:val="single" w:color="auto"/>
          <w:color w:val="0000FF"/>
        </w:rPr>
        <w:t>https://ico.org.uk/concerns/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II.B.18 is added to the Agreement to read as follows:</w:t>
      </w:r>
    </w:p>
    <w:p>
      <w:pPr>
        <w:spacing w:after="0" w:line="210" w:lineRule="exact"/>
        <w:rPr>
          <w:sz w:val="20"/>
          <w:szCs w:val="20"/>
          <w:color w:val="auto"/>
        </w:rPr>
      </w:pPr>
    </w:p>
    <w:p>
      <w:pPr>
        <w:jc w:val="both"/>
        <w:ind w:left="1300" w:right="640"/>
        <w:spacing w:after="0" w:line="217"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xvii</w:t>
      </w:r>
    </w:p>
    <w:p>
      <w:pPr>
        <w:sectPr>
          <w:pgSz w:w="11900" w:h="16838" w:orient="portrait"/>
          <w:cols w:equalWidth="0" w:num="1">
            <w:col w:w="11240"/>
          </w:cols>
          <w:pgMar w:left="320" w:top="1395" w:right="339" w:bottom="1440" w:gutter="0" w:footer="0" w:header="0"/>
        </w:sectPr>
      </w:pPr>
    </w:p>
    <w:bookmarkStart w:id="68" w:name="page69"/>
    <w:bookmarkEnd w:id="6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D</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17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2017 Equity and Incentive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1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to you under the TriMas Corporation 2017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06"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40" w:firstLine="644"/>
        <w:spacing w:after="0" w:line="221" w:lineRule="auto"/>
        <w:tabs>
          <w:tab w:leader="none" w:pos="19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48" w:lineRule="exact"/>
        <w:rPr>
          <w:rFonts w:ascii="Times New Roman" w:cs="Times New Roman" w:eastAsia="Times New Roman" w:hAnsi="Times New Roman"/>
          <w:sz w:val="22"/>
          <w:szCs w:val="22"/>
          <w:color w:val="auto"/>
        </w:rPr>
      </w:pPr>
    </w:p>
    <w:p>
      <w:pPr>
        <w:jc w:val="both"/>
        <w:ind w:left="640" w:firstLine="644"/>
        <w:spacing w:after="0" w:line="209" w:lineRule="auto"/>
        <w:tabs>
          <w:tab w:leader="none" w:pos="193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PSUs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xviii</w:t>
      </w:r>
    </w:p>
    <w:p>
      <w:pPr>
        <w:sectPr>
          <w:pgSz w:w="11900" w:h="16838" w:orient="portrait"/>
          <w:cols w:equalWidth="0" w:num="1">
            <w:col w:w="11240"/>
          </w:cols>
          <w:pgMar w:left="320" w:top="1440" w:right="339" w:bottom="1440" w:gutter="0" w:footer="0" w:header="0"/>
        </w:sectPr>
      </w:pPr>
    </w:p>
    <w:bookmarkStart w:id="69" w:name="page70"/>
    <w:bookmarkEnd w:id="69"/>
    <w:p>
      <w:pPr>
        <w:jc w:val="both"/>
        <w:spacing w:after="0" w:line="210" w:lineRule="auto"/>
        <w:rPr>
          <w:sz w:val="20"/>
          <w:szCs w:val="20"/>
          <w:color w:val="auto"/>
        </w:rPr>
      </w:pPr>
      <w:r>
        <w:rPr>
          <w:rFonts w:ascii="Times New Roman" w:cs="Times New Roman" w:eastAsia="Times New Roman" w:hAnsi="Times New Roman"/>
          <w:sz w:val="22"/>
          <w:szCs w:val="22"/>
          <w:color w:val="auto"/>
        </w:rPr>
        <w:t>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prohibits or is intended to restrict or impede Grantee from discussing the terms and conditions of their employment with coworkers or union representatives or exercising protected rights under Section 7 of the National Labor Relations Act, or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53" w:lineRule="exact"/>
        <w:rPr>
          <w:sz w:val="20"/>
          <w:szCs w:val="20"/>
          <w:color w:val="auto"/>
        </w:rPr>
      </w:pPr>
    </w:p>
    <w:p>
      <w:pPr>
        <w:jc w:val="both"/>
        <w:ind w:firstLine="644"/>
        <w:spacing w:after="0" w:line="211" w:lineRule="auto"/>
        <w:tabs>
          <w:tab w:leader="none" w:pos="12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 period prior to the date of employment termination and with which Grantee was involved and/or oversaw.</w:t>
      </w:r>
    </w:p>
    <w:p>
      <w:pPr>
        <w:spacing w:after="0" w:line="151" w:lineRule="exact"/>
        <w:rPr>
          <w:rFonts w:ascii="Times New Roman" w:cs="Times New Roman" w:eastAsia="Times New Roman" w:hAnsi="Times New Roman"/>
          <w:sz w:val="22"/>
          <w:szCs w:val="22"/>
          <w:color w:val="auto"/>
        </w:rPr>
      </w:pPr>
    </w:p>
    <w:p>
      <w:pPr>
        <w:jc w:val="both"/>
        <w:ind w:firstLine="644"/>
        <w:spacing w:after="0" w:line="221" w:lineRule="auto"/>
        <w:tabs>
          <w:tab w:leader="none" w:pos="129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48"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179" w:lineRule="exact"/>
        <w:rPr>
          <w:rFonts w:ascii="Times New Roman" w:cs="Times New Roman" w:eastAsia="Times New Roman" w:hAnsi="Times New Roman"/>
          <w:sz w:val="22"/>
          <w:szCs w:val="22"/>
          <w:color w:val="auto"/>
        </w:rPr>
      </w:pPr>
    </w:p>
    <w:p>
      <w:pPr>
        <w:jc w:val="both"/>
        <w:ind w:left="660" w:firstLine="622"/>
        <w:spacing w:after="0" w:line="214" w:lineRule="auto"/>
        <w:tabs>
          <w:tab w:leader="none" w:pos="180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rFonts w:ascii="Times New Roman" w:cs="Times New Roman" w:eastAsia="Times New Roman" w:hAnsi="Times New Roman"/>
          <w:sz w:val="22"/>
          <w:szCs w:val="22"/>
          <w:color w:val="auto"/>
        </w:rPr>
      </w:pPr>
    </w:p>
    <w:p>
      <w:pPr>
        <w:jc w:val="both"/>
        <w:ind w:left="660" w:firstLine="622"/>
        <w:spacing w:after="0" w:line="227" w:lineRule="auto"/>
        <w:tabs>
          <w:tab w:leader="none" w:pos="194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xix</w:t>
      </w:r>
    </w:p>
    <w:p>
      <w:pPr>
        <w:sectPr>
          <w:pgSz w:w="11900" w:h="16838" w:orient="portrait"/>
          <w:cols w:equalWidth="0" w:num="1">
            <w:col w:w="10600"/>
          </w:cols>
          <w:pgMar w:left="960" w:top="1395" w:right="339" w:bottom="1440" w:gutter="0" w:footer="0" w:header="0"/>
        </w:sectPr>
      </w:pPr>
    </w:p>
    <w:bookmarkStart w:id="70" w:name="page71"/>
    <w:bookmarkEnd w:id="70"/>
    <w:p>
      <w:pPr>
        <w:jc w:val="both"/>
        <w:ind w:left="1300"/>
        <w:spacing w:after="0" w:line="211" w:lineRule="auto"/>
        <w:rPr>
          <w:sz w:val="20"/>
          <w:szCs w:val="20"/>
          <w:color w:val="auto"/>
        </w:rPr>
      </w:pPr>
      <w:r>
        <w:rPr>
          <w:rFonts w:ascii="Times New Roman" w:cs="Times New Roman" w:eastAsia="Times New Roman" w:hAnsi="Times New Roman"/>
          <w:sz w:val="22"/>
          <w:szCs w:val="22"/>
          <w:color w:val="auto"/>
        </w:rPr>
        <w:t>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48" w:lineRule="exact"/>
        <w:rPr>
          <w:sz w:val="20"/>
          <w:szCs w:val="20"/>
          <w:color w:val="auto"/>
        </w:rPr>
      </w:pPr>
    </w:p>
    <w:p>
      <w:pPr>
        <w:ind w:left="640" w:firstLine="644"/>
        <w:spacing w:after="0" w:line="238" w:lineRule="auto"/>
        <w:tabs>
          <w:tab w:leader="none" w:pos="188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II.B.17 is added to the Agreement to read as follows:</w:t>
      </w:r>
    </w:p>
    <w:p>
      <w:pPr>
        <w:spacing w:after="0" w:line="206" w:lineRule="exact"/>
        <w:rPr>
          <w:sz w:val="20"/>
          <w:szCs w:val="20"/>
          <w:color w:val="auto"/>
        </w:rPr>
      </w:pPr>
    </w:p>
    <w:p>
      <w:pPr>
        <w:jc w:val="both"/>
        <w:ind w:firstLine="594"/>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xx</w:t>
      </w:r>
    </w:p>
    <w:p>
      <w:pPr>
        <w:sectPr>
          <w:pgSz w:w="11900" w:h="16838" w:orient="portrait"/>
          <w:cols w:equalWidth="0" w:num="1">
            <w:col w:w="11240"/>
          </w:cols>
          <w:pgMar w:left="320" w:top="139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Restricted Stock Units Award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Three-Year Vest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EQUITY AND INCENTIVE COMPENSATION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1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  NOTICE OF AWARD</w:t>
            </w:r>
          </w:p>
        </w:tc>
        <w:tc>
          <w:tcPr>
            <w:tcW w:w="45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502"/>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[specify Grantee’s name]</w:t>
            </w:r>
          </w:p>
        </w:tc>
      </w:tr>
      <w:tr>
        <w:trPr>
          <w:trHeight w:val="340"/>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Agreement:</w:t>
            </w:r>
          </w:p>
        </w:tc>
        <w:tc>
          <w:tcPr>
            <w:tcW w:w="45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As of [enter date]</w:t>
            </w:r>
          </w:p>
        </w:tc>
      </w:tr>
      <w:tr>
        <w:trPr>
          <w:trHeight w:val="308"/>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 date]</w:t>
            </w:r>
          </w:p>
        </w:tc>
      </w:tr>
      <w:tr>
        <w:trPr>
          <w:trHeight w:val="286"/>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Number of Restricted Stock Units:</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[number of Restricted Stock Units]</w:t>
            </w:r>
          </w:p>
        </w:tc>
      </w:tr>
    </w:tbl>
    <w:p>
      <w:pPr>
        <w:spacing w:after="0" w:line="281" w:lineRule="exact"/>
        <w:rPr>
          <w:sz w:val="20"/>
          <w:szCs w:val="20"/>
          <w:color w:val="auto"/>
        </w:rPr>
      </w:pPr>
    </w:p>
    <w:p>
      <w:pPr>
        <w:ind w:left="420" w:hanging="412"/>
        <w:spacing w:after="0"/>
        <w:tabs>
          <w:tab w:leader="none" w:pos="4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192" w:lineRule="exact"/>
        <w:rPr>
          <w:rFonts w:ascii="Times New Roman" w:cs="Times New Roman" w:eastAsia="Times New Roman" w:hAnsi="Times New Roman"/>
          <w:sz w:val="22"/>
          <w:szCs w:val="22"/>
          <w:color w:val="auto"/>
        </w:rPr>
      </w:pPr>
    </w:p>
    <w:p>
      <w:pPr>
        <w:jc w:val="both"/>
        <w:ind w:firstLine="23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58"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2"/>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60" w:firstLine="644"/>
        <w:spacing w:after="0" w:line="227" w:lineRule="auto"/>
        <w:tabs>
          <w:tab w:leader="none" w:pos="1953" w:val="left"/>
        </w:tabs>
        <w:numPr>
          <w:ilvl w:val="3"/>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three substantially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installments on the first three anniversaries of the Date of Grant (each, a “Vesting Date”), subject generally to Grantee’s continued status as a Service Provider through each such Vesting Date.</w:t>
      </w:r>
    </w:p>
    <w:p>
      <w:pPr>
        <w:sectPr>
          <w:pgSz w:w="11900" w:h="16838" w:orient="portrait"/>
          <w:cols w:equalWidth="0" w:num="1">
            <w:col w:w="11240"/>
          </w:cols>
          <w:pgMar w:left="320" w:top="1418" w:right="339" w:bottom="1440" w:gutter="0" w:footer="0" w:header="0"/>
        </w:sectPr>
      </w:pPr>
    </w:p>
    <w:bookmarkStart w:id="72" w:name="page73"/>
    <w:bookmarkEnd w:id="72"/>
    <w:p>
      <w:pPr>
        <w:spacing w:after="0" w:line="200" w:lineRule="exact"/>
        <w:rPr>
          <w:sz w:val="20"/>
          <w:szCs w:val="20"/>
          <w:color w:val="auto"/>
        </w:rPr>
      </w:pPr>
    </w:p>
    <w:p>
      <w:pPr>
        <w:spacing w:after="0" w:line="210" w:lineRule="exact"/>
        <w:rPr>
          <w:sz w:val="20"/>
          <w:szCs w:val="20"/>
          <w:color w:val="auto"/>
        </w:rPr>
      </w:pPr>
    </w:p>
    <w:p>
      <w:pPr>
        <w:ind w:left="820" w:hanging="636"/>
        <w:spacing w:after="0"/>
        <w:tabs>
          <w:tab w:leader="none" w:pos="8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11" w:lineRule="auto"/>
        <w:tabs>
          <w:tab w:leader="none" w:pos="138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Any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will be canceled and forfeited if Grantee voluntarily terminates as a Service Provider (other than for Good Reason or as a result of Retirement as provided below),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51" w:lineRule="exact"/>
        <w:rPr>
          <w:rFonts w:ascii="Times New Roman" w:cs="Times New Roman" w:eastAsia="Times New Roman" w:hAnsi="Times New Roman"/>
          <w:sz w:val="22"/>
          <w:szCs w:val="22"/>
          <w:color w:val="auto"/>
        </w:rPr>
      </w:pPr>
    </w:p>
    <w:p>
      <w:pPr>
        <w:jc w:val="both"/>
        <w:ind w:left="180" w:firstLine="652"/>
        <w:spacing w:after="0" w:line="221" w:lineRule="auto"/>
        <w:tabs>
          <w:tab w:leader="none" w:pos="132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48" w:lineRule="exact"/>
        <w:rPr>
          <w:rFonts w:ascii="Times New Roman" w:cs="Times New Roman" w:eastAsia="Times New Roman" w:hAnsi="Times New Roman"/>
          <w:sz w:val="22"/>
          <w:szCs w:val="22"/>
          <w:color w:val="auto"/>
        </w:rPr>
      </w:pPr>
    </w:p>
    <w:p>
      <w:pPr>
        <w:jc w:val="both"/>
        <w:ind w:left="180" w:firstLine="652"/>
        <w:spacing w:after="0" w:line="214" w:lineRule="auto"/>
        <w:tabs>
          <w:tab w:leader="none" w:pos="142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If Grantee has a Qualifying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48" w:lineRule="exact"/>
        <w:rPr>
          <w:rFonts w:ascii="Times New Roman" w:cs="Times New Roman" w:eastAsia="Times New Roman" w:hAnsi="Times New Roman"/>
          <w:sz w:val="22"/>
          <w:szCs w:val="22"/>
          <w:color w:val="auto"/>
        </w:rPr>
      </w:pPr>
    </w:p>
    <w:p>
      <w:pPr>
        <w:jc w:val="both"/>
        <w:ind w:left="180" w:firstLine="652"/>
        <w:spacing w:after="0" w:line="221" w:lineRule="auto"/>
        <w:tabs>
          <w:tab w:leader="none" w:pos="141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any Vesting Date due to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Grantee shall continue to vest in the Restricted Stock Units subject to this Award to the same extent that Grantee would have vested in such Restricted Stock Units had Grantee continued to be a Service Provider through the final Vesting Date.</w:t>
      </w:r>
    </w:p>
    <w:p>
      <w:pPr>
        <w:spacing w:after="0" w:line="148" w:lineRule="exact"/>
        <w:rPr>
          <w:rFonts w:ascii="Times New Roman" w:cs="Times New Roman" w:eastAsia="Times New Roman" w:hAnsi="Times New Roman"/>
          <w:sz w:val="22"/>
          <w:szCs w:val="22"/>
          <w:color w:val="auto"/>
        </w:rPr>
      </w:pPr>
    </w:p>
    <w:p>
      <w:pPr>
        <w:jc w:val="both"/>
        <w:ind w:left="180" w:firstLine="652"/>
        <w:spacing w:after="0" w:line="227" w:lineRule="auto"/>
        <w:tabs>
          <w:tab w:leader="none" w:pos="140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the Restricted Stock Units subject to this Award, such unvested Restricted Stock Units shall vest in accordance with this Section II.A.1(b)(v).</w:t>
      </w:r>
    </w:p>
    <w:p>
      <w:pPr>
        <w:spacing w:after="0" w:line="150" w:lineRule="exact"/>
        <w:rPr>
          <w:rFonts w:ascii="Times New Roman" w:cs="Times New Roman" w:eastAsia="Times New Roman" w:hAnsi="Times New Roman"/>
          <w:sz w:val="22"/>
          <w:szCs w:val="22"/>
          <w:color w:val="auto"/>
        </w:rPr>
      </w:pPr>
    </w:p>
    <w:p>
      <w:pPr>
        <w:jc w:val="both"/>
        <w:ind w:left="1080" w:firstLine="643"/>
        <w:spacing w:after="0" w:line="217" w:lineRule="auto"/>
        <w:tabs>
          <w:tab w:leader="none" w:pos="2393"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440" w:right="339" w:bottom="1440" w:gutter="0" w:footer="0" w:header="0"/>
        </w:sectPr>
      </w:pPr>
    </w:p>
    <w:bookmarkStart w:id="73" w:name="page74"/>
    <w:bookmarkEnd w:id="73"/>
    <w:p>
      <w:pPr>
        <w:ind w:left="1540"/>
        <w:spacing w:after="0" w:line="236" w:lineRule="auto"/>
        <w:rPr>
          <w:sz w:val="20"/>
          <w:szCs w:val="20"/>
          <w:color w:val="auto"/>
        </w:rPr>
      </w:pPr>
      <w:r>
        <w:rPr>
          <w:rFonts w:ascii="Times New Roman" w:cs="Times New Roman" w:eastAsia="Times New Roman" w:hAnsi="Times New Roman"/>
          <w:sz w:val="22"/>
          <w:szCs w:val="22"/>
          <w:color w:val="auto"/>
        </w:rPr>
        <w:t>provided to Grantee in accordance with Section II.A.1(b)(v)(B) to continue, replace or assume the Restricted Stock Units covered by this Award (the “Replaced Award”).</w:t>
      </w:r>
    </w:p>
    <w:p>
      <w:pPr>
        <w:spacing w:after="0" w:line="150" w:lineRule="exact"/>
        <w:rPr>
          <w:sz w:val="20"/>
          <w:szCs w:val="20"/>
          <w:color w:val="auto"/>
        </w:rPr>
      </w:pPr>
    </w:p>
    <w:p>
      <w:pPr>
        <w:jc w:val="both"/>
        <w:ind w:left="1540" w:firstLine="643"/>
        <w:spacing w:after="0" w:line="208" w:lineRule="auto"/>
        <w:tabs>
          <w:tab w:leader="none" w:pos="272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164" w:lineRule="exact"/>
        <w:rPr>
          <w:rFonts w:ascii="Times New Roman" w:cs="Times New Roman" w:eastAsia="Times New Roman" w:hAnsi="Times New Roman"/>
          <w:sz w:val="22"/>
          <w:szCs w:val="22"/>
          <w:color w:val="auto"/>
        </w:rPr>
      </w:pPr>
    </w:p>
    <w:p>
      <w:pPr>
        <w:jc w:val="both"/>
        <w:ind w:left="1540" w:firstLine="643"/>
        <w:spacing w:after="0" w:line="226" w:lineRule="auto"/>
        <w:tabs>
          <w:tab w:leader="none" w:pos="269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or a Subsidiary (or any of their successors) (as applicable, the “Successor”), or</w:t>
      </w:r>
    </w:p>
    <w:p>
      <w:pPr>
        <w:spacing w:after="0" w:line="1" w:lineRule="exact"/>
        <w:rPr>
          <w:rFonts w:ascii="Times New Roman" w:cs="Times New Roman" w:eastAsia="Times New Roman" w:hAnsi="Times New Roman"/>
          <w:sz w:val="21"/>
          <w:szCs w:val="21"/>
          <w:color w:val="auto"/>
        </w:rPr>
      </w:pPr>
    </w:p>
    <w:p>
      <w:pPr>
        <w:jc w:val="both"/>
        <w:ind w:left="1540" w:hanging="5"/>
        <w:spacing w:after="0" w:line="212" w:lineRule="auto"/>
        <w:tabs>
          <w:tab w:leader="none" w:pos="187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Retirement or Disability, in each case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 or Retirement.</w:t>
      </w:r>
    </w:p>
    <w:p>
      <w:pPr>
        <w:spacing w:after="0" w:line="154" w:lineRule="exact"/>
        <w:rPr>
          <w:rFonts w:ascii="Times New Roman" w:cs="Times New Roman" w:eastAsia="Times New Roman" w:hAnsi="Times New Roman"/>
          <w:sz w:val="22"/>
          <w:szCs w:val="22"/>
          <w:color w:val="auto"/>
        </w:rPr>
      </w:pPr>
    </w:p>
    <w:p>
      <w:pPr>
        <w:jc w:val="both"/>
        <w:ind w:left="1540" w:firstLine="643"/>
        <w:spacing w:after="0" w:line="220" w:lineRule="auto"/>
        <w:tabs>
          <w:tab w:leader="none" w:pos="278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395" w:right="339" w:bottom="1440" w:gutter="0" w:footer="0" w:header="0"/>
        </w:sectPr>
      </w:pPr>
    </w:p>
    <w:bookmarkStart w:id="74" w:name="page75"/>
    <w:bookmarkEnd w:id="74"/>
    <w:p>
      <w:pPr>
        <w:ind w:left="820" w:hanging="380"/>
        <w:spacing w:after="0"/>
        <w:tabs>
          <w:tab w:leader="none" w:pos="82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60" w:firstLine="259"/>
        <w:spacing w:after="0" w:line="227" w:lineRule="auto"/>
        <w:tabs>
          <w:tab w:leader="none" w:pos="142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46" w:lineRule="exact"/>
        <w:rPr>
          <w:rFonts w:ascii="Times New Roman" w:cs="Times New Roman" w:eastAsia="Times New Roman" w:hAnsi="Times New Roman"/>
          <w:sz w:val="22"/>
          <w:szCs w:val="22"/>
          <w:color w:val="auto"/>
        </w:rPr>
      </w:pPr>
    </w:p>
    <w:p>
      <w:pPr>
        <w:ind w:left="660" w:firstLine="306"/>
        <w:spacing w:after="0" w:line="238" w:lineRule="auto"/>
        <w:tabs>
          <w:tab w:leader="none" w:pos="1533"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50" w:lineRule="exact"/>
        <w:rPr>
          <w:rFonts w:ascii="Times New Roman" w:cs="Times New Roman" w:eastAsia="Times New Roman" w:hAnsi="Times New Roman"/>
          <w:sz w:val="22"/>
          <w:szCs w:val="22"/>
          <w:color w:val="auto"/>
        </w:rPr>
      </w:pPr>
    </w:p>
    <w:p>
      <w:pPr>
        <w:jc w:val="both"/>
        <w:ind w:left="1300" w:firstLine="571"/>
        <w:spacing w:after="0" w:line="220" w:lineRule="auto"/>
        <w:tabs>
          <w:tab w:leader="none" w:pos="2426" w:val="left"/>
        </w:tabs>
        <w:numPr>
          <w:ilvl w:val="3"/>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 (and have not previously been settled) on the date of Grantee’s death, the Company shall issue Grantee one share of Common Stock for each vested Restricted Stock Unit as soon as practicable following (but no later than thirty (30) days following) the date of Grantee’s death;</w:t>
      </w:r>
    </w:p>
    <w:p>
      <w:pPr>
        <w:spacing w:after="0" w:line="152" w:lineRule="exact"/>
        <w:rPr>
          <w:rFonts w:ascii="Times New Roman" w:cs="Times New Roman" w:eastAsia="Times New Roman" w:hAnsi="Times New Roman"/>
          <w:sz w:val="22"/>
          <w:szCs w:val="22"/>
          <w:color w:val="auto"/>
        </w:rPr>
      </w:pPr>
    </w:p>
    <w:p>
      <w:pPr>
        <w:jc w:val="both"/>
        <w:ind w:left="1300" w:firstLine="571"/>
        <w:spacing w:after="0" w:line="211" w:lineRule="auto"/>
        <w:tabs>
          <w:tab w:leader="none" w:pos="2475" w:val="left"/>
        </w:tabs>
        <w:numPr>
          <w:ilvl w:val="3"/>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409A(a)(2)(A)(v) of the Code, or (B) the date that would have otherwise applied pursuant to this Agreement had such Change in Control not occurred; and</w:t>
      </w:r>
    </w:p>
    <w:p>
      <w:pPr>
        <w:spacing w:after="0" w:line="158" w:lineRule="exact"/>
        <w:rPr>
          <w:rFonts w:ascii="Times New Roman" w:cs="Times New Roman" w:eastAsia="Times New Roman" w:hAnsi="Times New Roman"/>
          <w:sz w:val="22"/>
          <w:szCs w:val="22"/>
          <w:color w:val="auto"/>
        </w:rPr>
      </w:pPr>
    </w:p>
    <w:p>
      <w:pPr>
        <w:jc w:val="both"/>
        <w:ind w:left="1300" w:firstLine="571"/>
        <w:spacing w:after="0" w:line="225" w:lineRule="auto"/>
        <w:tabs>
          <w:tab w:leader="none" w:pos="2523" w:val="left"/>
        </w:tabs>
        <w:numPr>
          <w:ilvl w:val="3"/>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Restricted Stock Units are vested as a result of Section II.A.1(b) (and have not previously been settled) on the date of Grantee’s “separation from service” with the Company and its Subsidiaries (determined in accordance with Section 409A(a)(2)(A)(i) of the Code) within two years following the occurrence of a Change in Control that constitutes a “change 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49" w:lineRule="exact"/>
        <w:rPr>
          <w:rFonts w:ascii="Times New Roman" w:cs="Times New Roman" w:eastAsia="Times New Roman" w:hAnsi="Times New Roman"/>
          <w:sz w:val="21"/>
          <w:szCs w:val="21"/>
          <w:color w:val="auto"/>
        </w:rPr>
      </w:pPr>
    </w:p>
    <w:p>
      <w:pPr>
        <w:jc w:val="both"/>
        <w:ind w:firstLine="449"/>
        <w:spacing w:after="0" w:line="212" w:lineRule="auto"/>
        <w:tabs>
          <w:tab w:leader="none" w:pos="823"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75" w:name="page76"/>
    <w:bookmarkEnd w:id="75"/>
    <w:p>
      <w:pPr>
        <w:ind w:right="20" w:firstLine="467"/>
        <w:spacing w:after="0" w:line="238" w:lineRule="auto"/>
        <w:tabs>
          <w:tab w:leader="none" w:pos="850" w:val="left"/>
        </w:tabs>
        <w:numPr>
          <w:ilvl w:val="2"/>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6" w:lineRule="exact"/>
        <w:rPr>
          <w:rFonts w:ascii="Times New Roman" w:cs="Times New Roman" w:eastAsia="Times New Roman" w:hAnsi="Times New Roman"/>
          <w:sz w:val="22"/>
          <w:szCs w:val="22"/>
          <w:b w:val="1"/>
          <w:bCs w:val="1"/>
          <w:color w:val="auto"/>
        </w:rPr>
      </w:pPr>
    </w:p>
    <w:p>
      <w:pPr>
        <w:ind w:firstLine="440"/>
        <w:spacing w:after="0" w:line="238" w:lineRule="auto"/>
        <w:tabs>
          <w:tab w:leader="none" w:pos="810" w:val="left"/>
        </w:tabs>
        <w:numPr>
          <w:ilvl w:val="1"/>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46" w:lineRule="exact"/>
        <w:rPr>
          <w:rFonts w:ascii="Times New Roman" w:cs="Times New Roman" w:eastAsia="Times New Roman" w:hAnsi="Times New Roman"/>
          <w:sz w:val="22"/>
          <w:szCs w:val="22"/>
          <w:b w:val="1"/>
          <w:bCs w:val="1"/>
          <w:color w:val="auto"/>
        </w:rPr>
      </w:pPr>
    </w:p>
    <w:p>
      <w:pPr>
        <w:ind w:left="2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firstLine="521"/>
        <w:spacing w:after="0" w:line="221" w:lineRule="auto"/>
        <w:tabs>
          <w:tab w:leader="none" w:pos="931" w:val="left"/>
        </w:tabs>
        <w:numPr>
          <w:ilvl w:val="3"/>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this Award and the Restricted Stock Units subject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48" w:lineRule="exact"/>
        <w:rPr>
          <w:rFonts w:ascii="Times New Roman" w:cs="Times New Roman" w:eastAsia="Times New Roman" w:hAnsi="Times New Roman"/>
          <w:sz w:val="22"/>
          <w:szCs w:val="22"/>
          <w:b w:val="1"/>
          <w:bCs w:val="1"/>
          <w:color w:val="auto"/>
        </w:rPr>
      </w:pPr>
    </w:p>
    <w:p>
      <w:pPr>
        <w:jc w:val="both"/>
        <w:ind w:firstLine="593"/>
        <w:spacing w:after="0" w:line="209" w:lineRule="auto"/>
        <w:tabs>
          <w:tab w:leader="none" w:pos="1039" w:val="left"/>
        </w:tabs>
        <w:numPr>
          <w:ilvl w:val="4"/>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51"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179" w:lineRule="exact"/>
        <w:rPr>
          <w:rFonts w:ascii="Times New Roman" w:cs="Times New Roman" w:eastAsia="Times New Roman" w:hAnsi="Times New Roman"/>
          <w:sz w:val="22"/>
          <w:szCs w:val="22"/>
          <w:b w:val="1"/>
          <w:bCs w:val="1"/>
          <w:color w:val="auto"/>
        </w:rPr>
      </w:pPr>
    </w:p>
    <w:p>
      <w:pPr>
        <w:jc w:val="both"/>
        <w:ind w:left="660" w:firstLine="259"/>
        <w:spacing w:after="0" w:line="212" w:lineRule="auto"/>
        <w:tabs>
          <w:tab w:leader="none" w:pos="1426" w:val="left"/>
        </w:tabs>
        <w:numPr>
          <w:ilvl w:val="5"/>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48" w:lineRule="exact"/>
        <w:rPr>
          <w:rFonts w:ascii="Times New Roman" w:cs="Times New Roman" w:eastAsia="Times New Roman" w:hAnsi="Times New Roman"/>
          <w:sz w:val="22"/>
          <w:szCs w:val="22"/>
          <w:color w:val="auto"/>
        </w:rPr>
      </w:pPr>
    </w:p>
    <w:p>
      <w:pPr>
        <w:jc w:val="both"/>
        <w:ind w:left="660" w:firstLine="327"/>
        <w:spacing w:after="0" w:line="227" w:lineRule="auto"/>
        <w:tabs>
          <w:tab w:leader="none" w:pos="1573" w:val="left"/>
        </w:tabs>
        <w:numPr>
          <w:ilvl w:val="6"/>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76" w:name="page77"/>
    <w:bookmarkEnd w:id="76"/>
    <w:p>
      <w:pPr>
        <w:jc w:val="both"/>
        <w:spacing w:after="0" w:line="217" w:lineRule="auto"/>
        <w:rPr>
          <w:sz w:val="20"/>
          <w:szCs w:val="20"/>
          <w:color w:val="auto"/>
        </w:rPr>
      </w:pPr>
      <w:r>
        <w:rPr>
          <w:rFonts w:ascii="Times New Roman" w:cs="Times New Roman" w:eastAsia="Times New Roman" w:hAnsi="Times New Roman"/>
          <w:sz w:val="21"/>
          <w:szCs w:val="21"/>
          <w:color w:val="auto"/>
        </w:rPr>
        <w:t>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prohibits or is intended to restrict or impede Grantee from discussing the terms and conditions of their employment with coworkers or union representatives or exercising protected rights under Section 7 of the National Labor Relations Act, or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58" w:lineRule="exact"/>
        <w:rPr>
          <w:sz w:val="20"/>
          <w:szCs w:val="20"/>
          <w:color w:val="auto"/>
        </w:rPr>
      </w:pPr>
    </w:p>
    <w:p>
      <w:pPr>
        <w:ind w:left="660" w:hanging="448"/>
        <w:spacing w:after="0"/>
        <w:tabs>
          <w:tab w:leader="none" w:pos="6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40" w:hanging="208"/>
        <w:spacing w:after="0" w:line="211" w:lineRule="auto"/>
        <w:tabs>
          <w:tab w:leader="none" w:pos="849"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51" w:lineRule="exact"/>
        <w:rPr>
          <w:rFonts w:ascii="Times New Roman" w:cs="Times New Roman" w:eastAsia="Times New Roman" w:hAnsi="Times New Roman"/>
          <w:sz w:val="22"/>
          <w:szCs w:val="22"/>
          <w:color w:val="auto"/>
        </w:rPr>
      </w:pPr>
    </w:p>
    <w:p>
      <w:pPr>
        <w:jc w:val="both"/>
        <w:ind w:left="640" w:firstLine="337"/>
        <w:spacing w:after="0" w:line="225" w:lineRule="auto"/>
        <w:tabs>
          <w:tab w:leader="none" w:pos="1571"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395" w:right="339" w:bottom="1440" w:gutter="0" w:footer="0" w:header="0"/>
        </w:sectPr>
      </w:pPr>
    </w:p>
    <w:bookmarkStart w:id="77" w:name="page78"/>
    <w:bookmarkEnd w:id="77"/>
    <w:p>
      <w:pPr>
        <w:jc w:val="both"/>
        <w:ind w:left="428"/>
        <w:spacing w:after="0" w:line="220" w:lineRule="auto"/>
        <w:rPr>
          <w:sz w:val="20"/>
          <w:szCs w:val="20"/>
          <w:color w:val="auto"/>
        </w:rPr>
      </w:pPr>
      <w:r>
        <w:rPr>
          <w:rFonts w:ascii="Times New Roman" w:cs="Times New Roman" w:eastAsia="Times New Roman" w:hAnsi="Times New Roman"/>
          <w:sz w:val="22"/>
          <w:szCs w:val="22"/>
          <w:color w:val="auto"/>
        </w:rPr>
        <w:t>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52" w:lineRule="exact"/>
        <w:rPr>
          <w:sz w:val="20"/>
          <w:szCs w:val="20"/>
          <w:color w:val="auto"/>
        </w:rPr>
      </w:pPr>
    </w:p>
    <w:p>
      <w:pPr>
        <w:jc w:val="both"/>
        <w:ind w:left="428" w:hanging="112"/>
        <w:spacing w:after="0" w:line="212" w:lineRule="auto"/>
        <w:tabs>
          <w:tab w:leader="none" w:pos="902"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52" w:lineRule="exact"/>
        <w:rPr>
          <w:rFonts w:ascii="Times New Roman" w:cs="Times New Roman" w:eastAsia="Times New Roman" w:hAnsi="Times New Roman"/>
          <w:sz w:val="22"/>
          <w:szCs w:val="22"/>
          <w:color w:val="auto"/>
        </w:rPr>
      </w:pPr>
    </w:p>
    <w:p>
      <w:pPr>
        <w:jc w:val="both"/>
        <w:ind w:left="-212" w:firstLine="354"/>
        <w:spacing w:after="0" w:line="221" w:lineRule="auto"/>
        <w:tabs>
          <w:tab w:leader="none" w:pos="75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48" w:lineRule="exact"/>
        <w:rPr>
          <w:rFonts w:ascii="Times New Roman" w:cs="Times New Roman" w:eastAsia="Times New Roman" w:hAnsi="Times New Roman"/>
          <w:sz w:val="22"/>
          <w:szCs w:val="22"/>
          <w:color w:val="auto"/>
        </w:rPr>
      </w:pPr>
    </w:p>
    <w:p>
      <w:pPr>
        <w:ind w:left="448" w:hanging="448"/>
        <w:spacing w:after="0"/>
        <w:tabs>
          <w:tab w:leader="none" w:pos="4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179" w:lineRule="exact"/>
        <w:rPr>
          <w:rFonts w:ascii="Times New Roman" w:cs="Times New Roman" w:eastAsia="Times New Roman" w:hAnsi="Times New Roman"/>
          <w:sz w:val="22"/>
          <w:szCs w:val="22"/>
          <w:color w:val="auto"/>
        </w:rPr>
      </w:pPr>
    </w:p>
    <w:p>
      <w:pPr>
        <w:jc w:val="both"/>
        <w:ind w:left="428" w:firstLine="622"/>
        <w:spacing w:after="0" w:line="214" w:lineRule="auto"/>
        <w:tabs>
          <w:tab w:leader="none" w:pos="1534" w:val="left"/>
        </w:tabs>
        <w:numPr>
          <w:ilvl w:val="3"/>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rFonts w:ascii="Times New Roman" w:cs="Times New Roman" w:eastAsia="Times New Roman" w:hAnsi="Times New Roman"/>
          <w:sz w:val="22"/>
          <w:szCs w:val="22"/>
          <w:color w:val="auto"/>
        </w:rPr>
      </w:pPr>
    </w:p>
    <w:p>
      <w:pPr>
        <w:jc w:val="both"/>
        <w:ind w:left="428" w:firstLine="622"/>
        <w:spacing w:after="0" w:line="227" w:lineRule="auto"/>
        <w:tabs>
          <w:tab w:leader="none" w:pos="1634" w:val="left"/>
        </w:tabs>
        <w:numPr>
          <w:ilvl w:val="3"/>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46" w:lineRule="exact"/>
        <w:rPr>
          <w:sz w:val="20"/>
          <w:szCs w:val="20"/>
          <w:color w:val="auto"/>
        </w:rPr>
      </w:pPr>
    </w:p>
    <w:p>
      <w:pPr>
        <w:jc w:val="both"/>
        <w:ind w:left="428" w:firstLine="622"/>
        <w:spacing w:after="0" w:line="211" w:lineRule="auto"/>
        <w:tabs>
          <w:tab w:leader="none" w:pos="17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368"/>
          </w:cols>
          <w:pgMar w:left="1192" w:top="1395" w:right="339" w:bottom="1440" w:gutter="0" w:footer="0" w:header="0"/>
        </w:sectPr>
      </w:pPr>
    </w:p>
    <w:bookmarkStart w:id="78" w:name="page79"/>
    <w:bookmarkEnd w:id="78"/>
    <w:p>
      <w:pPr>
        <w:jc w:val="both"/>
        <w:ind w:left="1300"/>
        <w:spacing w:after="0" w:line="236" w:lineRule="auto"/>
        <w:rPr>
          <w:sz w:val="20"/>
          <w:szCs w:val="20"/>
          <w:color w:val="auto"/>
        </w:rPr>
      </w:pPr>
      <w:r>
        <w:rPr>
          <w:rFonts w:ascii="Times New Roman" w:cs="Times New Roman" w:eastAsia="Times New Roman" w:hAnsi="Times New Roman"/>
          <w:sz w:val="21"/>
          <w:szCs w:val="21"/>
          <w:color w:val="auto"/>
        </w:rPr>
        <w:t>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48" w:lineRule="exact"/>
        <w:rPr>
          <w:sz w:val="20"/>
          <w:szCs w:val="20"/>
          <w:color w:val="auto"/>
        </w:rPr>
      </w:pPr>
    </w:p>
    <w:p>
      <w:pPr>
        <w:jc w:val="both"/>
        <w:ind w:left="640" w:firstLine="644"/>
        <w:spacing w:after="0" w:line="221" w:lineRule="auto"/>
        <w:tabs>
          <w:tab w:leader="none" w:pos="1723" w:val="left"/>
        </w:tabs>
        <w:numPr>
          <w:ilvl w:val="3"/>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48" w:lineRule="exact"/>
        <w:rPr>
          <w:rFonts w:ascii="Times New Roman" w:cs="Times New Roman" w:eastAsia="Times New Roman" w:hAnsi="Times New Roman"/>
          <w:sz w:val="22"/>
          <w:szCs w:val="22"/>
          <w:color w:val="auto"/>
        </w:rPr>
      </w:pPr>
    </w:p>
    <w:p>
      <w:pPr>
        <w:jc w:val="both"/>
        <w:ind w:left="640" w:firstLine="644"/>
        <w:spacing w:after="0" w:line="210" w:lineRule="auto"/>
        <w:tabs>
          <w:tab w:leader="none" w:pos="1760" w:val="left"/>
        </w:tabs>
        <w:numPr>
          <w:ilvl w:val="3"/>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46" w:lineRule="exact"/>
        <w:rPr>
          <w:rFonts w:ascii="Times New Roman" w:cs="Times New Roman" w:eastAsia="Times New Roman" w:hAnsi="Times New Roman"/>
          <w:sz w:val="22"/>
          <w:szCs w:val="22"/>
          <w:color w:val="auto"/>
        </w:rPr>
      </w:pPr>
    </w:p>
    <w:p>
      <w:pPr>
        <w:ind w:left="640" w:firstLine="644"/>
        <w:spacing w:after="0" w:line="238" w:lineRule="auto"/>
        <w:tabs>
          <w:tab w:leader="none" w:pos="1908" w:val="left"/>
        </w:tabs>
        <w:numPr>
          <w:ilvl w:val="3"/>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6" w:lineRule="exact"/>
        <w:rPr>
          <w:rFonts w:ascii="Times New Roman" w:cs="Times New Roman" w:eastAsia="Times New Roman" w:hAnsi="Times New Roman"/>
          <w:sz w:val="22"/>
          <w:szCs w:val="22"/>
          <w:color w:val="auto"/>
        </w:rPr>
      </w:pPr>
    </w:p>
    <w:p>
      <w:pPr>
        <w:jc w:val="both"/>
        <w:ind w:firstLine="485"/>
        <w:spacing w:after="0" w:line="216" w:lineRule="auto"/>
        <w:tabs>
          <w:tab w:leader="none" w:pos="877" w:val="left"/>
        </w:tabs>
        <w:numPr>
          <w:ilvl w:val="1"/>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45" w:lineRule="exact"/>
        <w:rPr>
          <w:rFonts w:ascii="Times New Roman" w:cs="Times New Roman" w:eastAsia="Times New Roman" w:hAnsi="Times New Roman"/>
          <w:sz w:val="22"/>
          <w:szCs w:val="22"/>
          <w:b w:val="1"/>
          <w:bCs w:val="1"/>
          <w:color w:val="auto"/>
        </w:rPr>
      </w:pPr>
    </w:p>
    <w:p>
      <w:pPr>
        <w:jc w:val="both"/>
        <w:ind w:firstLine="530"/>
        <w:spacing w:after="0" w:line="218" w:lineRule="auto"/>
        <w:tabs>
          <w:tab w:leader="none" w:pos="945" w:val="left"/>
        </w:tabs>
        <w:numPr>
          <w:ilvl w:val="2"/>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47" w:lineRule="exact"/>
        <w:rPr>
          <w:rFonts w:ascii="Times New Roman" w:cs="Times New Roman" w:eastAsia="Times New Roman" w:hAnsi="Times New Roman"/>
          <w:sz w:val="22"/>
          <w:szCs w:val="22"/>
          <w:b w:val="1"/>
          <w:bCs w:val="1"/>
          <w:color w:val="auto"/>
        </w:rPr>
      </w:pPr>
    </w:p>
    <w:p>
      <w:pPr>
        <w:jc w:val="both"/>
        <w:ind w:firstLine="449"/>
        <w:spacing w:after="0" w:line="221" w:lineRule="auto"/>
        <w:tabs>
          <w:tab w:leader="none" w:pos="823"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79" w:name="page80"/>
    <w:bookmarkEnd w:id="79"/>
    <w:p>
      <w:pPr>
        <w:jc w:val="both"/>
        <w:ind w:firstLine="561"/>
        <w:spacing w:after="0" w:line="227" w:lineRule="auto"/>
        <w:tabs>
          <w:tab w:leader="none" w:pos="985" w:val="left"/>
        </w:tabs>
        <w:numPr>
          <w:ilvl w:val="1"/>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46" w:lineRule="exact"/>
        <w:rPr>
          <w:rFonts w:ascii="Times New Roman" w:cs="Times New Roman" w:eastAsia="Times New Roman" w:hAnsi="Times New Roman"/>
          <w:sz w:val="22"/>
          <w:szCs w:val="22"/>
          <w:b w:val="1"/>
          <w:bCs w:val="1"/>
          <w:color w:val="auto"/>
        </w:rPr>
      </w:pPr>
    </w:p>
    <w:p>
      <w:pPr>
        <w:jc w:val="both"/>
        <w:ind w:firstLine="584"/>
        <w:spacing w:after="0" w:line="227" w:lineRule="auto"/>
        <w:tabs>
          <w:tab w:leader="none" w:pos="1026"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46" w:lineRule="exact"/>
        <w:rPr>
          <w:rFonts w:ascii="Times New Roman" w:cs="Times New Roman" w:eastAsia="Times New Roman" w:hAnsi="Times New Roman"/>
          <w:sz w:val="22"/>
          <w:szCs w:val="22"/>
          <w:b w:val="1"/>
          <w:bCs w:val="1"/>
          <w:color w:val="auto"/>
        </w:rPr>
      </w:pPr>
    </w:p>
    <w:p>
      <w:pPr>
        <w:jc w:val="both"/>
        <w:ind w:firstLine="746"/>
        <w:spacing w:after="0" w:line="221" w:lineRule="auto"/>
        <w:tabs>
          <w:tab w:leader="none" w:pos="1269" w:val="left"/>
        </w:tabs>
        <w:numPr>
          <w:ilvl w:val="3"/>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48" w:lineRule="exact"/>
        <w:rPr>
          <w:rFonts w:ascii="Times New Roman" w:cs="Times New Roman" w:eastAsia="Times New Roman" w:hAnsi="Times New Roman"/>
          <w:sz w:val="22"/>
          <w:szCs w:val="22"/>
          <w:b w:val="1"/>
          <w:bCs w:val="1"/>
          <w:color w:val="auto"/>
        </w:rPr>
      </w:pPr>
    </w:p>
    <w:p>
      <w:pPr>
        <w:jc w:val="both"/>
        <w:ind w:firstLine="534"/>
        <w:spacing w:after="0" w:line="218" w:lineRule="auto"/>
        <w:tabs>
          <w:tab w:leader="none" w:pos="945"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47" w:lineRule="exact"/>
        <w:rPr>
          <w:sz w:val="20"/>
          <w:szCs w:val="20"/>
          <w:color w:val="auto"/>
        </w:rPr>
      </w:pPr>
    </w:p>
    <w:p>
      <w:pPr>
        <w:ind w:left="920" w:hanging="480"/>
        <w:spacing w:after="0"/>
        <w:tabs>
          <w:tab w:leader="none" w:pos="9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183" w:lineRule="exact"/>
        <w:rPr>
          <w:rFonts w:ascii="Times New Roman" w:cs="Times New Roman" w:eastAsia="Times New Roman" w:hAnsi="Times New Roman"/>
          <w:sz w:val="22"/>
          <w:szCs w:val="22"/>
          <w:b w:val="1"/>
          <w:bCs w:val="1"/>
          <w:color w:val="auto"/>
        </w:rPr>
      </w:pPr>
    </w:p>
    <w:p>
      <w:pPr>
        <w:ind w:left="660" w:right="20" w:firstLine="227"/>
        <w:spacing w:after="0" w:line="255" w:lineRule="auto"/>
        <w:tabs>
          <w:tab w:leader="none" w:pos="1361" w:val="left"/>
        </w:tabs>
        <w:numPr>
          <w:ilvl w:val="2"/>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4" w:lineRule="exact"/>
        <w:rPr>
          <w:rFonts w:ascii="Times New Roman" w:cs="Times New Roman" w:eastAsia="Times New Roman" w:hAnsi="Times New Roman"/>
          <w:sz w:val="21"/>
          <w:szCs w:val="21"/>
          <w:color w:val="auto"/>
        </w:rPr>
      </w:pPr>
    </w:p>
    <w:p>
      <w:pPr>
        <w:jc w:val="both"/>
        <w:ind w:left="660" w:firstLine="266"/>
        <w:spacing w:after="0" w:line="225" w:lineRule="auto"/>
        <w:tabs>
          <w:tab w:leader="none" w:pos="1452" w:val="left"/>
        </w:tabs>
        <w:numPr>
          <w:ilvl w:val="4"/>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52" w:lineRule="exact"/>
        <w:rPr>
          <w:rFonts w:ascii="Times New Roman" w:cs="Times New Roman" w:eastAsia="Times New Roman" w:hAnsi="Times New Roman"/>
          <w:sz w:val="22"/>
          <w:szCs w:val="22"/>
          <w:color w:val="auto"/>
        </w:rPr>
      </w:pPr>
    </w:p>
    <w:p>
      <w:pPr>
        <w:ind w:left="660" w:firstLine="348"/>
        <w:spacing w:after="0" w:line="236" w:lineRule="auto"/>
        <w:tabs>
          <w:tab w:leader="none" w:pos="1604" w:val="left"/>
        </w:tabs>
        <w:numPr>
          <w:ilvl w:val="5"/>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50"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3"/>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179" w:lineRule="exact"/>
        <w:rPr>
          <w:rFonts w:ascii="Times New Roman" w:cs="Times New Roman" w:eastAsia="Times New Roman" w:hAnsi="Times New Roman"/>
          <w:sz w:val="22"/>
          <w:szCs w:val="22"/>
          <w:color w:val="auto"/>
        </w:rPr>
      </w:pPr>
    </w:p>
    <w:p>
      <w:pPr>
        <w:jc w:val="both"/>
        <w:ind w:left="660" w:firstLine="231"/>
        <w:spacing w:after="0" w:line="225" w:lineRule="auto"/>
        <w:tabs>
          <w:tab w:leader="none" w:pos="1371" w:val="left"/>
        </w:tabs>
        <w:numPr>
          <w:ilvl w:val="3"/>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52" w:lineRule="exact"/>
        <w:rPr>
          <w:rFonts w:ascii="Times New Roman" w:cs="Times New Roman" w:eastAsia="Times New Roman" w:hAnsi="Times New Roman"/>
          <w:sz w:val="22"/>
          <w:szCs w:val="22"/>
          <w:color w:val="auto"/>
        </w:rPr>
      </w:pPr>
    </w:p>
    <w:p>
      <w:pPr>
        <w:ind w:left="660" w:right="20" w:firstLine="216"/>
        <w:spacing w:after="0" w:line="236" w:lineRule="auto"/>
        <w:tabs>
          <w:tab w:leader="none" w:pos="131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50"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179" w:lineRule="exact"/>
        <w:rPr>
          <w:rFonts w:ascii="Times New Roman" w:cs="Times New Roman" w:eastAsia="Times New Roman" w:hAnsi="Times New Roman"/>
          <w:sz w:val="22"/>
          <w:szCs w:val="22"/>
          <w:color w:val="auto"/>
        </w:rPr>
      </w:pPr>
    </w:p>
    <w:p>
      <w:pPr>
        <w:ind w:left="660" w:firstLine="212"/>
        <w:spacing w:after="0" w:line="236" w:lineRule="auto"/>
        <w:tabs>
          <w:tab w:leader="none" w:pos="134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resulting benefits are not part of normal or expected compensation or salary for any purposes,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1" w:right="339" w:bottom="1440" w:gutter="0" w:footer="0" w:header="0"/>
        </w:sectPr>
      </w:pPr>
    </w:p>
    <w:bookmarkStart w:id="80" w:name="page81"/>
    <w:bookmarkEnd w:id="80"/>
    <w:p>
      <w:pPr>
        <w:ind w:left="660"/>
        <w:spacing w:after="0" w:line="236" w:lineRule="auto"/>
        <w:rPr>
          <w:sz w:val="20"/>
          <w:szCs w:val="20"/>
          <w:color w:val="auto"/>
        </w:rPr>
      </w:pPr>
      <w:r>
        <w:rPr>
          <w:rFonts w:ascii="Times New Roman" w:cs="Times New Roman" w:eastAsia="Times New Roman" w:hAnsi="Times New Roman"/>
          <w:sz w:val="22"/>
          <w:szCs w:val="22"/>
          <w:color w:val="auto"/>
        </w:rPr>
        <w:t>calculating any severance, resignation, termination, redundancy, end of service payments, bonuses, long-service awards, pension or retirement benefits or similar payments insofar as permitted by law;</w:t>
      </w:r>
    </w:p>
    <w:p>
      <w:pPr>
        <w:spacing w:after="0" w:line="150" w:lineRule="exact"/>
        <w:rPr>
          <w:sz w:val="20"/>
          <w:szCs w:val="20"/>
          <w:color w:val="auto"/>
        </w:rPr>
      </w:pPr>
    </w:p>
    <w:p>
      <w:pPr>
        <w:jc w:val="both"/>
        <w:ind w:left="660" w:firstLine="264"/>
        <w:spacing w:after="0" w:line="215" w:lineRule="auto"/>
        <w:tabs>
          <w:tab w:leader="none" w:pos="1400" w:val="left"/>
        </w:tabs>
        <w:numPr>
          <w:ilvl w:val="4"/>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52" w:lineRule="exact"/>
        <w:rPr>
          <w:rFonts w:ascii="Times New Roman" w:cs="Times New Roman" w:eastAsia="Times New Roman" w:hAnsi="Times New Roman"/>
          <w:sz w:val="22"/>
          <w:szCs w:val="22"/>
          <w:color w:val="auto"/>
        </w:rPr>
      </w:pPr>
    </w:p>
    <w:p>
      <w:pPr>
        <w:jc w:val="both"/>
        <w:ind w:left="660" w:firstLine="225"/>
        <w:spacing w:after="0" w:line="227" w:lineRule="auto"/>
        <w:tabs>
          <w:tab w:leader="none" w:pos="1323" w:val="left"/>
        </w:tabs>
        <w:numPr>
          <w:ilvl w:val="3"/>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9" w:lineRule="exact"/>
        <w:rPr>
          <w:rFonts w:ascii="Times New Roman" w:cs="Times New Roman" w:eastAsia="Times New Roman" w:hAnsi="Times New Roman"/>
          <w:sz w:val="21"/>
          <w:szCs w:val="21"/>
          <w:color w:val="auto"/>
        </w:rPr>
      </w:pPr>
    </w:p>
    <w:p>
      <w:pPr>
        <w:ind w:left="920" w:hanging="480"/>
        <w:spacing w:after="0"/>
        <w:tabs>
          <w:tab w:leader="none" w:pos="92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60" w:firstLine="644"/>
        <w:spacing w:after="0" w:line="214" w:lineRule="auto"/>
        <w:tabs>
          <w:tab w:leader="none" w:pos="1791" w:val="left"/>
        </w:tabs>
        <w:numPr>
          <w:ilvl w:val="5"/>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Non-U.S. Addendum attached as Appendix B to this Agreement for Grantees who reside in any country covered therein.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18" w:lineRule="auto"/>
        <w:tabs>
          <w:tab w:leader="none" w:pos="1776" w:val="left"/>
        </w:tabs>
        <w:numPr>
          <w:ilvl w:val="5"/>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California Addendum attached as Appendix C to this Agreement if Grantee is employed and/or resides in California or if the Company determines that the application of such terms and conditions is necessary or advisable in order to comply with applicable law. The California Addendum attached hereto as Appendix C constitutes part of this Agreement.</w:t>
      </w:r>
    </w:p>
    <w:p>
      <w:pPr>
        <w:spacing w:after="0" w:line="147" w:lineRule="exact"/>
        <w:rPr>
          <w:rFonts w:ascii="Times New Roman" w:cs="Times New Roman" w:eastAsia="Times New Roman" w:hAnsi="Times New Roman"/>
          <w:sz w:val="22"/>
          <w:szCs w:val="22"/>
          <w:color w:val="auto"/>
        </w:rPr>
      </w:pPr>
    </w:p>
    <w:p>
      <w:pPr>
        <w:jc w:val="both"/>
        <w:ind w:firstLine="494"/>
        <w:spacing w:after="0" w:line="218" w:lineRule="auto"/>
        <w:tabs>
          <w:tab w:leader="none" w:pos="999" w:val="left"/>
        </w:tabs>
        <w:numPr>
          <w:ilvl w:val="2"/>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47" w:lineRule="exact"/>
        <w:rPr>
          <w:rFonts w:ascii="Times New Roman" w:cs="Times New Roman" w:eastAsia="Times New Roman" w:hAnsi="Times New Roman"/>
          <w:sz w:val="22"/>
          <w:szCs w:val="22"/>
          <w:b w:val="1"/>
          <w:bCs w:val="1"/>
          <w:color w:val="auto"/>
        </w:rPr>
      </w:pPr>
    </w:p>
    <w:p>
      <w:pPr>
        <w:jc w:val="both"/>
        <w:ind w:firstLine="467"/>
        <w:spacing w:after="0" w:line="221" w:lineRule="auto"/>
        <w:tabs>
          <w:tab w:leader="none" w:pos="958"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81" w:name="page82"/>
    <w:bookmarkEnd w:id="81"/>
    <w:p>
      <w:pPr>
        <w:jc w:val="both"/>
        <w:ind w:firstLine="449"/>
        <w:spacing w:after="0" w:line="217" w:lineRule="auto"/>
        <w:tabs>
          <w:tab w:leader="none" w:pos="931"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 FULLEST EXTENT PERMITTED BY LAW, EACH PARTY WAIVES ANY</w:t>
      </w:r>
    </w:p>
    <w:p>
      <w:pPr>
        <w:spacing w:after="0" w:line="6" w:lineRule="exact"/>
        <w:rPr>
          <w:rFonts w:ascii="Times New Roman" w:cs="Times New Roman" w:eastAsia="Times New Roman" w:hAnsi="Times New Roman"/>
          <w:sz w:val="21"/>
          <w:szCs w:val="21"/>
          <w:b w:val="1"/>
          <w:bCs w:val="1"/>
          <w:color w:val="auto"/>
        </w:rPr>
      </w:pPr>
    </w:p>
    <w:p>
      <w:pPr>
        <w:spacing w:after="0" w:line="22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RIGHT TO TRIAL BY JURY WITH RESPECT TO ANY PROCEEDING ARISING OUT OF OR RELATING TO THIS AGREEMENT.</w:t>
      </w:r>
    </w:p>
    <w:p>
      <w:pPr>
        <w:spacing w:after="0" w:line="145"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640" w:firstLine="644"/>
        <w:spacing w:after="0" w:line="211" w:lineRule="auto"/>
        <w:tabs>
          <w:tab w:leader="none" w:pos="178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of Common Stock issued to Grantee in settlement of the Restricted Stock Units (plus dividend equivalent payments) shall be subject to the terms of this Agreement and the Company’s recoupment policy, if any, as in effect from time to time. Further, notwithstanding anything in this Agreement to the contrary, Grantee acknowledges and agrees that (a) this Agreement and this Award described herein (and any settlement thereof) are subject to the terms and conditions of such policy, or any other form of Company recoupment (or similar)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 Agreement shall be deemed superseded by and subject to the terms and conditions of the Compensation Recovery Policy from and after the effective date thereof.</w:t>
      </w:r>
    </w:p>
    <w:p>
      <w:pPr>
        <w:spacing w:after="0" w:line="151" w:lineRule="exact"/>
        <w:rPr>
          <w:rFonts w:ascii="Times New Roman" w:cs="Times New Roman" w:eastAsia="Times New Roman" w:hAnsi="Times New Roman"/>
          <w:sz w:val="22"/>
          <w:szCs w:val="22"/>
          <w:color w:val="auto"/>
        </w:rPr>
      </w:pPr>
    </w:p>
    <w:p>
      <w:pPr>
        <w:jc w:val="both"/>
        <w:ind w:left="640" w:firstLine="644"/>
        <w:spacing w:after="0" w:line="220" w:lineRule="auto"/>
        <w:tabs>
          <w:tab w:leader="none" w:pos="178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82" w:name="page83"/>
    <w:bookmarkEnd w:id="82"/>
    <w:p>
      <w:pPr>
        <w:spacing w:after="0" w:line="236"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4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204" w:lineRule="auto"/>
        <w:rPr>
          <w:sz w:val="20"/>
          <w:szCs w:val="20"/>
          <w:color w:val="auto"/>
        </w:rPr>
      </w:pPr>
      <w:r>
        <w:rPr>
          <w:rFonts w:ascii="Times New Roman" w:cs="Times New Roman" w:eastAsia="Times New Roman" w:hAnsi="Times New Roman"/>
          <w:sz w:val="22"/>
          <w:szCs w:val="22"/>
          <w:color w:val="auto"/>
        </w:rPr>
        <w:t>Name: Thomas A. Amato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395" w:right="3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both"/>
        <w:ind w:left="660"/>
        <w:spacing w:after="0" w:line="216"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46" w:lineRule="exact"/>
        <w:rPr>
          <w:sz w:val="20"/>
          <w:szCs w:val="20"/>
          <w:color w:val="auto"/>
        </w:rPr>
      </w:pPr>
    </w:p>
    <w:p>
      <w:pPr>
        <w:jc w:val="both"/>
        <w:ind w:left="660"/>
        <w:spacing w:after="0" w:line="214"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type w:val="continuous"/>
        </w:sectPr>
      </w:pPr>
    </w:p>
    <w:bookmarkStart w:id="83" w:name="page84"/>
    <w:bookmarkEnd w:id="83"/>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jc w:val="center"/>
        <w:ind w:right="-99"/>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02" w:lineRule="exact"/>
        <w:rPr>
          <w:sz w:val="20"/>
          <w:szCs w:val="20"/>
          <w:color w:val="auto"/>
        </w:rPr>
      </w:pPr>
    </w:p>
    <w:p>
      <w:pPr>
        <w:jc w:val="both"/>
        <w:ind w:left="100"/>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76" w:lineRule="exact"/>
        <w:rPr>
          <w:sz w:val="20"/>
          <w:szCs w:val="20"/>
          <w:color w:val="auto"/>
        </w:rPr>
      </w:pPr>
    </w:p>
    <w:p>
      <w:pPr>
        <w:jc w:val="both"/>
        <w:ind w:left="100"/>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79" w:lineRule="exact"/>
        <w:rPr>
          <w:sz w:val="20"/>
          <w:szCs w:val="20"/>
          <w:color w:val="auto"/>
        </w:rPr>
      </w:pPr>
    </w:p>
    <w:p>
      <w:pPr>
        <w:ind w:left="1400" w:hanging="644"/>
        <w:spacing w:after="0" w:line="236" w:lineRule="auto"/>
        <w:tabs>
          <w:tab w:leader="none" w:pos="125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77" w:lineRule="exact"/>
        <w:rPr>
          <w:rFonts w:ascii="Times New Roman" w:cs="Times New Roman" w:eastAsia="Times New Roman" w:hAnsi="Times New Roman"/>
          <w:sz w:val="22"/>
          <w:szCs w:val="22"/>
          <w:color w:val="auto"/>
        </w:rPr>
      </w:pPr>
    </w:p>
    <w:p>
      <w:pPr>
        <w:ind w:left="1400" w:right="20" w:hanging="644"/>
        <w:spacing w:after="0" w:line="236" w:lineRule="auto"/>
        <w:tabs>
          <w:tab w:leader="none" w:pos="131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7" w:lineRule="exact"/>
        <w:rPr>
          <w:rFonts w:ascii="Times New Roman" w:cs="Times New Roman" w:eastAsia="Times New Roman" w:hAnsi="Times New Roman"/>
          <w:sz w:val="22"/>
          <w:szCs w:val="22"/>
          <w:color w:val="auto"/>
        </w:rPr>
      </w:pPr>
    </w:p>
    <w:p>
      <w:pPr>
        <w:ind w:left="1400" w:hanging="644"/>
        <w:spacing w:after="0" w:line="225" w:lineRule="auto"/>
        <w:tabs>
          <w:tab w:leader="none" w:pos="120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79" w:lineRule="exact"/>
        <w:rPr>
          <w:sz w:val="20"/>
          <w:szCs w:val="20"/>
          <w:color w:val="auto"/>
        </w:rPr>
      </w:pPr>
    </w:p>
    <w:p>
      <w:pPr>
        <w:jc w:val="both"/>
        <w:ind w:left="760"/>
        <w:spacing w:after="0" w:line="21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340"/>
          </w:cols>
          <w:pgMar w:left="220" w:top="1382" w:right="339" w:bottom="1440" w:gutter="0" w:footer="0" w:header="0"/>
        </w:sectPr>
      </w:pPr>
    </w:p>
    <w:bookmarkStart w:id="84" w:name="page85"/>
    <w:bookmarkEnd w:id="84"/>
    <w:p>
      <w:pPr>
        <w:ind w:left="660"/>
        <w:spacing w:after="0" w:line="236" w:lineRule="auto"/>
        <w:rPr>
          <w:sz w:val="20"/>
          <w:szCs w:val="20"/>
          <w:color w:val="auto"/>
        </w:rPr>
      </w:pPr>
      <w:r>
        <w:rPr>
          <w:rFonts w:ascii="Times New Roman" w:cs="Times New Roman" w:eastAsia="Times New Roman" w:hAnsi="Times New Roman"/>
          <w:sz w:val="22"/>
          <w:szCs w:val="22"/>
          <w:color w:val="auto"/>
        </w:rPr>
        <w:t>examination properly requested by the Committee or the Company, then in any such event Grantee shall be deemed to have recovered from such Disability.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60" w:hanging="504"/>
        <w:spacing w:after="0"/>
        <w:tabs>
          <w:tab w:leader="none" w:pos="11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06" w:lineRule="exact"/>
        <w:rPr>
          <w:rFonts w:ascii="Times New Roman" w:cs="Times New Roman" w:eastAsia="Times New Roman" w:hAnsi="Times New Roman"/>
          <w:sz w:val="22"/>
          <w:szCs w:val="22"/>
          <w:color w:val="auto"/>
        </w:rPr>
      </w:pPr>
    </w:p>
    <w:p>
      <w:pPr>
        <w:ind w:left="1300" w:hanging="644"/>
        <w:spacing w:after="0" w:line="236" w:lineRule="auto"/>
        <w:tabs>
          <w:tab w:leader="none" w:pos="125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7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18"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17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50" w:lineRule="exact"/>
        <w:rPr>
          <w:sz w:val="20"/>
          <w:szCs w:val="20"/>
          <w:color w:val="auto"/>
        </w:rPr>
      </w:pPr>
    </w:p>
    <w:p>
      <w:pPr>
        <w:ind w:left="1120" w:hanging="464"/>
        <w:spacing w:after="0"/>
        <w:tabs>
          <w:tab w:leader="none" w:pos="11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7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179"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17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1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1395" w:right="339" w:bottom="1440" w:gutter="0" w:footer="0" w:header="0"/>
        </w:sectPr>
      </w:pPr>
    </w:p>
    <w:bookmarkStart w:id="85" w:name="page86"/>
    <w:bookmarkEnd w:id="85"/>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15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2017 Equity and Incentive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 as amended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to you under the TriMas Corporation 2017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47"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21"/>
          <w:szCs w:val="21"/>
          <w:b w:val="1"/>
          <w:bCs w:val="1"/>
          <w:color w:val="auto"/>
        </w:rPr>
        <w:t>UK Sub-Plan</w:t>
      </w:r>
      <w:r>
        <w:rPr>
          <w:rFonts w:ascii="Times New Roman" w:cs="Times New Roman" w:eastAsia="Times New Roman" w:hAnsi="Times New Roman"/>
          <w:sz w:val="21"/>
          <w:szCs w:val="21"/>
          <w:color w:val="auto"/>
        </w:rPr>
        <w:t>. Your grant of Restricted Stock Units is being made pursuant to the UK Sub-Plan, which contains additional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that govern your Restricted Stock Units and participation in the Plan. Please review that document carefully.</w:t>
      </w:r>
    </w:p>
    <w:p>
      <w:pPr>
        <w:spacing w:after="0" w:line="155"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A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186"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For purposes of the Agreement, the definition of “Retirement” in Appendix A hereto shall not apply. Further,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of the capitalized term “Retirement” in the Agreement is hereby amended to read as “retirement”.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91" w:lineRule="exact"/>
        <w:rPr>
          <w:sz w:val="20"/>
          <w:szCs w:val="20"/>
          <w:color w:val="auto"/>
        </w:rPr>
      </w:pPr>
    </w:p>
    <w:p>
      <w:pPr>
        <w:jc w:val="both"/>
        <w:ind w:left="660"/>
        <w:spacing w:after="0" w:line="291" w:lineRule="auto"/>
        <w:rPr>
          <w:sz w:val="20"/>
          <w:szCs w:val="20"/>
          <w:color w:val="auto"/>
        </w:rPr>
      </w:pPr>
      <w:r>
        <w:rPr>
          <w:rFonts w:ascii="Times New Roman" w:cs="Times New Roman" w:eastAsia="Times New Roman" w:hAnsi="Times New Roman"/>
          <w:sz w:val="22"/>
          <w:szCs w:val="22"/>
          <w:color w:val="auto"/>
        </w:rPr>
        <w:t>“Grantee shall be notionally credited with cash per Restricted Stock Unit equal to the amount of each cash dividend paid by the Company (if any) to holders of Common Stock generally with a record date occurring on or after the Date of Grant and prior to the time when the Restricted Stock Units are settled in accordance with Section II.A.2 hereof. Any amounts notionally credited pursuant to the immediately preceding sentence shall be subject to the same applicable terms and conditions (including vesting, payment 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40"/>
          </w:cols>
          <w:pgMar w:left="320" w:top="1440" w:right="339" w:bottom="1440" w:gutter="0" w:footer="0" w:header="0"/>
        </w:sectPr>
      </w:pPr>
    </w:p>
    <w:bookmarkStart w:id="86" w:name="page87"/>
    <w:bookmarkEnd w:id="86"/>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forfeitability) as apply to the Restricted Stock Units based on which the dividend equivalents were notionally credited, and such amounts shall be paid in Common Stock at the same time as the Restricted Stock Units to which they relate. The number of shares so paid in Common Stock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06" w:lineRule="exact"/>
        <w:rPr>
          <w:sz w:val="20"/>
          <w:szCs w:val="20"/>
          <w:color w:val="auto"/>
        </w:rPr>
      </w:pPr>
    </w:p>
    <w:p>
      <w:pPr>
        <w:ind w:left="1960" w:right="640" w:hanging="656"/>
        <w:spacing w:after="0" w:line="220" w:lineRule="auto"/>
        <w:tabs>
          <w:tab w:leader="none" w:pos="175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179" w:lineRule="exact"/>
        <w:rPr>
          <w:rFonts w:ascii="Times New Roman" w:cs="Times New Roman" w:eastAsia="Times New Roman" w:hAnsi="Times New Roman"/>
          <w:sz w:val="22"/>
          <w:szCs w:val="22"/>
          <w:color w:val="auto"/>
        </w:rPr>
      </w:pPr>
    </w:p>
    <w:p>
      <w:pPr>
        <w:jc w:val="right"/>
        <w:ind w:left="1960" w:right="640" w:hanging="656"/>
        <w:spacing w:after="0" w:line="220" w:lineRule="auto"/>
        <w:tabs>
          <w:tab w:leader="none" w:pos="1797"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w:t>
      </w:r>
    </w:p>
    <w:p>
      <w:pPr>
        <w:spacing w:after="0" w:line="3" w:lineRule="exact"/>
        <w:rPr>
          <w:sz w:val="20"/>
          <w:szCs w:val="20"/>
          <w:color w:val="auto"/>
        </w:rPr>
      </w:pPr>
    </w:p>
    <w:p>
      <w:pPr>
        <w:ind w:left="1960" w:right="660"/>
        <w:spacing w:after="0" w:line="204" w:lineRule="auto"/>
        <w:rPr>
          <w:sz w:val="20"/>
          <w:szCs w:val="20"/>
          <w:color w:val="auto"/>
        </w:rPr>
      </w:pPr>
      <w:r>
        <w:rPr>
          <w:rFonts w:ascii="Times New Roman" w:cs="Times New Roman" w:eastAsia="Times New Roman" w:hAnsi="Times New Roman"/>
          <w:sz w:val="22"/>
          <w:szCs w:val="22"/>
          <w:color w:val="auto"/>
        </w:rPr>
        <w:t>Common Stock into securities of another description whilst such shares of Common Stock are held by Grantee,</w:t>
      </w:r>
    </w:p>
    <w:p>
      <w:pPr>
        <w:spacing w:after="0" w:line="2" w:lineRule="exact"/>
        <w:rPr>
          <w:sz w:val="20"/>
          <w:szCs w:val="20"/>
          <w:color w:val="auto"/>
        </w:rPr>
      </w:pPr>
    </w:p>
    <w:p>
      <w:pPr>
        <w:jc w:val="both"/>
        <w:ind w:left="660" w:right="640" w:hanging="381"/>
        <w:spacing w:after="0" w:line="208"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40"/>
          </w:cols>
          <w:pgMar w:left="320" w:top="1435" w:right="339" w:bottom="1440" w:gutter="0" w:footer="0" w:header="0"/>
        </w:sectPr>
      </w:pPr>
    </w:p>
    <w:bookmarkStart w:id="87" w:name="page88"/>
    <w:bookmarkEnd w:id="87"/>
    <w:p>
      <w:pPr>
        <w:jc w:val="both"/>
        <w:ind w:left="660" w:hanging="406"/>
        <w:spacing w:after="0" w:line="215"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179" w:lineRule="exact"/>
        <w:rPr>
          <w:sz w:val="20"/>
          <w:szCs w:val="20"/>
          <w:color w:val="auto"/>
        </w:rPr>
      </w:pPr>
    </w:p>
    <w:p>
      <w:pPr>
        <w:jc w:val="both"/>
        <w:ind w:left="660" w:right="20" w:hanging="419"/>
        <w:spacing w:after="0" w:line="225"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79" w:lineRule="exact"/>
        <w:rPr>
          <w:sz w:val="20"/>
          <w:szCs w:val="20"/>
          <w:color w:val="auto"/>
        </w:rPr>
      </w:pPr>
    </w:p>
    <w:p>
      <w:pPr>
        <w:jc w:val="both"/>
        <w:ind w:left="660" w:right="20" w:hanging="401"/>
        <w:spacing w:after="0" w:line="217"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The last sentence of Section II.B.3(b) is hereby amended in its entirety to read as follows:</w:t>
      </w:r>
    </w:p>
    <w:p>
      <w:pPr>
        <w:spacing w:after="0" w:line="210" w:lineRule="exact"/>
        <w:rPr>
          <w:sz w:val="20"/>
          <w:szCs w:val="20"/>
          <w:color w:val="auto"/>
        </w:rPr>
      </w:pPr>
    </w:p>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nothing in this Agreement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06" w:lineRule="exact"/>
        <w:rPr>
          <w:sz w:val="20"/>
          <w:szCs w:val="20"/>
          <w:color w:val="auto"/>
        </w:rPr>
      </w:pPr>
    </w:p>
    <w:p>
      <w:pPr>
        <w:jc w:val="both"/>
        <w:ind w:left="660" w:hanging="330"/>
        <w:spacing w:after="0" w:line="216"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179" w:lineRule="exact"/>
        <w:rPr>
          <w:sz w:val="20"/>
          <w:szCs w:val="20"/>
          <w:color w:val="auto"/>
        </w:rPr>
      </w:pPr>
    </w:p>
    <w:p>
      <w:pPr>
        <w:ind w:left="1280" w:right="20" w:hanging="644"/>
        <w:spacing w:after="0" w:line="236" w:lineRule="auto"/>
        <w:tabs>
          <w:tab w:leader="none" w:pos="11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600"/>
          </w:cols>
          <w:pgMar w:left="320" w:top="1395" w:right="979" w:bottom="1440" w:gutter="0" w:footer="0" w:header="0"/>
        </w:sectPr>
      </w:pPr>
    </w:p>
    <w:bookmarkStart w:id="88" w:name="page89"/>
    <w:bookmarkEnd w:id="88"/>
    <w:p>
      <w:pPr>
        <w:ind w:left="644" w:hanging="644"/>
        <w:spacing w:after="0" w:line="236" w:lineRule="auto"/>
        <w:tabs>
          <w:tab w:leader="none" w:pos="68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0" w:lineRule="exact"/>
        <w:rPr>
          <w:rFonts w:ascii="Times New Roman" w:cs="Times New Roman" w:eastAsia="Times New Roman" w:hAnsi="Times New Roman"/>
          <w:sz w:val="22"/>
          <w:szCs w:val="22"/>
          <w:color w:val="auto"/>
        </w:rPr>
      </w:pPr>
    </w:p>
    <w:p>
      <w:pPr>
        <w:ind w:left="544" w:hanging="544"/>
        <w:spacing w:after="0"/>
        <w:tabs>
          <w:tab w:leader="none" w:pos="5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179" w:lineRule="exact"/>
        <w:rPr>
          <w:rFonts w:ascii="Times New Roman" w:cs="Times New Roman" w:eastAsia="Times New Roman" w:hAnsi="Times New Roman"/>
          <w:sz w:val="22"/>
          <w:szCs w:val="22"/>
          <w:color w:val="auto"/>
        </w:rPr>
      </w:pPr>
    </w:p>
    <w:p>
      <w:pPr>
        <w:ind w:left="524" w:hanging="524"/>
        <w:spacing w:after="0"/>
        <w:tabs>
          <w:tab w:leader="none" w:pos="52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17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179" w:lineRule="exact"/>
        <w:rPr>
          <w:rFonts w:ascii="Times New Roman" w:cs="Times New Roman" w:eastAsia="Times New Roman" w:hAnsi="Times New Roman"/>
          <w:sz w:val="22"/>
          <w:szCs w:val="22"/>
          <w:color w:val="auto"/>
        </w:rPr>
      </w:pPr>
    </w:p>
    <w:p>
      <w:pPr>
        <w:ind w:left="524" w:hanging="524"/>
        <w:spacing w:after="0"/>
        <w:tabs>
          <w:tab w:leader="none" w:pos="52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179" w:lineRule="exact"/>
        <w:rPr>
          <w:rFonts w:ascii="Times New Roman" w:cs="Times New Roman" w:eastAsia="Times New Roman" w:hAnsi="Times New Roman"/>
          <w:sz w:val="22"/>
          <w:szCs w:val="22"/>
          <w:color w:val="auto"/>
        </w:rPr>
      </w:pPr>
    </w:p>
    <w:p>
      <w:pPr>
        <w:ind w:left="584" w:hanging="584"/>
        <w:spacing w:after="0"/>
        <w:tabs>
          <w:tab w:leader="none" w:pos="58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179" w:lineRule="exact"/>
        <w:rPr>
          <w:rFonts w:ascii="Times New Roman" w:cs="Times New Roman" w:eastAsia="Times New Roman" w:hAnsi="Times New Roman"/>
          <w:sz w:val="22"/>
          <w:szCs w:val="22"/>
          <w:color w:val="auto"/>
        </w:rPr>
      </w:pPr>
    </w:p>
    <w:p>
      <w:pPr>
        <w:ind w:left="644" w:right="20" w:hanging="644"/>
        <w:spacing w:after="0" w:line="236" w:lineRule="auto"/>
        <w:tabs>
          <w:tab w:leader="none" w:pos="67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50" w:lineRule="exact"/>
        <w:rPr>
          <w:rFonts w:ascii="Times New Roman" w:cs="Times New Roman" w:eastAsia="Times New Roman" w:hAnsi="Times New Roman"/>
          <w:sz w:val="22"/>
          <w:szCs w:val="22"/>
          <w:color w:val="auto"/>
        </w:rPr>
      </w:pPr>
    </w:p>
    <w:p>
      <w:pPr>
        <w:ind w:left="644" w:hanging="644"/>
        <w:spacing w:after="0" w:line="236" w:lineRule="auto"/>
        <w:tabs>
          <w:tab w:leader="none" w:pos="58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0"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179" w:lineRule="exact"/>
        <w:rPr>
          <w:rFonts w:ascii="Times New Roman" w:cs="Times New Roman" w:eastAsia="Times New Roman" w:hAnsi="Times New Roman"/>
          <w:sz w:val="22"/>
          <w:szCs w:val="22"/>
          <w:color w:val="auto"/>
        </w:rPr>
      </w:pPr>
    </w:p>
    <w:p>
      <w:pPr>
        <w:ind w:left="524" w:hanging="524"/>
        <w:spacing w:after="0"/>
        <w:tabs>
          <w:tab w:leader="none" w:pos="52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179" w:lineRule="exact"/>
        <w:rPr>
          <w:rFonts w:ascii="Times New Roman" w:cs="Times New Roman" w:eastAsia="Times New Roman" w:hAnsi="Times New Roman"/>
          <w:sz w:val="22"/>
          <w:szCs w:val="22"/>
          <w:color w:val="auto"/>
        </w:rPr>
      </w:pPr>
    </w:p>
    <w:p>
      <w:pPr>
        <w:jc w:val="both"/>
        <w:ind w:left="644" w:right="20" w:hanging="644"/>
        <w:spacing w:after="0" w:line="217" w:lineRule="auto"/>
        <w:tabs>
          <w:tab w:leader="none" w:pos="59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52" w:lineRule="exact"/>
        <w:rPr>
          <w:rFonts w:ascii="Times New Roman" w:cs="Times New Roman" w:eastAsia="Times New Roman" w:hAnsi="Times New Roman"/>
          <w:sz w:val="22"/>
          <w:szCs w:val="22"/>
          <w:color w:val="auto"/>
        </w:rPr>
      </w:pPr>
    </w:p>
    <w:p>
      <w:pPr>
        <w:ind w:left="644" w:right="20" w:hanging="644"/>
        <w:spacing w:after="0" w:line="236" w:lineRule="auto"/>
        <w:tabs>
          <w:tab w:leader="none" w:pos="68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50" w:lineRule="exact"/>
        <w:rPr>
          <w:sz w:val="20"/>
          <w:szCs w:val="20"/>
          <w:color w:val="auto"/>
        </w:rPr>
      </w:pPr>
    </w:p>
    <w:p>
      <w:pPr>
        <w:jc w:val="both"/>
        <w:ind w:left="24"/>
        <w:spacing w:after="0" w:line="225"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52" w:lineRule="exact"/>
        <w:rPr>
          <w:sz w:val="20"/>
          <w:szCs w:val="20"/>
          <w:color w:val="auto"/>
        </w:rPr>
      </w:pPr>
    </w:p>
    <w:p>
      <w:pPr>
        <w:jc w:val="both"/>
        <w:ind w:left="24"/>
        <w:spacing w:after="0" w:line="217"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9964"/>
          </w:cols>
          <w:pgMar w:left="956" w:top="1395" w:right="9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206" w:lineRule="exact"/>
        <w:rPr>
          <w:sz w:val="20"/>
          <w:szCs w:val="20"/>
          <w:color w:val="auto"/>
        </w:rPr>
      </w:pPr>
    </w:p>
    <w:p>
      <w:pPr>
        <w:jc w:val="both"/>
        <w:ind w:left="1300"/>
        <w:spacing w:after="0" w:line="214" w:lineRule="auto"/>
        <w:rPr>
          <w:sz w:val="20"/>
          <w:szCs w:val="20"/>
          <w:color w:val="auto"/>
        </w:rPr>
      </w:pPr>
      <w:r>
        <w:rPr>
          <w:rFonts w:ascii="Times New Roman" w:cs="Times New Roman" w:eastAsia="Times New Roman" w:hAnsi="Times New Roman"/>
          <w:sz w:val="22"/>
          <w:szCs w:val="22"/>
          <w:color w:val="auto"/>
        </w:rPr>
        <w:t>“(1)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6" w:lineRule="exact"/>
        <w:rPr>
          <w:sz w:val="20"/>
          <w:szCs w:val="20"/>
          <w:color w:val="auto"/>
        </w:rPr>
      </w:pPr>
    </w:p>
    <w:p>
      <w:pPr>
        <w:jc w:val="both"/>
        <w:ind w:left="1300" w:right="20" w:firstLine="4"/>
        <w:spacing w:after="0" w:line="227" w:lineRule="auto"/>
        <w:tabs>
          <w:tab w:leader="none" w:pos="187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46" w:lineRule="exact"/>
        <w:rPr>
          <w:rFonts w:ascii="Times New Roman" w:cs="Times New Roman" w:eastAsia="Times New Roman" w:hAnsi="Times New Roman"/>
          <w:sz w:val="22"/>
          <w:szCs w:val="22"/>
          <w:color w:val="auto"/>
        </w:rPr>
      </w:pPr>
    </w:p>
    <w:p>
      <w:pPr>
        <w:jc w:val="both"/>
        <w:ind w:left="1300" w:firstLine="4"/>
        <w:spacing w:after="0" w:line="209" w:lineRule="auto"/>
        <w:tabs>
          <w:tab w:leader="none" w:pos="197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5" w:lineRule="exact"/>
        <w:rPr>
          <w:rFonts w:ascii="Times New Roman" w:cs="Times New Roman" w:eastAsia="Times New Roman" w:hAnsi="Times New Roman"/>
          <w:sz w:val="22"/>
          <w:szCs w:val="22"/>
          <w:color w:val="auto"/>
        </w:rPr>
      </w:pPr>
    </w:p>
    <w:p>
      <w:pPr>
        <w:jc w:val="both"/>
        <w:ind w:left="1300" w:right="20" w:firstLine="4"/>
        <w:spacing w:after="0" w:line="227" w:lineRule="auto"/>
        <w:tabs>
          <w:tab w:leader="none" w:pos="188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46" w:lineRule="exact"/>
        <w:rPr>
          <w:rFonts w:ascii="Times New Roman" w:cs="Times New Roman" w:eastAsia="Times New Roman" w:hAnsi="Times New Roman"/>
          <w:sz w:val="22"/>
          <w:szCs w:val="22"/>
          <w:color w:val="auto"/>
        </w:rPr>
      </w:pPr>
    </w:p>
    <w:p>
      <w:pPr>
        <w:ind w:left="1300" w:right="20" w:firstLine="4"/>
        <w:spacing w:after="0" w:line="238" w:lineRule="auto"/>
        <w:tabs>
          <w:tab w:leader="none" w:pos="187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46" w:lineRule="exact"/>
        <w:rPr>
          <w:rFonts w:ascii="Times New Roman" w:cs="Times New Roman" w:eastAsia="Times New Roman" w:hAnsi="Times New Roman"/>
          <w:sz w:val="22"/>
          <w:szCs w:val="22"/>
          <w:color w:val="auto"/>
        </w:rPr>
      </w:pPr>
    </w:p>
    <w:p>
      <w:pPr>
        <w:jc w:val="both"/>
        <w:ind w:left="1300" w:right="20" w:firstLine="4"/>
        <w:spacing w:after="0" w:line="221" w:lineRule="auto"/>
        <w:tabs>
          <w:tab w:leader="none" w:pos="176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0600"/>
          </w:cols>
          <w:pgMar w:left="320" w:top="1391" w:right="979" w:bottom="1440" w:gutter="0" w:footer="0" w:header="0"/>
        </w:sectPr>
      </w:pPr>
    </w:p>
    <w:bookmarkStart w:id="90" w:name="page91"/>
    <w:bookmarkEnd w:id="90"/>
    <w:p>
      <w:pPr>
        <w:jc w:val="both"/>
        <w:ind w:left="1300" w:right="660" w:firstLine="4"/>
        <w:spacing w:after="0" w:line="227" w:lineRule="auto"/>
        <w:tabs>
          <w:tab w:leader="none" w:pos="176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46" w:lineRule="exact"/>
        <w:rPr>
          <w:rFonts w:ascii="Times New Roman" w:cs="Times New Roman" w:eastAsia="Times New Roman" w:hAnsi="Times New Roman"/>
          <w:sz w:val="22"/>
          <w:szCs w:val="22"/>
          <w:color w:val="auto"/>
        </w:rPr>
      </w:pPr>
    </w:p>
    <w:p>
      <w:pPr>
        <w:jc w:val="both"/>
        <w:ind w:left="1300" w:right="660" w:firstLine="4"/>
        <w:spacing w:after="0" w:line="227" w:lineRule="auto"/>
        <w:tabs>
          <w:tab w:leader="none" w:pos="18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46" w:lineRule="exact"/>
        <w:rPr>
          <w:rFonts w:ascii="Times New Roman" w:cs="Times New Roman" w:eastAsia="Times New Roman" w:hAnsi="Times New Roman"/>
          <w:sz w:val="22"/>
          <w:szCs w:val="22"/>
          <w:color w:val="auto"/>
        </w:rPr>
      </w:pPr>
    </w:p>
    <w:p>
      <w:pPr>
        <w:jc w:val="both"/>
        <w:ind w:left="1300" w:right="640" w:firstLine="4"/>
        <w:spacing w:after="0" w:line="227" w:lineRule="auto"/>
        <w:tabs>
          <w:tab w:leader="none" w:pos="182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46" w:lineRule="exact"/>
        <w:rPr>
          <w:rFonts w:ascii="Times New Roman" w:cs="Times New Roman" w:eastAsia="Times New Roman" w:hAnsi="Times New Roman"/>
          <w:sz w:val="22"/>
          <w:szCs w:val="22"/>
          <w:color w:val="auto"/>
        </w:rPr>
      </w:pPr>
    </w:p>
    <w:p>
      <w:pPr>
        <w:jc w:val="both"/>
        <w:ind w:left="1300" w:right="660" w:firstLine="4"/>
        <w:spacing w:after="0" w:line="221" w:lineRule="auto"/>
        <w:tabs>
          <w:tab w:leader="none" w:pos="197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II.B.16 is added to the Agreement to read as follows:</w:t>
      </w:r>
    </w:p>
    <w:p>
      <w:pPr>
        <w:spacing w:after="0" w:line="210" w:lineRule="exact"/>
        <w:rPr>
          <w:sz w:val="20"/>
          <w:szCs w:val="20"/>
          <w:color w:val="auto"/>
        </w:rPr>
      </w:pPr>
    </w:p>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179" w:lineRule="exact"/>
        <w:rPr>
          <w:sz w:val="20"/>
          <w:szCs w:val="20"/>
          <w:color w:val="auto"/>
        </w:rPr>
      </w:pPr>
    </w:p>
    <w:p>
      <w:pPr>
        <w:ind w:left="1940" w:hanging="312"/>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viii</w:t>
      </w:r>
    </w:p>
    <w:p>
      <w:pPr>
        <w:sectPr>
          <w:pgSz w:w="11900" w:h="16838" w:orient="portrait"/>
          <w:cols w:equalWidth="0" w:num="1">
            <w:col w:w="11240"/>
          </w:cols>
          <w:pgMar w:left="320" w:top="1391" w:right="339" w:bottom="1440" w:gutter="0" w:footer="0" w:header="0"/>
        </w:sectPr>
      </w:pPr>
    </w:p>
    <w:bookmarkStart w:id="91" w:name="page92"/>
    <w:bookmarkEnd w:id="91"/>
    <w:p>
      <w:pPr>
        <w:ind w:left="840" w:hanging="332"/>
        <w:spacing w:after="0" w:line="236" w:lineRule="auto"/>
        <w:tabs>
          <w:tab w:leader="none" w:pos="8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150" w:lineRule="exact"/>
        <w:rPr>
          <w:rFonts w:ascii="Times New Roman" w:cs="Times New Roman" w:eastAsia="Times New Roman" w:hAnsi="Times New Roman"/>
          <w:sz w:val="18"/>
          <w:szCs w:val="18"/>
          <w:color w:val="auto"/>
        </w:rPr>
      </w:pPr>
    </w:p>
    <w:p>
      <w:pPr>
        <w:ind w:left="840" w:hanging="332"/>
        <w:spacing w:after="0" w:line="236" w:lineRule="auto"/>
        <w:tabs>
          <w:tab w:leader="none" w:pos="8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50" w:lineRule="exact"/>
        <w:rPr>
          <w:sz w:val="20"/>
          <w:szCs w:val="20"/>
          <w:color w:val="auto"/>
        </w:rPr>
      </w:pPr>
    </w:p>
    <w:p>
      <w:pPr>
        <w:ind w:left="180"/>
        <w:spacing w:after="0" w:line="236"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179" w:lineRule="exact"/>
        <w:rPr>
          <w:sz w:val="20"/>
          <w:szCs w:val="20"/>
          <w:color w:val="auto"/>
        </w:rPr>
      </w:pPr>
    </w:p>
    <w:p>
      <w:pPr>
        <w:ind w:left="840" w:right="20" w:hanging="332"/>
        <w:spacing w:after="0" w:line="236" w:lineRule="auto"/>
        <w:tabs>
          <w:tab w:leader="none" w:pos="8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50" w:lineRule="exact"/>
        <w:rPr>
          <w:rFonts w:ascii="Times New Roman" w:cs="Times New Roman" w:eastAsia="Times New Roman" w:hAnsi="Times New Roman"/>
          <w:sz w:val="18"/>
          <w:szCs w:val="18"/>
          <w:color w:val="auto"/>
        </w:rPr>
      </w:pPr>
    </w:p>
    <w:p>
      <w:pPr>
        <w:jc w:val="both"/>
        <w:ind w:left="840" w:hanging="332"/>
        <w:spacing w:after="0" w:line="225" w:lineRule="auto"/>
        <w:tabs>
          <w:tab w:leader="none" w:pos="8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52" w:lineRule="exact"/>
        <w:rPr>
          <w:rFonts w:ascii="Times New Roman" w:cs="Times New Roman" w:eastAsia="Times New Roman" w:hAnsi="Times New Roman"/>
          <w:sz w:val="18"/>
          <w:szCs w:val="18"/>
          <w:color w:val="auto"/>
        </w:rPr>
      </w:pPr>
    </w:p>
    <w:p>
      <w:pPr>
        <w:ind w:left="840" w:right="20" w:hanging="332"/>
        <w:spacing w:after="0" w:line="236" w:lineRule="auto"/>
        <w:tabs>
          <w:tab w:leader="none" w:pos="8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50" w:lineRule="exact"/>
        <w:rPr>
          <w:rFonts w:ascii="Times New Roman" w:cs="Times New Roman" w:eastAsia="Times New Roman" w:hAnsi="Times New Roman"/>
          <w:sz w:val="18"/>
          <w:szCs w:val="18"/>
          <w:color w:val="auto"/>
        </w:rPr>
      </w:pPr>
    </w:p>
    <w:p>
      <w:pPr>
        <w:jc w:val="both"/>
        <w:ind w:left="840" w:hanging="332"/>
        <w:spacing w:after="0" w:line="225" w:lineRule="auto"/>
        <w:tabs>
          <w:tab w:leader="none" w:pos="8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52" w:lineRule="exact"/>
        <w:rPr>
          <w:rFonts w:ascii="Times New Roman" w:cs="Times New Roman" w:eastAsia="Times New Roman" w:hAnsi="Times New Roman"/>
          <w:sz w:val="18"/>
          <w:szCs w:val="18"/>
          <w:color w:val="auto"/>
        </w:rPr>
      </w:pPr>
    </w:p>
    <w:p>
      <w:pPr>
        <w:ind w:left="820" w:hanging="312"/>
        <w:spacing w:after="0"/>
        <w:tabs>
          <w:tab w:leader="none" w:pos="8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179" w:lineRule="exact"/>
        <w:rPr>
          <w:rFonts w:ascii="Times New Roman" w:cs="Times New Roman" w:eastAsia="Times New Roman" w:hAnsi="Times New Roman"/>
          <w:sz w:val="18"/>
          <w:szCs w:val="18"/>
          <w:color w:val="auto"/>
        </w:rPr>
      </w:pPr>
    </w:p>
    <w:p>
      <w:pPr>
        <w:ind w:left="820" w:hanging="312"/>
        <w:spacing w:after="0"/>
        <w:tabs>
          <w:tab w:leader="none" w:pos="8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179" w:lineRule="exact"/>
        <w:rPr>
          <w:sz w:val="20"/>
          <w:szCs w:val="20"/>
          <w:color w:val="auto"/>
        </w:rPr>
      </w:pPr>
    </w:p>
    <w:p>
      <w:pPr>
        <w:jc w:val="both"/>
        <w:ind w:left="840" w:hanging="332"/>
        <w:spacing w:after="0" w:line="225" w:lineRule="auto"/>
        <w:tabs>
          <w:tab w:leader="none" w:pos="8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52" w:lineRule="exact"/>
        <w:rPr>
          <w:rFonts w:ascii="Times New Roman" w:cs="Times New Roman" w:eastAsia="Times New Roman" w:hAnsi="Times New Roman"/>
          <w:sz w:val="18"/>
          <w:szCs w:val="18"/>
          <w:color w:val="auto"/>
        </w:rPr>
      </w:pPr>
    </w:p>
    <w:p>
      <w:pPr>
        <w:jc w:val="both"/>
        <w:ind w:left="840" w:hanging="332"/>
        <w:spacing w:after="0" w:line="220" w:lineRule="auto"/>
        <w:tabs>
          <w:tab w:leader="none" w:pos="8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ix</w:t>
      </w:r>
    </w:p>
    <w:p>
      <w:pPr>
        <w:sectPr>
          <w:pgSz w:w="11900" w:h="16838" w:orient="portrait"/>
          <w:cols w:equalWidth="0" w:num="1">
            <w:col w:w="10120"/>
          </w:cols>
          <w:pgMar w:left="1440" w:top="1395" w:right="339" w:bottom="1440" w:gutter="0" w:footer="0" w:header="0"/>
        </w:sectPr>
      </w:pPr>
    </w:p>
    <w:bookmarkStart w:id="92" w:name="page93"/>
    <w:bookmarkEnd w:id="92"/>
    <w:p>
      <w:pPr>
        <w:ind w:left="840" w:hanging="332"/>
        <w:spacing w:after="0" w:line="236" w:lineRule="auto"/>
        <w:tabs>
          <w:tab w:leader="none" w:pos="8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Restricted Stock Units Agreement between the Grantee and TriMas Corporation.</w:t>
      </w:r>
    </w:p>
    <w:p>
      <w:pPr>
        <w:spacing w:after="0" w:line="150" w:lineRule="exact"/>
        <w:rPr>
          <w:sz w:val="20"/>
          <w:szCs w:val="20"/>
          <w:color w:val="auto"/>
        </w:rPr>
      </w:pPr>
    </w:p>
    <w:p>
      <w:pPr>
        <w:jc w:val="both"/>
        <w:ind w:left="180" w:right="20"/>
        <w:spacing w:after="0" w:line="236"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183" w:lineRule="exact"/>
        <w:rPr>
          <w:sz w:val="20"/>
          <w:szCs w:val="20"/>
          <w:color w:val="auto"/>
        </w:rPr>
      </w:pPr>
    </w:p>
    <w:p>
      <w:pPr>
        <w:jc w:val="both"/>
        <w:ind w:left="180" w:right="20"/>
        <w:spacing w:after="0" w:line="236"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50" w:lineRule="exact"/>
        <w:rPr>
          <w:sz w:val="20"/>
          <w:szCs w:val="20"/>
          <w:color w:val="auto"/>
        </w:rPr>
      </w:pPr>
    </w:p>
    <w:p>
      <w:pPr>
        <w:jc w:val="both"/>
        <w:ind w:left="180"/>
        <w:spacing w:after="0" w:line="215"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52" w:lineRule="exact"/>
        <w:rPr>
          <w:sz w:val="20"/>
          <w:szCs w:val="20"/>
          <w:color w:val="auto"/>
        </w:rPr>
      </w:pPr>
    </w:p>
    <w:p>
      <w:pPr>
        <w:jc w:val="both"/>
        <w:ind w:left="180"/>
        <w:spacing w:after="0" w:line="212"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auto"/>
        </w:rPr>
        <w:t>www.netbenefits.fidelity.com</w:t>
      </w:r>
      <w:r>
        <w:rPr>
          <w:rFonts w:ascii="Times New Roman" w:cs="Times New Roman" w:eastAsia="Times New Roman" w:hAnsi="Times New Roman"/>
          <w:sz w:val="22"/>
          <w:szCs w:val="22"/>
          <w:color w:val="auto"/>
        </w:rPr>
        <w:t xml:space="preserve"> and visiting the Plan &amp; Grant Documents section of the Grantee’s account.</w:t>
      </w:r>
    </w:p>
    <w:p>
      <w:pPr>
        <w:spacing w:after="0" w:line="156" w:lineRule="exact"/>
        <w:rPr>
          <w:sz w:val="20"/>
          <w:szCs w:val="20"/>
          <w:color w:val="auto"/>
        </w:rPr>
      </w:pPr>
    </w:p>
    <w:p>
      <w:pPr>
        <w:jc w:val="both"/>
        <w:ind w:left="180"/>
        <w:spacing w:after="0" w:line="225"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53" w:lineRule="exact"/>
        <w:rPr>
          <w:sz w:val="20"/>
          <w:szCs w:val="20"/>
          <w:color w:val="auto"/>
        </w:rPr>
      </w:pPr>
    </w:p>
    <w:p>
      <w:pPr>
        <w:ind w:left="820" w:hanging="312"/>
        <w:spacing w:after="0"/>
        <w:tabs>
          <w:tab w:leader="none" w:pos="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179" w:lineRule="exact"/>
        <w:rPr>
          <w:rFonts w:ascii="Times New Roman" w:cs="Times New Roman" w:eastAsia="Times New Roman" w:hAnsi="Times New Roman"/>
          <w:sz w:val="18"/>
          <w:szCs w:val="18"/>
          <w:color w:val="auto"/>
        </w:rPr>
      </w:pPr>
    </w:p>
    <w:p>
      <w:pPr>
        <w:ind w:left="840" w:right="20" w:hanging="332"/>
        <w:spacing w:after="0" w:line="236" w:lineRule="auto"/>
        <w:tabs>
          <w:tab w:leader="none" w:pos="83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50" w:lineRule="exact"/>
        <w:rPr>
          <w:rFonts w:ascii="Times New Roman" w:cs="Times New Roman" w:eastAsia="Times New Roman" w:hAnsi="Times New Roman"/>
          <w:sz w:val="18"/>
          <w:szCs w:val="18"/>
          <w:color w:val="auto"/>
        </w:rPr>
      </w:pPr>
    </w:p>
    <w:p>
      <w:pPr>
        <w:ind w:left="820" w:hanging="312"/>
        <w:spacing w:after="0"/>
        <w:tabs>
          <w:tab w:leader="none" w:pos="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179" w:lineRule="exact"/>
        <w:rPr>
          <w:sz w:val="20"/>
          <w:szCs w:val="20"/>
          <w:color w:val="auto"/>
        </w:rPr>
      </w:pPr>
    </w:p>
    <w:p>
      <w:pPr>
        <w:ind w:left="820" w:hanging="312"/>
        <w:spacing w:after="0"/>
        <w:tabs>
          <w:tab w:leader="none" w:pos="8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ectPr>
          <w:pgSz w:w="11900" w:h="16838" w:orient="portrait"/>
          <w:cols w:equalWidth="0" w:num="1">
            <w:col w:w="10120"/>
          </w:cols>
          <w:pgMar w:left="1440" w:top="1395" w:right="339" w:bottom="1440" w:gutter="0" w:footer="0" w:header="0"/>
        </w:sectPr>
      </w:pPr>
    </w:p>
    <w:bookmarkStart w:id="93" w:name="page94"/>
    <w:bookmarkEnd w:id="93"/>
    <w:p>
      <w:pPr>
        <w:jc w:val="both"/>
        <w:ind w:left="840" w:hanging="332"/>
        <w:spacing w:after="0" w:line="225" w:lineRule="auto"/>
        <w:tabs>
          <w:tab w:leader="none" w:pos="83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52" w:lineRule="exact"/>
        <w:rPr>
          <w:rFonts w:ascii="Times New Roman" w:cs="Times New Roman" w:eastAsia="Times New Roman" w:hAnsi="Times New Roman"/>
          <w:sz w:val="18"/>
          <w:szCs w:val="18"/>
          <w:color w:val="auto"/>
        </w:rPr>
      </w:pPr>
    </w:p>
    <w:p>
      <w:pPr>
        <w:jc w:val="both"/>
        <w:ind w:left="840" w:hanging="332"/>
        <w:spacing w:after="0" w:line="225" w:lineRule="auto"/>
        <w:tabs>
          <w:tab w:leader="none" w:pos="83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183" w:lineRule="exact"/>
        <w:rPr>
          <w:sz w:val="20"/>
          <w:szCs w:val="20"/>
          <w:color w:val="auto"/>
        </w:rPr>
      </w:pPr>
    </w:p>
    <w:p>
      <w:pPr>
        <w:jc w:val="both"/>
        <w:ind w:left="180"/>
        <w:spacing w:after="0" w:line="236"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50" w:lineRule="exact"/>
        <w:rPr>
          <w:sz w:val="20"/>
          <w:szCs w:val="20"/>
          <w:color w:val="auto"/>
        </w:rPr>
      </w:pPr>
    </w:p>
    <w:p>
      <w:pPr>
        <w:jc w:val="both"/>
        <w:ind w:left="180"/>
        <w:spacing w:after="0" w:line="225"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191" w:lineRule="exact"/>
        <w:rPr>
          <w:sz w:val="20"/>
          <w:szCs w:val="20"/>
          <w:color w:val="auto"/>
        </w:rPr>
      </w:pPr>
    </w:p>
    <w:p>
      <w:pPr>
        <w:ind w:left="840" w:right="20" w:hanging="332"/>
        <w:spacing w:after="0" w:line="236" w:lineRule="auto"/>
        <w:tabs>
          <w:tab w:leader="none" w:pos="8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0" w:lineRule="exact"/>
        <w:rPr>
          <w:rFonts w:ascii="Times New Roman" w:cs="Times New Roman" w:eastAsia="Times New Roman" w:hAnsi="Times New Roman"/>
          <w:sz w:val="18"/>
          <w:szCs w:val="18"/>
          <w:color w:val="auto"/>
        </w:rPr>
      </w:pPr>
    </w:p>
    <w:p>
      <w:pPr>
        <w:jc w:val="both"/>
        <w:ind w:left="840" w:hanging="332"/>
        <w:spacing w:after="0" w:line="217" w:lineRule="auto"/>
        <w:tabs>
          <w:tab w:leader="none" w:pos="8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52" w:lineRule="exact"/>
        <w:rPr>
          <w:rFonts w:ascii="Times New Roman" w:cs="Times New Roman" w:eastAsia="Times New Roman" w:hAnsi="Times New Roman"/>
          <w:sz w:val="18"/>
          <w:szCs w:val="18"/>
          <w:color w:val="auto"/>
        </w:rPr>
      </w:pPr>
    </w:p>
    <w:p>
      <w:pPr>
        <w:jc w:val="both"/>
        <w:ind w:left="840" w:hanging="332"/>
        <w:spacing w:after="0" w:line="220" w:lineRule="auto"/>
        <w:tabs>
          <w:tab w:leader="none" w:pos="8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52" w:lineRule="exact"/>
        <w:rPr>
          <w:rFonts w:ascii="Times New Roman" w:cs="Times New Roman" w:eastAsia="Times New Roman" w:hAnsi="Times New Roman"/>
          <w:sz w:val="18"/>
          <w:szCs w:val="18"/>
          <w:color w:val="auto"/>
        </w:rPr>
      </w:pPr>
    </w:p>
    <w:p>
      <w:pPr>
        <w:jc w:val="both"/>
        <w:ind w:left="840" w:hanging="332"/>
        <w:spacing w:after="0" w:line="217" w:lineRule="auto"/>
        <w:tabs>
          <w:tab w:leader="none" w:pos="8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179" w:lineRule="exact"/>
        <w:rPr>
          <w:rFonts w:ascii="Times New Roman" w:cs="Times New Roman" w:eastAsia="Times New Roman" w:hAnsi="Times New Roman"/>
          <w:sz w:val="18"/>
          <w:szCs w:val="18"/>
          <w:color w:val="auto"/>
        </w:rPr>
      </w:pPr>
    </w:p>
    <w:p>
      <w:pPr>
        <w:ind w:left="840" w:hanging="332"/>
        <w:spacing w:after="0" w:line="255" w:lineRule="auto"/>
        <w:tabs>
          <w:tab w:leader="none" w:pos="83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Where the Grantee has provided the Relevant TriMas Companies with their personal data that the Relevant TriMas Companies process using automated means, the Grantee may be entitled to a copy of that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xi</w:t>
      </w:r>
    </w:p>
    <w:p>
      <w:pPr>
        <w:sectPr>
          <w:pgSz w:w="11900" w:h="16838" w:orient="portrait"/>
          <w:cols w:equalWidth="0" w:num="1">
            <w:col w:w="10120"/>
          </w:cols>
          <w:pgMar w:left="1440" w:top="1395" w:right="339" w:bottom="1440" w:gutter="0" w:footer="0" w:header="0"/>
        </w:sectPr>
      </w:pPr>
    </w:p>
    <w:bookmarkStart w:id="94" w:name="page95"/>
    <w:bookmarkEnd w:id="94"/>
    <w:p>
      <w:pPr>
        <w:ind w:left="1960"/>
        <w:spacing w:after="0" w:line="236" w:lineRule="auto"/>
        <w:rPr>
          <w:sz w:val="20"/>
          <w:szCs w:val="20"/>
          <w:color w:val="auto"/>
        </w:rPr>
      </w:pPr>
      <w:r>
        <w:rPr>
          <w:rFonts w:ascii="Times New Roman" w:cs="Times New Roman" w:eastAsia="Times New Roman" w:hAnsi="Times New Roman"/>
          <w:sz w:val="22"/>
          <w:szCs w:val="22"/>
          <w:color w:val="auto"/>
        </w:rPr>
        <w:t>data in a structured, commonly-used and machine readable format. The Grantee can exercise this right by contacting their local human resources representative.</w:t>
      </w:r>
    </w:p>
    <w:p>
      <w:pPr>
        <w:spacing w:after="0" w:line="15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1"/>
          <w:szCs w:val="21"/>
          <w:u w:val="single" w:color="auto"/>
          <w:color w:val="0000FF"/>
        </w:rPr>
        <w:t>https://ico.org.uk/concerns/</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II.B.17 is added to the Agreement to read as follows:</w:t>
      </w:r>
    </w:p>
    <w:p>
      <w:pPr>
        <w:spacing w:after="0" w:line="210" w:lineRule="exact"/>
        <w:rPr>
          <w:sz w:val="20"/>
          <w:szCs w:val="20"/>
          <w:color w:val="auto"/>
        </w:rPr>
      </w:pPr>
    </w:p>
    <w:p>
      <w:pPr>
        <w:jc w:val="both"/>
        <w:ind w:left="1300" w:right="640"/>
        <w:spacing w:after="0" w:line="217"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xii</w:t>
      </w:r>
    </w:p>
    <w:p>
      <w:pPr>
        <w:sectPr>
          <w:pgSz w:w="11900" w:h="16838" w:orient="portrait"/>
          <w:cols w:equalWidth="0" w:num="1">
            <w:col w:w="11240"/>
          </w:cols>
          <w:pgMar w:left="320" w:top="1395" w:right="339" w:bottom="1440" w:gutter="0" w:footer="0" w:header="0"/>
        </w:sectPr>
      </w:pPr>
    </w:p>
    <w:bookmarkStart w:id="95" w:name="page96"/>
    <w:bookmarkEnd w:id="95"/>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17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2017 Equity and Incentive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1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granted to you under the TriMas Corporation 2017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06"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40" w:firstLine="644"/>
        <w:spacing w:after="0" w:line="221" w:lineRule="auto"/>
        <w:tabs>
          <w:tab w:leader="none" w:pos="193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48" w:lineRule="exact"/>
        <w:rPr>
          <w:rFonts w:ascii="Times New Roman" w:cs="Times New Roman" w:eastAsia="Times New Roman" w:hAnsi="Times New Roman"/>
          <w:sz w:val="22"/>
          <w:szCs w:val="22"/>
          <w:color w:val="auto"/>
        </w:rPr>
      </w:pPr>
    </w:p>
    <w:p>
      <w:pPr>
        <w:jc w:val="both"/>
        <w:ind w:left="640" w:firstLine="644"/>
        <w:spacing w:after="0" w:line="209" w:lineRule="auto"/>
        <w:tabs>
          <w:tab w:leader="none" w:pos="193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xiii</w:t>
      </w:r>
    </w:p>
    <w:p>
      <w:pPr>
        <w:sectPr>
          <w:pgSz w:w="11900" w:h="16838" w:orient="portrait"/>
          <w:cols w:equalWidth="0" w:num="1">
            <w:col w:w="11240"/>
          </w:cols>
          <w:pgMar w:left="320" w:top="1440" w:right="339" w:bottom="1440" w:gutter="0" w:footer="0" w:header="0"/>
        </w:sectPr>
      </w:pPr>
    </w:p>
    <w:bookmarkStart w:id="96" w:name="page97"/>
    <w:bookmarkEnd w:id="96"/>
    <w:p>
      <w:pPr>
        <w:jc w:val="both"/>
        <w:spacing w:after="0" w:line="221" w:lineRule="auto"/>
        <w:rPr>
          <w:sz w:val="20"/>
          <w:szCs w:val="20"/>
          <w:color w:val="auto"/>
        </w:rPr>
      </w:pPr>
      <w:r>
        <w:rPr>
          <w:rFonts w:ascii="Times New Roman" w:cs="Times New Roman" w:eastAsia="Times New Roman" w:hAnsi="Times New Roman"/>
          <w:sz w:val="21"/>
          <w:szCs w:val="21"/>
          <w:color w:val="auto"/>
        </w:rPr>
        <w:t>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prohibits or is intended to restrict or impede Grantee from discussing the terms and conditions of their employment with coworkers or union representatives or exercising protected rights under Section 7 of the National Labor Relations Act, or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48" w:lineRule="exact"/>
        <w:rPr>
          <w:sz w:val="20"/>
          <w:szCs w:val="20"/>
          <w:color w:val="auto"/>
        </w:rPr>
      </w:pPr>
    </w:p>
    <w:p>
      <w:pPr>
        <w:jc w:val="both"/>
        <w:ind w:firstLine="644"/>
        <w:spacing w:after="0" w:line="211" w:lineRule="auto"/>
        <w:tabs>
          <w:tab w:leader="none" w:pos="12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 period prior to the date of employment termination and with which Grantee was involved and/or oversaw.</w:t>
      </w:r>
    </w:p>
    <w:p>
      <w:pPr>
        <w:spacing w:after="0" w:line="151" w:lineRule="exact"/>
        <w:rPr>
          <w:rFonts w:ascii="Times New Roman" w:cs="Times New Roman" w:eastAsia="Times New Roman" w:hAnsi="Times New Roman"/>
          <w:sz w:val="22"/>
          <w:szCs w:val="22"/>
          <w:color w:val="auto"/>
        </w:rPr>
      </w:pPr>
    </w:p>
    <w:p>
      <w:pPr>
        <w:jc w:val="both"/>
        <w:ind w:firstLine="644"/>
        <w:spacing w:after="0" w:line="221" w:lineRule="auto"/>
        <w:tabs>
          <w:tab w:leader="none" w:pos="129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48"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179" w:lineRule="exact"/>
        <w:rPr>
          <w:rFonts w:ascii="Times New Roman" w:cs="Times New Roman" w:eastAsia="Times New Roman" w:hAnsi="Times New Roman"/>
          <w:sz w:val="22"/>
          <w:szCs w:val="22"/>
          <w:color w:val="auto"/>
        </w:rPr>
      </w:pPr>
    </w:p>
    <w:p>
      <w:pPr>
        <w:jc w:val="both"/>
        <w:ind w:left="660" w:firstLine="622"/>
        <w:spacing w:after="0" w:line="214" w:lineRule="auto"/>
        <w:tabs>
          <w:tab w:leader="none" w:pos="180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rFonts w:ascii="Times New Roman" w:cs="Times New Roman" w:eastAsia="Times New Roman" w:hAnsi="Times New Roman"/>
          <w:sz w:val="22"/>
          <w:szCs w:val="22"/>
          <w:color w:val="auto"/>
        </w:rPr>
      </w:pPr>
    </w:p>
    <w:p>
      <w:pPr>
        <w:jc w:val="both"/>
        <w:ind w:left="660" w:firstLine="622"/>
        <w:spacing w:after="0" w:line="221" w:lineRule="auto"/>
        <w:tabs>
          <w:tab w:leader="none" w:pos="1949"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xiv</w:t>
      </w:r>
    </w:p>
    <w:p>
      <w:pPr>
        <w:sectPr>
          <w:pgSz w:w="11900" w:h="16838" w:orient="portrait"/>
          <w:cols w:equalWidth="0" w:num="1">
            <w:col w:w="10600"/>
          </w:cols>
          <w:pgMar w:left="960" w:top="1395" w:right="339" w:bottom="1440" w:gutter="0" w:footer="0" w:header="0"/>
        </w:sectPr>
      </w:pPr>
    </w:p>
    <w:bookmarkStart w:id="97" w:name="page98"/>
    <w:bookmarkEnd w:id="97"/>
    <w:p>
      <w:pPr>
        <w:jc w:val="both"/>
        <w:ind w:left="1300"/>
        <w:spacing w:after="0" w:line="211" w:lineRule="auto"/>
        <w:rPr>
          <w:sz w:val="20"/>
          <w:szCs w:val="20"/>
          <w:color w:val="auto"/>
        </w:rPr>
      </w:pPr>
      <w:r>
        <w:rPr>
          <w:rFonts w:ascii="Times New Roman" w:cs="Times New Roman" w:eastAsia="Times New Roman" w:hAnsi="Times New Roman"/>
          <w:sz w:val="22"/>
          <w:szCs w:val="22"/>
          <w:color w:val="auto"/>
        </w:rPr>
        <w:t>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4" w:lineRule="exact"/>
        <w:rPr>
          <w:sz w:val="20"/>
          <w:szCs w:val="20"/>
          <w:color w:val="auto"/>
        </w:rPr>
      </w:pPr>
    </w:p>
    <w:p>
      <w:pPr>
        <w:ind w:left="640" w:firstLine="644"/>
        <w:spacing w:after="0" w:line="238" w:lineRule="auto"/>
        <w:tabs>
          <w:tab w:leader="none" w:pos="188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II.B.16 is added to the Agreement to read as follows:</w:t>
      </w:r>
    </w:p>
    <w:p>
      <w:pPr>
        <w:spacing w:after="0" w:line="206" w:lineRule="exact"/>
        <w:rPr>
          <w:sz w:val="20"/>
          <w:szCs w:val="20"/>
          <w:color w:val="auto"/>
        </w:rPr>
      </w:pPr>
    </w:p>
    <w:p>
      <w:pPr>
        <w:jc w:val="both"/>
        <w:ind w:firstLine="594"/>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xv</w:t>
      </w:r>
    </w:p>
    <w:p>
      <w:pPr>
        <w:sectPr>
          <w:pgSz w:w="11900" w:h="16838" w:orient="portrait"/>
          <w:cols w:equalWidth="0" w:num="1">
            <w:col w:w="11240"/>
          </w:cols>
          <w:pgMar w:left="320" w:top="1395"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Restricted Stock Units Award</w:t>
      </w:r>
    </w:p>
    <w:p>
      <w:pPr>
        <w:jc w:val="right"/>
        <w:spacing w:after="0"/>
        <w:rPr>
          <w:sz w:val="20"/>
          <w:szCs w:val="20"/>
          <w:color w:val="auto"/>
        </w:rPr>
      </w:pPr>
      <w:r>
        <w:rPr>
          <w:rFonts w:ascii="Times New Roman" w:cs="Times New Roman" w:eastAsia="Times New Roman" w:hAnsi="Times New Roman"/>
          <w:sz w:val="20"/>
          <w:szCs w:val="20"/>
          <w:b w:val="1"/>
          <w:bCs w:val="1"/>
          <w:color w:val="auto"/>
        </w:rPr>
        <w:t>To Board of Directors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EQUITY AND INCENTIVE COMPENSATION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1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Unless otherwise defined in this Agreement, the terms used in this Agreement have the same meanings as defined in the Plan. The term “Service Provider” as used in this Agreement means an individual actively providing services to the Company or a Subsidiary. A Service Provider includes a member of the Board.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  NOTICE OF AWARD</w:t>
            </w:r>
          </w:p>
        </w:tc>
        <w:tc>
          <w:tcPr>
            <w:tcW w:w="43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502"/>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[specify Grantee’s name]</w:t>
            </w:r>
          </w:p>
        </w:tc>
      </w:tr>
      <w:tr>
        <w:trPr>
          <w:trHeight w:val="340"/>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Agreement:</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As of [enter date]</w:t>
            </w:r>
          </w:p>
        </w:tc>
      </w:tr>
      <w:tr>
        <w:trPr>
          <w:trHeight w:val="308"/>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[grant date]</w:t>
            </w:r>
          </w:p>
        </w:tc>
      </w:tr>
      <w:tr>
        <w:trPr>
          <w:trHeight w:val="286"/>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Number of Restricted Stock Units:</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[number of Restricted Stock Units]</w:t>
            </w:r>
          </w:p>
        </w:tc>
      </w:tr>
    </w:tbl>
    <w:p>
      <w:pPr>
        <w:spacing w:after="0" w:line="281" w:lineRule="exact"/>
        <w:rPr>
          <w:sz w:val="20"/>
          <w:szCs w:val="20"/>
          <w:color w:val="auto"/>
        </w:rPr>
      </w:pPr>
    </w:p>
    <w:p>
      <w:pPr>
        <w:ind w:left="420" w:hanging="412"/>
        <w:spacing w:after="0"/>
        <w:tabs>
          <w:tab w:leader="none" w:pos="4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193" w:lineRule="exact"/>
        <w:rPr>
          <w:sz w:val="20"/>
          <w:szCs w:val="20"/>
          <w:color w:val="auto"/>
        </w:rPr>
      </w:pPr>
    </w:p>
    <w:p>
      <w:pPr>
        <w:jc w:val="both"/>
        <w:ind w:firstLine="8"/>
        <w:spacing w:after="0" w:line="244" w:lineRule="auto"/>
        <w:tabs>
          <w:tab w:leader="none" w:pos="439"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the number of Restricted Stock Units set forth above, subject to the terms of this Agreement. The Restricted Stock Units evidenced by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58" w:lineRule="exact"/>
        <w:rPr>
          <w:rFonts w:ascii="Times New Roman" w:cs="Times New Roman" w:eastAsia="Times New Roman" w:hAnsi="Times New Roman"/>
          <w:sz w:val="22"/>
          <w:szCs w:val="22"/>
          <w:b w:val="1"/>
          <w:bCs w:val="1"/>
          <w:color w:val="auto"/>
        </w:rPr>
      </w:pPr>
    </w:p>
    <w:p>
      <w:pPr>
        <w:ind w:left="600" w:hanging="376"/>
        <w:spacing w:after="0"/>
        <w:tabs>
          <w:tab w:leader="none" w:pos="600" w:val="left"/>
        </w:tabs>
        <w:numPr>
          <w:ilvl w:val="1"/>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60" w:firstLine="644"/>
        <w:spacing w:after="0" w:line="227" w:lineRule="auto"/>
        <w:tabs>
          <w:tab w:leader="none" w:pos="1953"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full on the first anniversary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of Grant (the “Vesting Date”), subject generally to Grantee’s continued status as a Service Provider through such Vesting Date. In particular, this Award is subject to Section 18(c) of the Plan.</w:t>
      </w:r>
    </w:p>
    <w:p>
      <w:pPr>
        <w:sectPr>
          <w:pgSz w:w="11900" w:h="16838" w:orient="portrait"/>
          <w:cols w:equalWidth="0" w:num="1">
            <w:col w:w="11240"/>
          </w:cols>
          <w:pgMar w:left="320" w:top="1418" w:right="339" w:bottom="1440" w:gutter="0" w:footer="0" w:header="0"/>
        </w:sectPr>
      </w:pPr>
    </w:p>
    <w:bookmarkStart w:id="99" w:name="page100"/>
    <w:bookmarkEnd w:id="99"/>
    <w:p>
      <w:pPr>
        <w:jc w:val="both"/>
        <w:ind w:left="440" w:firstLine="644"/>
        <w:spacing w:after="0" w:line="216" w:lineRule="auto"/>
        <w:tabs>
          <w:tab w:leader="none" w:pos="173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Any unvested Restricted Stock Units subject to this Award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canceled and forfeited if Grantee terminates as a Service Provider, or if Grantee’s status as a Service Provider is terminated by the Company, for any reason before the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Grantee ceases to be a Service Provider prior to the Vesting Date as a result of Grantee’s death, Disability or Retirement, Grantee shall fully vest in the Restricted Stock Units subject to this Award as of the date on which Grantee ceases to be a Service Provider due to Grantee’s death, Disability or Retirement.</w:t>
      </w:r>
    </w:p>
    <w:p>
      <w:pPr>
        <w:spacing w:after="0" w:line="145" w:lineRule="exact"/>
        <w:rPr>
          <w:rFonts w:ascii="Times New Roman" w:cs="Times New Roman" w:eastAsia="Times New Roman" w:hAnsi="Times New Roman"/>
          <w:sz w:val="22"/>
          <w:szCs w:val="22"/>
          <w:color w:val="auto"/>
        </w:rPr>
      </w:pPr>
    </w:p>
    <w:p>
      <w:pPr>
        <w:jc w:val="both"/>
        <w:ind w:left="440" w:firstLine="644"/>
        <w:spacing w:after="0" w:line="218" w:lineRule="auto"/>
        <w:tabs>
          <w:tab w:leader="none" w:pos="1733"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 Definition</w:t>
      </w:r>
      <w:r>
        <w:rPr>
          <w:rFonts w:ascii="Times New Roman" w:cs="Times New Roman" w:eastAsia="Times New Roman" w:hAnsi="Times New Roman"/>
          <w:sz w:val="22"/>
          <w:szCs w:val="22"/>
          <w:color w:val="auto"/>
        </w:rPr>
        <w:t>. For purposes of this Agreement, “Disability” (and similar terms) means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51" w:lineRule="exact"/>
        <w:rPr>
          <w:rFonts w:ascii="Times New Roman" w:cs="Times New Roman" w:eastAsia="Times New Roman" w:hAnsi="Times New Roman"/>
          <w:sz w:val="22"/>
          <w:szCs w:val="22"/>
          <w:color w:val="auto"/>
        </w:rPr>
      </w:pPr>
    </w:p>
    <w:p>
      <w:pPr>
        <w:ind w:left="1080" w:firstLine="652"/>
        <w:spacing w:after="0" w:line="236" w:lineRule="auto"/>
        <w:tabs>
          <w:tab w:leader="none" w:pos="222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77" w:lineRule="exact"/>
        <w:rPr>
          <w:rFonts w:ascii="Times New Roman" w:cs="Times New Roman" w:eastAsia="Times New Roman" w:hAnsi="Times New Roman"/>
          <w:sz w:val="22"/>
          <w:szCs w:val="22"/>
          <w:color w:val="auto"/>
        </w:rPr>
      </w:pPr>
    </w:p>
    <w:p>
      <w:pPr>
        <w:ind w:left="1080" w:right="20" w:firstLine="652"/>
        <w:spacing w:after="0" w:line="236" w:lineRule="auto"/>
        <w:tabs>
          <w:tab w:leader="none" w:pos="2291"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7" w:lineRule="exact"/>
        <w:rPr>
          <w:rFonts w:ascii="Times New Roman" w:cs="Times New Roman" w:eastAsia="Times New Roman" w:hAnsi="Times New Roman"/>
          <w:sz w:val="22"/>
          <w:szCs w:val="22"/>
          <w:color w:val="auto"/>
        </w:rPr>
      </w:pPr>
    </w:p>
    <w:p>
      <w:pPr>
        <w:jc w:val="both"/>
        <w:ind w:left="1080" w:firstLine="652"/>
        <w:spacing w:after="0" w:line="225" w:lineRule="auto"/>
        <w:tabs>
          <w:tab w:leader="none" w:pos="2309"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79" w:lineRule="exact"/>
        <w:rPr>
          <w:sz w:val="20"/>
          <w:szCs w:val="20"/>
          <w:color w:val="auto"/>
        </w:rPr>
      </w:pPr>
    </w:p>
    <w:p>
      <w:pPr>
        <w:jc w:val="both"/>
        <w:ind w:left="440"/>
        <w:spacing w:after="0" w:line="21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175" w:lineRule="exact"/>
        <w:rPr>
          <w:sz w:val="20"/>
          <w:szCs w:val="20"/>
          <w:color w:val="auto"/>
        </w:rPr>
      </w:pPr>
    </w:p>
    <w:p>
      <w:pPr>
        <w:jc w:val="both"/>
        <w:ind w:left="440" w:right="360" w:firstLine="644"/>
        <w:spacing w:after="0" w:line="227" w:lineRule="auto"/>
        <w:tabs>
          <w:tab w:leader="none" w:pos="173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 Definition</w:t>
      </w:r>
      <w:r>
        <w:rPr>
          <w:rFonts w:ascii="Times New Roman" w:cs="Times New Roman" w:eastAsia="Times New Roman" w:hAnsi="Times New Roman"/>
          <w:sz w:val="22"/>
          <w:szCs w:val="22"/>
          <w:color w:val="auto"/>
        </w:rPr>
        <w:t>. For purposes of this Agreement, “Retirement” means termination of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status as a Service Provider with the consent of the Committee after attaining age 55 and five years of service with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391" w:right="339" w:bottom="1440" w:gutter="0" w:footer="0" w:header="0"/>
        </w:sectPr>
      </w:pPr>
    </w:p>
    <w:bookmarkStart w:id="100" w:name="page101"/>
    <w:bookmarkEnd w:id="100"/>
    <w:p>
      <w:pPr>
        <w:ind w:left="592" w:hanging="376"/>
        <w:spacing w:after="0"/>
        <w:tabs>
          <w:tab w:leader="none" w:pos="592"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52" w:firstLine="644"/>
        <w:spacing w:after="0" w:line="227" w:lineRule="auto"/>
        <w:tabs>
          <w:tab w:leader="none" w:pos="1945" w:val="left"/>
        </w:tabs>
        <w:numPr>
          <w:ilvl w:val="3"/>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later than thirty (30) days following) the Vesting Date, the Company shall issue Grantee one share of Common Stock for each vested Restricted Stock Unit.</w:t>
      </w:r>
    </w:p>
    <w:p>
      <w:pPr>
        <w:spacing w:after="0" w:line="146" w:lineRule="exact"/>
        <w:rPr>
          <w:rFonts w:ascii="Times New Roman" w:cs="Times New Roman" w:eastAsia="Times New Roman" w:hAnsi="Times New Roman"/>
          <w:sz w:val="22"/>
          <w:szCs w:val="22"/>
          <w:color w:val="auto"/>
        </w:rPr>
      </w:pPr>
    </w:p>
    <w:p>
      <w:pPr>
        <w:jc w:val="both"/>
        <w:ind w:left="652" w:firstLine="644"/>
        <w:spacing w:after="0" w:line="218" w:lineRule="auto"/>
        <w:tabs>
          <w:tab w:leader="none" w:pos="1943" w:val="left"/>
        </w:tabs>
        <w:numPr>
          <w:ilvl w:val="3"/>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as a result of Section II.A.1(b) (and have not previously been settled) on the date of Grantee’s separation from service (within the meaning of Treasury Regulation Section 1.409A-1(h)), the Company shall issue Grantee one share of Common Stock for each vested Restricted Stock Unit as soon as practicable following (but no later than thirty (30) days following) the date of such separation from service.</w:t>
      </w:r>
    </w:p>
    <w:p>
      <w:pPr>
        <w:spacing w:after="0" w:line="147" w:lineRule="exact"/>
        <w:rPr>
          <w:rFonts w:ascii="Times New Roman" w:cs="Times New Roman" w:eastAsia="Times New Roman" w:hAnsi="Times New Roman"/>
          <w:sz w:val="22"/>
          <w:szCs w:val="22"/>
          <w:color w:val="auto"/>
        </w:rPr>
      </w:pPr>
    </w:p>
    <w:p>
      <w:pPr>
        <w:jc w:val="both"/>
        <w:ind w:left="72" w:firstLine="238"/>
        <w:spacing w:after="0" w:line="212" w:lineRule="auto"/>
        <w:tabs>
          <w:tab w:leader="none" w:pos="706" w:val="left"/>
        </w:tabs>
        <w:numPr>
          <w:ilvl w:val="1"/>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48" w:lineRule="exact"/>
        <w:rPr>
          <w:rFonts w:ascii="Times New Roman" w:cs="Times New Roman" w:eastAsia="Times New Roman" w:hAnsi="Times New Roman"/>
          <w:sz w:val="22"/>
          <w:szCs w:val="22"/>
          <w:b w:val="1"/>
          <w:bCs w:val="1"/>
          <w:color w:val="auto"/>
        </w:rPr>
      </w:pPr>
    </w:p>
    <w:p>
      <w:pPr>
        <w:ind w:left="72" w:right="20" w:firstLine="265"/>
        <w:spacing w:after="0" w:line="238" w:lineRule="auto"/>
        <w:tabs>
          <w:tab w:leader="none" w:pos="747" w:val="left"/>
        </w:tabs>
        <w:numPr>
          <w:ilvl w:val="2"/>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6" w:lineRule="exact"/>
        <w:rPr>
          <w:sz w:val="20"/>
          <w:szCs w:val="20"/>
          <w:color w:val="auto"/>
        </w:rPr>
      </w:pPr>
    </w:p>
    <w:p>
      <w:pPr>
        <w:ind w:left="-8" w:right="20" w:firstLine="224"/>
        <w:spacing w:after="0" w:line="238" w:lineRule="auto"/>
        <w:tabs>
          <w:tab w:leader="none" w:pos="586" w:val="left"/>
        </w:tabs>
        <w:numPr>
          <w:ilvl w:val="1"/>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covered by this Award will be subject to adjustment as provided in Section 11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w:t>
      </w:r>
    </w:p>
    <w:p>
      <w:pPr>
        <w:spacing w:after="0" w:line="146" w:lineRule="exact"/>
        <w:rPr>
          <w:rFonts w:ascii="Times New Roman" w:cs="Times New Roman" w:eastAsia="Times New Roman" w:hAnsi="Times New Roman"/>
          <w:sz w:val="22"/>
          <w:szCs w:val="22"/>
          <w:b w:val="1"/>
          <w:bCs w:val="1"/>
          <w:color w:val="auto"/>
        </w:rPr>
      </w:pPr>
    </w:p>
    <w:p>
      <w:pPr>
        <w:ind w:left="412" w:hanging="412"/>
        <w:spacing w:after="0"/>
        <w:tabs>
          <w:tab w:leader="none" w:pos="412"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8" w:firstLine="305"/>
        <w:spacing w:after="0" w:line="221" w:lineRule="auto"/>
        <w:tabs>
          <w:tab w:leader="none" w:pos="748" w:val="left"/>
        </w:tabs>
        <w:numPr>
          <w:ilvl w:val="3"/>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this Award and the Restricted Stock Units subject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48" w:lineRule="exact"/>
        <w:rPr>
          <w:rFonts w:ascii="Times New Roman" w:cs="Times New Roman" w:eastAsia="Times New Roman" w:hAnsi="Times New Roman"/>
          <w:sz w:val="22"/>
          <w:szCs w:val="22"/>
          <w:b w:val="1"/>
          <w:bCs w:val="1"/>
          <w:color w:val="auto"/>
        </w:rPr>
      </w:pPr>
    </w:p>
    <w:p>
      <w:pPr>
        <w:jc w:val="both"/>
        <w:ind w:left="-8" w:firstLine="244"/>
        <w:spacing w:after="0" w:line="227" w:lineRule="auto"/>
        <w:tabs>
          <w:tab w:leader="none" w:pos="626" w:val="left"/>
        </w:tabs>
        <w:numPr>
          <w:ilvl w:val="2"/>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is responsible for the payment of any and all taxes that arise with respect to this Award. Grantee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tender sufficient funds to satisfy any applicable taxes arising in connection with the vesting of the Restricted Stock Units (or other applicable events) under this Award.</w:t>
      </w:r>
    </w:p>
    <w:p>
      <w:pPr>
        <w:spacing w:after="0" w:line="146" w:lineRule="exact"/>
        <w:rPr>
          <w:rFonts w:ascii="Times New Roman" w:cs="Times New Roman" w:eastAsia="Times New Roman" w:hAnsi="Times New Roman"/>
          <w:sz w:val="22"/>
          <w:szCs w:val="22"/>
          <w:b w:val="1"/>
          <w:bCs w:val="1"/>
          <w:color w:val="auto"/>
        </w:rPr>
      </w:pPr>
    </w:p>
    <w:p>
      <w:pPr>
        <w:jc w:val="both"/>
        <w:ind w:left="-8" w:firstLine="251"/>
        <w:spacing w:after="0" w:line="221" w:lineRule="auto"/>
        <w:tabs>
          <w:tab w:leader="none" w:pos="640" w:val="left"/>
        </w:tabs>
        <w:numPr>
          <w:ilvl w:val="2"/>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Grantee and the Company agree that any disagreement, dispute, controversy, or claim arising out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391" w:right="339" w:bottom="1440" w:gutter="0" w:footer="0" w:header="0"/>
        </w:sectPr>
      </w:pPr>
    </w:p>
    <w:bookmarkStart w:id="101" w:name="page102"/>
    <w:bookmarkEnd w:id="101"/>
    <w:p>
      <w:pPr>
        <w:jc w:val="both"/>
        <w:ind w:left="580" w:firstLine="643"/>
        <w:spacing w:after="0" w:line="227" w:lineRule="auto"/>
        <w:tabs>
          <w:tab w:leader="none" w:pos="195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Negotiation</w:t>
      </w:r>
      <w:r>
        <w:rPr>
          <w:rFonts w:ascii="Times New Roman" w:cs="Times New Roman" w:eastAsia="Times New Roman" w:hAnsi="Times New Roman"/>
          <w:sz w:val="22"/>
          <w:szCs w:val="22"/>
          <w:color w:val="auto"/>
        </w:rPr>
        <w:t>. Grantee and the Company will use their best efforts to settle the dispute, claim, question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46" w:lineRule="exact"/>
        <w:rPr>
          <w:rFonts w:ascii="Times New Roman" w:cs="Times New Roman" w:eastAsia="Times New Roman" w:hAnsi="Times New Roman"/>
          <w:sz w:val="22"/>
          <w:szCs w:val="22"/>
          <w:color w:val="auto"/>
        </w:rPr>
      </w:pPr>
    </w:p>
    <w:p>
      <w:pPr>
        <w:jc w:val="both"/>
        <w:ind w:left="580" w:firstLine="643"/>
        <w:spacing w:after="0" w:line="218" w:lineRule="auto"/>
        <w:tabs>
          <w:tab w:leader="none" w:pos="195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If Grantee and the Company do not reach a solution within a period of 30 days from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47" w:lineRule="exact"/>
        <w:rPr>
          <w:rFonts w:ascii="Times New Roman" w:cs="Times New Roman" w:eastAsia="Times New Roman" w:hAnsi="Times New Roman"/>
          <w:sz w:val="22"/>
          <w:szCs w:val="22"/>
          <w:color w:val="auto"/>
        </w:rPr>
      </w:pPr>
    </w:p>
    <w:p>
      <w:pPr>
        <w:jc w:val="both"/>
        <w:ind w:left="1300" w:firstLine="652"/>
        <w:spacing w:after="0" w:line="214" w:lineRule="auto"/>
        <w:tabs>
          <w:tab w:leader="none" w:pos="2429"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Arbitrator</w:t>
      </w:r>
      <w:r>
        <w:rPr>
          <w:rFonts w:ascii="Times New Roman" w:cs="Times New Roman" w:eastAsia="Times New Roman" w:hAnsi="Times New Roman"/>
          <w:sz w:val="22"/>
          <w:szCs w:val="22"/>
          <w:color w:val="auto"/>
        </w:rPr>
        <w:t>. The arbitration will be conducted by one arbitrator skilled in the arbitration of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48"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Location</w:t>
      </w:r>
      <w:r>
        <w:rPr>
          <w:rFonts w:ascii="Times New Roman" w:cs="Times New Roman" w:eastAsia="Times New Roman" w:hAnsi="Times New Roman"/>
          <w:sz w:val="22"/>
          <w:szCs w:val="22"/>
          <w:color w:val="auto"/>
        </w:rPr>
        <w:t>. The arbitration will be conducted in Oakland County, Michigan.</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8" w:lineRule="auto"/>
        <w:tabs>
          <w:tab w:leader="none" w:pos="2429"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 At any oral hearing of evidence in connection with the arbitration, each party or its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47" w:lineRule="exact"/>
        <w:rPr>
          <w:rFonts w:ascii="Times New Roman" w:cs="Times New Roman" w:eastAsia="Times New Roman" w:hAnsi="Times New Roman"/>
          <w:sz w:val="22"/>
          <w:szCs w:val="22"/>
          <w:color w:val="auto"/>
        </w:rPr>
      </w:pPr>
    </w:p>
    <w:p>
      <w:pPr>
        <w:jc w:val="both"/>
        <w:ind w:left="1300" w:firstLine="652"/>
        <w:spacing w:after="0" w:line="221" w:lineRule="auto"/>
        <w:tabs>
          <w:tab w:leader="none" w:pos="2429"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Decision</w:t>
      </w:r>
      <w:r>
        <w:rPr>
          <w:rFonts w:ascii="Times New Roman" w:cs="Times New Roman" w:eastAsia="Times New Roman" w:hAnsi="Times New Roman"/>
          <w:sz w:val="22"/>
          <w:szCs w:val="22"/>
          <w:color w:val="auto"/>
        </w:rPr>
        <w:t>. Any decision or award of the arbitrator is final and binding on the parties to the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48" w:lineRule="exact"/>
        <w:rPr>
          <w:rFonts w:ascii="Times New Roman" w:cs="Times New Roman" w:eastAsia="Times New Roman" w:hAnsi="Times New Roman"/>
          <w:sz w:val="22"/>
          <w:szCs w:val="22"/>
          <w:color w:val="auto"/>
        </w:rPr>
      </w:pPr>
    </w:p>
    <w:p>
      <w:pPr>
        <w:ind w:left="1300" w:firstLine="652"/>
        <w:spacing w:after="0" w:line="259" w:lineRule="auto"/>
        <w:tabs>
          <w:tab w:leader="none" w:pos="2510"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Power</w:t>
      </w:r>
      <w:r>
        <w:rPr>
          <w:rFonts w:ascii="Times New Roman" w:cs="Times New Roman" w:eastAsia="Times New Roman" w:hAnsi="Times New Roman"/>
          <w:sz w:val="21"/>
          <w:szCs w:val="21"/>
          <w:color w:val="auto"/>
        </w:rPr>
        <w:t>. Nothing contained in this Agreement may be deemed to give the arbitrator any authority,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 or right to alter, change, amend, modify, add to, or subtract from any of the provisions of this Agreement.</w:t>
      </w:r>
    </w:p>
    <w:p>
      <w:pPr>
        <w:spacing w:after="0" w:line="13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102" w:name="page103"/>
    <w:bookmarkEnd w:id="102"/>
    <w:p>
      <w:pPr>
        <w:jc w:val="both"/>
        <w:ind w:firstLine="278"/>
        <w:spacing w:after="0" w:line="216" w:lineRule="auto"/>
        <w:tabs>
          <w:tab w:leader="none" w:pos="702" w:val="left"/>
        </w:tabs>
        <w:numPr>
          <w:ilvl w:val="3"/>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Grantee).</w:t>
      </w:r>
    </w:p>
    <w:p>
      <w:pPr>
        <w:spacing w:after="0" w:line="145" w:lineRule="exact"/>
        <w:rPr>
          <w:rFonts w:ascii="Times New Roman" w:cs="Times New Roman" w:eastAsia="Times New Roman" w:hAnsi="Times New Roman"/>
          <w:sz w:val="22"/>
          <w:szCs w:val="22"/>
          <w:b w:val="1"/>
          <w:bCs w:val="1"/>
          <w:color w:val="auto"/>
        </w:rPr>
      </w:pPr>
    </w:p>
    <w:p>
      <w:pPr>
        <w:jc w:val="both"/>
        <w:ind w:firstLine="305"/>
        <w:spacing w:after="0" w:line="227" w:lineRule="auto"/>
        <w:tabs>
          <w:tab w:leader="none" w:pos="756" w:val="left"/>
        </w:tabs>
        <w:numPr>
          <w:ilvl w:val="5"/>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of the Company, which are hereby expressly reserved.</w:t>
      </w:r>
    </w:p>
    <w:p>
      <w:pPr>
        <w:spacing w:after="0" w:line="146" w:lineRule="exact"/>
        <w:rPr>
          <w:rFonts w:ascii="Times New Roman" w:cs="Times New Roman" w:eastAsia="Times New Roman" w:hAnsi="Times New Roman"/>
          <w:sz w:val="22"/>
          <w:szCs w:val="22"/>
          <w:b w:val="1"/>
          <w:bCs w:val="1"/>
          <w:color w:val="auto"/>
        </w:rPr>
      </w:pPr>
    </w:p>
    <w:p>
      <w:pPr>
        <w:jc w:val="both"/>
        <w:ind w:firstLine="231"/>
        <w:spacing w:after="0" w:line="221" w:lineRule="auto"/>
        <w:tabs>
          <w:tab w:leader="none" w:pos="607"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Agreement or the application of any provision hereof to any person or circumstances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48" w:lineRule="exact"/>
        <w:rPr>
          <w:rFonts w:ascii="Times New Roman" w:cs="Times New Roman" w:eastAsia="Times New Roman" w:hAnsi="Times New Roman"/>
          <w:sz w:val="22"/>
          <w:szCs w:val="22"/>
          <w:b w:val="1"/>
          <w:bCs w:val="1"/>
          <w:color w:val="auto"/>
        </w:rPr>
      </w:pPr>
    </w:p>
    <w:p>
      <w:pPr>
        <w:ind w:firstLine="291"/>
        <w:spacing w:after="0" w:line="238" w:lineRule="auto"/>
        <w:tabs>
          <w:tab w:leader="none" w:pos="729" w:val="left"/>
        </w:tabs>
        <w:numPr>
          <w:ilvl w:val="4"/>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governed by and construed in accordance with the laws of the State of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conflict of law provisions.</w:t>
      </w:r>
    </w:p>
    <w:p>
      <w:pPr>
        <w:spacing w:after="0" w:line="146" w:lineRule="exact"/>
        <w:rPr>
          <w:rFonts w:ascii="Times New Roman" w:cs="Times New Roman" w:eastAsia="Times New Roman" w:hAnsi="Times New Roman"/>
          <w:sz w:val="22"/>
          <w:szCs w:val="22"/>
          <w:b w:val="1"/>
          <w:bCs w:val="1"/>
          <w:color w:val="auto"/>
        </w:rPr>
      </w:pPr>
    </w:p>
    <w:p>
      <w:pPr>
        <w:jc w:val="both"/>
        <w:ind w:right="20" w:firstLine="224"/>
        <w:spacing w:after="0" w:line="218" w:lineRule="auto"/>
        <w:tabs>
          <w:tab w:leader="none" w:pos="594" w:val="left"/>
        </w:tabs>
        <w:numPr>
          <w:ilvl w:val="1"/>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47" w:lineRule="exact"/>
        <w:rPr>
          <w:rFonts w:ascii="Times New Roman" w:cs="Times New Roman" w:eastAsia="Times New Roman" w:hAnsi="Times New Roman"/>
          <w:sz w:val="22"/>
          <w:szCs w:val="22"/>
          <w:b w:val="1"/>
          <w:bCs w:val="1"/>
          <w:color w:val="auto"/>
        </w:rPr>
      </w:pPr>
    </w:p>
    <w:p>
      <w:pPr>
        <w:jc w:val="both"/>
        <w:ind w:firstLine="251"/>
        <w:spacing w:after="0" w:line="232" w:lineRule="auto"/>
        <w:tabs>
          <w:tab w:leader="none" w:pos="648" w:val="left"/>
        </w:tabs>
        <w:numPr>
          <w:ilvl w:val="2"/>
          <w:numId w:val="1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Amendments</w:t>
      </w:r>
      <w:r>
        <w:rPr>
          <w:rFonts w:ascii="Times New Roman" w:cs="Times New Roman" w:eastAsia="Times New Roman" w:hAnsi="Times New Roman"/>
          <w:sz w:val="21"/>
          <w:szCs w:val="21"/>
          <w:color w:val="auto"/>
        </w:rPr>
        <w:t>. Any amendment to the Plan shall be deemed to be an amendment to this Agreement 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amendment is applicable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46" w:lineRule="exact"/>
        <w:rPr>
          <w:sz w:val="20"/>
          <w:szCs w:val="20"/>
          <w:color w:val="auto"/>
        </w:rPr>
      </w:pPr>
    </w:p>
    <w:p>
      <w:pPr>
        <w:jc w:val="both"/>
        <w:ind w:firstLine="264"/>
        <w:spacing w:after="0" w:line="221" w:lineRule="auto"/>
        <w:tabs>
          <w:tab w:leader="none" w:pos="783"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103" w:name="page104"/>
    <w:bookmarkEnd w:id="103"/>
    <w:p>
      <w:pPr>
        <w:spacing w:after="0" w:line="236"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4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204" w:lineRule="auto"/>
        <w:rPr>
          <w:sz w:val="20"/>
          <w:szCs w:val="20"/>
          <w:color w:val="auto"/>
        </w:rPr>
      </w:pPr>
      <w:r>
        <w:rPr>
          <w:rFonts w:ascii="Times New Roman" w:cs="Times New Roman" w:eastAsia="Times New Roman" w:hAnsi="Times New Roman"/>
          <w:sz w:val="22"/>
          <w:szCs w:val="22"/>
          <w:color w:val="auto"/>
        </w:rPr>
        <w:t>Name: Thomas A. Amato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395" w:right="339" w:bottom="1440" w:gutter="0" w:footer="0" w:header="0"/>
          <w:type w:val="continuous"/>
        </w:sectPr>
      </w:pPr>
    </w:p>
    <w:p>
      <w:pPr>
        <w:spacing w:after="0" w:line="37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4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2023</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2023</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2023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2023</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2023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2023</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lowerLetter"/>
      <w:start w:val="1"/>
    </w:lvl>
  </w:abstractNum>
  <w:abstractNum w:abstractNumId="3">
    <w:nsid w:val="5DB70AE5"/>
    <w:multiLevelType w:val="hybridMultilevel"/>
    <w:lvl w:ilvl="0">
      <w:lvlJc w:val="left"/>
      <w:lvlText w:val="(%1)"/>
      <w:numFmt w:val="lowerLetter"/>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1)"/>
      <w:numFmt w:val="lowerLetter"/>
      <w:start w:val="1"/>
    </w:lvl>
  </w:abstractNum>
  <w:abstractNum w:abstractNumId="6">
    <w:nsid w:val="15014ACB"/>
    <w:multiLevelType w:val="hybridMultilevel"/>
    <w:lvl w:ilvl="0">
      <w:lvlJc w:val="left"/>
      <w:lvlText w:val="(%1)"/>
      <w:numFmt w:val="lowerLetter"/>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1)"/>
      <w:numFmt w:val="decimal"/>
      <w:start w:val="1"/>
    </w:lvl>
  </w:abstractNum>
  <w:abstractNum w:abstractNumId="10">
    <w:nsid w:val="6B94764"/>
    <w:multiLevelType w:val="hybridMultilevel"/>
    <w:lvl w:ilvl="0">
      <w:lvlJc w:val="left"/>
      <w:lvlText w:val="(%1)"/>
      <w:numFmt w:val="decimal"/>
      <w:start w:val="1"/>
    </w:lvl>
  </w:abstractNum>
  <w:abstractNum w:abstractNumId="11">
    <w:nsid w:val="42C296BD"/>
    <w:multiLevelType w:val="hybridMultilevel"/>
    <w:lvl w:ilvl="0">
      <w:lvlJc w:val="left"/>
      <w:lvlText w:val="(%1)"/>
      <w:numFmt w:val="lowerRoman"/>
      <w:start w:val="5"/>
    </w:lvl>
  </w:abstractNum>
  <w:abstractNum w:abstractNumId="12">
    <w:nsid w:val="168E121F"/>
    <w:multiLevelType w:val="hybridMultilevel"/>
    <w:lvl w:ilvl="0">
      <w:lvlJc w:val="left"/>
      <w:lvlText w:val="%1."/>
      <w:numFmt w:val="upperLetter"/>
      <w:start w:val="9"/>
    </w:lvl>
  </w:abstractNum>
  <w:abstractNum w:abstractNumId="13">
    <w:nsid w:val="1EBA5D23"/>
    <w:multiLevelType w:val="hybridMultilevel"/>
    <w:lvl w:ilvl="0">
      <w:lvlJc w:val="left"/>
      <w:lvlText w:val="%1."/>
      <w:numFmt w:val="upperLetter"/>
      <w:start w:val="35"/>
    </w:lvl>
    <w:lvl w:ilvl="1">
      <w:lvlJc w:val="left"/>
      <w:lvlText w:val="%2"/>
      <w:numFmt w:val="upperLetter"/>
      <w:start w:val="1"/>
    </w:lvl>
  </w:abstractNum>
  <w:abstractNum w:abstractNumId="14">
    <w:nsid w:val="661E3F1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5">
    <w:nsid w:val="5DC79EA8"/>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16">
    <w:nsid w:val="540A471C"/>
    <w:multiLevelType w:val="hybridMultilevel"/>
    <w:lvl w:ilvl="0">
      <w:lvlJc w:val="left"/>
      <w:lvlText w:val="%1."/>
      <w:numFmt w:val="decimal"/>
      <w:start w:val="5"/>
    </w:lvl>
  </w:abstractNum>
  <w:abstractNum w:abstractNumId="17">
    <w:nsid w:val="7BD3EE7B"/>
    <w:multiLevelType w:val="hybridMultilevel"/>
    <w:lvl w:ilvl="0">
      <w:lvlJc w:val="left"/>
      <w:lvlText w:val="(%1)"/>
      <w:numFmt w:val="lowerLetter"/>
      <w:start w:val="1"/>
    </w:lvl>
    <w:lvl w:ilvl="1">
      <w:lvlJc w:val="left"/>
      <w:lvlText w:val="(%2)"/>
      <w:numFmt w:val="lowerLetter"/>
      <w:start w:val="2"/>
    </w:lvl>
  </w:abstractNum>
  <w:abstractNum w:abstractNumId="18">
    <w:nsid w:val="51D9C56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Letter"/>
      <w:start w:val="5"/>
    </w:lvl>
    <w:lvl w:ilvl="4">
      <w:lvlJc w:val="left"/>
      <w:lvlText w:val="%5"/>
      <w:numFmt w:val="upperLetter"/>
      <w:start w:val="1"/>
    </w:lvl>
    <w:lvl w:ilvl="5">
      <w:lvlJc w:val="left"/>
      <w:lvlText w:val="%6"/>
      <w:numFmt w:val="lowerRoman"/>
      <w:start w:val="1"/>
    </w:lvl>
  </w:abstractNum>
  <w:abstractNum w:abstractNumId="19">
    <w:nsid w:val="613EFDC5"/>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upperLetter"/>
      <w:start w:val="2"/>
    </w:lvl>
    <w:lvl w:ilvl="5">
      <w:lvlJc w:val="left"/>
      <w:lvlText w:val="(%6)"/>
      <w:numFmt w:val="lowerRoman"/>
      <w:start w:val="1"/>
    </w:lvl>
  </w:abstractNum>
  <w:abstractNum w:abstractNumId="20">
    <w:nsid w:val="BF72B14"/>
    <w:multiLevelType w:val="hybridMultilevel"/>
    <w:lvl w:ilvl="0">
      <w:lvlJc w:val="left"/>
      <w:lvlText w:val="(%1)"/>
      <w:numFmt w:val="lowerRoman"/>
      <w:start w:val="3"/>
    </w:lvl>
  </w:abstractNum>
  <w:abstractNum w:abstractNumId="21">
    <w:nsid w:val="11447B73"/>
    <w:multiLevelType w:val="hybridMultilevel"/>
    <w:lvl w:ilvl="0">
      <w:lvlJc w:val="left"/>
      <w:lvlText w:val="%1."/>
      <w:numFmt w:val="decimal"/>
      <w:start w:val="7"/>
    </w:lvl>
    <w:lvl w:ilvl="1">
      <w:lvlJc w:val="left"/>
      <w:lvlText w:val="(%2)"/>
      <w:numFmt w:val="lowerLetter"/>
      <w:start w:val="1"/>
    </w:lvl>
  </w:abstractNum>
  <w:abstractNum w:abstractNumId="22">
    <w:nsid w:val="42963E5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23">
    <w:nsid w:val="A0382C5"/>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3"/>
    </w:lvl>
    <w:lvl w:ilvl="4">
      <w:lvlJc w:val="left"/>
      <w:lvlText w:val="%5"/>
      <w:numFmt w:val="lowerRoman"/>
      <w:start w:val="1"/>
    </w:lvl>
  </w:abstractNum>
  <w:abstractNum w:abstractNumId="24">
    <w:nsid w:val="8F2B15E"/>
    <w:multiLevelType w:val="hybridMultilevel"/>
    <w:lvl w:ilvl="0">
      <w:lvlJc w:val="left"/>
      <w:lvlText w:val="%1."/>
      <w:numFmt w:val="upperLetter"/>
      <w:start w:val="2"/>
    </w:lvl>
    <w:lvl w:ilvl="1">
      <w:lvlJc w:val="left"/>
      <w:lvlText w:val="%2."/>
      <w:numFmt w:val="decimal"/>
      <w:start w:val="1"/>
    </w:lvl>
    <w:lvl w:ilvl="2">
      <w:lvlJc w:val="left"/>
      <w:lvlText w:val="%3."/>
      <w:numFmt w:val="decimal"/>
      <w:start w:val="2"/>
    </w:lvl>
    <w:lvl w:ilvl="3">
      <w:lvlJc w:val="left"/>
      <w:lvlText w:val="%4"/>
      <w:numFmt w:val="lowerLetter"/>
      <w:start w:val="1"/>
    </w:lvl>
    <w:lvl w:ilvl="4">
      <w:lvlJc w:val="left"/>
      <w:lvlText w:val="%5"/>
      <w:numFmt w:val="lowerRoman"/>
      <w:start w:val="1"/>
    </w:lvl>
  </w:abstractNum>
  <w:abstractNum w:abstractNumId="25">
    <w:nsid w:val="1A32234B"/>
    <w:multiLevelType w:val="hybridMultilevel"/>
    <w:lvl w:ilvl="0">
      <w:lvlJc w:val="left"/>
      <w:lvlText w:val="(%1)"/>
      <w:numFmt w:val="lowerLetter"/>
      <w:start w:val="25"/>
    </w:lvl>
    <w:lvl w:ilvl="1">
      <w:lvlJc w:val="left"/>
      <w:lvlText w:val="%2."/>
      <w:numFmt w:val="decimal"/>
      <w:start w:val="3"/>
    </w:lvl>
    <w:lvl w:ilvl="2">
      <w:lvlJc w:val="left"/>
      <w:lvlText w:val="(%3)"/>
      <w:numFmt w:val="lowerLetter"/>
      <w:start w:val="1"/>
    </w:lvl>
  </w:abstractNum>
  <w:abstractNum w:abstractNumId="26">
    <w:nsid w:val="3B0FD379"/>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0"/>
    </w:lvl>
    <w:lvl w:ilvl="3">
      <w:lvlJc w:val="left"/>
      <w:lvlText w:val="(%4)"/>
      <w:numFmt w:val="lowerLetter"/>
      <w:start w:val="4"/>
    </w:lvl>
    <w:lvl w:ilvl="4">
      <w:lvlJc w:val="left"/>
      <w:lvlText w:val="(%5)"/>
      <w:numFmt w:val="lowerRoman"/>
      <w:start w:val="2"/>
    </w:lvl>
  </w:abstractNum>
  <w:abstractNum w:abstractNumId="27">
    <w:nsid w:val="68EB2F63"/>
    <w:multiLevelType w:val="hybridMultilevel"/>
    <w:lvl w:ilvl="0">
      <w:lvlJc w:val="left"/>
      <w:lvlText w:val="%1"/>
      <w:numFmt w:val="lowerLetter"/>
      <w:start w:val="1"/>
    </w:lvl>
    <w:lvl w:ilvl="1">
      <w:lvlJc w:val="left"/>
      <w:lvlText w:val="(%2)"/>
      <w:numFmt w:val="lowerRoman"/>
      <w:start w:val="1"/>
    </w:lvl>
  </w:abstractNum>
  <w:abstractNum w:abstractNumId="28">
    <w:nsid w:val="4962813B"/>
    <w:multiLevelType w:val="hybridMultilevel"/>
    <w:lvl w:ilvl="0">
      <w:lvlJc w:val="left"/>
      <w:lvlText w:val="(%1)"/>
      <w:numFmt w:val="lowerLetter"/>
      <w:start w:val="6"/>
    </w:lvl>
    <w:lvl w:ilvl="1">
      <w:lvlJc w:val="left"/>
      <w:lvlText w:val="%2"/>
      <w:numFmt w:val="lowerRoman"/>
      <w:start w:val="1"/>
    </w:lvl>
  </w:abstractNum>
  <w:abstractNum w:abstractNumId="29">
    <w:nsid w:val="60B6DF7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lowerLetter"/>
      <w:start w:val="8"/>
    </w:lvl>
  </w:abstractNum>
  <w:abstractNum w:abstractNumId="30">
    <w:nsid w:val="6A5EE64"/>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31">
    <w:nsid w:val="14330624"/>
    <w:multiLevelType w:val="hybridMultilevel"/>
    <w:lvl w:ilvl="0">
      <w:lvlJc w:val="left"/>
      <w:lvlText w:val="%1."/>
      <w:numFmt w:val="decimal"/>
      <w:start w:val="6"/>
    </w:lvl>
    <w:lvl w:ilvl="1">
      <w:lvlJc w:val="left"/>
      <w:lvlText w:val="%2"/>
      <w:numFmt w:val="decimal"/>
      <w:start w:val="1"/>
    </w:lvl>
    <w:lvl w:ilvl="2">
      <w:lvlJc w:val="left"/>
      <w:lvlText w:val="%3."/>
      <w:numFmt w:val="decimal"/>
      <w:start w:val="7"/>
    </w:lvl>
    <w:lvl w:ilvl="3">
      <w:lvlJc w:val="left"/>
      <w:lvlText w:val="%4."/>
      <w:numFmt w:val="decimal"/>
      <w:start w:val="7"/>
    </w:lvl>
    <w:lvl w:ilvl="4">
      <w:lvlJc w:val="left"/>
      <w:lvlText w:val="%5."/>
      <w:numFmt w:val="decimal"/>
      <w:start w:val="9"/>
    </w:lvl>
    <w:lvl w:ilvl="5">
      <w:lvlJc w:val="left"/>
      <w:lvlText w:val="%6"/>
      <w:numFmt w:val="lowerLetter"/>
      <w:start w:val="1"/>
    </w:lvl>
  </w:abstractNum>
  <w:abstractNum w:abstractNumId="32">
    <w:nsid w:val="7FFFCA11"/>
    <w:multiLevelType w:val="hybridMultilevel"/>
    <w:lvl w:ilvl="0">
      <w:lvlJc w:val="left"/>
      <w:lvlText w:val="%1."/>
      <w:numFmt w:val="decimal"/>
      <w:start w:val="10"/>
    </w:lvl>
  </w:abstractNum>
  <w:abstractNum w:abstractNumId="33">
    <w:nsid w:val="1A27709E"/>
    <w:multiLevelType w:val="hybridMultilevel"/>
    <w:lvl w:ilvl="0">
      <w:lvlJc w:val="left"/>
      <w:lvlText w:val="%1."/>
      <w:numFmt w:val="decimal"/>
      <w:start w:val="11"/>
    </w:lvl>
    <w:lvl w:ilvl="1">
      <w:lvlJc w:val="left"/>
      <w:lvlText w:val="(%2)"/>
      <w:numFmt w:val="lowerLetter"/>
      <w:start w:val="2"/>
    </w:lvl>
    <w:lvl w:ilvl="2">
      <w:lvlJc w:val="left"/>
      <w:lvlText w:val="(%3)"/>
      <w:numFmt w:val="lowerLetter"/>
      <w:start w:val="1"/>
    </w:lvl>
    <w:lvl w:ilvl="3">
      <w:lvlJc w:val="left"/>
      <w:lvlText w:val="(%4)"/>
      <w:numFmt w:val="lowerLetter"/>
      <w:start w:val="2"/>
    </w:lvl>
    <w:lvl w:ilvl="4">
      <w:lvlJc w:val="left"/>
      <w:lvlText w:val="%5"/>
      <w:numFmt w:val="lowerLetter"/>
      <w:start w:val="1"/>
    </w:lvl>
    <w:lvl w:ilvl="5">
      <w:lvlJc w:val="left"/>
      <w:lvlText w:val="(%6)"/>
      <w:numFmt w:val="lowerLetter"/>
      <w:start w:val="5"/>
    </w:lvl>
  </w:abstractNum>
  <w:abstractNum w:abstractNumId="34">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lvl w:ilvl="3">
      <w:lvlJc w:val="left"/>
      <w:lvlText w:val="%4"/>
      <w:numFmt w:val="lowerLetter"/>
      <w:start w:val="1"/>
    </w:lvl>
    <w:lvl w:ilvl="4">
      <w:lvlJc w:val="left"/>
      <w:lvlText w:val="(%5)"/>
      <w:numFmt w:val="lowerLetter"/>
      <w:start w:val="8"/>
    </w:lvl>
    <w:lvl w:ilvl="5">
      <w:lvlJc w:val="left"/>
      <w:lvlText w:val="%6"/>
      <w:numFmt w:val="lowerLetter"/>
      <w:start w:val="1"/>
    </w:lvl>
  </w:abstractNum>
  <w:abstractNum w:abstractNumId="35">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36">
    <w:nsid w:val="7FB7E0AA"/>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37">
    <w:nsid w:val="6EB5BD4"/>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8">
    <w:nsid w:val="6F6DD9A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2"/>
    </w:lvl>
  </w:abstractNum>
  <w:abstractNum w:abstractNumId="39">
    <w:nsid w:val="94211F2"/>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40">
    <w:nsid w:val="885E1B"/>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41">
    <w:nsid w:val="76272110"/>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lowerLetter"/>
    </w:lvl>
    <w:lvl w:ilvl="4">
      <w:lvlJc w:val="left"/>
      <w:lvlText w:val="(%5)"/>
      <w:numFmt w:val="lowerLetter"/>
      <w:start w:val="1"/>
    </w:lvl>
    <w:lvl w:ilvl="5">
      <w:lvlJc w:val="left"/>
      <w:lvlText w:val="%6"/>
      <w:numFmt w:val="lowerLetter"/>
      <w:start w:val="1"/>
    </w:lvl>
  </w:abstractNum>
  <w:abstractNum w:abstractNumId="42">
    <w:nsid w:val="4C04A8AF"/>
    <w:multiLevelType w:val="hybridMultilevel"/>
    <w:lvl w:ilvl="0">
      <w:lvlJc w:val="left"/>
      <w:lvlText w:val="(%1)"/>
      <w:numFmt w:val="lowerLetter"/>
      <w:start w:val="2"/>
    </w:lvl>
    <w:lvl w:ilvl="1">
      <w:lvlJc w:val="left"/>
      <w:lvlText w:val="(%2)"/>
      <w:numFmt w:val="lowerLetter"/>
      <w:start w:val="2"/>
    </w:lvl>
  </w:abstractNum>
  <w:abstractNum w:abstractNumId="43">
    <w:nsid w:val="1716703B"/>
    <w:multiLevelType w:val="hybridMultilevel"/>
    <w:lvl w:ilvl="0">
      <w:lvlJc w:val="left"/>
      <w:lvlText w:val="%1."/>
      <w:numFmt w:val="decimal"/>
      <w:start w:val="1"/>
    </w:lvl>
    <w:lvl w:ilvl="1">
      <w:lvlJc w:val="left"/>
      <w:lvlText w:val="(%2)"/>
      <w:numFmt w:val="upperLetter"/>
      <w:start w:val="1"/>
    </w:lvl>
  </w:abstractNum>
  <w:abstractNum w:abstractNumId="44">
    <w:nsid w:val="14E17E33"/>
    <w:multiLevelType w:val="hybridMultilevel"/>
    <w:lvl w:ilvl="0">
      <w:lvlJc w:val="left"/>
      <w:lvlText w:val="%1"/>
      <w:numFmt w:val="decimal"/>
      <w:start w:val="1"/>
    </w:lvl>
    <w:lvl w:ilvl="1">
      <w:lvlJc w:val="left"/>
      <w:lvlText w:val="(%2)"/>
      <w:numFmt w:val="upperLetter"/>
      <w:start w:val="4"/>
    </w:lvl>
  </w:abstractNum>
  <w:abstractNum w:abstractNumId="45">
    <w:nsid w:val="3222E7CD"/>
    <w:multiLevelType w:val="hybridMultilevel"/>
    <w:lvl w:ilvl="0">
      <w:lvlJc w:val="left"/>
      <w:lvlText w:val="%1."/>
      <w:numFmt w:val="decimal"/>
      <w:start w:val="5"/>
    </w:lvl>
    <w:lvl w:ilvl="1">
      <w:lvlJc w:val="left"/>
      <w:lvlText w:val="%2"/>
      <w:numFmt w:val="upperLetter"/>
      <w:start w:val="1"/>
    </w:lvl>
  </w:abstractNum>
  <w:abstractNum w:abstractNumId="46">
    <w:nsid w:val="74DE0EE3"/>
    <w:multiLevelType w:val="hybridMultilevel"/>
    <w:lvl w:ilvl="0">
      <w:lvlJc w:val="left"/>
      <w:lvlText w:val="%1."/>
      <w:numFmt w:val="decimal"/>
      <w:start w:val="6"/>
    </w:lvl>
  </w:abstractNum>
  <w:abstractNum w:abstractNumId="47">
    <w:nsid w:val="68EBC550"/>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48">
    <w:nsid w:val="2DF6D648"/>
    <w:multiLevelType w:val="hybridMultilevel"/>
    <w:lvl w:ilvl="0">
      <w:lvlJc w:val="left"/>
      <w:lvlText w:val="%1."/>
      <w:numFmt w:val="decimal"/>
      <w:start w:val="7"/>
    </w:lvl>
    <w:lvl w:ilvl="1">
      <w:lvlJc w:val="left"/>
      <w:lvlText w:val="%2"/>
      <w:numFmt w:val="upperLetter"/>
      <w:start w:val="1"/>
    </w:lvl>
    <w:lvl w:ilvl="2">
      <w:lvlJc w:val="left"/>
      <w:lvlText w:val="%3"/>
      <w:numFmt w:val="upperLetter"/>
      <w:start w:val="1"/>
    </w:lvl>
  </w:abstractNum>
  <w:abstractNum w:abstractNumId="49">
    <w:nsid w:val="46B7D447"/>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2"/>
    </w:lvl>
  </w:abstractNum>
  <w:abstractNum w:abstractNumId="50">
    <w:nsid w:val="4A2AC315"/>
    <w:multiLevelType w:val="hybridMultilevel"/>
    <w:lvl w:ilvl="0">
      <w:lvlJc w:val="left"/>
      <w:lvlText w:val="%1."/>
      <w:numFmt w:val="decimal"/>
      <w:start w:val="9"/>
    </w:lvl>
  </w:abstractNum>
  <w:abstractNum w:abstractNumId="51">
    <w:nsid w:val="39EE015C"/>
    <w:multiLevelType w:val="hybridMultilevel"/>
    <w:lvl w:ilvl="0">
      <w:lvlJc w:val="left"/>
      <w:lvlText w:val="%1."/>
      <w:numFmt w:val="decimal"/>
      <w:start w:val="10"/>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1)"/>
      <w:numFmt w:val="lowerLetter"/>
      <w:start w:val="1"/>
    </w:lvl>
  </w:abstractNum>
  <w:abstractNum w:abstractNumId="54">
    <w:nsid w:val="43F18422"/>
    <w:multiLevelType w:val="hybridMultilevel"/>
    <w:lvl w:ilvl="0">
      <w:lvlJc w:val="left"/>
      <w:lvlText w:val="(%1)"/>
      <w:numFmt w:val="lowerLetter"/>
      <w:start w:val="1"/>
    </w:lvl>
  </w:abstractNum>
  <w:abstractNum w:abstractNumId="55">
    <w:nsid w:val="60EF0119"/>
    <w:multiLevelType w:val="hybridMultilevel"/>
    <w:lvl w:ilvl="0">
      <w:lvlJc w:val="left"/>
      <w:lvlText w:val="%1"/>
      <w:numFmt w:val="lowerRoman"/>
      <w:start w:val="1"/>
    </w:lvl>
    <w:lvl w:ilvl="1">
      <w:lvlJc w:val="left"/>
      <w:lvlText w:val="(%2)"/>
      <w:numFmt w:val="lowerRoman"/>
      <w:start w:val="1"/>
    </w:lvl>
  </w:abstractNum>
  <w:abstractNum w:abstractNumId="56">
    <w:nsid w:val="26F324BA"/>
    <w:multiLevelType w:val="hybridMultilevel"/>
    <w:lvl w:ilvl="0">
      <w:lvlJc w:val="left"/>
      <w:lvlText w:val="(%1)"/>
      <w:numFmt w:val="lowerRoman"/>
      <w:start w:val="4"/>
    </w:lvl>
    <w:lvl w:ilvl="1">
      <w:lvlJc w:val="left"/>
      <w:lvlText w:val="%2"/>
      <w:numFmt w:val="lowerRoman"/>
      <w:start w:val="1"/>
    </w:lvl>
  </w:abstractNum>
  <w:abstractNum w:abstractNumId="57">
    <w:nsid w:val="7F01579B"/>
    <w:multiLevelType w:val="hybridMultilevel"/>
    <w:lvl w:ilvl="0">
      <w:lvlJc w:val="left"/>
      <w:lvlText w:val="(%1)"/>
      <w:numFmt w:val="lowerRoman"/>
      <w:start w:val="1"/>
    </w:lvl>
  </w:abstractNum>
  <w:abstractNum w:abstractNumId="58">
    <w:nsid w:val="49DA307D"/>
    <w:multiLevelType w:val="hybridMultilevel"/>
    <w:lvl w:ilvl="0">
      <w:lvlJc w:val="left"/>
      <w:lvlText w:val="(%1)"/>
      <w:numFmt w:val="lowerRoman"/>
      <w:start w:val="1"/>
    </w:lvl>
  </w:abstractNum>
  <w:abstractNum w:abstractNumId="59">
    <w:nsid w:val="7055A5F5"/>
    <w:multiLevelType w:val="hybridMultilevel"/>
    <w:lvl w:ilvl="0">
      <w:lvlJc w:val="left"/>
      <w:lvlText w:val="(%1)"/>
      <w:numFmt w:val="lowerRoman"/>
      <w:start w:val="4"/>
    </w:lvl>
  </w:abstractNum>
  <w:abstractNum w:abstractNumId="60">
    <w:nsid w:val="5FB8370B"/>
    <w:multiLevelType w:val="hybridMultilevel"/>
    <w:lvl w:ilvl="0">
      <w:lvlJc w:val="left"/>
      <w:lvlText w:val="(%1)"/>
      <w:numFmt w:val="decimal"/>
      <w:start w:val="2"/>
    </w:lvl>
  </w:abstractNum>
  <w:abstractNum w:abstractNumId="61">
    <w:nsid w:val="50801EE1"/>
    <w:multiLevelType w:val="hybridMultilevel"/>
    <w:lvl w:ilvl="0">
      <w:lvlJc w:val="left"/>
      <w:lvlText w:val="(%1)"/>
      <w:numFmt w:val="decimal"/>
      <w:start w:val="8"/>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1)"/>
      <w:numFmt w:val="lowerLetter"/>
      <w:start w:val="1"/>
    </w:lvl>
  </w:abstractNum>
  <w:abstractNum w:abstractNumId="71">
    <w:nsid w:val="7DE67713"/>
    <w:multiLevelType w:val="hybridMultilevel"/>
    <w:lvl w:ilvl="0">
      <w:lvlJc w:val="left"/>
      <w:lvlText w:val="(%1)"/>
      <w:numFmt w:val="lowerLetter"/>
      <w:start w:val="3"/>
    </w:lvl>
    <w:lvl w:ilvl="1">
      <w:lvlJc w:val="left"/>
      <w:lvlText w:val="(%2)"/>
      <w:numFmt w:val="decimal"/>
      <w:start w:val="1"/>
    </w:lvl>
  </w:abstractNum>
  <w:abstractNum w:abstractNumId="72">
    <w:nsid w:val="555C55B5"/>
    <w:multiLevelType w:val="hybridMultilevel"/>
    <w:lvl w:ilvl="0">
      <w:lvlJc w:val="left"/>
      <w:lvlText w:val="(%1)"/>
      <w:numFmt w:val="lowerLetter"/>
      <w:start w:val="6"/>
    </w:lvl>
  </w:abstractNum>
  <w:abstractNum w:abstractNumId="73">
    <w:nsid w:val="3FA62ACA"/>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74">
    <w:nsid w:val="14FCE74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5">
    <w:nsid w:val="6A3DD3E8"/>
    <w:multiLevelType w:val="hybridMultilevel"/>
    <w:lvl w:ilvl="0">
      <w:lvlJc w:val="left"/>
      <w:lvlText w:val="%1"/>
      <w:numFmt w:val="decimal"/>
      <w:start w:val="1"/>
    </w:lvl>
    <w:lvl w:ilvl="1">
      <w:lvlJc w:val="left"/>
      <w:lvlText w:val="(%2)"/>
      <w:numFmt w:val="upperLetter"/>
      <w:start w:val="2"/>
    </w:lvl>
  </w:abstractNum>
  <w:abstractNum w:abstractNumId="76">
    <w:nsid w:val="71C91298"/>
    <w:multiLevelType w:val="hybridMultilevel"/>
    <w:lvl w:ilvl="0">
      <w:lvlJc w:val="left"/>
      <w:lvlText w:val="(%1)"/>
      <w:numFmt w:val="decimal"/>
      <w:start w:val="2"/>
    </w:lvl>
    <w:lvl w:ilvl="1">
      <w:lvlJc w:val="left"/>
      <w:lvlText w:val="(%2)"/>
      <w:numFmt w:val="upperLetter"/>
      <w:start w:val="4"/>
    </w:lvl>
  </w:abstractNum>
  <w:abstractNum w:abstractNumId="77">
    <w:nsid w:val="9DAF63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78">
    <w:nsid w:val="53299938"/>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lvl w:ilvl="3">
      <w:lvlJc w:val="left"/>
      <w:lvlText w:val="%4"/>
      <w:numFmt w:val="decimal"/>
      <w:start w:val="1"/>
    </w:lvl>
    <w:lvl w:ilvl="4">
      <w:lvlJc w:val="left"/>
      <w:lvlText w:val="%5"/>
      <w:numFmt w:val="decimal"/>
      <w:start w:val="1"/>
    </w:lvl>
    <w:lvl w:ilvl="5">
      <w:lvlJc w:val="left"/>
      <w:lvlText w:val="%6"/>
      <w:numFmt w:val="lowerLetter"/>
      <w:start w:val="1"/>
    </w:lvl>
    <w:lvl w:ilvl="6">
      <w:lvlJc w:val="left"/>
      <w:lvlText w:val="%7"/>
      <w:numFmt w:val="lowerLetter"/>
      <w:start w:val="1"/>
    </w:lvl>
  </w:abstractNum>
  <w:abstractNum w:abstractNumId="79">
    <w:nsid w:val="1FBFE8E0"/>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decimal"/>
      <w:start w:val="2"/>
    </w:lvl>
    <w:lvl w:ilvl="5">
      <w:lvlJc w:val="left"/>
      <w:lvlText w:val="%6"/>
      <w:numFmt w:val="lowerLetter"/>
      <w:start w:val="1"/>
    </w:lvl>
    <w:lvl w:ilvl="6">
      <w:lvlJc w:val="left"/>
      <w:lvlText w:val="%7"/>
      <w:numFmt w:val="lowerLetter"/>
      <w:start w:val="1"/>
    </w:lvl>
  </w:abstractNum>
  <w:abstractNum w:abstractNumId="80">
    <w:nsid w:val="5092CA79"/>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lowerLetter"/>
      <w:start w:val="1"/>
    </w:lvl>
    <w:lvl w:ilvl="6">
      <w:lvlJc w:val="left"/>
      <w:lvlText w:val="(%7)"/>
      <w:numFmt w:val="lowerLetter"/>
      <w:start w:val="2"/>
    </w:lvl>
  </w:abstractNum>
  <w:abstractNum w:abstractNumId="81">
    <w:nsid w:val="1D545C4D"/>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82">
    <w:nsid w:val="59ADEA3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Roman"/>
      <w:start w:val="1"/>
    </w:lvl>
  </w:abstractNum>
  <w:abstractNum w:abstractNumId="83">
    <w:nsid w:val="288F1A34"/>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84">
    <w:nsid w:val="2A155DBC"/>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5">
    <w:nsid w:val="1D9F6E5F"/>
    <w:multiLevelType w:val="hybridMultilevel"/>
    <w:lvl w:ilvl="0">
      <w:lvlJc w:val="left"/>
      <w:lvlText w:val="(%1)"/>
      <w:numFmt w:val="lowerRoman"/>
      <w:start w:val="2"/>
    </w:lvl>
  </w:abstractNum>
  <w:abstractNum w:abstractNumId="86">
    <w:nsid w:val="97E1B4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6"/>
    </w:lvl>
  </w:abstractNum>
  <w:abstractNum w:abstractNumId="87">
    <w:nsid w:val="51088277"/>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lowerLetter"/>
      <w:start w:val="1"/>
    </w:lvl>
  </w:abstractNum>
  <w:abstractNum w:abstractNumId="88">
    <w:nsid w:val="1CA0C5FA"/>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89">
    <w:nsid w:val="53584BCB"/>
    <w:multiLevelType w:val="hybridMultilevel"/>
    <w:lvl w:ilvl="0">
      <w:lvlJc w:val="left"/>
      <w:lvlText w:val="%1"/>
      <w:numFmt w:val="decimal"/>
      <w:start w:val="1"/>
    </w:lvl>
    <w:lvl w:ilvl="1">
      <w:lvlJc w:val="left"/>
      <w:lvlText w:val="%2."/>
      <w:numFmt w:val="decimal"/>
      <w:start w:val="7"/>
    </w:lvl>
    <w:lvl w:ilvl="2">
      <w:lvlJc w:val="left"/>
      <w:lvlText w:val="%3."/>
      <w:numFmt w:val="decimal"/>
      <w:start w:val="8"/>
    </w:lvl>
    <w:lvl w:ilvl="3">
      <w:lvlJc w:val="left"/>
      <w:lvlText w:val="%4."/>
      <w:numFmt w:val="decimal"/>
      <w:start w:val="9"/>
    </w:lvl>
  </w:abstractNum>
  <w:abstractNum w:abstractNumId="90">
    <w:nsid w:val="415E286C"/>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91">
    <w:nsid w:val="7C58FD05"/>
    <w:multiLevelType w:val="hybridMultilevel"/>
    <w:lvl w:ilvl="0">
      <w:lvlJc w:val="left"/>
      <w:lvlText w:val="%1."/>
      <w:numFmt w:val="decimal"/>
      <w:start w:val="10"/>
    </w:lvl>
    <w:lvl w:ilvl="1">
      <w:lvlJc w:val="left"/>
      <w:lvlText w:val="(%2)"/>
      <w:numFmt w:val="lowerLetter"/>
      <w:start w:val="5"/>
    </w:lvl>
    <w:lvl w:ilvl="2">
      <w:lvlJc w:val="left"/>
      <w:lvlText w:val="(%3)"/>
      <w:numFmt w:val="lowerLetter"/>
      <w:start w:val="1"/>
    </w:lvl>
    <w:lvl w:ilvl="3">
      <w:lvlJc w:val="left"/>
      <w:lvlText w:val="(%4)"/>
      <w:numFmt w:val="lowerLetter"/>
      <w:start w:val="3"/>
    </w:lvl>
    <w:lvl w:ilvl="4">
      <w:lvlJc w:val="left"/>
      <w:lvlText w:val="(%5)"/>
      <w:numFmt w:val="lowerLetter"/>
      <w:start w:val="2"/>
    </w:lvl>
    <w:lvl w:ilvl="5">
      <w:lvlJc w:val="left"/>
      <w:lvlText w:val="(%6)"/>
      <w:numFmt w:val="lowerLetter"/>
      <w:start w:val="3"/>
    </w:lvl>
  </w:abstractNum>
  <w:abstractNum w:abstractNumId="92">
    <w:nsid w:val="23D86AA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9"/>
    </w:lvl>
    <w:lvl w:ilvl="5">
      <w:lvlJc w:val="left"/>
      <w:lvlText w:val="%6"/>
      <w:numFmt w:val="lowerLetter"/>
      <w:start w:val="1"/>
    </w:lvl>
  </w:abstractNum>
  <w:abstractNum w:abstractNumId="93">
    <w:nsid w:val="45E6D48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0"/>
    </w:lvl>
    <w:lvl w:ilvl="4">
      <w:lvlJc w:val="left"/>
      <w:lvlText w:val="%5"/>
      <w:numFmt w:val="lowerLetter"/>
      <w:start w:val="1"/>
    </w:lvl>
    <w:lvl w:ilvl="5">
      <w:lvlJc w:val="left"/>
      <w:lvlText w:val="%6"/>
      <w:numFmt w:val="lowerLetter"/>
      <w:start w:val="1"/>
    </w:lvl>
  </w:abstractNum>
  <w:abstractNum w:abstractNumId="94">
    <w:nsid w:val="5C10FE21"/>
    <w:multiLevelType w:val="hybridMultilevel"/>
    <w:lvl w:ilvl="0">
      <w:lvlJc w:val="left"/>
      <w:lvlText w:val="%1."/>
      <w:numFmt w:val="decimal"/>
      <w:start w:val="11"/>
    </w:lvl>
    <w:lvl w:ilvl="1">
      <w:lvlJc w:val="left"/>
      <w:lvlText w:val="%2."/>
      <w:numFmt w:val="decimal"/>
      <w:start w:val="12"/>
    </w:lvl>
    <w:lvl w:ilvl="2">
      <w:lvlJc w:val="left"/>
      <w:lvlText w:val="%3."/>
      <w:numFmt w:val="decimal"/>
      <w:start w:val="1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95">
    <w:nsid w:val="E7FFA2B"/>
    <w:multiLevelType w:val="hybridMultilevel"/>
    <w:lvl w:ilvl="0">
      <w:lvlJc w:val="left"/>
      <w:lvlText w:val="%1."/>
      <w:numFmt w:val="decimal"/>
      <w:start w:val="14"/>
    </w:lvl>
    <w:lvl w:ilvl="1">
      <w:lvlJc w:val="left"/>
      <w:lvlText w:val="(%2)"/>
      <w:numFmt w:val="lowerLetter"/>
      <w:start w:val="1"/>
    </w:lvl>
  </w:abstractNum>
  <w:abstractNum w:abstractNumId="96">
    <w:nsid w:val="3C5991AA"/>
    <w:multiLevelType w:val="hybridMultilevel"/>
    <w:lvl w:ilvl="0">
      <w:lvlJc w:val="left"/>
      <w:lvlText w:val="(%1)"/>
      <w:numFmt w:val="lowerLetter"/>
      <w:start w:val="1"/>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1)"/>
      <w:numFmt w:val="lowerRoman"/>
      <w:start w:val="1"/>
    </w:lvl>
  </w:abstractNum>
  <w:abstractNum w:abstractNumId="99">
    <w:nsid w:val="39B7AAA2"/>
    <w:multiLevelType w:val="hybridMultilevel"/>
    <w:lvl w:ilvl="0">
      <w:lvlJc w:val="left"/>
      <w:lvlText w:val="(%1)"/>
      <w:numFmt w:val="lowerRoman"/>
      <w:start w:val="1"/>
    </w:lvl>
  </w:abstractNum>
  <w:abstractNum w:abstractNumId="100">
    <w:nsid w:val="2B0D8DBE"/>
    <w:multiLevelType w:val="hybridMultilevel"/>
    <w:lvl w:ilvl="0">
      <w:lvlJc w:val="left"/>
      <w:lvlText w:val="(%1)"/>
      <w:numFmt w:val="lowerRoman"/>
      <w:start w:val="1"/>
    </w:lvl>
  </w:abstractNum>
  <w:abstractNum w:abstractNumId="101">
    <w:nsid w:val="6C80EC70"/>
    <w:multiLevelType w:val="hybridMultilevel"/>
    <w:lvl w:ilvl="0">
      <w:lvlJc w:val="left"/>
      <w:lvlText w:val="(%1)"/>
      <w:numFmt w:val="lowerRoman"/>
      <w:start w:val="2"/>
    </w:lvl>
  </w:abstractNum>
  <w:abstractNum w:abstractNumId="102">
    <w:nsid w:val="379E21B5"/>
    <w:multiLevelType w:val="hybridMultilevel"/>
    <w:lvl w:ilvl="0">
      <w:lvlJc w:val="left"/>
      <w:lvlText w:val="(%1)"/>
      <w:numFmt w:val="decimal"/>
      <w:start w:val="2"/>
    </w:lvl>
  </w:abstractNum>
  <w:abstractNum w:abstractNumId="103">
    <w:nsid w:val="69E373"/>
    <w:multiLevelType w:val="hybridMultilevel"/>
    <w:lvl w:ilvl="0">
      <w:lvlJc w:val="left"/>
      <w:lvlText w:val="(%1)"/>
      <w:numFmt w:val="decimal"/>
      <w:start w:val="7"/>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
      <w:numFmt w:val="bullet"/>
      <w:start w:val="1"/>
    </w:lvl>
  </w:abstractNum>
  <w:abstractNum w:abstractNumId="107">
    <w:nsid w:val="1DF029D3"/>
    <w:multiLevelType w:val="hybridMultilevel"/>
    <w:lvl w:ilvl="0">
      <w:lvlJc w:val="left"/>
      <w:lvlText w:val="•"/>
      <w:numFmt w:val="bullet"/>
      <w:start w:val="1"/>
    </w:lvl>
  </w:abstractNum>
  <w:abstractNum w:abstractNumId="108">
    <w:nsid w:val="5675FF36"/>
    <w:multiLevelType w:val="hybridMultilevel"/>
    <w:lvl w:ilvl="0">
      <w:lvlJc w:val="left"/>
      <w:lvlText w:val="•"/>
      <w:numFmt w:val="bullet"/>
      <w:start w:val="1"/>
    </w:lvl>
  </w:abstractNum>
  <w:abstractNum w:abstractNumId="109">
    <w:nsid w:val="3DD15094"/>
    <w:multiLevelType w:val="hybridMultilevel"/>
    <w:lvl w:ilvl="0">
      <w:lvlJc w:val="left"/>
      <w:lvlText w:val="•"/>
      <w:numFmt w:val="bullet"/>
      <w:start w:val="1"/>
    </w:lvl>
  </w:abstractNum>
  <w:abstractNum w:abstractNumId="110">
    <w:nsid w:val="3DB012B3"/>
    <w:multiLevelType w:val="hybridMultilevel"/>
    <w:lvl w:ilvl="0">
      <w:lvlJc w:val="left"/>
      <w:lvlText w:val="•"/>
      <w:numFmt w:val="bullet"/>
      <w:start w:val="1"/>
    </w:lvl>
  </w:abstractNum>
  <w:abstractNum w:abstractNumId="111">
    <w:nsid w:val="2708C9AF"/>
    <w:multiLevelType w:val="hybridMultilevel"/>
    <w:lvl w:ilvl="0">
      <w:lvlJc w:val="left"/>
      <w:lvlText w:val="•"/>
      <w:numFmt w:val="bullet"/>
      <w:start w:val="1"/>
    </w:lvl>
  </w:abstractNum>
  <w:abstractNum w:abstractNumId="112">
    <w:nsid w:val="5B25ACE2"/>
    <w:multiLevelType w:val="hybridMultilevel"/>
    <w:lvl w:ilvl="0">
      <w:lvlJc w:val="left"/>
      <w:lvlText w:val="•"/>
      <w:numFmt w:val="bullet"/>
      <w:start w:val="1"/>
    </w:lvl>
  </w:abstractNum>
  <w:abstractNum w:abstractNumId="113">
    <w:nsid w:val="175DFCF0"/>
    <w:multiLevelType w:val="hybridMultilevel"/>
    <w:lvl w:ilvl="0">
      <w:lvlJc w:val="left"/>
      <w:lvlText w:val="(%1)"/>
      <w:numFmt w:val="lowerLetter"/>
      <w:start w:val="1"/>
    </w:lvl>
  </w:abstractNum>
  <w:abstractNum w:abstractNumId="114">
    <w:nsid w:val="4F97E3E4"/>
    <w:multiLevelType w:val="hybridMultilevel"/>
    <w:lvl w:ilvl="0">
      <w:lvlJc w:val="left"/>
      <w:lvlText w:val="(%1)"/>
      <w:numFmt w:val="lowerLetter"/>
      <w:start w:val="3"/>
    </w:lvl>
    <w:lvl w:ilvl="1">
      <w:lvlJc w:val="left"/>
      <w:lvlText w:val="(%2)"/>
      <w:numFmt w:val="decimal"/>
      <w:start w:val="1"/>
    </w:lvl>
  </w:abstractNum>
  <w:abstractNum w:abstractNumId="115">
    <w:nsid w:val="53B0A9E"/>
    <w:multiLevelType w:val="hybridMultilevel"/>
    <w:lvl w:ilvl="0">
      <w:lvlJc w:val="left"/>
      <w:lvlText w:val="(%1)"/>
      <w:numFmt w:val="lowerLetter"/>
      <w:start w:val="6"/>
    </w:lvl>
  </w:abstractNum>
  <w:abstractNum w:abstractNumId="116">
    <w:nsid w:val="34FD6B4F"/>
    <w:multiLevelType w:val="hybridMultilevel"/>
    <w:lvl w:ilvl="0">
      <w:lvlJc w:val="left"/>
      <w:lvlText w:val="%1."/>
      <w:numFmt w:val="upperLetter"/>
      <w:start w:val="35"/>
    </w:lvl>
  </w:abstractNum>
  <w:abstractNum w:abstractNumId="117">
    <w:nsid w:val="5915FF3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18">
    <w:nsid w:val="56438D15"/>
    <w:multiLevelType w:val="hybridMultilevel"/>
    <w:lvl w:ilvl="0">
      <w:lvlJc w:val="left"/>
      <w:lvlText w:val="(%1)"/>
      <w:numFmt w:val="lowerLetter"/>
      <w:start w:val="2"/>
    </w:lvl>
    <w:lvl w:ilvl="1">
      <w:lvlJc w:val="left"/>
      <w:lvlText w:val="(%2)"/>
      <w:numFmt w:val="decimal"/>
      <w:start w:val="1"/>
    </w:lvl>
  </w:abstractNum>
  <w:abstractNum w:abstractNumId="119">
    <w:nsid w:val="519E3149"/>
    <w:multiLevelType w:val="hybridMultilevel"/>
    <w:lvl w:ilvl="0">
      <w:lvlJc w:val="left"/>
      <w:lvlText w:val="(%1)"/>
      <w:numFmt w:val="lowerLetter"/>
      <w:start w:val="4"/>
    </w:lvl>
  </w:abstractNum>
  <w:abstractNum w:abstractNumId="120">
    <w:nsid w:val="2C6E4AFD"/>
    <w:multiLevelType w:val="hybridMultilevel"/>
    <w:lvl w:ilvl="0">
      <w:lvlJc w:val="left"/>
      <w:lvlText w:val="%1."/>
      <w:numFmt w:val="decimal"/>
      <w:start w:val="2"/>
    </w:lvl>
    <w:lvl w:ilvl="1">
      <w:lvlJc w:val="left"/>
      <w:lvlText w:val="%2."/>
      <w:numFmt w:val="decimal"/>
      <w:start w:val="2"/>
    </w:lvl>
    <w:lvl w:ilvl="2">
      <w:lvlJc w:val="left"/>
      <w:lvlText w:val="%3."/>
      <w:numFmt w:val="decimal"/>
      <w:start w:val="4"/>
    </w:lvl>
    <w:lvl w:ilvl="3">
      <w:lvlJc w:val="left"/>
      <w:lvlText w:val="(%4)"/>
      <w:numFmt w:val="lowerLetter"/>
      <w:start w:val="1"/>
    </w:lvl>
  </w:abstractNum>
  <w:abstractNum w:abstractNumId="121">
    <w:nsid w:val="17A1B582"/>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decimal"/>
      <w:start w:val="1"/>
    </w:lvl>
  </w:abstractNum>
  <w:abstractNum w:abstractNumId="122">
    <w:nsid w:val="4DF72E4E"/>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23">
    <w:nsid w:val="5046B5A9"/>
    <w:multiLevelType w:val="hybridMultilevel"/>
    <w:lvl w:ilvl="0">
      <w:lvlJc w:val="left"/>
      <w:lvlText w:val="(%1)"/>
      <w:numFmt w:val="lowerLetter"/>
      <w:start w:val="1"/>
    </w:lvl>
    <w:lvl w:ilvl="1">
      <w:lvlJc w:val="left"/>
      <w:lvlText w:val="(%2)"/>
      <w:numFmt w:val="decimal"/>
      <w:start w:val="1"/>
    </w:lvl>
  </w:abstractNum>
  <w:abstractNum w:abstractNumId="124">
    <w:nsid w:val="5D888A0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lvl w:ilvl="4">
      <w:lvlJc w:val="left"/>
      <w:lvlText w:val="%5"/>
      <w:numFmt w:val="decimal"/>
      <w:start w:val="1"/>
    </w:lvl>
    <w:lvl w:ilvl="5">
      <w:lvlJc w:val="left"/>
      <w:lvlText w:val="%6."/>
      <w:numFmt w:val="decimal"/>
      <w:start w:val="5"/>
    </w:lvl>
  </w:abstractNum>
  <w:abstractNum w:abstractNumId="125">
    <w:nsid w:val="2A082C70"/>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1"/>
    </w:lvl>
    <w:lvl w:ilvl="4">
      <w:lvlJc w:val="left"/>
      <w:lvlText w:val="%5."/>
      <w:numFmt w:val="decimal"/>
      <w:start w:val="7"/>
    </w:lvl>
    <w:lvl w:ilvl="5">
      <w:lvlJc w:val="left"/>
      <w:lvlText w:val="%6"/>
      <w:numFmt w:val="decimal"/>
      <w:start w:val="1"/>
    </w:lvl>
  </w:abstractNum>
  <w:abstractNum w:abstractNumId="126">
    <w:nsid w:val="5EC6AFD4"/>
    <w:multiLevelType w:val="hybridMultilevel"/>
    <w:lvl w:ilvl="0">
      <w:lvlJc w:val="left"/>
      <w:lvlText w:val="%1"/>
      <w:numFmt w:val="decimal"/>
      <w:start w:val="1"/>
    </w:lvl>
    <w:lvl w:ilvl="1">
      <w:lvlJc w:val="left"/>
      <w:lvlText w:val="%2."/>
      <w:numFmt w:val="decimal"/>
      <w:start w:val="8"/>
    </w:lvl>
    <w:lvl w:ilvl="2">
      <w:lvlJc w:val="left"/>
      <w:lvlText w:val="%3."/>
      <w:numFmt w:val="decimal"/>
      <w:start w:val="9"/>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127">
    <w:nsid w:val="19E21BB2"/>
    <w:multiLevelType w:val="hybridMultilevel"/>
    <w:lvl w:ilvl="0">
      <w:lvlJc w:val="left"/>
      <w:lvlText w:val="%1."/>
      <w:numFmt w:val="decimal"/>
      <w:start w:val="10"/>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4" Type="http://schemas.openxmlformats.org/officeDocument/2006/relationships/hyperlink" Target="http://www.sec.gov/Archives/edgar/data/842633/000110465907058776/a07-19157_1ex3d1.htm" TargetMode="External"/><Relationship Id="rId45"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2023-04-27T12:54:37Z</dcterms:created>
  <dcterms:modified xsi:type="dcterms:W3CDTF">2023-04-27T12:54:37Z</dcterms:modified>
</cp:coreProperties>
</file>