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e69bc5e88b0c4f53b7988ab1107efbc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00"/>
        <w:jc w:val="center"/>
        <w:rPr>
          <w:rFonts w:ascii="Times New Roman;serif" w:hAnsi="Times New Roman;serif"/>
          <w:b/>
          <w:color w:val="000000"/>
          <w:sz w:val="32"/>
        </w:rPr>
      </w:pPr>
      <w:r>
        <w:rPr>
          <w:rFonts w:ascii="Times New Roman;serif" w:hAnsi="Times New Roman;serif"/>
          <w:b/>
          <w:color w:val="000000"/>
          <w:sz w:val="32"/>
        </w:rPr>
        <w:t>UNITED STATES</w:t>
      </w:r>
    </w:p>
    <w:p>
      <w:pPr>
        <w:pStyle w:val="TextBody"/>
        <w:bidi w:val="0"/>
        <w:spacing w:lineRule="auto" w:line="288" w:before="100" w:after="100"/>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lineRule="auto" w:line="288" w:before="100" w:after="100"/>
        <w:jc w:val="center"/>
        <w:rPr>
          <w:rFonts w:ascii="Times New Roman;serif" w:hAnsi="Times New Roman;serif"/>
          <w:b/>
          <w:color w:val="000000"/>
          <w:sz w:val="20"/>
        </w:rPr>
      </w:pPr>
      <w:r>
        <w:rPr>
          <w:rFonts w:ascii="Times New Roman;serif" w:hAnsi="Times New Roman;serif"/>
          <w:b/>
          <w:color w:val="000000"/>
          <w:sz w:val="20"/>
        </w:rPr>
        <w:t xml:space="preserve">WASHINGTON D.C. 20549 </w:t>
      </w:r>
    </w:p>
    <w:p>
      <w:pPr>
        <w:pStyle w:val="TextBody"/>
        <w:bidi w:val="0"/>
        <w:spacing w:lineRule="auto" w:line="288" w:before="100" w:after="100"/>
        <w:jc w:val="center"/>
        <w:rPr>
          <w:rFonts w:ascii="Times New Roman;serif" w:hAnsi="Times New Roman;serif"/>
          <w:b/>
          <w:color w:val="000000"/>
          <w:sz w:val="32"/>
        </w:rPr>
      </w:pPr>
      <w:r>
        <w:rPr>
          <w:rFonts w:ascii="Times New Roman;serif" w:hAnsi="Times New Roman;serif"/>
          <w:b/>
          <w:color w:val="000000"/>
          <w:sz w:val="32"/>
        </w:rPr>
        <w:t xml:space="preserve">FORM 10-Q </w:t>
      </w:r>
    </w:p>
    <w:tbl>
      <w:tblPr>
        <w:tblW w:w="10205" w:type="dxa"/>
        <w:jc w:val="center"/>
        <w:tblInd w:w="0" w:type="dxa"/>
        <w:tblLayout w:type="fixed"/>
        <w:tblCellMar>
          <w:top w:w="28" w:type="dxa"/>
          <w:left w:w="28" w:type="dxa"/>
          <w:bottom w:w="28" w:type="dxa"/>
          <w:right w:w="28" w:type="dxa"/>
        </w:tblCellMar>
      </w:tblPr>
      <w:tblGrid>
        <w:gridCol w:w="401"/>
        <w:gridCol w:w="352"/>
        <w:gridCol w:w="354"/>
        <w:gridCol w:w="109"/>
        <w:gridCol w:w="109"/>
        <w:gridCol w:w="109"/>
        <w:gridCol w:w="1364"/>
        <w:gridCol w:w="1364"/>
        <w:gridCol w:w="1364"/>
        <w:gridCol w:w="1370"/>
        <w:gridCol w:w="1364"/>
        <w:gridCol w:w="1945"/>
      </w:tblGrid>
      <w:tr>
        <w:trPr/>
        <w:tc>
          <w:tcPr>
            <w:tcW w:w="401"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64" w:type="dxa"/>
            <w:tcBorders/>
            <w:vAlign w:val="center"/>
          </w:tcPr>
          <w:p>
            <w:pPr>
              <w:pStyle w:val="TableContents"/>
              <w:bidi w:val="0"/>
              <w:spacing w:before="0" w:after="283"/>
              <w:jc w:val="left"/>
              <w:rPr>
                <w:sz w:val="4"/>
                <w:szCs w:val="4"/>
              </w:rPr>
            </w:pPr>
            <w:r>
              <w:rPr>
                <w:sz w:val="4"/>
                <w:szCs w:val="4"/>
              </w:rPr>
            </w:r>
          </w:p>
        </w:tc>
        <w:tc>
          <w:tcPr>
            <w:tcW w:w="1364" w:type="dxa"/>
            <w:tcBorders/>
            <w:vAlign w:val="center"/>
          </w:tcPr>
          <w:p>
            <w:pPr>
              <w:pStyle w:val="TableContents"/>
              <w:bidi w:val="0"/>
              <w:spacing w:before="0" w:after="283"/>
              <w:jc w:val="left"/>
              <w:rPr>
                <w:sz w:val="4"/>
                <w:szCs w:val="4"/>
              </w:rPr>
            </w:pPr>
            <w:r>
              <w:rPr>
                <w:sz w:val="4"/>
                <w:szCs w:val="4"/>
              </w:rPr>
            </w:r>
          </w:p>
        </w:tc>
        <w:tc>
          <w:tcPr>
            <w:tcW w:w="1364"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1364" w:type="dxa"/>
            <w:tcBorders/>
            <w:vAlign w:val="center"/>
          </w:tcPr>
          <w:p>
            <w:pPr>
              <w:pStyle w:val="TableContents"/>
              <w:bidi w:val="0"/>
              <w:spacing w:before="0" w:after="283"/>
              <w:jc w:val="left"/>
              <w:rPr>
                <w:sz w:val="4"/>
                <w:szCs w:val="4"/>
              </w:rPr>
            </w:pPr>
            <w:r>
              <w:rPr>
                <w:sz w:val="4"/>
                <w:szCs w:val="4"/>
              </w:rPr>
            </w:r>
          </w:p>
        </w:tc>
        <w:tc>
          <w:tcPr>
            <w:tcW w:w="1945" w:type="dxa"/>
            <w:tcBorders/>
            <w:vAlign w:val="center"/>
          </w:tcPr>
          <w:p>
            <w:pPr>
              <w:pStyle w:val="TableContents"/>
              <w:bidi w:val="0"/>
              <w:spacing w:before="0" w:after="283"/>
              <w:jc w:val="left"/>
              <w:rPr>
                <w:sz w:val="4"/>
                <w:szCs w:val="4"/>
              </w:rPr>
            </w:pPr>
            <w:r>
              <w:rPr>
                <w:sz w:val="4"/>
                <w:szCs w:val="4"/>
              </w:rPr>
            </w:r>
          </w:p>
        </w:tc>
      </w:tr>
      <w:tr>
        <w:trPr/>
        <w:tc>
          <w:tcPr>
            <w:tcW w:w="11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(Mark One)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9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7" w:type="dxa"/>
            <w:gridSpan w:val="3"/>
            <w:tcBorders/>
            <w:tcMar>
              <w:top w:w="0" w:type="dxa"/>
              <w:left w:w="0" w:type="dxa"/>
              <w:bottom w:w="0" w:type="dxa"/>
              <w:right w:w="0" w:type="dxa"/>
            </w:tcMar>
            <w:vAlign w:val="center"/>
          </w:tcPr>
          <w:p>
            <w:pPr>
              <w:pStyle w:val="TableContents"/>
              <w:bidi w:val="0"/>
              <w:spacing w:lineRule="auto" w:line="240" w:before="100" w:after="100"/>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77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Quarterly Report Pursuant to Section 13 or 15(d) of the Securities Exchange Act of 1934</w:t>
            </w:r>
          </w:p>
        </w:tc>
      </w:tr>
      <w:tr>
        <w:trPr/>
        <w:tc>
          <w:tcPr>
            <w:tcW w:w="11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6" w:type="dxa"/>
            <w:gridSpan w:val="9"/>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 xml:space="preserve">For the Quarterly Period Ended </w:t>
            </w:r>
          </w:p>
        </w:tc>
        <w:tc>
          <w:tcPr>
            <w:tcW w:w="46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September 30, 2025</w:t>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Or</w:t>
            </w:r>
          </w:p>
        </w:tc>
      </w:tr>
      <w:tr>
        <w:trPr/>
        <w:tc>
          <w:tcPr>
            <w:tcW w:w="1107" w:type="dxa"/>
            <w:gridSpan w:val="3"/>
            <w:tcBorders/>
            <w:tcMar>
              <w:top w:w="0" w:type="dxa"/>
              <w:left w:w="0" w:type="dxa"/>
              <w:bottom w:w="0" w:type="dxa"/>
              <w:right w:w="0" w:type="dxa"/>
            </w:tcMar>
            <w:vAlign w:val="center"/>
          </w:tcPr>
          <w:p>
            <w:pPr>
              <w:pStyle w:val="TableContents"/>
              <w:bidi w:val="0"/>
              <w:spacing w:lineRule="auto" w:line="240" w:before="100" w:after="100"/>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77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Transition Report Pursuant to Section 13 or 15(d) of the Securities Exchange Act of 1934</w:t>
            </w:r>
          </w:p>
        </w:tc>
      </w:tr>
      <w:tr>
        <w:trPr/>
        <w:tc>
          <w:tcPr>
            <w:tcW w:w="11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For the Transition Period from</w:t>
            </w:r>
            <w:r>
              <w:rPr>
                <w:color w:val="000000"/>
                <w:u w:val="single"/>
              </w:rPr>
              <w:t>                  </w:t>
            </w:r>
            <w:r>
              <w:rPr>
                <w:rFonts w:ascii="Times New Roman;serif" w:hAnsi="Times New Roman;serif"/>
                <w:b/>
                <w:color w:val="000000"/>
                <w:sz w:val="20"/>
              </w:rPr>
              <w:t>to</w:t>
            </w:r>
            <w:r>
              <w:rPr>
                <w:color w:val="000000"/>
                <w:u w:val="single"/>
              </w:rPr>
              <w:t>                  </w:t>
            </w:r>
            <w:r>
              <w:rPr>
                <w:rFonts w:ascii="Times New Roman;serif" w:hAnsi="Times New Roman;serif"/>
                <w:b/>
                <w:color w:val="000000"/>
                <w:sz w:val="20"/>
              </w:rPr>
              <w:t>.</w:t>
            </w:r>
          </w:p>
        </w:tc>
      </w:tr>
    </w:tbl>
    <w:p>
      <w:pPr>
        <w:pStyle w:val="TextBody"/>
        <w:bidi w:val="0"/>
        <w:spacing w:lineRule="auto" w:line="288" w:before="0" w:after="100"/>
        <w:jc w:val="center"/>
        <w:rPr>
          <w:rFonts w:ascii="Times New Roman;serif" w:hAnsi="Times New Roman;serif"/>
          <w:b/>
          <w:color w:val="000000"/>
          <w:sz w:val="20"/>
        </w:rPr>
      </w:pPr>
      <w:r>
        <w:rPr>
          <w:rFonts w:ascii="Times New Roman;serif" w:hAnsi="Times New Roman;serif"/>
          <w:b/>
          <w:color w:val="000000"/>
          <w:sz w:val="20"/>
        </w:rPr>
        <w:t xml:space="preserve">Commission file number 001-10716 </w:t>
      </w:r>
    </w:p>
    <w:p>
      <w:pPr>
        <w:pStyle w:val="TextBody"/>
        <w:bidi w:val="0"/>
        <w:spacing w:lineRule="auto" w:line="288" w:before="100" w:after="100"/>
        <w:jc w:val="center"/>
        <w:rPr>
          <w:rFonts w:ascii="Times New Roman;serif" w:hAnsi="Times New Roman;serif"/>
          <w:b/>
          <w:color w:val="000000"/>
          <w:sz w:val="32"/>
        </w:rPr>
      </w:pPr>
      <w:r>
        <w:rPr>
          <w:rFonts w:ascii="Times New Roman;serif" w:hAnsi="Times New Roman;serif"/>
          <w:b/>
          <w:color w:val="000000"/>
          <w:sz w:val="32"/>
        </w:rPr>
        <w:t xml:space="preserve">TRIMAS CORPORATION </w:t>
      </w:r>
    </w:p>
    <w:p>
      <w:pPr>
        <w:pStyle w:val="TextBody"/>
        <w:bidi w:val="0"/>
        <w:spacing w:lineRule="auto" w:line="288" w:before="100" w:after="60"/>
        <w:jc w:val="center"/>
        <w:rPr>
          <w:rFonts w:ascii="Times New Roman;serif" w:hAnsi="Times New Roman;serif"/>
          <w:b w:val="false"/>
          <w:color w:val="000000"/>
          <w:sz w:val="20"/>
        </w:rPr>
      </w:pPr>
      <w:r>
        <w:rPr>
          <w:rFonts w:ascii="Times New Roman;serif" w:hAnsi="Times New Roman;serif"/>
          <w:b w:val="false"/>
          <w:color w:val="000000"/>
          <w:sz w:val="20"/>
        </w:rPr>
        <w:t xml:space="preserve">(Exact name of registrant as specified in its charter) </w:t>
      </w:r>
    </w:p>
    <w:tbl>
      <w:tblPr>
        <w:tblW w:w="4556" w:type="dxa"/>
        <w:jc w:val="center"/>
        <w:tblInd w:w="0" w:type="dxa"/>
        <w:tblLayout w:type="fixed"/>
        <w:tblCellMar>
          <w:top w:w="28" w:type="dxa"/>
          <w:left w:w="28" w:type="dxa"/>
          <w:bottom w:w="28" w:type="dxa"/>
          <w:right w:w="28" w:type="dxa"/>
        </w:tblCellMar>
      </w:tblPr>
      <w:tblGrid>
        <w:gridCol w:w="933"/>
        <w:gridCol w:w="819"/>
        <w:gridCol w:w="828"/>
        <w:gridCol w:w="109"/>
        <w:gridCol w:w="109"/>
        <w:gridCol w:w="109"/>
        <w:gridCol w:w="481"/>
        <w:gridCol w:w="481"/>
        <w:gridCol w:w="687"/>
      </w:tblGrid>
      <w:tr>
        <w:trPr/>
        <w:tc>
          <w:tcPr>
            <w:tcW w:w="933"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r>
      <w:tr>
        <w:trPr/>
        <w:tc>
          <w:tcPr>
            <w:tcW w:w="25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38-2687639</w:t>
            </w:r>
          </w:p>
        </w:tc>
      </w:tr>
      <w:tr>
        <w:trPr/>
        <w:tc>
          <w:tcPr>
            <w:tcW w:w="25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w:t>
              <w:br/>
              <w:t>Identification No.)</w:t>
            </w:r>
          </w:p>
        </w:tc>
      </w:tr>
    </w:tbl>
    <w:p>
      <w:pPr>
        <w:pStyle w:val="TextBody"/>
        <w:bidi w:val="0"/>
        <w:spacing w:lineRule="auto" w:line="288" w:before="0" w:after="100"/>
        <w:jc w:val="center"/>
        <w:rPr>
          <w:rFonts w:ascii="Times New Roman;serif" w:hAnsi="Times New Roman;serif"/>
          <w:b/>
          <w:color w:val="000000"/>
          <w:sz w:val="20"/>
        </w:rPr>
      </w:pPr>
      <w:r>
        <w:rPr>
          <w:rFonts w:ascii="Times New Roman;serif" w:hAnsi="Times New Roman;serif"/>
          <w:b/>
          <w:color w:val="000000"/>
          <w:sz w:val="20"/>
        </w:rPr>
        <w:t xml:space="preserve">38505 Woodward Avenue, Suite 200 </w:t>
      </w:r>
    </w:p>
    <w:p>
      <w:pPr>
        <w:pStyle w:val="TextBody"/>
        <w:bidi w:val="0"/>
        <w:spacing w:lineRule="auto" w:line="288" w:before="100" w:after="100"/>
        <w:jc w:val="center"/>
        <w:rPr>
          <w:rFonts w:ascii="Times New Roman;serif" w:hAnsi="Times New Roman;serif"/>
          <w:b/>
          <w:color w:val="000000"/>
          <w:sz w:val="20"/>
        </w:rPr>
      </w:pPr>
      <w:r>
        <w:rPr>
          <w:rFonts w:ascii="Times New Roman;serif" w:hAnsi="Times New Roman;serif"/>
          <w:b/>
          <w:color w:val="000000"/>
          <w:sz w:val="20"/>
        </w:rPr>
        <w:t xml:space="preserve">Bloomfield Hills, Michigan 48304 </w:t>
      </w:r>
    </w:p>
    <w:p>
      <w:pPr>
        <w:pStyle w:val="TextBody"/>
        <w:bidi w:val="0"/>
        <w:spacing w:lineRule="auto" w:line="288" w:before="100" w:after="100"/>
        <w:jc w:val="center"/>
        <w:rPr>
          <w:rFonts w:ascii="Times New Roman;serif" w:hAnsi="Times New Roman;serif"/>
          <w:b w:val="false"/>
          <w:color w:val="000000"/>
          <w:sz w:val="20"/>
        </w:rPr>
      </w:pPr>
      <w:r>
        <w:rPr>
          <w:rFonts w:ascii="Times New Roman;serif" w:hAnsi="Times New Roman;serif"/>
          <w:b w:val="false"/>
          <w:color w:val="000000"/>
          <w:sz w:val="20"/>
        </w:rPr>
        <w:t xml:space="preserve">(Address of principal executive offices, including zip code) </w:t>
      </w:r>
    </w:p>
    <w:p>
      <w:pPr>
        <w:pStyle w:val="TextBody"/>
        <w:bidi w:val="0"/>
        <w:spacing w:lineRule="auto" w:line="288" w:before="100" w:after="100"/>
        <w:jc w:val="center"/>
        <w:rPr>
          <w:rFonts w:ascii="Times New Roman;serif" w:hAnsi="Times New Roman;serif"/>
          <w:b/>
          <w:color w:val="000000"/>
          <w:sz w:val="20"/>
        </w:rPr>
      </w:pPr>
      <w:r>
        <w:rPr>
          <w:rFonts w:ascii="Times New Roman;serif" w:hAnsi="Times New Roman;serif"/>
          <w:b/>
          <w:color w:val="000000"/>
          <w:sz w:val="20"/>
        </w:rPr>
        <w:t xml:space="preserve">(248) 631-5450 </w:t>
      </w:r>
    </w:p>
    <w:p>
      <w:pPr>
        <w:pStyle w:val="TextBody"/>
        <w:bidi w:val="0"/>
        <w:spacing w:lineRule="auto" w:line="288" w:before="100" w:after="10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lineRule="auto" w:line="288" w:before="100" w:after="100"/>
        <w:jc w:val="center"/>
        <w:rPr>
          <w:rFonts w:ascii="Times New Roman;serif" w:hAnsi="Times New Roman;serif"/>
          <w:b w:val="false"/>
          <w:color w:val="000000"/>
          <w:sz w:val="20"/>
        </w:rPr>
      </w:pPr>
      <w:r>
        <w:rPr>
          <w:rFonts w:ascii="Times New Roman;serif" w:hAnsi="Times New Roman;serif"/>
          <w:b w:val="false"/>
          <w:color w:val="000000"/>
          <w:sz w:val="20"/>
        </w:rPr>
        <w:t xml:space="preserve">Securities registered pursuant to Section 12(b) of the Act: </w:t>
      </w:r>
    </w:p>
    <w:tbl>
      <w:tblPr>
        <w:tblW w:w="7753" w:type="dxa"/>
        <w:jc w:val="center"/>
        <w:tblInd w:w="0" w:type="dxa"/>
        <w:tblLayout w:type="fixed"/>
        <w:tblCellMar>
          <w:top w:w="28" w:type="dxa"/>
          <w:left w:w="28" w:type="dxa"/>
          <w:bottom w:w="28" w:type="dxa"/>
          <w:right w:w="28" w:type="dxa"/>
        </w:tblCellMar>
      </w:tblPr>
      <w:tblGrid>
        <w:gridCol w:w="975"/>
        <w:gridCol w:w="857"/>
        <w:gridCol w:w="867"/>
        <w:gridCol w:w="554"/>
        <w:gridCol w:w="554"/>
        <w:gridCol w:w="556"/>
        <w:gridCol w:w="991"/>
        <w:gridCol w:w="991"/>
        <w:gridCol w:w="1408"/>
      </w:tblGrid>
      <w:tr>
        <w:trPr/>
        <w:tc>
          <w:tcPr>
            <w:tcW w:w="975"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408" w:type="dxa"/>
            <w:tcBorders/>
            <w:vAlign w:val="center"/>
          </w:tcPr>
          <w:p>
            <w:pPr>
              <w:pStyle w:val="TableContents"/>
              <w:bidi w:val="0"/>
              <w:spacing w:before="0" w:after="283"/>
              <w:jc w:val="left"/>
              <w:rPr>
                <w:sz w:val="4"/>
                <w:szCs w:val="4"/>
              </w:rPr>
            </w:pPr>
            <w:r>
              <w:rPr>
                <w:sz w:val="4"/>
                <w:szCs w:val="4"/>
              </w:rPr>
            </w:r>
          </w:p>
        </w:tc>
      </w:tr>
      <w:tr>
        <w:trPr/>
        <w:tc>
          <w:tcPr>
            <w:tcW w:w="26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Title of each class</w:t>
            </w:r>
          </w:p>
        </w:tc>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Trading symbol(s)</w:t>
            </w:r>
          </w:p>
        </w:tc>
        <w:tc>
          <w:tcPr>
            <w:tcW w:w="33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Name of exchange on which registered</w:t>
            </w:r>
          </w:p>
        </w:tc>
      </w:tr>
      <w:tr>
        <w:trPr/>
        <w:tc>
          <w:tcPr>
            <w:tcW w:w="26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$0.01 par value</w:t>
            </w:r>
          </w:p>
        </w:tc>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TRS</w:t>
            </w:r>
          </w:p>
        </w:tc>
        <w:tc>
          <w:tcPr>
            <w:tcW w:w="33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bl>
    <w:p>
      <w:pPr>
        <w:pStyle w:val="TextBody"/>
        <w:bidi w:val="0"/>
        <w:spacing w:lineRule="auto" w:line="288" w:before="0" w:after="100"/>
        <w:jc w:val="both"/>
        <w:rPr/>
      </w:pPr>
      <w:r>
        <w:rPr>
          <w:rFonts w:ascii="Times New Roman;serif" w:hAnsi="Times New Roman;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erif" w:hAnsi="Times New Roman;serif"/>
          <w:b w:val="false"/>
          <w:color w:val="000000"/>
          <w:sz w:val="20"/>
        </w:rPr>
        <w:t>No </w:t>
      </w:r>
      <w:r>
        <w:rPr>
          <w:color w:val="000000"/>
        </w:rPr>
        <w:t>☐</w:t>
      </w:r>
      <w:r>
        <w:rPr>
          <w:rFonts w:ascii="Times New Roman;serif" w:hAnsi="Times New Roman;serif"/>
          <w:b w:val="false"/>
          <w:color w:val="000000"/>
          <w:sz w:val="20"/>
        </w:rPr>
        <w:t xml:space="preserve">. </w:t>
      </w:r>
    </w:p>
    <w:p>
      <w:pPr>
        <w:pStyle w:val="TextBody"/>
        <w:bidi w:val="0"/>
        <w:spacing w:lineRule="auto" w:line="288" w:before="100" w:after="100"/>
        <w:jc w:val="both"/>
        <w:rPr/>
      </w:pPr>
      <w:r>
        <w:rPr>
          <w:rFonts w:ascii="Times New Roman;serif" w:hAnsi="Times New Roman;serif"/>
          <w:b w:val="false"/>
          <w:color w:val="000000"/>
          <w:sz w:val="20"/>
        </w:rPr>
        <w:t>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color w:val="000000"/>
        </w:rPr>
        <w:t>☒    </w:t>
      </w:r>
      <w:r>
        <w:rPr>
          <w:rFonts w:ascii="Times New Roman;serif" w:hAnsi="Times New Roman;serif"/>
          <w:b w:val="false"/>
          <w:color w:val="000000"/>
          <w:sz w:val="20"/>
        </w:rPr>
        <w:t>No </w:t>
      </w:r>
      <w:r>
        <w:rPr>
          <w:color w:val="000000"/>
        </w:rPr>
        <w:t>☐</w:t>
      </w:r>
      <w:r>
        <w:rPr>
          <w:rFonts w:ascii="Times New Roman;serif" w:hAnsi="Times New Roman;serif"/>
          <w:b w:val="false"/>
          <w:color w:val="000000"/>
          <w:sz w:val="20"/>
        </w:rPr>
        <w:t xml:space="preserve">. </w:t>
      </w:r>
    </w:p>
    <w:p>
      <w:pPr>
        <w:pStyle w:val="TextBody"/>
        <w:bidi w:val="0"/>
        <w:spacing w:lineRule="auto" w:line="288" w:before="100" w:after="6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tbl>
      <w:tblPr>
        <w:tblW w:w="5256" w:type="dxa"/>
        <w:jc w:val="center"/>
        <w:tblInd w:w="0" w:type="dxa"/>
        <w:tblLayout w:type="fixed"/>
        <w:tblCellMar>
          <w:top w:w="28" w:type="dxa"/>
          <w:left w:w="28" w:type="dxa"/>
          <w:bottom w:w="28" w:type="dxa"/>
          <w:right w:w="28" w:type="dxa"/>
        </w:tblCellMar>
      </w:tblPr>
      <w:tblGrid>
        <w:gridCol w:w="695"/>
        <w:gridCol w:w="611"/>
        <w:gridCol w:w="613"/>
        <w:gridCol w:w="109"/>
        <w:gridCol w:w="109"/>
        <w:gridCol w:w="109"/>
        <w:gridCol w:w="109"/>
        <w:gridCol w:w="109"/>
        <w:gridCol w:w="109"/>
        <w:gridCol w:w="769"/>
        <w:gridCol w:w="769"/>
        <w:gridCol w:w="773"/>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100" w:after="100"/>
              <w:jc w:val="both"/>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100" w:after="100"/>
              <w:jc w:val="both"/>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100" w:after="100"/>
              <w:jc w:val="both"/>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100" w:after="100"/>
              <w:jc w:val="both"/>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100" w:after="100"/>
              <w:jc w:val="both"/>
              <w:rPr>
                <w:color w:val="000000"/>
              </w:rPr>
            </w:pPr>
            <w:r>
              <w:rPr>
                <w:color w:val="000000"/>
              </w:rPr>
              <w:t>☐</w:t>
            </w:r>
          </w:p>
        </w:tc>
      </w:tr>
    </w:tbl>
    <w:p>
      <w:pPr>
        <w:pStyle w:val="TextBody"/>
        <w:bidi w:val="0"/>
        <w:spacing w:lineRule="auto" w:line="288" w:before="0" w:after="100"/>
        <w:jc w:val="both"/>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100" w:after="100"/>
        <w:jc w:val="both"/>
        <w:rPr/>
      </w:pPr>
      <w:r>
        <w:rPr>
          <w:rFonts w:ascii="Times New Roman;serif" w:hAnsi="Times New Roman;serif"/>
          <w:b w:val="false"/>
          <w:color w:val="000000"/>
          <w:sz w:val="20"/>
        </w:rPr>
        <w:t>Indicate by check mark whether the registrant is a shell company (as defined in Rule 12b-2 of the Exchange Act). Yes </w:t>
      </w:r>
      <w:r>
        <w:rPr>
          <w:color w:val="000000"/>
        </w:rPr>
        <w:t>☐    </w:t>
      </w:r>
      <w:r>
        <w:rPr>
          <w:rFonts w:ascii="Times New Roman;serif" w:hAnsi="Times New Roman;serif"/>
          <w:b w:val="false"/>
          <w:color w:val="000000"/>
          <w:sz w:val="20"/>
        </w:rPr>
        <w:t>No </w:t>
      </w:r>
      <w:r>
        <w:rPr>
          <w:color w:val="000000"/>
        </w:rPr>
        <w:t xml:space="preserve">☒ </w:t>
      </w:r>
    </w:p>
    <w:p>
      <w:pPr>
        <w:pStyle w:val="TextBody"/>
        <w:bidi w:val="0"/>
        <w:spacing w:lineRule="auto" w:line="288" w:before="100" w:after="100"/>
        <w:jc w:val="both"/>
        <w:rPr>
          <w:rFonts w:ascii="Times New Roman;serif" w:hAnsi="Times New Roman;serif"/>
          <w:b w:val="false"/>
          <w:color w:val="000000"/>
          <w:sz w:val="20"/>
        </w:rPr>
      </w:pPr>
      <w:r>
        <w:rPr>
          <w:rFonts w:ascii="Times New Roman;serif" w:hAnsi="Times New Roman;serif"/>
          <w:b w:val="false"/>
          <w:color w:val="000000"/>
          <w:sz w:val="20"/>
        </w:rPr>
        <w:t xml:space="preserve">As of October 21, 2025, the number of outstanding shares of the Registrant's common stock, $0.01 par value, was 40,645,671 shares.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e69bc5e88b0c4f53b7988ab1107efbc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00"/>
        <w:jc w:val="center"/>
        <w:rPr>
          <w:rFonts w:ascii="Times New Roman;serif" w:hAnsi="Times New Roman;serif"/>
          <w:b/>
          <w:color w:val="000000"/>
          <w:sz w:val="20"/>
        </w:rPr>
      </w:pPr>
      <w:r>
        <w:rPr>
          <w:rFonts w:ascii="Times New Roman;serif" w:hAnsi="Times New Roman;serif"/>
          <w:b/>
          <w:color w:val="000000"/>
          <w:sz w:val="20"/>
        </w:rPr>
        <w:t xml:space="preserve">TriMas Corporation </w:t>
      </w:r>
    </w:p>
    <w:p>
      <w:pPr>
        <w:pStyle w:val="TextBody"/>
        <w:bidi w:val="0"/>
        <w:spacing w:lineRule="auto" w:line="288" w:before="100" w:after="100"/>
        <w:jc w:val="center"/>
        <w:rPr>
          <w:rFonts w:ascii="Times New Roman;serif" w:hAnsi="Times New Roman;serif"/>
          <w:b/>
          <w:color w:val="000000"/>
          <w:sz w:val="20"/>
        </w:rPr>
      </w:pPr>
      <w:r>
        <w:rPr>
          <w:rFonts w:ascii="Times New Roman;serif" w:hAnsi="Times New Roman;serif"/>
          <w:b/>
          <w:color w:val="000000"/>
          <w:sz w:val="20"/>
        </w:rPr>
        <w:t xml:space="preserve">Index </w:t>
      </w:r>
    </w:p>
    <w:tbl>
      <w:tblPr>
        <w:tblW w:w="10205" w:type="dxa"/>
        <w:jc w:val="center"/>
        <w:tblInd w:w="0" w:type="dxa"/>
        <w:tblLayout w:type="fixed"/>
        <w:tblCellMar>
          <w:top w:w="28" w:type="dxa"/>
          <w:left w:w="28" w:type="dxa"/>
          <w:bottom w:w="28" w:type="dxa"/>
          <w:right w:w="28" w:type="dxa"/>
        </w:tblCellMar>
      </w:tblPr>
      <w:tblGrid>
        <w:gridCol w:w="266"/>
        <w:gridCol w:w="233"/>
        <w:gridCol w:w="237"/>
        <w:gridCol w:w="109"/>
        <w:gridCol w:w="109"/>
        <w:gridCol w:w="109"/>
        <w:gridCol w:w="284"/>
        <w:gridCol w:w="284"/>
        <w:gridCol w:w="228"/>
        <w:gridCol w:w="192"/>
        <w:gridCol w:w="192"/>
        <w:gridCol w:w="192"/>
        <w:gridCol w:w="2420"/>
        <w:gridCol w:w="2420"/>
        <w:gridCol w:w="2555"/>
        <w:gridCol w:w="109"/>
        <w:gridCol w:w="109"/>
        <w:gridCol w:w="157"/>
      </w:tblGrid>
      <w:tr>
        <w:trPr/>
        <w:tc>
          <w:tcPr>
            <w:tcW w:w="26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2420" w:type="dxa"/>
            <w:tcBorders/>
            <w:vAlign w:val="center"/>
          </w:tcPr>
          <w:p>
            <w:pPr>
              <w:pStyle w:val="TableContents"/>
              <w:bidi w:val="0"/>
              <w:spacing w:before="0" w:after="283"/>
              <w:jc w:val="left"/>
              <w:rPr>
                <w:sz w:val="4"/>
                <w:szCs w:val="4"/>
              </w:rPr>
            </w:pPr>
            <w:r>
              <w:rPr>
                <w:sz w:val="4"/>
                <w:szCs w:val="4"/>
              </w:rPr>
            </w:r>
          </w:p>
        </w:tc>
        <w:tc>
          <w:tcPr>
            <w:tcW w:w="2420" w:type="dxa"/>
            <w:tcBorders/>
            <w:vAlign w:val="center"/>
          </w:tcPr>
          <w:p>
            <w:pPr>
              <w:pStyle w:val="TableContents"/>
              <w:bidi w:val="0"/>
              <w:spacing w:before="0" w:after="283"/>
              <w:jc w:val="left"/>
              <w:rPr>
                <w:sz w:val="4"/>
                <w:szCs w:val="4"/>
              </w:rPr>
            </w:pPr>
            <w:r>
              <w:rPr>
                <w:sz w:val="4"/>
                <w:szCs w:val="4"/>
              </w:rPr>
            </w:r>
          </w:p>
        </w:tc>
        <w:tc>
          <w:tcPr>
            <w:tcW w:w="25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69bc5e88b0c4f53b7988ab1107efbce_13">
              <w:r>
                <w:rPr>
                  <w:rStyle w:val="InternetLink"/>
                  <w:rFonts w:ascii="Times New Roman;serif" w:hAnsi="Times New Roman;serif"/>
                  <w:b/>
                  <w:color w:val="0000FF"/>
                  <w:sz w:val="20"/>
                  <w:u w:val="single"/>
                </w:rPr>
                <w:t>Part I.</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767" w:type="dxa"/>
            <w:gridSpan w:val="9"/>
            <w:tcBorders/>
            <w:tcMar>
              <w:top w:w="0" w:type="dxa"/>
              <w:left w:w="0" w:type="dxa"/>
              <w:bottom w:w="0" w:type="dxa"/>
              <w:right w:w="0" w:type="dxa"/>
            </w:tcMar>
            <w:vAlign w:val="center"/>
          </w:tcPr>
          <w:p>
            <w:pPr>
              <w:pStyle w:val="TableContents"/>
              <w:bidi w:val="0"/>
              <w:spacing w:lineRule="auto" w:line="240" w:before="0" w:after="0"/>
              <w:jc w:val="left"/>
              <w:rPr/>
            </w:pPr>
            <w:hyperlink w:anchor="ie69bc5e88b0c4f53b7988ab1107efbce_13">
              <w:r>
                <w:rPr>
                  <w:rStyle w:val="InternetLink"/>
                  <w:rFonts w:ascii="Times New Roman;serif" w:hAnsi="Times New Roman;serif"/>
                  <w:b/>
                  <w:color w:val="0000FF"/>
                  <w:sz w:val="20"/>
                  <w:u w:val="single"/>
                </w:rPr>
                <w:t>Financial Information</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7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69bc5e88b0c4f53b7988ab1107efbce_10">
              <w:r>
                <w:rPr>
                  <w:rStyle w:val="InternetLink"/>
                  <w:rFonts w:ascii="Times New Roman;serif" w:hAnsi="Times New Roman;serif"/>
                  <w:b w:val="false"/>
                  <w:color w:val="0000FF"/>
                  <w:sz w:val="20"/>
                  <w:u w:val="single"/>
                </w:rPr>
                <w:t>Forward-Looking Statements</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69bc5e88b0c4f53b7988ab1107efbce_10">
              <w:r>
                <w:rPr>
                  <w:rStyle w:val="InternetLink"/>
                  <w:rFonts w:ascii="Times New Roman;serif" w:hAnsi="Times New Roman;serif"/>
                  <w:b w:val="false"/>
                  <w:color w:val="0000FF"/>
                  <w:sz w:val="20"/>
                  <w:u w:val="single"/>
                </w:rPr>
                <w:t>2</w:t>
              </w:r>
            </w:hyperlink>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9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69bc5e88b0c4f53b7988ab1107efbce_16">
              <w:r>
                <w:rPr>
                  <w:rStyle w:val="InternetLink"/>
                  <w:rFonts w:ascii="Times New Roman;serif" w:hAnsi="Times New Roman;serif"/>
                  <w:b w:val="false"/>
                  <w:color w:val="0000FF"/>
                  <w:sz w:val="20"/>
                  <w:u w:val="single"/>
                </w:rPr>
                <w:t>Item 1.</w:t>
              </w:r>
            </w:hyperlink>
          </w:p>
        </w:tc>
        <w:tc>
          <w:tcPr>
            <w:tcW w:w="57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69bc5e88b0c4f53b7988ab1107efbce_16">
              <w:r>
                <w:rPr>
                  <w:rStyle w:val="InternetLink"/>
                  <w:rFonts w:ascii="Times New Roman;serif" w:hAnsi="Times New Roman;serif"/>
                  <w:b w:val="false"/>
                  <w:color w:val="0000FF"/>
                  <w:sz w:val="20"/>
                  <w:u w:val="single"/>
                </w:rPr>
                <w:t>Consolidated Financial Statements</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69bc5e88b0c4f53b7988ab1107efbce_16">
              <w:r>
                <w:rPr>
                  <w:rStyle w:val="InternetLink"/>
                  <w:rFonts w:ascii="Times New Roman;serif" w:hAnsi="Times New Roman;serif"/>
                  <w:b w:val="false"/>
                  <w:color w:val="0000FF"/>
                  <w:sz w:val="20"/>
                  <w:u w:val="single"/>
                </w:rPr>
                <w:t>3</w:t>
              </w:r>
            </w:hyperlink>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7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69bc5e88b0c4f53b7988ab1107efbce_19">
              <w:r>
                <w:rPr>
                  <w:rStyle w:val="InternetLink"/>
                  <w:rFonts w:ascii="Times New Roman;serif" w:hAnsi="Times New Roman;serif"/>
                  <w:b w:val="false"/>
                  <w:color w:val="000080"/>
                  <w:sz w:val="20"/>
                  <w:u w:val="single"/>
                </w:rPr>
                <w:t xml:space="preserve">Consolidated Balance Sheet as of </w:t>
              </w:r>
            </w:hyperlink>
            <w:hyperlink w:anchor="ie69bc5e88b0c4f53b7988ab1107efbce_19">
              <w:r>
                <w:rPr>
                  <w:rStyle w:val="InternetLink"/>
                  <w:rFonts w:ascii="Times New Roman;serif" w:hAnsi="Times New Roman;serif"/>
                  <w:b w:val="false"/>
                  <w:color w:val="000080"/>
                  <w:sz w:val="20"/>
                  <w:u w:val="single"/>
                </w:rPr>
                <w:t>September</w:t>
              </w:r>
            </w:hyperlink>
            <w:hyperlink w:anchor="ie69bc5e88b0c4f53b7988ab1107efbce_19">
              <w:r>
                <w:rPr>
                  <w:rStyle w:val="InternetLink"/>
                  <w:rFonts w:ascii="Times New Roman;serif" w:hAnsi="Times New Roman;serif"/>
                  <w:b w:val="false"/>
                  <w:color w:val="000080"/>
                  <w:sz w:val="20"/>
                  <w:u w:val="single"/>
                </w:rPr>
                <w:t xml:space="preserve"> 30, 2025 and December 31, 2024</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69bc5e88b0c4f53b7988ab1107efbce_19">
              <w:r>
                <w:rPr>
                  <w:rStyle w:val="InternetLink"/>
                  <w:rFonts w:ascii="Times New Roman;serif" w:hAnsi="Times New Roman;serif"/>
                  <w:b w:val="false"/>
                  <w:color w:val="0000FF"/>
                  <w:sz w:val="20"/>
                  <w:u w:val="single"/>
                </w:rPr>
                <w:t>3</w:t>
              </w:r>
            </w:hyperlink>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7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69bc5e88b0c4f53b7988ab1107efbce_22">
              <w:r>
                <w:rPr>
                  <w:rStyle w:val="InternetLink"/>
                  <w:rFonts w:ascii="Times New Roman;serif" w:hAnsi="Times New Roman;serif"/>
                  <w:b w:val="false"/>
                  <w:color w:val="000080"/>
                  <w:sz w:val="20"/>
                  <w:u w:val="single"/>
                </w:rPr>
                <w:t xml:space="preserve">Consolidated Statement of Income for the Three and </w:t>
              </w:r>
            </w:hyperlink>
            <w:hyperlink w:anchor="ie69bc5e88b0c4f53b7988ab1107efbce_22">
              <w:r>
                <w:rPr>
                  <w:rStyle w:val="InternetLink"/>
                  <w:rFonts w:ascii="Times New Roman;serif" w:hAnsi="Times New Roman;serif"/>
                  <w:b w:val="false"/>
                  <w:color w:val="000080"/>
                  <w:sz w:val="20"/>
                  <w:u w:val="single"/>
                </w:rPr>
                <w:t>Nine</w:t>
              </w:r>
            </w:hyperlink>
            <w:hyperlink w:anchor="ie69bc5e88b0c4f53b7988ab1107efbce_22">
              <w:r>
                <w:rPr>
                  <w:rStyle w:val="InternetLink"/>
                  <w:rFonts w:ascii="Times New Roman;serif" w:hAnsi="Times New Roman;serif"/>
                  <w:b w:val="false"/>
                  <w:color w:val="000080"/>
                  <w:sz w:val="20"/>
                  <w:u w:val="single"/>
                </w:rPr>
                <w:t xml:space="preserve"> Months Ended </w:t>
              </w:r>
            </w:hyperlink>
            <w:hyperlink w:anchor="ie69bc5e88b0c4f53b7988ab1107efbce_22">
              <w:r>
                <w:rPr>
                  <w:rStyle w:val="InternetLink"/>
                  <w:rFonts w:ascii="Times New Roman;serif" w:hAnsi="Times New Roman;serif"/>
                  <w:b w:val="false"/>
                  <w:color w:val="000080"/>
                  <w:sz w:val="20"/>
                  <w:u w:val="single"/>
                </w:rPr>
                <w:t>September</w:t>
              </w:r>
            </w:hyperlink>
            <w:hyperlink w:anchor="ie69bc5e88b0c4f53b7988ab1107efbce_22">
              <w:r>
                <w:rPr>
                  <w:rStyle w:val="InternetLink"/>
                  <w:rFonts w:ascii="Times New Roman;serif" w:hAnsi="Times New Roman;serif"/>
                  <w:b w:val="false"/>
                  <w:color w:val="000080"/>
                  <w:sz w:val="20"/>
                  <w:u w:val="single"/>
                </w:rPr>
                <w:t xml:space="preserve"> 30, 2025 and 2024</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69bc5e88b0c4f53b7988ab1107efbce_22">
              <w:r>
                <w:rPr>
                  <w:rStyle w:val="InternetLink"/>
                  <w:rFonts w:ascii="Times New Roman;serif" w:hAnsi="Times New Roman;serif"/>
                  <w:b w:val="false"/>
                  <w:color w:val="0000FF"/>
                  <w:sz w:val="20"/>
                  <w:u w:val="single"/>
                </w:rPr>
                <w:t>4</w:t>
              </w:r>
            </w:hyperlink>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69bc5e88b0c4f53b7988ab1107efbce_25">
              <w:r>
                <w:rPr>
                  <w:rStyle w:val="InternetLink"/>
                  <w:rFonts w:ascii="Times New Roman;serif" w:hAnsi="Times New Roman;serif"/>
                  <w:b w:val="false"/>
                  <w:color w:val="000080"/>
                  <w:sz w:val="20"/>
                  <w:u w:val="single"/>
                </w:rPr>
                <w:t>Consolidated Statement of Comprehensive Income for the Three and</w:t>
              </w:r>
            </w:hyperlink>
            <w:hyperlink w:anchor="ie69bc5e88b0c4f53b7988ab1107efbce_25">
              <w:r>
                <w:rPr>
                  <w:rStyle w:val="InternetLink"/>
                  <w:rFonts w:ascii="Times New Roman;serif" w:hAnsi="Times New Roman;serif"/>
                  <w:b w:val="false"/>
                  <w:color w:val="000080"/>
                  <w:sz w:val="20"/>
                  <w:u w:val="single"/>
                </w:rPr>
                <w:t xml:space="preserve"> </w:t>
              </w:r>
            </w:hyperlink>
            <w:hyperlink w:anchor="ie69bc5e88b0c4f53b7988ab1107efbce_25">
              <w:r>
                <w:rPr>
                  <w:rStyle w:val="InternetLink"/>
                  <w:rFonts w:ascii="Times New Roman;serif" w:hAnsi="Times New Roman;serif"/>
                  <w:b w:val="false"/>
                  <w:color w:val="000080"/>
                  <w:sz w:val="20"/>
                  <w:u w:val="single"/>
                </w:rPr>
                <w:t>Nine</w:t>
              </w:r>
            </w:hyperlink>
            <w:hyperlink w:anchor="ie69bc5e88b0c4f53b7988ab1107efbce_25">
              <w:r>
                <w:rPr>
                  <w:rStyle w:val="InternetLink"/>
                  <w:rFonts w:ascii="Times New Roman;serif" w:hAnsi="Times New Roman;serif"/>
                  <w:b w:val="false"/>
                  <w:color w:val="000080"/>
                  <w:sz w:val="20"/>
                  <w:u w:val="single"/>
                </w:rPr>
                <w:t xml:space="preserve"> Months Ended </w:t>
              </w:r>
            </w:hyperlink>
            <w:hyperlink w:anchor="ie69bc5e88b0c4f53b7988ab1107efbce_25">
              <w:r>
                <w:rPr>
                  <w:rStyle w:val="InternetLink"/>
                  <w:rFonts w:ascii="Times New Roman;serif" w:hAnsi="Times New Roman;serif"/>
                  <w:b w:val="false"/>
                  <w:color w:val="000080"/>
                  <w:sz w:val="20"/>
                  <w:u w:val="single"/>
                </w:rPr>
                <w:t>September</w:t>
              </w:r>
            </w:hyperlink>
            <w:hyperlink w:anchor="ie69bc5e88b0c4f53b7988ab1107efbce_25">
              <w:r>
                <w:rPr>
                  <w:rStyle w:val="InternetLink"/>
                  <w:rFonts w:ascii="Times New Roman;serif" w:hAnsi="Times New Roman;serif"/>
                  <w:b w:val="false"/>
                  <w:color w:val="000080"/>
                  <w:sz w:val="20"/>
                  <w:u w:val="single"/>
                </w:rPr>
                <w:t xml:space="preserve"> 30, 2025 and 2024</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69bc5e88b0c4f53b7988ab1107efbce_25">
              <w:r>
                <w:rPr>
                  <w:rStyle w:val="InternetLink"/>
                  <w:rFonts w:ascii="Times New Roman;serif" w:hAnsi="Times New Roman;serif"/>
                  <w:b w:val="false"/>
                  <w:color w:val="0000FF"/>
                  <w:sz w:val="20"/>
                  <w:u w:val="single"/>
                </w:rPr>
                <w:t>5</w:t>
              </w:r>
            </w:hyperlink>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69bc5e88b0c4f53b7988ab1107efbce_28">
              <w:r>
                <w:rPr>
                  <w:rStyle w:val="InternetLink"/>
                  <w:rFonts w:ascii="Times New Roman;serif" w:hAnsi="Times New Roman;serif"/>
                  <w:b w:val="false"/>
                  <w:color w:val="000080"/>
                  <w:sz w:val="20"/>
                  <w:u w:val="single"/>
                </w:rPr>
                <w:t xml:space="preserve">Consolidated Statement of Cash Flows for the </w:t>
              </w:r>
            </w:hyperlink>
            <w:hyperlink w:anchor="ie69bc5e88b0c4f53b7988ab1107efbce_28">
              <w:r>
                <w:rPr>
                  <w:rStyle w:val="InternetLink"/>
                  <w:rFonts w:ascii="Times New Roman;serif" w:hAnsi="Times New Roman;serif"/>
                  <w:b w:val="false"/>
                  <w:color w:val="000080"/>
                  <w:sz w:val="20"/>
                  <w:u w:val="single"/>
                </w:rPr>
                <w:t>Nine</w:t>
              </w:r>
            </w:hyperlink>
            <w:hyperlink w:anchor="ie69bc5e88b0c4f53b7988ab1107efbce_28">
              <w:r>
                <w:rPr>
                  <w:rStyle w:val="InternetLink"/>
                  <w:rFonts w:ascii="Times New Roman;serif" w:hAnsi="Times New Roman;serif"/>
                  <w:b w:val="false"/>
                  <w:color w:val="000080"/>
                  <w:sz w:val="20"/>
                  <w:u w:val="single"/>
                </w:rPr>
                <w:t xml:space="preserve"> Months Ended </w:t>
              </w:r>
            </w:hyperlink>
            <w:hyperlink w:anchor="ie69bc5e88b0c4f53b7988ab1107efbce_28">
              <w:r>
                <w:rPr>
                  <w:rStyle w:val="InternetLink"/>
                  <w:rFonts w:ascii="Times New Roman;serif" w:hAnsi="Times New Roman;serif"/>
                  <w:b w:val="false"/>
                  <w:color w:val="000080"/>
                  <w:sz w:val="20"/>
                  <w:u w:val="single"/>
                </w:rPr>
                <w:t>September</w:t>
              </w:r>
            </w:hyperlink>
            <w:hyperlink w:anchor="ie69bc5e88b0c4f53b7988ab1107efbce_28">
              <w:r>
                <w:rPr>
                  <w:rStyle w:val="InternetLink"/>
                  <w:rFonts w:ascii="Times New Roman;serif" w:hAnsi="Times New Roman;serif"/>
                  <w:b w:val="false"/>
                  <w:color w:val="000080"/>
                  <w:sz w:val="20"/>
                  <w:u w:val="single"/>
                </w:rPr>
                <w:t xml:space="preserve"> 30, 2025 and 2024</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69bc5e88b0c4f53b7988ab1107efbce_28">
              <w:r>
                <w:rPr>
                  <w:rStyle w:val="InternetLink"/>
                  <w:rFonts w:ascii="Times New Roman;serif" w:hAnsi="Times New Roman;serif"/>
                  <w:b w:val="false"/>
                  <w:color w:val="0000FF"/>
                  <w:sz w:val="20"/>
                  <w:u w:val="single"/>
                </w:rPr>
                <w:t>6</w:t>
              </w:r>
            </w:hyperlink>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69bc5e88b0c4f53b7988ab1107efbce_31">
              <w:r>
                <w:rPr>
                  <w:rStyle w:val="InternetLink"/>
                  <w:rFonts w:ascii="Times New Roman;serif" w:hAnsi="Times New Roman;serif"/>
                  <w:b w:val="false"/>
                  <w:color w:val="000080"/>
                  <w:sz w:val="20"/>
                  <w:u w:val="single"/>
                </w:rPr>
                <w:t xml:space="preserve">Consolidated Statement of Shareholders' Equity for the </w:t>
              </w:r>
            </w:hyperlink>
            <w:hyperlink w:anchor="ie69bc5e88b0c4f53b7988ab1107efbce_31">
              <w:r>
                <w:rPr>
                  <w:rStyle w:val="InternetLink"/>
                  <w:rFonts w:ascii="Times New Roman;serif" w:hAnsi="Times New Roman;serif"/>
                  <w:b w:val="false"/>
                  <w:color w:val="000080"/>
                  <w:sz w:val="20"/>
                  <w:u w:val="single"/>
                </w:rPr>
                <w:t>Nine</w:t>
              </w:r>
            </w:hyperlink>
            <w:hyperlink w:anchor="ie69bc5e88b0c4f53b7988ab1107efbce_31">
              <w:r>
                <w:rPr>
                  <w:rStyle w:val="InternetLink"/>
                  <w:rFonts w:ascii="Times New Roman;serif" w:hAnsi="Times New Roman;serif"/>
                  <w:b w:val="false"/>
                  <w:color w:val="000080"/>
                  <w:sz w:val="20"/>
                  <w:u w:val="single"/>
                </w:rPr>
                <w:t xml:space="preserve"> Months Ended </w:t>
              </w:r>
            </w:hyperlink>
            <w:hyperlink w:anchor="ie69bc5e88b0c4f53b7988ab1107efbce_31">
              <w:r>
                <w:rPr>
                  <w:rStyle w:val="InternetLink"/>
                  <w:rFonts w:ascii="Times New Roman;serif" w:hAnsi="Times New Roman;serif"/>
                  <w:b w:val="false"/>
                  <w:color w:val="000080"/>
                  <w:sz w:val="20"/>
                  <w:u w:val="single"/>
                </w:rPr>
                <w:t>September</w:t>
              </w:r>
            </w:hyperlink>
            <w:hyperlink w:anchor="ie69bc5e88b0c4f53b7988ab1107efbce_31">
              <w:r>
                <w:rPr>
                  <w:rStyle w:val="InternetLink"/>
                  <w:rFonts w:ascii="Times New Roman;serif" w:hAnsi="Times New Roman;serif"/>
                  <w:b w:val="false"/>
                  <w:color w:val="000080"/>
                  <w:sz w:val="20"/>
                  <w:u w:val="single"/>
                </w:rPr>
                <w:t xml:space="preserve"> 30, 2025 and 2024</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69bc5e88b0c4f53b7988ab1107efbce_31">
              <w:r>
                <w:rPr>
                  <w:rStyle w:val="InternetLink"/>
                  <w:rFonts w:ascii="Times New Roman;serif" w:hAnsi="Times New Roman;serif"/>
                  <w:b w:val="false"/>
                  <w:color w:val="0000FF"/>
                  <w:sz w:val="20"/>
                  <w:u w:val="single"/>
                </w:rPr>
                <w:t>7</w:t>
              </w:r>
            </w:hyperlink>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69bc5e88b0c4f53b7988ab1107efbce_34">
              <w:r>
                <w:rPr>
                  <w:rStyle w:val="InternetLink"/>
                  <w:rFonts w:ascii="Times New Roman;serif" w:hAnsi="Times New Roman;serif"/>
                  <w:b w:val="false"/>
                  <w:color w:val="0000FF"/>
                  <w:sz w:val="20"/>
                  <w:u w:val="single"/>
                </w:rPr>
                <w:t>Notes to Consolidated Financial Statements</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69bc5e88b0c4f53b7988ab1107efbce_34">
              <w:r>
                <w:rPr>
                  <w:rStyle w:val="InternetLink"/>
                  <w:rFonts w:ascii="Times New Roman;serif" w:hAnsi="Times New Roman;serif"/>
                  <w:b w:val="false"/>
                  <w:color w:val="0000FF"/>
                  <w:sz w:val="20"/>
                  <w:u w:val="single"/>
                </w:rPr>
                <w:t>9</w:t>
              </w:r>
            </w:hyperlink>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9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69bc5e88b0c4f53b7988ab1107efbce_115">
              <w:r>
                <w:rPr>
                  <w:rStyle w:val="InternetLink"/>
                  <w:rFonts w:ascii="Times New Roman;serif" w:hAnsi="Times New Roman;serif"/>
                  <w:b w:val="false"/>
                  <w:color w:val="0000FF"/>
                  <w:sz w:val="20"/>
                  <w:u w:val="single"/>
                </w:rPr>
                <w:t>Item 2.</w:t>
              </w:r>
            </w:hyperlink>
          </w:p>
        </w:tc>
        <w:tc>
          <w:tcPr>
            <w:tcW w:w="57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69bc5e88b0c4f53b7988ab1107efbce_115">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69bc5e88b0c4f53b7988ab1107efbce_115">
              <w:r>
                <w:rPr>
                  <w:rStyle w:val="InternetLink"/>
                  <w:rFonts w:ascii="Times New Roman;serif" w:hAnsi="Times New Roman;serif"/>
                  <w:b w:val="false"/>
                  <w:color w:val="0000FF"/>
                  <w:sz w:val="20"/>
                  <w:u w:val="single"/>
                </w:rPr>
                <w:t>28</w:t>
              </w:r>
            </w:hyperlink>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9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69bc5e88b0c4f53b7988ab1107efbce_196">
              <w:r>
                <w:rPr>
                  <w:rStyle w:val="InternetLink"/>
                  <w:rFonts w:ascii="Times New Roman;serif" w:hAnsi="Times New Roman;serif"/>
                  <w:b w:val="false"/>
                  <w:color w:val="0000FF"/>
                  <w:sz w:val="20"/>
                  <w:u w:val="single"/>
                </w:rPr>
                <w:t>Item 3.</w:t>
              </w:r>
            </w:hyperlink>
          </w:p>
        </w:tc>
        <w:tc>
          <w:tcPr>
            <w:tcW w:w="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69bc5e88b0c4f53b7988ab1107efbce_196">
              <w:r>
                <w:rPr>
                  <w:rStyle w:val="InternetLink"/>
                  <w:rFonts w:ascii="Times New Roman;serif" w:hAnsi="Times New Roman;serif"/>
                  <w:b w:val="false"/>
                  <w:color w:val="0000FF"/>
                  <w:sz w:val="20"/>
                  <w:u w:val="single"/>
                </w:rPr>
                <w:t>Quantitative and Qualitative Disclosures about Market Risk</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69bc5e88b0c4f53b7988ab1107efbce_196">
              <w:r>
                <w:rPr>
                  <w:rStyle w:val="InternetLink"/>
                  <w:rFonts w:ascii="Times New Roman;serif" w:hAnsi="Times New Roman;serif"/>
                  <w:b w:val="false"/>
                  <w:color w:val="0000FF"/>
                  <w:sz w:val="20"/>
                  <w:u w:val="single"/>
                </w:rPr>
                <w:t>45</w:t>
              </w:r>
            </w:hyperlink>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9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69bc5e88b0c4f53b7988ab1107efbce_199">
              <w:r>
                <w:rPr>
                  <w:rStyle w:val="InternetLink"/>
                  <w:rFonts w:ascii="Times New Roman;serif" w:hAnsi="Times New Roman;serif"/>
                  <w:b w:val="false"/>
                  <w:color w:val="0000FF"/>
                  <w:sz w:val="20"/>
                  <w:u w:val="single"/>
                </w:rPr>
                <w:t>Item 4.</w:t>
              </w:r>
            </w:hyperlink>
          </w:p>
        </w:tc>
        <w:tc>
          <w:tcPr>
            <w:tcW w:w="57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69bc5e88b0c4f53b7988ab1107efbce_199">
              <w:r>
                <w:rPr>
                  <w:rStyle w:val="InternetLink"/>
                  <w:rFonts w:ascii="Times New Roman;serif" w:hAnsi="Times New Roman;serif"/>
                  <w:b w:val="false"/>
                  <w:color w:val="0000FF"/>
                  <w:sz w:val="20"/>
                  <w:u w:val="single"/>
                </w:rPr>
                <w:t>Controls and Procedures</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69bc5e88b0c4f53b7988ab1107efbce_199">
              <w:r>
                <w:rPr>
                  <w:rStyle w:val="InternetLink"/>
                  <w:rFonts w:ascii="Times New Roman;serif" w:hAnsi="Times New Roman;serif"/>
                  <w:b w:val="false"/>
                  <w:color w:val="0000FF"/>
                  <w:sz w:val="20"/>
                  <w:u w:val="single"/>
                </w:rPr>
                <w:t>45</w:t>
              </w:r>
            </w:hyperlink>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69bc5e88b0c4f53b7988ab1107efbce_202">
              <w:r>
                <w:rPr>
                  <w:rStyle w:val="InternetLink"/>
                  <w:rFonts w:ascii="Times New Roman;serif" w:hAnsi="Times New Roman;serif"/>
                  <w:b/>
                  <w:color w:val="0000FF"/>
                  <w:sz w:val="20"/>
                  <w:u w:val="single"/>
                </w:rPr>
                <w:t>Part II.</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767" w:type="dxa"/>
            <w:gridSpan w:val="9"/>
            <w:tcBorders/>
            <w:tcMar>
              <w:top w:w="0" w:type="dxa"/>
              <w:left w:w="0" w:type="dxa"/>
              <w:bottom w:w="0" w:type="dxa"/>
              <w:right w:w="0" w:type="dxa"/>
            </w:tcMar>
            <w:vAlign w:val="center"/>
          </w:tcPr>
          <w:p>
            <w:pPr>
              <w:pStyle w:val="TableContents"/>
              <w:bidi w:val="0"/>
              <w:spacing w:lineRule="auto" w:line="240" w:before="0" w:after="0"/>
              <w:jc w:val="left"/>
              <w:rPr/>
            </w:pPr>
            <w:hyperlink w:anchor="ie69bc5e88b0c4f53b7988ab1107efbce_202">
              <w:r>
                <w:rPr>
                  <w:rStyle w:val="InternetLink"/>
                  <w:rFonts w:ascii="Times New Roman;serif" w:hAnsi="Times New Roman;serif"/>
                  <w:b/>
                  <w:color w:val="0000FF"/>
                  <w:sz w:val="20"/>
                  <w:u w:val="single"/>
                </w:rPr>
                <w:t>Other Information</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9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69bc5e88b0c4f53b7988ab1107efbce_205">
              <w:r>
                <w:rPr>
                  <w:rStyle w:val="InternetLink"/>
                  <w:rFonts w:ascii="Times New Roman;serif" w:hAnsi="Times New Roman;serif"/>
                  <w:b w:val="false"/>
                  <w:color w:val="0000FF"/>
                  <w:sz w:val="20"/>
                  <w:u w:val="single"/>
                </w:rPr>
                <w:t>Item 1.</w:t>
              </w:r>
            </w:hyperlink>
          </w:p>
        </w:tc>
        <w:tc>
          <w:tcPr>
            <w:tcW w:w="57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69bc5e88b0c4f53b7988ab1107efbce_205">
              <w:r>
                <w:rPr>
                  <w:rStyle w:val="InternetLink"/>
                  <w:rFonts w:ascii="Times New Roman;serif" w:hAnsi="Times New Roman;serif"/>
                  <w:b w:val="false"/>
                  <w:color w:val="0000FF"/>
                  <w:sz w:val="20"/>
                  <w:u w:val="single"/>
                </w:rPr>
                <w:t>Legal Proceedings</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69bc5e88b0c4f53b7988ab1107efbce_205">
              <w:r>
                <w:rPr>
                  <w:rStyle w:val="InternetLink"/>
                  <w:rFonts w:ascii="Times New Roman;serif" w:hAnsi="Times New Roman;serif"/>
                  <w:b w:val="false"/>
                  <w:color w:val="0000FF"/>
                  <w:sz w:val="20"/>
                  <w:u w:val="single"/>
                </w:rPr>
                <w:t>46</w:t>
              </w:r>
            </w:hyperlink>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9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69bc5e88b0c4f53b7988ab1107efbce_208">
              <w:r>
                <w:rPr>
                  <w:rStyle w:val="InternetLink"/>
                  <w:rFonts w:ascii="Times New Roman;serif" w:hAnsi="Times New Roman;serif"/>
                  <w:b w:val="false"/>
                  <w:color w:val="0000FF"/>
                  <w:sz w:val="20"/>
                  <w:u w:val="single"/>
                </w:rPr>
                <w:t>Item 1A.</w:t>
              </w:r>
            </w:hyperlink>
          </w:p>
        </w:tc>
        <w:tc>
          <w:tcPr>
            <w:tcW w:w="57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69bc5e88b0c4f53b7988ab1107efbce_208">
              <w:r>
                <w:rPr>
                  <w:rStyle w:val="InternetLink"/>
                  <w:rFonts w:ascii="Times New Roman;serif" w:hAnsi="Times New Roman;serif"/>
                  <w:b w:val="false"/>
                  <w:color w:val="0000FF"/>
                  <w:sz w:val="20"/>
                  <w:u w:val="single"/>
                </w:rPr>
                <w:t>Risk Factors</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69bc5e88b0c4f53b7988ab1107efbce_208">
              <w:r>
                <w:rPr>
                  <w:rStyle w:val="InternetLink"/>
                  <w:rFonts w:ascii="Times New Roman;serif" w:hAnsi="Times New Roman;serif"/>
                  <w:b w:val="false"/>
                  <w:color w:val="0000FF"/>
                  <w:sz w:val="20"/>
                  <w:u w:val="single"/>
                </w:rPr>
                <w:t>46</w:t>
              </w:r>
            </w:hyperlink>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9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69bc5e88b0c4f53b7988ab1107efbce_211">
              <w:r>
                <w:rPr>
                  <w:rStyle w:val="InternetLink"/>
                  <w:rFonts w:ascii="Times New Roman;serif" w:hAnsi="Times New Roman;serif"/>
                  <w:b w:val="false"/>
                  <w:color w:val="0000FF"/>
                  <w:sz w:val="20"/>
                  <w:u w:val="single"/>
                </w:rPr>
                <w:t>Item 2.</w:t>
              </w:r>
            </w:hyperlink>
          </w:p>
        </w:tc>
        <w:tc>
          <w:tcPr>
            <w:tcW w:w="57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69bc5e88b0c4f53b7988ab1107efbce_211">
              <w:r>
                <w:rPr>
                  <w:rStyle w:val="InternetLink"/>
                  <w:rFonts w:ascii="Times New Roman;serif" w:hAnsi="Times New Roman;serif"/>
                  <w:b w:val="false"/>
                  <w:color w:val="0000FF"/>
                  <w:sz w:val="20"/>
                  <w:u w:val="single"/>
                </w:rPr>
                <w:t>Unregistered Sales of Equity Securities and Use of Proceeds</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69bc5e88b0c4f53b7988ab1107efbce_211">
              <w:r>
                <w:rPr>
                  <w:rStyle w:val="InternetLink"/>
                  <w:rFonts w:ascii="Times New Roman;serif" w:hAnsi="Times New Roman;serif"/>
                  <w:b w:val="false"/>
                  <w:color w:val="0000FF"/>
                  <w:sz w:val="20"/>
                  <w:u w:val="single"/>
                </w:rPr>
                <w:t>46</w:t>
              </w:r>
            </w:hyperlink>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9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69bc5e88b0c4f53b7988ab1107efbce_214">
              <w:r>
                <w:rPr>
                  <w:rStyle w:val="InternetLink"/>
                  <w:rFonts w:ascii="Times New Roman;serif" w:hAnsi="Times New Roman;serif"/>
                  <w:b w:val="false"/>
                  <w:color w:val="0000FF"/>
                  <w:sz w:val="20"/>
                  <w:u w:val="single"/>
                </w:rPr>
                <w:t>Item 3.</w:t>
              </w:r>
            </w:hyperlink>
          </w:p>
        </w:tc>
        <w:tc>
          <w:tcPr>
            <w:tcW w:w="57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69bc5e88b0c4f53b7988ab1107efbce_214">
              <w:r>
                <w:rPr>
                  <w:rStyle w:val="InternetLink"/>
                  <w:rFonts w:ascii="Times New Roman;serif" w:hAnsi="Times New Roman;serif"/>
                  <w:b w:val="false"/>
                  <w:color w:val="0000FF"/>
                  <w:sz w:val="20"/>
                  <w:u w:val="single"/>
                </w:rPr>
                <w:t>Defaults Upon Senior Securities</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69bc5e88b0c4f53b7988ab1107efbce_214">
              <w:r>
                <w:rPr>
                  <w:rStyle w:val="InternetLink"/>
                  <w:rFonts w:ascii="Times New Roman;serif" w:hAnsi="Times New Roman;serif"/>
                  <w:b w:val="false"/>
                  <w:color w:val="0000FF"/>
                  <w:sz w:val="20"/>
                  <w:u w:val="single"/>
                </w:rPr>
                <w:t>46</w:t>
              </w:r>
            </w:hyperlink>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9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69bc5e88b0c4f53b7988ab1107efbce_217">
              <w:r>
                <w:rPr>
                  <w:rStyle w:val="InternetLink"/>
                  <w:rFonts w:ascii="Times New Roman;serif" w:hAnsi="Times New Roman;serif"/>
                  <w:b w:val="false"/>
                  <w:color w:val="0000FF"/>
                  <w:sz w:val="20"/>
                  <w:u w:val="single"/>
                </w:rPr>
                <w:t>Item 4.</w:t>
              </w:r>
            </w:hyperlink>
          </w:p>
        </w:tc>
        <w:tc>
          <w:tcPr>
            <w:tcW w:w="57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69bc5e88b0c4f53b7988ab1107efbce_217">
              <w:r>
                <w:rPr>
                  <w:rStyle w:val="InternetLink"/>
                  <w:rFonts w:ascii="Times New Roman;serif" w:hAnsi="Times New Roman;serif"/>
                  <w:b w:val="false"/>
                  <w:color w:val="0000FF"/>
                  <w:sz w:val="20"/>
                  <w:u w:val="single"/>
                </w:rPr>
                <w:t>Mine Safety Disclosures</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69bc5e88b0c4f53b7988ab1107efbce_217">
              <w:r>
                <w:rPr>
                  <w:rStyle w:val="InternetLink"/>
                  <w:rFonts w:ascii="Times New Roman;serif" w:hAnsi="Times New Roman;serif"/>
                  <w:b w:val="false"/>
                  <w:color w:val="0000FF"/>
                  <w:sz w:val="20"/>
                  <w:u w:val="single"/>
                </w:rPr>
                <w:t>46</w:t>
              </w:r>
            </w:hyperlink>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9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69bc5e88b0c4f53b7988ab1107efbce_220">
              <w:r>
                <w:rPr>
                  <w:rStyle w:val="InternetLink"/>
                  <w:rFonts w:ascii="Times New Roman;serif" w:hAnsi="Times New Roman;serif"/>
                  <w:b w:val="false"/>
                  <w:color w:val="0000FF"/>
                  <w:sz w:val="20"/>
                  <w:u w:val="single"/>
                </w:rPr>
                <w:t>Item 5.</w:t>
              </w:r>
            </w:hyperlink>
          </w:p>
        </w:tc>
        <w:tc>
          <w:tcPr>
            <w:tcW w:w="57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69bc5e88b0c4f53b7988ab1107efbce_220">
              <w:r>
                <w:rPr>
                  <w:rStyle w:val="InternetLink"/>
                  <w:rFonts w:ascii="Times New Roman;serif" w:hAnsi="Times New Roman;serif"/>
                  <w:b w:val="false"/>
                  <w:color w:val="0000FF"/>
                  <w:sz w:val="20"/>
                  <w:u w:val="single"/>
                </w:rPr>
                <w:t>Other Information</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69bc5e88b0c4f53b7988ab1107efbce_220">
              <w:r>
                <w:rPr>
                  <w:rStyle w:val="InternetLink"/>
                  <w:rFonts w:ascii="Times New Roman;serif" w:hAnsi="Times New Roman;serif"/>
                  <w:b w:val="false"/>
                  <w:color w:val="0000FF"/>
                  <w:sz w:val="20"/>
                  <w:u w:val="single"/>
                </w:rPr>
                <w:t>46</w:t>
              </w:r>
            </w:hyperlink>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9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69bc5e88b0c4f53b7988ab1107efbce_223">
              <w:r>
                <w:rPr>
                  <w:rStyle w:val="InternetLink"/>
                  <w:rFonts w:ascii="Times New Roman;serif" w:hAnsi="Times New Roman;serif"/>
                  <w:b w:val="false"/>
                  <w:color w:val="0000FF"/>
                  <w:sz w:val="20"/>
                  <w:u w:val="single"/>
                </w:rPr>
                <w:t>Item 6.</w:t>
              </w:r>
            </w:hyperlink>
          </w:p>
        </w:tc>
        <w:tc>
          <w:tcPr>
            <w:tcW w:w="57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69bc5e88b0c4f53b7988ab1107efbce_223">
              <w:r>
                <w:rPr>
                  <w:rStyle w:val="InternetLink"/>
                  <w:rFonts w:ascii="Times New Roman;serif" w:hAnsi="Times New Roman;serif"/>
                  <w:b w:val="false"/>
                  <w:color w:val="0000FF"/>
                  <w:sz w:val="20"/>
                  <w:u w:val="single"/>
                </w:rPr>
                <w:t>Exhibits</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69bc5e88b0c4f53b7988ab1107efbce_223">
              <w:r>
                <w:rPr>
                  <w:rStyle w:val="InternetLink"/>
                  <w:rFonts w:ascii="Times New Roman;serif" w:hAnsi="Times New Roman;serif"/>
                  <w:b w:val="false"/>
                  <w:color w:val="0000FF"/>
                  <w:sz w:val="20"/>
                  <w:u w:val="single"/>
                </w:rPr>
                <w:t>47</w:t>
              </w:r>
            </w:hyperlink>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767" w:type="dxa"/>
            <w:gridSpan w:val="9"/>
            <w:tcBorders/>
            <w:tcMar>
              <w:top w:w="0" w:type="dxa"/>
              <w:left w:w="0" w:type="dxa"/>
              <w:bottom w:w="0" w:type="dxa"/>
              <w:right w:w="0" w:type="dxa"/>
            </w:tcMar>
            <w:vAlign w:val="center"/>
          </w:tcPr>
          <w:p>
            <w:pPr>
              <w:pStyle w:val="TableContents"/>
              <w:bidi w:val="0"/>
              <w:spacing w:lineRule="auto" w:line="240" w:before="0" w:after="0"/>
              <w:jc w:val="left"/>
              <w:rPr/>
            </w:pPr>
            <w:hyperlink w:anchor="ie69bc5e88b0c4f53b7988ab1107efbce_226">
              <w:r>
                <w:rPr>
                  <w:rStyle w:val="InternetLink"/>
                  <w:rFonts w:ascii="Times New Roman;serif" w:hAnsi="Times New Roman;serif"/>
                  <w:b w:val="false"/>
                  <w:color w:val="0000FF"/>
                  <w:sz w:val="20"/>
                  <w:u w:val="single"/>
                </w:rPr>
                <w:t>Signature</w:t>
              </w:r>
            </w:hyperlink>
            <w:r>
              <w:rPr>
                <w:rFonts w:ascii="Times New Roman;serif" w:hAnsi="Times New Roman;serif"/>
                <w:b w:val="false"/>
                <w:color w:val="0033CC"/>
                <w:sz w:val="20"/>
                <w:u w:val="single"/>
              </w:rPr>
              <w:t>s</w:t>
            </w:r>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69bc5e88b0c4f53b7988ab1107efbce_226">
              <w:r>
                <w:rPr>
                  <w:rStyle w:val="InternetLink"/>
                  <w:rFonts w:ascii="Times New Roman;serif" w:hAnsi="Times New Roman;serif"/>
                  <w:b w:val="false"/>
                  <w:color w:val="0000FF"/>
                  <w:sz w:val="20"/>
                  <w:u w:val="single"/>
                </w:rPr>
                <w:t>48</w:t>
              </w:r>
            </w:hyperlink>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0" w:after="0"/>
        <w:jc w:val="left"/>
        <w:rPr/>
      </w:pPr>
      <w:hyperlink w:anchor="ie69bc5e88b0c4f53b7988ab1107efbc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00"/>
        <w:jc w:val="left"/>
        <w:rPr>
          <w:rFonts w:ascii="Times New Roman;serif" w:hAnsi="Times New Roman;serif"/>
          <w:b/>
          <w:color w:val="000000"/>
          <w:sz w:val="20"/>
        </w:rPr>
      </w:pPr>
      <w:r>
        <w:rPr>
          <w:rFonts w:ascii="Times New Roman;serif" w:hAnsi="Times New Roman;serif"/>
          <w:b/>
          <w:color w:val="000000"/>
          <w:sz w:val="20"/>
        </w:rPr>
        <w:t xml:space="preserve">Forward-Looking Statements </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This report may contain forward-looking statements within the meaning of Section 27A of the Securities Act of 1933 and Section 21E of the Securities Exchange Act of 1934 about our financial condition, results of operations and business. These forward-looking statements can be identified by the use of forward-looking words, such as “may,” “could,” “should,” “estimate,” “project,” “forecast,” “intend,” “expect,” “anticipate,” “believe,” “target,” “plan” or other comparable words, or by discussions of strategy that may involve risks and uncertainties.</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 xml:space="preserve">These forward-looking statements are subject to numerous assumptions, risks and uncertainties which could materially affect our business, financial condition or future results including, but not limited to: general economic and currency conditions; competitive factors; market demand; our ability to realize our business strategies; government and regulatory actions, including, without limitation, the impact of current and future tariffs and reciprocal tariffs, quotas and surcharges, as well as climate change legislation and other environmental regulations; our ability to identify attractive acquisition candidates, successfully integrate acquired operations or realize the intended benefits of such acquisitions; pressures on our supply chain, including availability of raw materials and inflationary pressures on raw material and energy costs, and customers; the performance of our subcontractors and suppliers; risks and uncertainties associated with intangible assets, including goodwill or other intangible asset impairment charges; risks associated with a concentrated customer base; information technology and other cyber-related risks; risks related to our international operations, including, but not limited to, risks relating to tensions between the United States and China; changes to fiscal and tax policies; intellectual property factors; uncertainties associated with our ability to meet customers’ and suppliers’ sustainability and environmental, social and governance ("ESG") goals and achieve our sustainability and ESG goals in alignment with our own announced targets; litigation; contingent liabilities relating to acquisition and disposition activities; interest rate volatility; our leverage; liabilities imposed by our debt instruments; labor disputes and shortages; the disruption of operations from catastrophic or extraordinary events, including, but not limited to, natural disasters, geopolitical conflicts and public health crises; the amount and timing of future dividends and/or share repurchases, which remain subject to Board approval and depend on market and other conditions; our future prospects; and other risks that are discussed in Part I, Item 1A, "Risk Factors," in our Annual Report on Form 10-K for the year ended December 31, 2024, Part II, Item 1A, "Risk Factors," in our subsequent Quarterly Reports on Form 10-Q and elsewhere in this report. The risks described in our Annual Report on Form 10-K and elsewhere in this report are not the only risks facing our Company. Additional risks and uncertainties not currently known to us or that we currently deemed to be immaterial also may materially adversely affect our business, financial position and results of operations or cash flows. </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 xml:space="preserve">The cautionary statements set forth above should be considered in connection with any subsequent written or oral forward-looking statements that we or persons acting on our behalf may issue. We caution readers not to place undue reliance on the statements, which speak only as of the date of this report. We do not undertake any obligation to review or confirm analysts' expectations or estimates or to release publicly any revisions to any forward-looking statement to reflect events or circumstances after the date of this report or to reflect the occurrence of unanticipated events, except as required by law. </w:t>
      </w:r>
    </w:p>
    <w:p>
      <w:pPr>
        <w:pStyle w:val="TextBody"/>
        <w:bidi w:val="0"/>
        <w:spacing w:lineRule="auto" w:line="288" w:before="160" w:after="160"/>
        <w:jc w:val="both"/>
        <w:rPr/>
      </w:pPr>
      <w:r>
        <w:rPr>
          <w:rFonts w:ascii="Times New Roman;serif" w:hAnsi="Times New Roman;serif"/>
          <w:b w:val="false"/>
          <w:color w:val="000000"/>
          <w:sz w:val="20"/>
        </w:rPr>
        <w:t xml:space="preserve">We disclose important factors that could cause our actual results to differ materially from our expectations implied by our forward-looking statements under Part II, Item 7, </w:t>
      </w:r>
      <w:r>
        <w:rPr>
          <w:rFonts w:ascii="Times New Roman;serif" w:hAnsi="Times New Roman;serif"/>
          <w:b w:val="false"/>
          <w:i/>
          <w:color w:val="000000"/>
          <w:sz w:val="20"/>
        </w:rPr>
        <w:t>"Management's Discussion and Analysis of Financial Condition and Results of Operations,"</w:t>
      </w:r>
      <w:r>
        <w:rPr>
          <w:color w:val="000000"/>
        </w:rPr>
        <w:t xml:space="preserve"> </w:t>
      </w:r>
      <w:r>
        <w:rPr>
          <w:rFonts w:ascii="Times New Roman;serif" w:hAnsi="Times New Roman;serif"/>
          <w:b w:val="false"/>
          <w:color w:val="000000"/>
          <w:sz w:val="20"/>
        </w:rPr>
        <w:t>in our Annual Report on Form 10-K for the year ended December 31, 2024 and elsewhere in this report. These cautionary statements qualify all forward-looking statements attributed to us or persons acting on our behalf. When we indicate that an event, condition or circumstance could or would have an adverse effect on us, we mean to include effects upon our business, financial and other conditions, results of operations, prospects and ability to service our debt.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e69bc5e88b0c4f53b7988ab1107efbc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PART I. FINANCIAL INFORMATION </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00"/>
        <w:jc w:val="left"/>
        <w:rPr>
          <w:rFonts w:ascii="Times New Roman;serif" w:hAnsi="Times New Roman;serif"/>
          <w:b/>
          <w:color w:val="000000"/>
          <w:sz w:val="20"/>
        </w:rPr>
      </w:pPr>
      <w:r>
        <w:rPr>
          <w:rFonts w:ascii="Times New Roman;serif" w:hAnsi="Times New Roman;serif"/>
          <w:b/>
          <w:color w:val="000000"/>
          <w:sz w:val="20"/>
        </w:rPr>
        <w:t xml:space="preserve">Item 1.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TriMas Corporation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Consolidated Balance Sheet </w:t>
      </w:r>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 xml:space="preserve">(Dollars in thousands) </w:t>
      </w:r>
    </w:p>
    <w:tbl>
      <w:tblPr>
        <w:tblW w:w="10205" w:type="dxa"/>
        <w:jc w:val="center"/>
        <w:tblInd w:w="0" w:type="dxa"/>
        <w:tblLayout w:type="fixed"/>
        <w:tblCellMar>
          <w:top w:w="28" w:type="dxa"/>
          <w:left w:w="28" w:type="dxa"/>
          <w:bottom w:w="28" w:type="dxa"/>
          <w:right w:w="28" w:type="dxa"/>
        </w:tblCellMar>
      </w:tblPr>
      <w:tblGrid>
        <w:gridCol w:w="2527"/>
        <w:gridCol w:w="2110"/>
        <w:gridCol w:w="2087"/>
        <w:gridCol w:w="109"/>
        <w:gridCol w:w="109"/>
        <w:gridCol w:w="109"/>
        <w:gridCol w:w="241"/>
        <w:gridCol w:w="1118"/>
        <w:gridCol w:w="124"/>
        <w:gridCol w:w="109"/>
        <w:gridCol w:w="109"/>
        <w:gridCol w:w="109"/>
        <w:gridCol w:w="211"/>
        <w:gridCol w:w="976"/>
        <w:gridCol w:w="157"/>
      </w:tblGrid>
      <w:tr>
        <w:trPr/>
        <w:tc>
          <w:tcPr>
            <w:tcW w:w="2527" w:type="dxa"/>
            <w:tcBorders/>
            <w:vAlign w:val="center"/>
          </w:tcPr>
          <w:p>
            <w:pPr>
              <w:pStyle w:val="TableContents"/>
              <w:bidi w:val="0"/>
              <w:spacing w:before="0" w:after="283"/>
              <w:jc w:val="left"/>
              <w:rPr>
                <w:sz w:val="4"/>
                <w:szCs w:val="4"/>
              </w:rPr>
            </w:pPr>
            <w:r>
              <w:rPr>
                <w:sz w:val="4"/>
                <w:szCs w:val="4"/>
              </w:rPr>
            </w:r>
          </w:p>
        </w:tc>
        <w:tc>
          <w:tcPr>
            <w:tcW w:w="2110" w:type="dxa"/>
            <w:tcBorders/>
            <w:vAlign w:val="center"/>
          </w:tcPr>
          <w:p>
            <w:pPr>
              <w:pStyle w:val="TableContents"/>
              <w:bidi w:val="0"/>
              <w:spacing w:before="0" w:after="283"/>
              <w:jc w:val="left"/>
              <w:rPr>
                <w:sz w:val="4"/>
                <w:szCs w:val="4"/>
              </w:rPr>
            </w:pPr>
            <w:r>
              <w:rPr>
                <w:sz w:val="4"/>
                <w:szCs w:val="4"/>
              </w:rPr>
            </w:r>
          </w:p>
        </w:tc>
        <w:tc>
          <w:tcPr>
            <w:tcW w:w="20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w:t>
              <w:br/>
              <w:t>2024</w:t>
            </w:r>
          </w:p>
        </w:tc>
      </w:tr>
      <w:tr>
        <w:trPr/>
        <w:tc>
          <w:tcPr>
            <w:tcW w:w="6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(unaudited)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33,640 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23,070 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Receivables, net of reserves of $2.3 million and $3.2 million as of September 30, 2025 and December 31, 2024,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192,060 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164,820 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227,210 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209,190 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30,260 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29,560 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483,170 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426,640 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340,540 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318,650 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43,340 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40,480 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387,030 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356,360 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intangibles,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158,330 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161,080 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9,300 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10,760 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12,170 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10,210 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1,433,880 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1,324,180 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Liabilities and Shareholders'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jc w:val="left"/>
              <w:rPr>
                <w:sz w:val="4"/>
                <w:szCs w:val="4"/>
              </w:rPr>
            </w:pPr>
            <w:r>
              <w:rPr>
                <w:sz w:val="4"/>
                <w:szCs w:val="4"/>
              </w:rPr>
            </w:r>
          </w:p>
        </w:tc>
      </w:tr>
      <w:tr>
        <w:trPr/>
        <w:tc>
          <w:tcPr>
            <w:tcW w:w="6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90,350 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91,050 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80,100 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60,340 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 liabilities, current portion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9,640 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8,040 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180,090 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159,430 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407,070 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398,120 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jc w:val="left"/>
              <w:rPr>
                <w:sz w:val="4"/>
                <w:szCs w:val="4"/>
              </w:rPr>
            </w:pPr>
            <w:r>
              <w:rPr>
                <w:sz w:val="4"/>
                <w:szCs w:val="4"/>
              </w:rPr>
            </w:r>
          </w:p>
        </w:tc>
      </w:tr>
      <w:tr>
        <w:trPr/>
        <w:tc>
          <w:tcPr>
            <w:tcW w:w="6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38,220 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36,680 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21,200 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20,110 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62,260 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42,540 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708,840 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656,880 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Preferred stock, $0.01 par: Authorized 100,000,000 shares; </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Issued and outstanding: None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Common stock, $0.01 par: Authorized 400,000,000 shares;</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Issued and outstanding: 40,642,475 shares at September 30, 2025 and 40,574,847 shares at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Paid-in 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668,050 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663,770 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Retained earnings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55,070 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21,670 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1,510 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(18,550)</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shareholders'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725,040 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667,300 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shareholders'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1,433,880 </w:t>
            </w:r>
          </w:p>
        </w:tc>
        <w:tc>
          <w:tcPr>
            <w:tcW w:w="1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1,324,180 </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00"/>
        <w:jc w:val="center"/>
        <w:rPr/>
      </w:pPr>
      <w:r>
        <w:rPr/>
      </w:r>
    </w:p>
    <w:p>
      <w:pPr>
        <w:pStyle w:val="TextBody"/>
        <w:bidi w:val="0"/>
        <w:spacing w:before="100" w:after="100"/>
        <w:jc w:val="center"/>
        <w:rPr/>
      </w:pPr>
      <w:r>
        <w:rPr/>
      </w:r>
    </w:p>
    <w:p>
      <w:pPr>
        <w:pStyle w:val="TextBody"/>
        <w:bidi w:val="0"/>
        <w:spacing w:lineRule="auto" w:line="288" w:before="100" w:after="100"/>
        <w:jc w:val="center"/>
        <w:rPr>
          <w:rFonts w:ascii="Times New Roman;serif" w:hAnsi="Times New Roman;serif"/>
          <w:b w:val="false"/>
          <w:color w:val="000000"/>
          <w:sz w:val="20"/>
        </w:rPr>
      </w:pPr>
      <w:r>
        <w:rPr>
          <w:rFonts w:ascii="Times New Roman;serif" w:hAnsi="Times New Roman;serif"/>
          <w:b w:val="false"/>
          <w:color w:val="000000"/>
          <w:sz w:val="20"/>
        </w:rPr>
        <w:t xml:space="preserve">The accompanying notes are an integral part of these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e69bc5e88b0c4f53b7988ab1107efbc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TriMas Corporation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 of Income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(Unaudited—dollars in thousands, except for per share amounts) </w:t>
      </w:r>
    </w:p>
    <w:tbl>
      <w:tblPr>
        <w:tblW w:w="9848" w:type="dxa"/>
        <w:jc w:val="left"/>
        <w:tblInd w:w="0" w:type="dxa"/>
        <w:tblLayout w:type="fixed"/>
        <w:tblCellMar>
          <w:top w:w="28" w:type="dxa"/>
          <w:left w:w="28" w:type="dxa"/>
          <w:bottom w:w="28" w:type="dxa"/>
          <w:right w:w="28" w:type="dxa"/>
        </w:tblCellMar>
      </w:tblPr>
      <w:tblGrid>
        <w:gridCol w:w="1600"/>
        <w:gridCol w:w="1059"/>
        <w:gridCol w:w="1076"/>
        <w:gridCol w:w="109"/>
        <w:gridCol w:w="109"/>
        <w:gridCol w:w="109"/>
        <w:gridCol w:w="219"/>
        <w:gridCol w:w="862"/>
        <w:gridCol w:w="109"/>
        <w:gridCol w:w="109"/>
        <w:gridCol w:w="109"/>
        <w:gridCol w:w="109"/>
        <w:gridCol w:w="219"/>
        <w:gridCol w:w="862"/>
        <w:gridCol w:w="109"/>
        <w:gridCol w:w="109"/>
        <w:gridCol w:w="109"/>
        <w:gridCol w:w="109"/>
        <w:gridCol w:w="219"/>
        <w:gridCol w:w="862"/>
        <w:gridCol w:w="109"/>
        <w:gridCol w:w="109"/>
        <w:gridCol w:w="109"/>
        <w:gridCol w:w="109"/>
        <w:gridCol w:w="219"/>
        <w:gridCol w:w="862"/>
        <w:gridCol w:w="154"/>
      </w:tblGrid>
      <w:tr>
        <w:trPr/>
        <w:tc>
          <w:tcPr>
            <w:tcW w:w="1600"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Three months ended </w:t>
              <w:br/>
              <w:t xml:space="preserve">September 30,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Nine months ended </w:t>
              <w:br/>
              <w:t xml:space="preserve">September 30, </w:t>
            </w:r>
          </w:p>
        </w:tc>
      </w:tr>
      <w:tr>
        <w:trPr/>
        <w:tc>
          <w:tcPr>
            <w:tcW w:w="37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269,260 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229,360 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785,690 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696,960 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(203,350)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(177,660)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(593,030)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(538,540)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65,910 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192,660 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158,420 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(124,250)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(115,380)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Asbestos-related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(5,510)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gain (loss) on dispositions of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5" w:type="dxa"/>
            <w:gridSpan w:val="3"/>
            <w:tcBorders/>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65,500 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38,570 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(15,010)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5" w:type="dxa"/>
            <w:gridSpan w:val="3"/>
            <w:tcBorders/>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(13,870)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(15,320)</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51,630 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23,250 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5" w:type="dxa"/>
            <w:gridSpan w:val="3"/>
            <w:tcBorders/>
            <w:vAlign w:val="center"/>
          </w:tcPr>
          <w:p>
            <w:pPr>
              <w:pStyle w:val="TableContents"/>
              <w:bidi w:val="0"/>
              <w:spacing w:before="0" w:after="283"/>
              <w:jc w:val="left"/>
              <w:rPr>
                <w:sz w:val="4"/>
                <w:szCs w:val="4"/>
              </w:rPr>
            </w:pPr>
            <w:r>
              <w:rPr>
                <w:sz w:val="4"/>
                <w:szCs w:val="4"/>
              </w:rPr>
            </w:r>
          </w:p>
        </w:tc>
      </w:tr>
      <w:tr>
        <w:trPr/>
        <w:tc>
          <w:tcPr>
            <w:tcW w:w="37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5" w:type="dxa"/>
            <w:gridSpan w:val="3"/>
            <w:tcBorders/>
            <w:vAlign w:val="center"/>
          </w:tcPr>
          <w:p>
            <w:pPr>
              <w:pStyle w:val="TableContents"/>
              <w:bidi w:val="0"/>
              <w:spacing w:before="0" w:after="283"/>
              <w:jc w:val="left"/>
              <w:rPr>
                <w:sz w:val="4"/>
                <w:szCs w:val="4"/>
              </w:rPr>
            </w:pPr>
            <w:r>
              <w:rPr>
                <w:sz w:val="4"/>
                <w:szCs w:val="4"/>
              </w:rPr>
            </w:r>
          </w:p>
        </w:tc>
      </w:tr>
      <w:tr>
        <w:trPr/>
        <w:tc>
          <w:tcPr>
            <w:tcW w:w="37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5" w:type="dxa"/>
            <w:gridSpan w:val="3"/>
            <w:tcBorders/>
            <w:vAlign w:val="center"/>
          </w:tcPr>
          <w:p>
            <w:pPr>
              <w:pStyle w:val="TableContents"/>
              <w:bidi w:val="0"/>
              <w:spacing w:before="0" w:after="283"/>
              <w:jc w:val="left"/>
              <w:rPr>
                <w:sz w:val="4"/>
                <w:szCs w:val="4"/>
              </w:rPr>
            </w:pPr>
            <w:r>
              <w:rPr>
                <w:sz w:val="4"/>
                <w:szCs w:val="4"/>
              </w:rPr>
            </w:r>
          </w:p>
        </w:tc>
      </w:tr>
      <w:tr>
        <w:trPr/>
        <w:tc>
          <w:tcPr>
            <w:tcW w:w="37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5" w:type="dxa"/>
            <w:gridSpan w:val="3"/>
            <w:tcBorders/>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18,610 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Basic earnings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5" w:type="dxa"/>
            <w:gridSpan w:val="3"/>
            <w:tcBorders/>
            <w:vAlign w:val="center"/>
          </w:tcPr>
          <w:p>
            <w:pPr>
              <w:pStyle w:val="TableContents"/>
              <w:bidi w:val="0"/>
              <w:spacing w:before="0" w:after="283"/>
              <w:jc w:val="left"/>
              <w:rPr>
                <w:sz w:val="4"/>
                <w:szCs w:val="4"/>
              </w:rPr>
            </w:pPr>
            <w:r>
              <w:rPr>
                <w:sz w:val="4"/>
                <w:szCs w:val="4"/>
              </w:rPr>
            </w:r>
          </w:p>
        </w:tc>
      </w:tr>
      <w:tr>
        <w:trPr/>
        <w:tc>
          <w:tcPr>
            <w:tcW w:w="37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5" w:type="dxa"/>
            <w:gridSpan w:val="3"/>
            <w:tcBorders/>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common shares—basic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40,650,933 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40,612,413 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40,634,527 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40,776,583 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Diluted earnings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5" w:type="dxa"/>
            <w:gridSpan w:val="3"/>
            <w:tcBorders/>
            <w:vAlign w:val="center"/>
          </w:tcPr>
          <w:p>
            <w:pPr>
              <w:pStyle w:val="TableContents"/>
              <w:bidi w:val="0"/>
              <w:spacing w:before="0" w:after="283"/>
              <w:jc w:val="left"/>
              <w:rPr>
                <w:sz w:val="4"/>
                <w:szCs w:val="4"/>
              </w:rPr>
            </w:pPr>
            <w:r>
              <w:rPr>
                <w:sz w:val="4"/>
                <w:szCs w:val="4"/>
              </w:rPr>
            </w:r>
          </w:p>
        </w:tc>
      </w:tr>
      <w:tr>
        <w:trPr/>
        <w:tc>
          <w:tcPr>
            <w:tcW w:w="37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5" w:type="dxa"/>
            <w:gridSpan w:val="3"/>
            <w:tcBorders/>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common shares—diluted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41,113,322 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40,946,571 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41,004,160 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41,089,208 </w:t>
            </w:r>
          </w:p>
        </w:tc>
        <w:tc>
          <w:tcPr>
            <w:tcW w:w="15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00"/>
        <w:jc w:val="center"/>
        <w:rPr/>
      </w:pPr>
      <w:r>
        <w:rPr/>
      </w:r>
    </w:p>
    <w:p>
      <w:pPr>
        <w:pStyle w:val="TextBody"/>
        <w:bidi w:val="0"/>
        <w:spacing w:before="100" w:after="100"/>
        <w:jc w:val="center"/>
        <w:rPr/>
      </w:pPr>
      <w:r>
        <w:rPr/>
      </w:r>
    </w:p>
    <w:p>
      <w:pPr>
        <w:pStyle w:val="TextBody"/>
        <w:bidi w:val="0"/>
        <w:spacing w:lineRule="auto" w:line="288" w:before="100" w:after="100"/>
        <w:jc w:val="center"/>
        <w:rPr>
          <w:rFonts w:ascii="Times New Roman;serif" w:hAnsi="Times New Roman;serif"/>
          <w:b w:val="false"/>
          <w:color w:val="000000"/>
          <w:sz w:val="20"/>
        </w:rPr>
      </w:pPr>
      <w:r>
        <w:rPr>
          <w:rFonts w:ascii="Times New Roman;serif" w:hAnsi="Times New Roman;serif"/>
          <w:b w:val="false"/>
          <w:color w:val="000000"/>
          <w:sz w:val="20"/>
        </w:rPr>
        <w:t xml:space="preserve">The accompanying notes are an integral part of these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e69bc5e88b0c4f53b7988ab1107efbc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TriMas Corporation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 of Comprehensive Income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(Unaudited—dollars in thousands)</w:t>
      </w:r>
    </w:p>
    <w:tbl>
      <w:tblPr>
        <w:tblW w:w="8726" w:type="dxa"/>
        <w:jc w:val="left"/>
        <w:tblInd w:w="0" w:type="dxa"/>
        <w:tblLayout w:type="fixed"/>
        <w:tblCellMar>
          <w:top w:w="28" w:type="dxa"/>
          <w:left w:w="28" w:type="dxa"/>
          <w:bottom w:w="28" w:type="dxa"/>
          <w:right w:w="28" w:type="dxa"/>
        </w:tblCellMar>
      </w:tblPr>
      <w:tblGrid>
        <w:gridCol w:w="1237"/>
        <w:gridCol w:w="1085"/>
        <w:gridCol w:w="1097"/>
        <w:gridCol w:w="109"/>
        <w:gridCol w:w="109"/>
        <w:gridCol w:w="109"/>
        <w:gridCol w:w="211"/>
        <w:gridCol w:w="616"/>
        <w:gridCol w:w="109"/>
        <w:gridCol w:w="109"/>
        <w:gridCol w:w="109"/>
        <w:gridCol w:w="109"/>
        <w:gridCol w:w="211"/>
        <w:gridCol w:w="616"/>
        <w:gridCol w:w="109"/>
        <w:gridCol w:w="109"/>
        <w:gridCol w:w="109"/>
        <w:gridCol w:w="109"/>
        <w:gridCol w:w="211"/>
        <w:gridCol w:w="721"/>
        <w:gridCol w:w="109"/>
        <w:gridCol w:w="109"/>
        <w:gridCol w:w="109"/>
        <w:gridCol w:w="109"/>
        <w:gridCol w:w="211"/>
        <w:gridCol w:w="721"/>
        <w:gridCol w:w="154"/>
      </w:tblGrid>
      <w:tr>
        <w:trPr/>
        <w:tc>
          <w:tcPr>
            <w:tcW w:w="1237"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Three months ended </w:t>
              <w:br/>
              <w:t xml:space="preserve">September 30,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Nine months ended </w:t>
              <w:br/>
              <w:t xml:space="preserve">September 30, </w:t>
            </w:r>
          </w:p>
        </w:tc>
      </w:tr>
      <w:tr>
        <w:trPr/>
        <w:tc>
          <w:tcPr>
            <w:tcW w:w="3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3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18,610 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comprehensive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Defined benefit plans (Note 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 instruments (Note 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comprehensive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(990)</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comprehensive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8,190 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9,330 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58,500 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17,620 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6"/>
        <w:jc w:val="center"/>
        <w:rPr/>
      </w:pPr>
      <w:r>
        <w:rPr/>
      </w:r>
    </w:p>
    <w:p>
      <w:pPr>
        <w:pStyle w:val="TextBody"/>
        <w:bidi w:val="0"/>
        <w:spacing w:before="100" w:after="6"/>
        <w:jc w:val="center"/>
        <w:rPr/>
      </w:pPr>
      <w:r>
        <w:rPr/>
      </w:r>
    </w:p>
    <w:p>
      <w:pPr>
        <w:pStyle w:val="TextBody"/>
        <w:bidi w:val="0"/>
        <w:spacing w:lineRule="auto" w:line="288" w:before="100" w:after="6"/>
        <w:jc w:val="center"/>
        <w:rPr>
          <w:rFonts w:ascii="Times New Roman;serif" w:hAnsi="Times New Roman;serif"/>
          <w:b w:val="false"/>
          <w:color w:val="000000"/>
          <w:sz w:val="20"/>
        </w:rPr>
      </w:pPr>
      <w:r>
        <w:rPr>
          <w:rFonts w:ascii="Times New Roman;serif" w:hAnsi="Times New Roman;serif"/>
          <w:b w:val="false"/>
          <w:color w:val="000000"/>
          <w:sz w:val="20"/>
        </w:rPr>
        <w:t xml:space="preserve">The accompanying notes are an integral part of these consolidated financial statements. </w:t>
      </w:r>
    </w:p>
    <w:p>
      <w:pPr>
        <w:pStyle w:val="TextBody"/>
        <w:bidi w:val="0"/>
        <w:spacing w:before="0" w:after="0"/>
        <w:jc w:val="center"/>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e69bc5e88b0c4f53b7988ab1107efbc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TriMas Corporation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Consolidated Statement of Cash Flows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(Unaudited—dollars in thousands)</w:t>
      </w:r>
    </w:p>
    <w:tbl>
      <w:tblPr>
        <w:tblW w:w="10205" w:type="dxa"/>
        <w:jc w:val="center"/>
        <w:tblInd w:w="0" w:type="dxa"/>
        <w:tblLayout w:type="fixed"/>
        <w:tblCellMar>
          <w:top w:w="28" w:type="dxa"/>
          <w:left w:w="28" w:type="dxa"/>
          <w:bottom w:w="28" w:type="dxa"/>
          <w:right w:w="28" w:type="dxa"/>
        </w:tblCellMar>
      </w:tblPr>
      <w:tblGrid>
        <w:gridCol w:w="2577"/>
        <w:gridCol w:w="2246"/>
        <w:gridCol w:w="2255"/>
        <w:gridCol w:w="109"/>
        <w:gridCol w:w="109"/>
        <w:gridCol w:w="109"/>
        <w:gridCol w:w="240"/>
        <w:gridCol w:w="823"/>
        <w:gridCol w:w="123"/>
        <w:gridCol w:w="123"/>
        <w:gridCol w:w="123"/>
        <w:gridCol w:w="123"/>
        <w:gridCol w:w="240"/>
        <w:gridCol w:w="823"/>
        <w:gridCol w:w="182"/>
      </w:tblGrid>
      <w:tr>
        <w:trPr/>
        <w:tc>
          <w:tcPr>
            <w:tcW w:w="2577" w:type="dxa"/>
            <w:tcBorders/>
            <w:vAlign w:val="center"/>
          </w:tcPr>
          <w:p>
            <w:pPr>
              <w:pStyle w:val="TableContents"/>
              <w:bidi w:val="0"/>
              <w:spacing w:before="0" w:after="283"/>
              <w:jc w:val="left"/>
              <w:rPr>
                <w:sz w:val="4"/>
                <w:szCs w:val="4"/>
              </w:rPr>
            </w:pPr>
            <w:r>
              <w:rPr>
                <w:sz w:val="4"/>
                <w:szCs w:val="4"/>
              </w:rPr>
            </w:r>
          </w:p>
        </w:tc>
        <w:tc>
          <w:tcPr>
            <w:tcW w:w="2246" w:type="dxa"/>
            <w:tcBorders/>
            <w:vAlign w:val="center"/>
          </w:tcPr>
          <w:p>
            <w:pPr>
              <w:pStyle w:val="TableContents"/>
              <w:bidi w:val="0"/>
              <w:spacing w:before="0" w:after="283"/>
              <w:jc w:val="left"/>
              <w:rPr>
                <w:sz w:val="4"/>
                <w:szCs w:val="4"/>
              </w:rPr>
            </w:pPr>
            <w:r>
              <w:rPr>
                <w:sz w:val="4"/>
                <w:szCs w:val="4"/>
              </w:rPr>
            </w:r>
          </w:p>
        </w:tc>
        <w:tc>
          <w:tcPr>
            <w:tcW w:w="22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70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Nine months ended September 30, </w:t>
            </w:r>
          </w:p>
        </w:tc>
      </w:tr>
      <w:tr>
        <w:trPr/>
        <w:tc>
          <w:tcPr>
            <w:tcW w:w="70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70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38,440 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18,610 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r>
      <w:tr>
        <w:trPr/>
        <w:tc>
          <w:tcPr>
            <w:tcW w:w="70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r>
      <w:tr>
        <w:trPr/>
        <w:tc>
          <w:tcPr>
            <w:tcW w:w="70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to reconcile net income to net cash provided by operating activities, net of acquisition impact: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r>
      <w:tr>
        <w:trPr/>
        <w:tc>
          <w:tcPr>
            <w:tcW w:w="70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on dispositions of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(5,120)</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(1,040)</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29,770 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29,940 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12,940 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12,640 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debt issue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710 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720 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4,140 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3,540 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Non-cash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8,300 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8,050 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losses on accounts receivable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(930)</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asbestos liability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8,030 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5,510 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r>
      <w:tr>
        <w:trPr/>
        <w:tc>
          <w:tcPr>
            <w:tcW w:w="70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environmental liability estimate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2,490 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r>
      <w:tr>
        <w:trPr/>
        <w:tc>
          <w:tcPr>
            <w:tcW w:w="70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Increase in receivables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(18,280)</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(15,910)</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Increase in inventories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(8,390)</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(23,050)</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(Increase) decrease in prepaid expenses and 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8,250 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(4,570)</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Increase (decrease) in accounts payable and accrued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3,340 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(7,020)</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(5,270)</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6,500 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r>
      <w:tr>
        <w:trPr/>
        <w:tc>
          <w:tcPr>
            <w:tcW w:w="70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r>
      <w:tr>
        <w:trPr/>
        <w:tc>
          <w:tcPr>
            <w:tcW w:w="70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operating activities, net of acquisition impact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75,930 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36,700 </w:t>
            </w:r>
          </w:p>
        </w:tc>
        <w:tc>
          <w:tcPr>
            <w:tcW w:w="1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Capital expenditures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(43,650)</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(35,980)</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Acquisition of business, net of cash acquired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(37,730)</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Cross-currency swap terminations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(3,760)</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Settlement of foreign currency exchange forward contract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3,760 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proceeds from disposition of business, property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21,780 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4,100 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r>
      <w:tr>
        <w:trPr/>
        <w:tc>
          <w:tcPr>
            <w:tcW w:w="70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r>
      <w:tr>
        <w:trPr/>
        <w:tc>
          <w:tcPr>
            <w:tcW w:w="70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for 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(59,600)</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(31,880)</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r>
      <w:tr>
        <w:trPr/>
        <w:tc>
          <w:tcPr>
            <w:tcW w:w="70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r>
      <w:tr>
        <w:trPr/>
        <w:tc>
          <w:tcPr>
            <w:tcW w:w="70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r>
      <w:tr>
        <w:trPr/>
        <w:tc>
          <w:tcPr>
            <w:tcW w:w="70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r>
      <w:tr>
        <w:trPr/>
        <w:tc>
          <w:tcPr>
            <w:tcW w:w="70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borrowings on revolving credit facilities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169,300 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248,730 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Repayments of borrowings on revolving credit facilities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(164,770)</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(235,380)</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r>
      <w:tr>
        <w:trPr/>
        <w:tc>
          <w:tcPr>
            <w:tcW w:w="70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Debt financing fees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(1,260)</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r>
      <w:tr>
        <w:trPr/>
        <w:tc>
          <w:tcPr>
            <w:tcW w:w="70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r>
      <w:tr>
        <w:trPr/>
        <w:tc>
          <w:tcPr>
            <w:tcW w:w="70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r>
      <w:tr>
        <w:trPr/>
        <w:tc>
          <w:tcPr>
            <w:tcW w:w="70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Payments to purchase 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(2,260)</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(19,270)</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Shares surrendered upon exercise and vesting of equity awards to cover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(1,850)</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(1,620)</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r>
      <w:tr>
        <w:trPr/>
        <w:tc>
          <w:tcPr>
            <w:tcW w:w="70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Dividends paid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(4,950)</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(4,980)</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r>
      <w:tr>
        <w:trPr/>
        <w:tc>
          <w:tcPr>
            <w:tcW w:w="70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r>
      <w:tr>
        <w:trPr/>
        <w:tc>
          <w:tcPr>
            <w:tcW w:w="70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for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(5,760)</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(12,800)</w:t>
            </w:r>
          </w:p>
        </w:tc>
        <w:tc>
          <w:tcPr>
            <w:tcW w:w="1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Increase (decrease) for the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10,570 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(7,980)</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At 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23,070 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34,890 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At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33,640 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26,910 </w:t>
            </w:r>
          </w:p>
        </w:tc>
        <w:tc>
          <w:tcPr>
            <w:tcW w:w="1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Supplemental disclosure of cash flow information: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paid for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9,920 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9,860 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paid for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3"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11,290 </w:t>
            </w:r>
          </w:p>
        </w:tc>
        <w:tc>
          <w:tcPr>
            <w:tcW w:w="123"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3"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9,080 </w:t>
            </w:r>
          </w:p>
        </w:tc>
        <w:tc>
          <w:tcPr>
            <w:tcW w:w="182"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center"/>
        <w:rPr>
          <w:color w:val="000000"/>
        </w:rPr>
      </w:pPr>
      <w:r>
        <w:rPr>
          <w:color w:val="000000"/>
        </w:rPr>
        <w:t>        </w:t>
      </w:r>
    </w:p>
    <w:p>
      <w:pPr>
        <w:pStyle w:val="TextBody"/>
        <w:bidi w:val="0"/>
        <w:spacing w:before="0" w:after="100"/>
        <w:jc w:val="center"/>
        <w:rPr/>
      </w:pPr>
      <w:r>
        <w:rPr/>
      </w:r>
    </w:p>
    <w:p>
      <w:pPr>
        <w:pStyle w:val="TextBody"/>
        <w:bidi w:val="0"/>
        <w:spacing w:lineRule="auto" w:line="288" w:before="100" w:after="100"/>
        <w:jc w:val="center"/>
        <w:rPr>
          <w:rFonts w:ascii="Times New Roman;serif" w:hAnsi="Times New Roman;serif"/>
          <w:b w:val="false"/>
          <w:color w:val="000000"/>
          <w:sz w:val="20"/>
        </w:rPr>
      </w:pPr>
      <w:r>
        <w:rPr>
          <w:rFonts w:ascii="Times New Roman;serif" w:hAnsi="Times New Roman;serif"/>
          <w:b w:val="false"/>
          <w:color w:val="000000"/>
          <w:sz w:val="20"/>
        </w:rPr>
        <w:t xml:space="preserve">The accompanying notes are an integral part of these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e69bc5e88b0c4f53b7988ab1107efbc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TriMas Corporation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Consolidated Statement of Shareholders' Equity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Nine Months Ended September 30, 2025 and 2024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(Unaudited—dollars in thousands) </w:t>
      </w:r>
    </w:p>
    <w:tbl>
      <w:tblPr>
        <w:tblW w:w="10205" w:type="dxa"/>
        <w:jc w:val="center"/>
        <w:tblInd w:w="0" w:type="dxa"/>
        <w:tblLayout w:type="fixed"/>
        <w:tblCellMar>
          <w:top w:w="28" w:type="dxa"/>
          <w:left w:w="28" w:type="dxa"/>
          <w:bottom w:w="28" w:type="dxa"/>
          <w:right w:w="28" w:type="dxa"/>
        </w:tblCellMar>
      </w:tblPr>
      <w:tblGrid>
        <w:gridCol w:w="1248"/>
        <w:gridCol w:w="826"/>
        <w:gridCol w:w="828"/>
        <w:gridCol w:w="109"/>
        <w:gridCol w:w="109"/>
        <w:gridCol w:w="109"/>
        <w:gridCol w:w="221"/>
        <w:gridCol w:w="489"/>
        <w:gridCol w:w="116"/>
        <w:gridCol w:w="109"/>
        <w:gridCol w:w="109"/>
        <w:gridCol w:w="109"/>
        <w:gridCol w:w="211"/>
        <w:gridCol w:w="826"/>
        <w:gridCol w:w="109"/>
        <w:gridCol w:w="109"/>
        <w:gridCol w:w="109"/>
        <w:gridCol w:w="109"/>
        <w:gridCol w:w="242"/>
        <w:gridCol w:w="829"/>
        <w:gridCol w:w="125"/>
        <w:gridCol w:w="109"/>
        <w:gridCol w:w="109"/>
        <w:gridCol w:w="109"/>
        <w:gridCol w:w="260"/>
        <w:gridCol w:w="910"/>
        <w:gridCol w:w="136"/>
        <w:gridCol w:w="109"/>
        <w:gridCol w:w="109"/>
        <w:gridCol w:w="109"/>
        <w:gridCol w:w="211"/>
        <w:gridCol w:w="826"/>
        <w:gridCol w:w="157"/>
      </w:tblGrid>
      <w:tr>
        <w:trPr/>
        <w:tc>
          <w:tcPr>
            <w:tcW w:w="1248"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9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Common</w:t>
              <w:br/>
              <w:t xml:space="preserve">Stock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Paid-in</w:t>
              <w:br/>
              <w:t xml:space="preserve">Capital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w:t>
              <w:br/>
              <w:t>Other</w:t>
              <w:br/>
              <w:t>Comprehensive</w:t>
              <w:br/>
              <w:t>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29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Balances,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663,770 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21,670 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(18,550)</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667,300 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12,420 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12,420 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7,690 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7,690 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29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of 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surrendered upon exercise and vesting of equity awards to cover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(1,760)</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2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29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 declared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(1,610)</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(1,610)</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29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Balances, March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664,550 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32,470 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(10,860)</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686,570 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16,720 </w:t>
            </w:r>
          </w:p>
        </w:tc>
        <w:tc>
          <w:tcPr>
            <w:tcW w:w="12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16,720 </w:t>
            </w:r>
          </w:p>
        </w:tc>
        <w:tc>
          <w:tcPr>
            <w:tcW w:w="157"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13,480 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13,480 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of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(1,800)</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surrendered upon exercise and vesting of equity awards to cover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2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29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 declared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(1,670)</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(1,670)</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Balances, June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664,800 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47,440 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2,620 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715,270 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9,300 </w:t>
            </w:r>
          </w:p>
        </w:tc>
        <w:tc>
          <w:tcPr>
            <w:tcW w:w="12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9,300 </w:t>
            </w:r>
          </w:p>
        </w:tc>
        <w:tc>
          <w:tcPr>
            <w:tcW w:w="157"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(1,110)</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(1,110)</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29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surrendered upon exercise and vesting of equity awards to cover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2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29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 declared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(1,670)</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(1,670)</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Balances, September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668,050 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55,070 </w:t>
            </w:r>
          </w:p>
        </w:tc>
        <w:tc>
          <w:tcPr>
            <w:tcW w:w="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1,510 </w:t>
            </w:r>
          </w:p>
        </w:tc>
        <w:tc>
          <w:tcPr>
            <w:tcW w:w="1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725,040 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100"/>
        <w:jc w:val="center"/>
        <w:rPr/>
      </w:pPr>
      <w:r>
        <w:rPr/>
      </w:r>
    </w:p>
    <w:p>
      <w:pPr>
        <w:pStyle w:val="TextBody"/>
        <w:bidi w:val="0"/>
        <w:spacing w:lineRule="auto" w:line="288" w:before="100" w:after="10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e69bc5e88b0c4f53b7988ab1107efbc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TriMas Corporation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Consolidated Statement of Shareholders' Equity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Nine Months Ended September 30, 2025 and 2024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(Unaudited—dollars in thousands) </w:t>
      </w:r>
    </w:p>
    <w:tbl>
      <w:tblPr>
        <w:tblW w:w="10205" w:type="dxa"/>
        <w:jc w:val="center"/>
        <w:tblInd w:w="0" w:type="dxa"/>
        <w:tblLayout w:type="fixed"/>
        <w:tblCellMar>
          <w:top w:w="28" w:type="dxa"/>
          <w:left w:w="28" w:type="dxa"/>
          <w:bottom w:w="28" w:type="dxa"/>
          <w:right w:w="28" w:type="dxa"/>
        </w:tblCellMar>
      </w:tblPr>
      <w:tblGrid>
        <w:gridCol w:w="1248"/>
        <w:gridCol w:w="826"/>
        <w:gridCol w:w="828"/>
        <w:gridCol w:w="109"/>
        <w:gridCol w:w="109"/>
        <w:gridCol w:w="109"/>
        <w:gridCol w:w="221"/>
        <w:gridCol w:w="489"/>
        <w:gridCol w:w="116"/>
        <w:gridCol w:w="109"/>
        <w:gridCol w:w="109"/>
        <w:gridCol w:w="109"/>
        <w:gridCol w:w="211"/>
        <w:gridCol w:w="826"/>
        <w:gridCol w:w="109"/>
        <w:gridCol w:w="109"/>
        <w:gridCol w:w="109"/>
        <w:gridCol w:w="109"/>
        <w:gridCol w:w="242"/>
        <w:gridCol w:w="829"/>
        <w:gridCol w:w="125"/>
        <w:gridCol w:w="109"/>
        <w:gridCol w:w="109"/>
        <w:gridCol w:w="109"/>
        <w:gridCol w:w="289"/>
        <w:gridCol w:w="866"/>
        <w:gridCol w:w="151"/>
        <w:gridCol w:w="109"/>
        <w:gridCol w:w="109"/>
        <w:gridCol w:w="109"/>
        <w:gridCol w:w="211"/>
        <w:gridCol w:w="826"/>
        <w:gridCol w:w="157"/>
      </w:tblGrid>
      <w:tr>
        <w:trPr/>
        <w:tc>
          <w:tcPr>
            <w:tcW w:w="1248"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9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Common</w:t>
              <w:br/>
              <w:t xml:space="preserve">Stock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Paid-in</w:t>
              <w:br/>
              <w:t xml:space="preserve">Capital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w:t>
              <w:br/>
              <w:t>Other</w:t>
              <w:br/>
              <w:t>Comprehensive</w:t>
              <w:br/>
              <w:t>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29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Balances, 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677,660 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4,230 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682,950 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5,140 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(2,900)</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(2,900)</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29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of 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(13,320)</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surrendered upon exercise and vesting of equity awards to cover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(1,560)</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2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29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 declared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(1,660)</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(1,660)</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Balances, March 31,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667,430 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7,630 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(2,250)</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673,220 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10,940 </w:t>
            </w:r>
          </w:p>
        </w:tc>
        <w:tc>
          <w:tcPr>
            <w:tcW w:w="12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10,940 </w:t>
            </w:r>
          </w:p>
        </w:tc>
        <w:tc>
          <w:tcPr>
            <w:tcW w:w="157"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(4,890)</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of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(3,530)</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29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 declared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(1,660)</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(1,660)</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Balances, June 30,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665,790 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16,870 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(7,140)</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675,930 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2,530 </w:t>
            </w:r>
          </w:p>
        </w:tc>
        <w:tc>
          <w:tcPr>
            <w:tcW w:w="12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2,530 </w:t>
            </w:r>
          </w:p>
        </w:tc>
        <w:tc>
          <w:tcPr>
            <w:tcW w:w="157"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6,800 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6,800 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of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(2,420)</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surrendered upon exercise and vesting of equity awards to cover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2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29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 declared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(1,660)</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(1,660)</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Balances, September 30,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665,000 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17,680 </w:t>
            </w:r>
          </w:p>
        </w:tc>
        <w:tc>
          <w:tcPr>
            <w:tcW w:w="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w:t>
            </w:r>
          </w:p>
        </w:tc>
        <w:tc>
          <w:tcPr>
            <w:tcW w:w="1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682,750 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100"/>
        <w:jc w:val="center"/>
        <w:rPr/>
      </w:pPr>
      <w:r>
        <w:rPr/>
      </w:r>
    </w:p>
    <w:p>
      <w:pPr>
        <w:pStyle w:val="TextBody"/>
        <w:bidi w:val="0"/>
        <w:spacing w:lineRule="auto" w:line="288" w:before="100" w:after="10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e69bc5e88b0c4f53b7988ab1107efbce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TRIMAS CORPORATION</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 xml:space="preserve">(unaudited)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Times New Roman;serif" w:hAnsi="Times New Roman;serif"/>
          <w:b/>
          <w:color w:val="000000"/>
          <w:sz w:val="20"/>
        </w:rPr>
      </w:pPr>
      <w:r>
        <w:rPr>
          <w:rFonts w:ascii="Times New Roman;serif" w:hAnsi="Times New Roman;serif"/>
          <w:b/>
          <w:color w:val="000000"/>
          <w:sz w:val="20"/>
        </w:rPr>
        <w:t xml:space="preserve">1. Basis of Presentation </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 xml:space="preserve">TriMas Corporation ("TriMas" or the "Company"), and its consolidated subsidiaries, designs, engineers and manufactures innovative products under leading brand names for customers primarily in the consumer products, aerospace &amp; defense, and industrial markets. </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The accompanying consolidated financial statements include the accounts of the Company and its subsidiaries and, in the opinion of management, contain all adjustments, including adjustments of a normal and recurring nature, necessary for a fair presentation of financial position and results of operations. Certain prior year amounts have been reclassified to conform with the current year presentation; specifically asbestos-related costs, which was previously included within selling, general and administrative expenses, has now been separately presented on the consolidated statement of income. The preparation of financial statements requires management of the Company to make estimates and assumptions that affect the reported amounts of assets and liabilities. Actual results may differ from such estimates and assumptions due to risks and uncertainties, including uncertainty and volatility in the current economic environment due to input cost inflation, supply chain disruptions, and shortages in global markets for commodities, logistics and labor. To the extent there are differences between these estimates and actual results, the Company's consolidated financial statements may be materially affected.</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Results of operations for interim periods are not necessarily indicative of results for the full year. The accompanying consolidated financial statements and notes thereto should be read in conjunction with the Company's 2024 Annual Report on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rFonts w:ascii="Times New Roman;serif" w:hAnsi="Times New Roman;serif"/>
          <w:b/>
          <w:color w:val="000000"/>
          <w:sz w:val="20"/>
        </w:rPr>
      </w:pPr>
      <w:r>
        <w:rPr>
          <w:rFonts w:ascii="Times New Roman;serif" w:hAnsi="Times New Roman;serif"/>
          <w:b/>
          <w:color w:val="000000"/>
          <w:sz w:val="20"/>
        </w:rPr>
        <w:t xml:space="preserve">2. New Accounting Pronouncements </w:t>
      </w:r>
    </w:p>
    <w:p>
      <w:pPr>
        <w:pStyle w:val="TextBody"/>
        <w:bidi w:val="0"/>
        <w:spacing w:lineRule="auto" w:line="288" w:before="160" w:after="160"/>
        <w:jc w:val="both"/>
        <w:rPr>
          <w:rFonts w:ascii="Times New Roman;serif" w:hAnsi="Times New Roman;serif"/>
          <w:b w:val="false"/>
          <w:i/>
          <w:color w:val="000000"/>
          <w:sz w:val="20"/>
        </w:rPr>
      </w:pPr>
      <w:r>
        <w:rPr>
          <w:rFonts w:ascii="Times New Roman;serif" w:hAnsi="Times New Roman;serif"/>
          <w:b w:val="false"/>
          <w:i/>
          <w:color w:val="000000"/>
          <w:sz w:val="20"/>
        </w:rPr>
        <w:t>Recently Issued Accounting Pronouncements</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In July 2025, the Financial Accounting Standards Board ("FASB") issued Accounting Standards Update ("ASU") 2025-05, "Financial Instruments—Credit Losses (Topic 326): Measurement of Credit Losses for Accounts Receivable and Contract Assets" ("ASU 2025-05"), which provides a practical expedient that assumes current conditions as of the balance sheet date remain unchanged when developing forecasts for estimating expected credit losses. Under ASU 2025-05, an entity is required to disclose that it has elected to use the practical expedient and the election should be applied prospectively. ASU 2025-05 is effective for fiscal years, and interim periods within those years, beginning after December 15, 2025, with early adoption permitted. The Company is in the process of assessing the impact of adoption on its consolidated financial statements.</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In November 2024, the FASB issued ASU 2024-03, "Income Statement—Reporting Comprehensive Income—Expense Disaggregation Disclosures (Subtopic 220-40): Disaggregation of Income Statement Expenses" ("ASU 2024-03"), which requires disclosures, in the notes to the financial statements, about the types of expenses included in certain expense captions presented on the income statement. ASU 2024-03 is effective for fiscal years beginning after December 15, 2026, and interim periods within fiscal years beginning after December 15, 2027, with early adoption permitted. The Company is in the process of assessing the impact of adoption on its consolidated financial statements.</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In December 2023, the FASB issued ASU 2023-09, "Income Taxes (Topic 740): Improvements to Income Tax Disclosures" ("ASU 2023-09"), which requires enhanced jurisdictional disclosures for income taxes paid and requires the use of specific categories in the effective tax rate reconciliation as well as additional information for reconciling items that meet a quantitative threshold. ASU 2023-09 is effective for fiscal years beginning after December 15, 2024, with early adoption permitted. The Company will provide the incremental disclosures in its Annual Report on Form 10-K for the year ended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e69bc5e88b0c4f53b7988ab1107efbce_7">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TRIMAS CORPORATION</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160" w:after="160"/>
        <w:jc w:val="left"/>
        <w:rPr>
          <w:rFonts w:ascii="Times New Roman;serif" w:hAnsi="Times New Roman;serif"/>
          <w:b/>
          <w:color w:val="000000"/>
          <w:sz w:val="20"/>
        </w:rPr>
      </w:pPr>
      <w:r>
        <w:rPr>
          <w:rFonts w:ascii="Times New Roman;serif" w:hAnsi="Times New Roman;serif"/>
          <w:b/>
          <w:color w:val="000000"/>
          <w:sz w:val="20"/>
        </w:rPr>
        <w:t xml:space="preserve">3. Revenue </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Company’s disaggregated net sales by primary market served (dollars in thousands):</w:t>
      </w:r>
    </w:p>
    <w:tbl>
      <w:tblPr>
        <w:tblW w:w="8207" w:type="dxa"/>
        <w:jc w:val="center"/>
        <w:tblInd w:w="0" w:type="dxa"/>
        <w:tblLayout w:type="fixed"/>
        <w:tblCellMar>
          <w:top w:w="28" w:type="dxa"/>
          <w:left w:w="28" w:type="dxa"/>
          <w:bottom w:w="28" w:type="dxa"/>
          <w:right w:w="28" w:type="dxa"/>
        </w:tblCellMar>
      </w:tblPr>
      <w:tblGrid>
        <w:gridCol w:w="669"/>
        <w:gridCol w:w="587"/>
        <w:gridCol w:w="589"/>
        <w:gridCol w:w="109"/>
        <w:gridCol w:w="109"/>
        <w:gridCol w:w="109"/>
        <w:gridCol w:w="232"/>
        <w:gridCol w:w="908"/>
        <w:gridCol w:w="119"/>
        <w:gridCol w:w="119"/>
        <w:gridCol w:w="119"/>
        <w:gridCol w:w="119"/>
        <w:gridCol w:w="232"/>
        <w:gridCol w:w="908"/>
        <w:gridCol w:w="119"/>
        <w:gridCol w:w="109"/>
        <w:gridCol w:w="109"/>
        <w:gridCol w:w="109"/>
        <w:gridCol w:w="224"/>
        <w:gridCol w:w="879"/>
        <w:gridCol w:w="116"/>
        <w:gridCol w:w="116"/>
        <w:gridCol w:w="116"/>
        <w:gridCol w:w="116"/>
        <w:gridCol w:w="224"/>
        <w:gridCol w:w="879"/>
        <w:gridCol w:w="163"/>
      </w:tblGrid>
      <w:tr>
        <w:trPr/>
        <w:tc>
          <w:tcPr>
            <w:tcW w:w="669"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Three months ended September 30,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Nine months ended September 30, </w:t>
            </w:r>
          </w:p>
        </w:tc>
      </w:tr>
      <w:tr>
        <w:trPr/>
        <w:tc>
          <w:tcPr>
            <w:tcW w:w="18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Customer Markets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18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Consumer Products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110,480 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105,390 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330,980 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315,950 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Aerospace &amp; Defense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103,240 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70,830 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295,460 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215,890 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Industrial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55,540 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53,140 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159,250 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165,120 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net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269,260 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229,360 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785,690 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696,960 </w:t>
            </w:r>
          </w:p>
        </w:tc>
        <w:tc>
          <w:tcPr>
            <w:tcW w:w="1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160"/>
        <w:jc w:val="both"/>
        <w:rPr>
          <w:rFonts w:ascii="Times New Roman;serif" w:hAnsi="Times New Roman;serif"/>
          <w:b w:val="false"/>
          <w:color w:val="000000"/>
          <w:sz w:val="20"/>
        </w:rPr>
      </w:pPr>
      <w:r>
        <w:rPr>
          <w:rFonts w:ascii="Times New Roman;serif" w:hAnsi="Times New Roman;serif"/>
          <w:b w:val="false"/>
          <w:color w:val="000000"/>
          <w:sz w:val="20"/>
        </w:rPr>
        <w:t>The Company’s Packaging segment earns revenues from the consumer products (comprised of the beauty and personal care, food and beverage, home care, pharmaceutical, nutraceutical and medical submarkets) and industrial markets. The Aerospace segment earns revenues from the aerospace &amp; defense market (comprised of commercial, regional and business jet, and military submarkets). The Specialty Products segment earns revenues from a variety of submarkets within the industrial market. As of September 30, 2025, the Company’s total deferred revenue and related contract assets were $7.5 million and $4.4 million, respectively, and were included in accrued liabilities and prepaid expenses and other current assets, respectively, in the accompanying consolidated balance sheet. As of December 31, 2024, the Company's total deferred revenue and related contract assets were immaterial.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both"/>
        <w:rPr>
          <w:rFonts w:ascii="Times New Roman;serif" w:hAnsi="Times New Roman;serif"/>
          <w:b/>
          <w:color w:val="000000"/>
          <w:sz w:val="20"/>
        </w:rPr>
      </w:pPr>
      <w:r>
        <w:rPr>
          <w:rFonts w:ascii="Times New Roman;serif" w:hAnsi="Times New Roman;serif"/>
          <w:b/>
          <w:color w:val="000000"/>
          <w:sz w:val="20"/>
        </w:rPr>
        <w:t>4. Realignment Actions</w:t>
      </w:r>
    </w:p>
    <w:p>
      <w:pPr>
        <w:pStyle w:val="TextBody"/>
        <w:bidi w:val="0"/>
        <w:spacing w:lineRule="auto" w:line="288" w:before="160" w:after="160"/>
        <w:jc w:val="both"/>
        <w:rPr>
          <w:rFonts w:ascii="Times New Roman;serif" w:hAnsi="Times New Roman;serif"/>
          <w:b w:val="false"/>
          <w:i/>
          <w:color w:val="000000"/>
          <w:sz w:val="20"/>
        </w:rPr>
      </w:pPr>
      <w:r>
        <w:rPr>
          <w:rFonts w:ascii="Times New Roman;serif" w:hAnsi="Times New Roman;serif"/>
          <w:b w:val="false"/>
          <w:i/>
          <w:color w:val="000000"/>
          <w:sz w:val="20"/>
        </w:rPr>
        <w:t>2025 Realignment Actions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During the three and nine months ended September 30, 2025, the Company recorded $0.4 million and $4.9 million, respectively, of realignment costs related to actions to reorganize its corporate office, primarily for severance and consulting costs, including $1.5 million of non-cash compensation expense during the nine months ended September 30, 2025. These charges were included in selling, general and administrative expenses in the accompanying consolidated statement of income.</w:t>
      </w:r>
    </w:p>
    <w:p>
      <w:pPr>
        <w:pStyle w:val="TextBody"/>
        <w:bidi w:val="0"/>
        <w:spacing w:lineRule="auto" w:line="288" w:before="160" w:after="160"/>
        <w:jc w:val="both"/>
        <w:rPr>
          <w:rFonts w:ascii="Times New Roman;serif" w:hAnsi="Times New Roman;serif"/>
          <w:b w:val="false"/>
          <w:i/>
          <w:color w:val="000000"/>
          <w:sz w:val="20"/>
        </w:rPr>
      </w:pPr>
      <w:r>
        <w:rPr>
          <w:rFonts w:ascii="Times New Roman;serif" w:hAnsi="Times New Roman;serif"/>
          <w:b w:val="false"/>
          <w:i/>
          <w:color w:val="000000"/>
          <w:sz w:val="20"/>
        </w:rPr>
        <w:t>2024 Realignment Actions</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During the three and nine months ended September 30, 2024, the Company incurred pre-tax realignment charges of $0.9 million in its Packaging segment, related to the closure of its facility in Irwindale, California. For the three and nine months ended September 30, 2024, $0.5 million and $0.4 million of these charges were included in cost of sales and selling, general and administrative expenses, respectively, in the accompanying consolidated statement of income.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both"/>
        <w:rPr>
          <w:rFonts w:ascii="Times New Roman;serif" w:hAnsi="Times New Roman;serif"/>
          <w:b/>
          <w:color w:val="000000"/>
          <w:sz w:val="20"/>
        </w:rPr>
      </w:pPr>
      <w:r>
        <w:rPr>
          <w:rFonts w:ascii="Times New Roman;serif" w:hAnsi="Times New Roman;serif"/>
          <w:b/>
          <w:color w:val="000000"/>
          <w:sz w:val="20"/>
        </w:rPr>
        <w:t>5. Acquisitions and Sale of Business</w:t>
      </w:r>
    </w:p>
    <w:p>
      <w:pPr>
        <w:pStyle w:val="TextBody"/>
        <w:bidi w:val="0"/>
        <w:spacing w:lineRule="auto" w:line="288" w:before="160" w:after="160"/>
        <w:jc w:val="both"/>
        <w:rPr>
          <w:rFonts w:ascii="Times New Roman;serif" w:hAnsi="Times New Roman;serif"/>
          <w:b w:val="false"/>
          <w:i/>
          <w:color w:val="000000"/>
          <w:sz w:val="20"/>
        </w:rPr>
      </w:pPr>
      <w:r>
        <w:rPr>
          <w:rFonts w:ascii="Times New Roman;serif" w:hAnsi="Times New Roman;serif"/>
          <w:b w:val="false"/>
          <w:i/>
          <w:color w:val="000000"/>
          <w:sz w:val="20"/>
        </w:rPr>
        <w:t>2025 Acquisitions</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On February 17, 2025, the Company acquired the aerospace business of GMT Gummi-Metall-Technik GmbH (“GMT”) for a purchase price of $37.7 million. The fair value of assets acquired and liabilities assumed included $15.5 million of goodwill, $4.6 million of intangible assets, $0.2 million of property and equipment, and $17.4 million of net working capital. Based in Germany, GMT’s aerospace division (“GMT Aerospace”) develops and manufactures a wide range of tie-rods and rubber-metal anti-vibration systems for commercial and military aerospace applications with annual net sales of approximately €22.0 million. GMT Aerospace is part of the Aerospace reportable segment and has been renamed TriMas Aerospace Germany.</w:t>
      </w:r>
    </w:p>
    <w:p>
      <w:pPr>
        <w:pStyle w:val="TextBody"/>
        <w:bidi w:val="0"/>
        <w:spacing w:lineRule="auto" w:line="288" w:before="160" w:after="160"/>
        <w:jc w:val="both"/>
        <w:rPr>
          <w:rFonts w:ascii="Times New Roman;serif" w:hAnsi="Times New Roman;serif"/>
          <w:b w:val="false"/>
          <w:i/>
          <w:color w:val="000000"/>
          <w:sz w:val="20"/>
        </w:rPr>
      </w:pPr>
      <w:r>
        <w:rPr>
          <w:rFonts w:ascii="Times New Roman;serif" w:hAnsi="Times New Roman;serif"/>
          <w:b w:val="false"/>
          <w:i/>
          <w:color w:val="000000"/>
          <w:sz w:val="20"/>
        </w:rPr>
        <w:t>Sale of Business</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On January 31, 2025, the Company completed the sale of its Arrow Engine business within the Specialty Products segment for net cash proceeds of $21.0 million. As a result, the Company recorded a pre-tax gain of $0.1 million and $5.4 million for the three and nine months ended September 30, 2025,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e69bc5e88b0c4f53b7988ab1107efbce_7">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TRIMAS CORPORATION</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160" w:after="160"/>
        <w:jc w:val="left"/>
        <w:rPr>
          <w:rFonts w:ascii="Times New Roman;serif" w:hAnsi="Times New Roman;serif"/>
          <w:b/>
          <w:color w:val="000000"/>
          <w:sz w:val="20"/>
        </w:rPr>
      </w:pPr>
      <w:r>
        <w:rPr>
          <w:rFonts w:ascii="Times New Roman;serif" w:hAnsi="Times New Roman;serif"/>
          <w:b/>
          <w:color w:val="000000"/>
          <w:sz w:val="20"/>
        </w:rPr>
        <w:t xml:space="preserve">6. Goodwill and Other Intangible Assets </w:t>
      </w:r>
    </w:p>
    <w:p>
      <w:pPr>
        <w:pStyle w:val="TextBody"/>
        <w:bidi w:val="0"/>
        <w:spacing w:lineRule="auto" w:line="288" w:before="160" w:after="160"/>
        <w:jc w:val="both"/>
        <w:rPr>
          <w:rFonts w:ascii="Times New Roman;serif" w:hAnsi="Times New Roman;serif"/>
          <w:b w:val="false"/>
          <w:i/>
          <w:color w:val="000000"/>
          <w:sz w:val="20"/>
        </w:rPr>
      </w:pPr>
      <w:r>
        <w:rPr>
          <w:rFonts w:ascii="Times New Roman;serif" w:hAnsi="Times New Roman;serif"/>
          <w:b w:val="false"/>
          <w:i/>
          <w:color w:val="000000"/>
          <w:sz w:val="20"/>
        </w:rPr>
        <w:t>Goodwill</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Changes in the carrying amount of goodwill for the nine months ended September 30, 2025 are summarized as follows (dollars in thousands):</w:t>
      </w:r>
    </w:p>
    <w:tbl>
      <w:tblPr>
        <w:tblW w:w="9113" w:type="dxa"/>
        <w:jc w:val="left"/>
        <w:tblInd w:w="0" w:type="dxa"/>
        <w:tblLayout w:type="fixed"/>
        <w:tblCellMar>
          <w:top w:w="28" w:type="dxa"/>
          <w:left w:w="28" w:type="dxa"/>
          <w:bottom w:w="28" w:type="dxa"/>
          <w:right w:w="28" w:type="dxa"/>
        </w:tblCellMar>
      </w:tblPr>
      <w:tblGrid>
        <w:gridCol w:w="1168"/>
        <w:gridCol w:w="1026"/>
        <w:gridCol w:w="1030"/>
        <w:gridCol w:w="211"/>
        <w:gridCol w:w="826"/>
        <w:gridCol w:w="109"/>
        <w:gridCol w:w="109"/>
        <w:gridCol w:w="109"/>
        <w:gridCol w:w="109"/>
        <w:gridCol w:w="211"/>
        <w:gridCol w:w="721"/>
        <w:gridCol w:w="109"/>
        <w:gridCol w:w="109"/>
        <w:gridCol w:w="109"/>
        <w:gridCol w:w="109"/>
        <w:gridCol w:w="345"/>
        <w:gridCol w:w="1007"/>
        <w:gridCol w:w="178"/>
        <w:gridCol w:w="109"/>
        <w:gridCol w:w="109"/>
        <w:gridCol w:w="109"/>
        <w:gridCol w:w="211"/>
        <w:gridCol w:w="826"/>
        <w:gridCol w:w="154"/>
      </w:tblGrid>
      <w:tr>
        <w:trPr/>
        <w:tc>
          <w:tcPr>
            <w:tcW w:w="1168"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2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Packaging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Aerospace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Specialty Products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December 31, 2024</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280,500 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69,300 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6,560 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356,360 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 from acquisitions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22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22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and other</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September 30, 2025</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293,630 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86,840 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6,560 </w:t>
            </w:r>
          </w:p>
        </w:tc>
        <w:tc>
          <w:tcPr>
            <w:tcW w:w="1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387,030 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160"/>
        <w:jc w:val="both"/>
        <w:rPr>
          <w:rFonts w:ascii="Times New Roman;serif" w:hAnsi="Times New Roman;serif"/>
          <w:b w:val="false"/>
          <w:i/>
          <w:color w:val="000000"/>
          <w:sz w:val="20"/>
        </w:rPr>
      </w:pPr>
      <w:r>
        <w:rPr>
          <w:rFonts w:ascii="Times New Roman;serif" w:hAnsi="Times New Roman;serif"/>
          <w:b w:val="false"/>
          <w:i/>
          <w:color w:val="000000"/>
          <w:sz w:val="20"/>
        </w:rPr>
        <w:t>Other Intangible Assets</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amortizes its other intangible assets over periods ranging from one to 30 years. The gross carrying amounts and accumulated amortization of the Company's other intangibles are summarized below (dollars in thousands): </w:t>
      </w:r>
    </w:p>
    <w:tbl>
      <w:tblPr>
        <w:tblW w:w="10205" w:type="dxa"/>
        <w:jc w:val="center"/>
        <w:tblInd w:w="0" w:type="dxa"/>
        <w:tblLayout w:type="fixed"/>
        <w:tblCellMar>
          <w:top w:w="28" w:type="dxa"/>
          <w:left w:w="28" w:type="dxa"/>
          <w:bottom w:w="28" w:type="dxa"/>
          <w:right w:w="28" w:type="dxa"/>
        </w:tblCellMar>
      </w:tblPr>
      <w:tblGrid>
        <w:gridCol w:w="1011"/>
        <w:gridCol w:w="675"/>
        <w:gridCol w:w="680"/>
        <w:gridCol w:w="109"/>
        <w:gridCol w:w="109"/>
        <w:gridCol w:w="109"/>
        <w:gridCol w:w="288"/>
        <w:gridCol w:w="1131"/>
        <w:gridCol w:w="148"/>
        <w:gridCol w:w="109"/>
        <w:gridCol w:w="109"/>
        <w:gridCol w:w="109"/>
        <w:gridCol w:w="294"/>
        <w:gridCol w:w="1227"/>
        <w:gridCol w:w="151"/>
        <w:gridCol w:w="109"/>
        <w:gridCol w:w="109"/>
        <w:gridCol w:w="109"/>
        <w:gridCol w:w="288"/>
        <w:gridCol w:w="1131"/>
        <w:gridCol w:w="148"/>
        <w:gridCol w:w="109"/>
        <w:gridCol w:w="109"/>
        <w:gridCol w:w="109"/>
        <w:gridCol w:w="291"/>
        <w:gridCol w:w="1214"/>
        <w:gridCol w:w="220"/>
      </w:tblGrid>
      <w:tr>
        <w:trPr/>
        <w:tc>
          <w:tcPr>
            <w:tcW w:w="1011"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214"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r>
      <w:tr>
        <w:trPr/>
        <w:tc>
          <w:tcPr>
            <w:tcW w:w="2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 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 December 31, 2024</w:t>
            </w:r>
          </w:p>
        </w:tc>
      </w:tr>
      <w:tr>
        <w:trPr/>
        <w:tc>
          <w:tcPr>
            <w:tcW w:w="23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Intangible Category by Useful Life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Gross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 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Gross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 Amortization</w:t>
            </w:r>
          </w:p>
        </w:tc>
      </w:tr>
      <w:tr>
        <w:trPr/>
        <w:tc>
          <w:tcPr>
            <w:tcW w:w="23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Finite-lived 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20"/>
              </w:rPr>
              <w:t>Customer relationships, 5 – 12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147,350 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(102,920)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138,840 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(95,360)</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20"/>
              </w:rPr>
              <w:t>Customer relationships, 15 – 25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129,460 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(91,370)</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129,230 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(86,690)</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customer relationships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276,810 </w:t>
            </w:r>
          </w:p>
        </w:tc>
        <w:tc>
          <w:tcPr>
            <w:tcW w:w="1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(194,290)</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268,070 </w:t>
            </w:r>
          </w:p>
        </w:tc>
        <w:tc>
          <w:tcPr>
            <w:tcW w:w="1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(182,050)</w:t>
            </w:r>
          </w:p>
        </w:tc>
        <w:tc>
          <w:tcPr>
            <w:tcW w:w="2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20"/>
              </w:rPr>
              <w:t>Technology and other, 1 – 15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56,210 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(45,000)</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56,790 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(44,590)</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20"/>
              </w:rPr>
              <w:t>Technology and other, 17 – 30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43,300 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(41,350)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43,300 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(41,080)</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technology and 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99,510 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(86,350)</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100,090 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(85,670)</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Indefinite-lived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Trademark/Trade names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62,650 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60,640 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438,970 </w:t>
            </w:r>
          </w:p>
        </w:tc>
        <w:tc>
          <w:tcPr>
            <w:tcW w:w="1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(280,640)</w:t>
            </w:r>
          </w:p>
        </w:tc>
        <w:tc>
          <w:tcPr>
            <w:tcW w:w="1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428,800 </w:t>
            </w:r>
          </w:p>
        </w:tc>
        <w:tc>
          <w:tcPr>
            <w:tcW w:w="1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(267,720)</w:t>
            </w:r>
          </w:p>
        </w:tc>
        <w:tc>
          <w:tcPr>
            <w:tcW w:w="2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160"/>
        <w:jc w:val="both"/>
        <w:rPr>
          <w:rFonts w:ascii="Times New Roman;serif" w:hAnsi="Times New Roman;serif"/>
          <w:b w:val="false"/>
          <w:color w:val="000000"/>
          <w:sz w:val="20"/>
        </w:rPr>
      </w:pPr>
      <w:r>
        <w:rPr>
          <w:rFonts w:ascii="Times New Roman;serif" w:hAnsi="Times New Roman;serif"/>
          <w:b w:val="false"/>
          <w:color w:val="000000"/>
          <w:sz w:val="20"/>
        </w:rPr>
        <w:t>Amortization expense related to intangible assets as included in the accompanying consolidated statement of income is summarized as follows (dollars in thousands):</w:t>
      </w:r>
    </w:p>
    <w:tbl>
      <w:tblPr>
        <w:tblW w:w="10205" w:type="dxa"/>
        <w:jc w:val="left"/>
        <w:tblInd w:w="0" w:type="dxa"/>
        <w:tblLayout w:type="fixed"/>
        <w:tblCellMar>
          <w:top w:w="28" w:type="dxa"/>
          <w:left w:w="28" w:type="dxa"/>
          <w:bottom w:w="28" w:type="dxa"/>
          <w:right w:w="28" w:type="dxa"/>
        </w:tblCellMar>
      </w:tblPr>
      <w:tblGrid>
        <w:gridCol w:w="1608"/>
        <w:gridCol w:w="1346"/>
        <w:gridCol w:w="1350"/>
        <w:gridCol w:w="109"/>
        <w:gridCol w:w="109"/>
        <w:gridCol w:w="109"/>
        <w:gridCol w:w="247"/>
        <w:gridCol w:w="723"/>
        <w:gridCol w:w="127"/>
        <w:gridCol w:w="127"/>
        <w:gridCol w:w="127"/>
        <w:gridCol w:w="127"/>
        <w:gridCol w:w="247"/>
        <w:gridCol w:w="723"/>
        <w:gridCol w:w="127"/>
        <w:gridCol w:w="109"/>
        <w:gridCol w:w="109"/>
        <w:gridCol w:w="109"/>
        <w:gridCol w:w="229"/>
        <w:gridCol w:w="784"/>
        <w:gridCol w:w="118"/>
        <w:gridCol w:w="118"/>
        <w:gridCol w:w="118"/>
        <w:gridCol w:w="118"/>
        <w:gridCol w:w="229"/>
        <w:gridCol w:w="784"/>
        <w:gridCol w:w="174"/>
      </w:tblGrid>
      <w:tr>
        <w:trPr/>
        <w:tc>
          <w:tcPr>
            <w:tcW w:w="1608" w:type="dxa"/>
            <w:tcBorders/>
            <w:vAlign w:val="center"/>
          </w:tcPr>
          <w:p>
            <w:pPr>
              <w:pStyle w:val="TableContents"/>
              <w:bidi w:val="0"/>
              <w:spacing w:before="0" w:after="283"/>
              <w:jc w:val="left"/>
              <w:rPr>
                <w:sz w:val="4"/>
                <w:szCs w:val="4"/>
              </w:rPr>
            </w:pPr>
            <w:r>
              <w:rPr>
                <w:sz w:val="4"/>
                <w:szCs w:val="4"/>
              </w:rPr>
            </w:r>
          </w:p>
        </w:tc>
        <w:tc>
          <w:tcPr>
            <w:tcW w:w="1346" w:type="dxa"/>
            <w:tcBorders/>
            <w:vAlign w:val="center"/>
          </w:tcPr>
          <w:p>
            <w:pPr>
              <w:pStyle w:val="TableContents"/>
              <w:bidi w:val="0"/>
              <w:spacing w:before="0" w:after="283"/>
              <w:jc w:val="left"/>
              <w:rPr>
                <w:sz w:val="4"/>
                <w:szCs w:val="4"/>
              </w:rPr>
            </w:pPr>
            <w:r>
              <w:rPr>
                <w:sz w:val="4"/>
                <w:szCs w:val="4"/>
              </w:rPr>
            </w:r>
          </w:p>
        </w:tc>
        <w:tc>
          <w:tcPr>
            <w:tcW w:w="13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4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Three months ended September 30,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Nine months ended September 30, </w:t>
            </w:r>
          </w:p>
        </w:tc>
      </w:tr>
      <w:tr>
        <w:trPr/>
        <w:tc>
          <w:tcPr>
            <w:tcW w:w="4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4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Technology and other, included in cost of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810 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810 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2,400 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2,470 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relationships, included in selling, general and administrative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3,590 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3,400 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10,540 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10,170 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amortization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4,400 </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4,210 </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12,940 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12,640 </w:t>
            </w:r>
          </w:p>
        </w:tc>
        <w:tc>
          <w:tcPr>
            <w:tcW w:w="1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e69bc5e88b0c4f53b7988ab1107efbce_7">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TRIMAS CORPORATION</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160" w:after="160"/>
        <w:jc w:val="left"/>
        <w:rPr>
          <w:rFonts w:ascii="Times New Roman;serif" w:hAnsi="Times New Roman;serif"/>
          <w:b/>
          <w:color w:val="000000"/>
          <w:sz w:val="20"/>
        </w:rPr>
      </w:pPr>
      <w:r>
        <w:rPr>
          <w:rFonts w:ascii="Times New Roman;serif" w:hAnsi="Times New Roman;serif"/>
          <w:b/>
          <w:color w:val="000000"/>
          <w:sz w:val="20"/>
        </w:rPr>
        <w:t xml:space="preserve">7. Inventories </w:t>
      </w:r>
    </w:p>
    <w:p>
      <w:pPr>
        <w:pStyle w:val="TextBody"/>
        <w:bidi w:val="0"/>
        <w:spacing w:lineRule="auto" w:line="288" w:before="160" w:after="160"/>
        <w:jc w:val="left"/>
        <w:rPr>
          <w:rFonts w:ascii="Times New Roman;serif" w:hAnsi="Times New Roman;serif"/>
          <w:b w:val="false"/>
          <w:color w:val="000000"/>
          <w:sz w:val="20"/>
        </w:rPr>
      </w:pPr>
      <w:r>
        <w:rPr>
          <w:rFonts w:ascii="Times New Roman;serif" w:hAnsi="Times New Roman;serif"/>
          <w:b w:val="false"/>
          <w:color w:val="000000"/>
          <w:sz w:val="20"/>
        </w:rPr>
        <w:t xml:space="preserve">Inventories consist of the following components (dollars in thousands): </w:t>
      </w:r>
    </w:p>
    <w:tbl>
      <w:tblPr>
        <w:tblW w:w="5362" w:type="dxa"/>
        <w:jc w:val="left"/>
        <w:tblInd w:w="0" w:type="dxa"/>
        <w:tblLayout w:type="fixed"/>
        <w:tblCellMar>
          <w:top w:w="28" w:type="dxa"/>
          <w:left w:w="28" w:type="dxa"/>
          <w:bottom w:w="28" w:type="dxa"/>
          <w:right w:w="28" w:type="dxa"/>
        </w:tblCellMar>
      </w:tblPr>
      <w:tblGrid>
        <w:gridCol w:w="549"/>
        <w:gridCol w:w="482"/>
        <w:gridCol w:w="484"/>
        <w:gridCol w:w="109"/>
        <w:gridCol w:w="109"/>
        <w:gridCol w:w="109"/>
        <w:gridCol w:w="295"/>
        <w:gridCol w:w="1157"/>
        <w:gridCol w:w="152"/>
        <w:gridCol w:w="109"/>
        <w:gridCol w:w="109"/>
        <w:gridCol w:w="109"/>
        <w:gridCol w:w="281"/>
        <w:gridCol w:w="1103"/>
        <w:gridCol w:w="205"/>
      </w:tblGrid>
      <w:tr>
        <w:trPr/>
        <w:tc>
          <w:tcPr>
            <w:tcW w:w="549"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15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2024</w:t>
            </w:r>
          </w:p>
        </w:tc>
      </w:tr>
      <w:tr>
        <w:trPr/>
        <w:tc>
          <w:tcPr>
            <w:tcW w:w="1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Finished goods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95,630 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86,430 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Work in process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61,620 </w:t>
            </w:r>
          </w:p>
        </w:tc>
        <w:tc>
          <w:tcPr>
            <w:tcW w:w="1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62,380 </w:t>
            </w:r>
          </w:p>
        </w:tc>
        <w:tc>
          <w:tcPr>
            <w:tcW w:w="2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Raw materials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69,960 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60,380 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inventories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227,210 </w:t>
            </w:r>
          </w:p>
        </w:tc>
        <w:tc>
          <w:tcPr>
            <w:tcW w:w="15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209,190 </w:t>
            </w:r>
          </w:p>
        </w:tc>
        <w:tc>
          <w:tcPr>
            <w:tcW w:w="20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rFonts w:ascii="Times New Roman;serif" w:hAnsi="Times New Roman;serif"/>
          <w:b/>
          <w:color w:val="000000"/>
          <w:sz w:val="20"/>
        </w:rPr>
      </w:pPr>
      <w:r>
        <w:rPr>
          <w:rFonts w:ascii="Times New Roman;serif" w:hAnsi="Times New Roman;serif"/>
          <w:b/>
          <w:color w:val="000000"/>
          <w:sz w:val="20"/>
        </w:rPr>
        <w:t xml:space="preserve">8. Property and Equipment, Net </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 xml:space="preserve">Property and equipment consists of the following components (dollars in thousands): </w:t>
      </w:r>
    </w:p>
    <w:tbl>
      <w:tblPr>
        <w:tblW w:w="6577" w:type="dxa"/>
        <w:jc w:val="left"/>
        <w:tblInd w:w="0" w:type="dxa"/>
        <w:tblLayout w:type="fixed"/>
        <w:tblCellMar>
          <w:top w:w="28" w:type="dxa"/>
          <w:left w:w="28" w:type="dxa"/>
          <w:bottom w:w="28" w:type="dxa"/>
          <w:right w:w="28" w:type="dxa"/>
        </w:tblCellMar>
      </w:tblPr>
      <w:tblGrid>
        <w:gridCol w:w="988"/>
        <w:gridCol w:w="869"/>
        <w:gridCol w:w="873"/>
        <w:gridCol w:w="109"/>
        <w:gridCol w:w="109"/>
        <w:gridCol w:w="109"/>
        <w:gridCol w:w="295"/>
        <w:gridCol w:w="1157"/>
        <w:gridCol w:w="152"/>
        <w:gridCol w:w="109"/>
        <w:gridCol w:w="109"/>
        <w:gridCol w:w="109"/>
        <w:gridCol w:w="281"/>
        <w:gridCol w:w="1103"/>
        <w:gridCol w:w="205"/>
      </w:tblGrid>
      <w:tr>
        <w:trPr/>
        <w:tc>
          <w:tcPr>
            <w:tcW w:w="988"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27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2024</w:t>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Land and land improvements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30,540 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30,810 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Buildings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92,820 </w:t>
            </w:r>
          </w:p>
        </w:tc>
        <w:tc>
          <w:tcPr>
            <w:tcW w:w="1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93,780 </w:t>
            </w:r>
          </w:p>
        </w:tc>
        <w:tc>
          <w:tcPr>
            <w:tcW w:w="2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Machinery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571,150 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524,390 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694,510 </w:t>
            </w:r>
          </w:p>
        </w:tc>
        <w:tc>
          <w:tcPr>
            <w:tcW w:w="15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648,980 </w:t>
            </w:r>
          </w:p>
        </w:tc>
        <w:tc>
          <w:tcPr>
            <w:tcW w:w="20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Accumulated depreciation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353,970 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330,330 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340,540 </w:t>
            </w:r>
          </w:p>
        </w:tc>
        <w:tc>
          <w:tcPr>
            <w:tcW w:w="15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318,650 </w:t>
            </w:r>
          </w:p>
        </w:tc>
        <w:tc>
          <w:tcPr>
            <w:tcW w:w="20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160"/>
        <w:jc w:val="left"/>
        <w:rPr>
          <w:rFonts w:ascii="Times New Roman;serif" w:hAnsi="Times New Roman;serif"/>
          <w:b w:val="false"/>
          <w:color w:val="000000"/>
          <w:sz w:val="20"/>
        </w:rPr>
      </w:pPr>
      <w:r>
        <w:rPr>
          <w:rFonts w:ascii="Times New Roman;serif" w:hAnsi="Times New Roman;serif"/>
          <w:b w:val="false"/>
          <w:color w:val="000000"/>
          <w:sz w:val="20"/>
        </w:rPr>
        <w:t>Depreciation expense as included in the accompanying consolidated statement of income is as follows (dollars in thousands):</w:t>
      </w:r>
    </w:p>
    <w:tbl>
      <w:tblPr>
        <w:tblW w:w="10205" w:type="dxa"/>
        <w:jc w:val="left"/>
        <w:tblInd w:w="0" w:type="dxa"/>
        <w:tblLayout w:type="fixed"/>
        <w:tblCellMar>
          <w:top w:w="28" w:type="dxa"/>
          <w:left w:w="28" w:type="dxa"/>
          <w:bottom w:w="28" w:type="dxa"/>
          <w:right w:w="28" w:type="dxa"/>
        </w:tblCellMar>
      </w:tblPr>
      <w:tblGrid>
        <w:gridCol w:w="1573"/>
        <w:gridCol w:w="1339"/>
        <w:gridCol w:w="1342"/>
        <w:gridCol w:w="109"/>
        <w:gridCol w:w="109"/>
        <w:gridCol w:w="109"/>
        <w:gridCol w:w="240"/>
        <w:gridCol w:w="822"/>
        <w:gridCol w:w="124"/>
        <w:gridCol w:w="124"/>
        <w:gridCol w:w="124"/>
        <w:gridCol w:w="124"/>
        <w:gridCol w:w="240"/>
        <w:gridCol w:w="703"/>
        <w:gridCol w:w="124"/>
        <w:gridCol w:w="109"/>
        <w:gridCol w:w="109"/>
        <w:gridCol w:w="109"/>
        <w:gridCol w:w="229"/>
        <w:gridCol w:w="784"/>
        <w:gridCol w:w="118"/>
        <w:gridCol w:w="118"/>
        <w:gridCol w:w="118"/>
        <w:gridCol w:w="118"/>
        <w:gridCol w:w="229"/>
        <w:gridCol w:w="784"/>
        <w:gridCol w:w="174"/>
      </w:tblGrid>
      <w:tr>
        <w:trPr/>
        <w:tc>
          <w:tcPr>
            <w:tcW w:w="1573" w:type="dxa"/>
            <w:tcBorders/>
            <w:vAlign w:val="center"/>
          </w:tcPr>
          <w:p>
            <w:pPr>
              <w:pStyle w:val="TableContents"/>
              <w:bidi w:val="0"/>
              <w:spacing w:before="0" w:after="283"/>
              <w:jc w:val="left"/>
              <w:rPr>
                <w:sz w:val="4"/>
                <w:szCs w:val="4"/>
              </w:rPr>
            </w:pPr>
            <w:r>
              <w:rPr>
                <w:sz w:val="4"/>
                <w:szCs w:val="4"/>
              </w:rPr>
            </w:r>
          </w:p>
        </w:tc>
        <w:tc>
          <w:tcPr>
            <w:tcW w:w="1339" w:type="dxa"/>
            <w:tcBorders/>
            <w:vAlign w:val="center"/>
          </w:tcPr>
          <w:p>
            <w:pPr>
              <w:pStyle w:val="TableContents"/>
              <w:bidi w:val="0"/>
              <w:spacing w:before="0" w:after="283"/>
              <w:jc w:val="left"/>
              <w:rPr>
                <w:sz w:val="4"/>
                <w:szCs w:val="4"/>
              </w:rPr>
            </w:pPr>
            <w:r>
              <w:rPr>
                <w:sz w:val="4"/>
                <w:szCs w:val="4"/>
              </w:rPr>
            </w:r>
          </w:p>
        </w:tc>
        <w:tc>
          <w:tcPr>
            <w:tcW w:w="13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42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Three months ended September 30,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Nine months ended September 30, </w:t>
            </w:r>
          </w:p>
        </w:tc>
      </w:tr>
      <w:tr>
        <w:trPr/>
        <w:tc>
          <w:tcPr>
            <w:tcW w:w="42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4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expense, included in cost of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9,880 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9,660 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29,040 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29,150 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expense, included in selling, general and administrative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790 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depreciation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10,120 </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9,940 </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29,770 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29,940 </w:t>
            </w:r>
          </w:p>
        </w:tc>
        <w:tc>
          <w:tcPr>
            <w:tcW w:w="1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rFonts w:ascii="Times New Roman;serif" w:hAnsi="Times New Roman;serif"/>
          <w:b/>
          <w:color w:val="000000"/>
          <w:sz w:val="20"/>
        </w:rPr>
      </w:pPr>
      <w:r>
        <w:rPr>
          <w:rFonts w:ascii="Times New Roman;serif" w:hAnsi="Times New Roman;serif"/>
          <w:b/>
          <w:color w:val="000000"/>
          <w:sz w:val="20"/>
        </w:rPr>
        <w:t xml:space="preserve">9. Long-term Debt </w:t>
      </w:r>
    </w:p>
    <w:p>
      <w:pPr>
        <w:pStyle w:val="TextBody"/>
        <w:bidi w:val="0"/>
        <w:spacing w:lineRule="auto" w:line="288" w:before="160" w:after="16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Company's long-term debt consists of the following (dollars in thousands): </w:t>
      </w:r>
    </w:p>
    <w:tbl>
      <w:tblPr>
        <w:tblW w:w="6951" w:type="dxa"/>
        <w:jc w:val="left"/>
        <w:tblInd w:w="0" w:type="dxa"/>
        <w:tblLayout w:type="fixed"/>
        <w:tblCellMar>
          <w:top w:w="28" w:type="dxa"/>
          <w:left w:w="28" w:type="dxa"/>
          <w:bottom w:w="28" w:type="dxa"/>
          <w:right w:w="28" w:type="dxa"/>
        </w:tblCellMar>
      </w:tblPr>
      <w:tblGrid>
        <w:gridCol w:w="1124"/>
        <w:gridCol w:w="988"/>
        <w:gridCol w:w="992"/>
        <w:gridCol w:w="109"/>
        <w:gridCol w:w="109"/>
        <w:gridCol w:w="109"/>
        <w:gridCol w:w="295"/>
        <w:gridCol w:w="1157"/>
        <w:gridCol w:w="152"/>
        <w:gridCol w:w="109"/>
        <w:gridCol w:w="109"/>
        <w:gridCol w:w="109"/>
        <w:gridCol w:w="281"/>
        <w:gridCol w:w="1103"/>
        <w:gridCol w:w="205"/>
      </w:tblGrid>
      <w:tr>
        <w:trPr/>
        <w:tc>
          <w:tcPr>
            <w:tcW w:w="1124"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31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2024</w:t>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4.125% Senior Notes due April 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400,000 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400,000 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3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Credit Agreement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10,890 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Debt issuance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(3,820)</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(3,380)</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31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3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407,070 </w:t>
            </w:r>
          </w:p>
        </w:tc>
        <w:tc>
          <w:tcPr>
            <w:tcW w:w="1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398,120 </w:t>
            </w:r>
          </w:p>
        </w:tc>
        <w:tc>
          <w:tcPr>
            <w:tcW w:w="2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160"/>
        <w:jc w:val="left"/>
        <w:rPr>
          <w:rFonts w:ascii="Times New Roman;serif" w:hAnsi="Times New Roman;serif"/>
          <w:b w:val="false"/>
          <w:i/>
          <w:color w:val="000000"/>
          <w:sz w:val="20"/>
        </w:rPr>
      </w:pPr>
      <w:r>
        <w:rPr>
          <w:rFonts w:ascii="Times New Roman;serif" w:hAnsi="Times New Roman;serif"/>
          <w:b w:val="false"/>
          <w:i/>
          <w:color w:val="000000"/>
          <w:sz w:val="20"/>
        </w:rPr>
        <w:t>Senior Notes</w:t>
      </w:r>
    </w:p>
    <w:p>
      <w:pPr>
        <w:pStyle w:val="TextBody"/>
        <w:bidi w:val="0"/>
        <w:spacing w:lineRule="auto" w:line="288" w:before="0" w:after="0"/>
        <w:jc w:val="both"/>
        <w:rPr/>
      </w:pPr>
      <w:r>
        <w:rPr>
          <w:rFonts w:ascii="Times New Roman;serif" w:hAnsi="Times New Roman;serif"/>
          <w:b w:val="false"/>
          <w:color w:val="000000"/>
          <w:sz w:val="20"/>
        </w:rPr>
        <w:t xml:space="preserve">In March 2021, the Company issued $400.0 million aggregate principal amount of 4.125% senior notes due April 15, 2029 ("Senior Notes") at par value in a private placement under Rule 144A of the Securities Act of 1933, as amended ("Securities Act"). The Senior Notes accrue interest at a rate of 4.125% per annum, payable semi-annually in arrears on April 15 and October 15. The payment of principal and interest is jointly and severally guaranteed, on a senior unsecured basis, by certain subsidiaries of the Company. The Senior Notes are </w:t>
      </w:r>
      <w:r>
        <w:rPr>
          <w:rFonts w:ascii="Times New Roman;serif" w:hAnsi="Times New Roman;serif"/>
          <w:b w:val="false"/>
          <w:i/>
          <w:color w:val="000000"/>
          <w:sz w:val="20"/>
        </w:rPr>
        <w:t>pari passu</w:t>
      </w:r>
      <w:r>
        <w:rPr>
          <w:color w:val="000000"/>
        </w:rPr>
        <w:t xml:space="preserve"> </w:t>
      </w:r>
      <w:r>
        <w:rPr>
          <w:rFonts w:ascii="Times New Roman;serif" w:hAnsi="Times New Roman;serif"/>
          <w:b w:val="false"/>
          <w:color w:val="000000"/>
          <w:sz w:val="20"/>
        </w:rPr>
        <w:t>in right of payment with all existing and future senior indebtedness and effectively subordinated to all existing and future secured indebtedness to the extent of the value of the assets securing such indebtedness.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e69bc5e88b0c4f53b7988ab1107efbce_7">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TRIMAS CORPORATION</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The Company may redeem all or part of the Senior Notes at the redemption prices (expressed as percentages of principal amount) set forth below, plus accrued and unpaid interest, if any, to the redemption date, if redeemed during the twelve-month period beginning on April 15 of the years indicated below:</w:t>
      </w:r>
    </w:p>
    <w:tbl>
      <w:tblPr>
        <w:tblW w:w="3425" w:type="dxa"/>
        <w:jc w:val="center"/>
        <w:tblInd w:w="0" w:type="dxa"/>
        <w:tblLayout w:type="fixed"/>
        <w:tblCellMar>
          <w:top w:w="28" w:type="dxa"/>
          <w:left w:w="28" w:type="dxa"/>
          <w:bottom w:w="28" w:type="dxa"/>
          <w:right w:w="28" w:type="dxa"/>
        </w:tblCellMar>
      </w:tblPr>
      <w:tblGrid>
        <w:gridCol w:w="610"/>
        <w:gridCol w:w="537"/>
        <w:gridCol w:w="547"/>
        <w:gridCol w:w="109"/>
        <w:gridCol w:w="109"/>
        <w:gridCol w:w="109"/>
        <w:gridCol w:w="413"/>
        <w:gridCol w:w="413"/>
        <w:gridCol w:w="578"/>
      </w:tblGrid>
      <w:tr>
        <w:trPr/>
        <w:tc>
          <w:tcPr>
            <w:tcW w:w="610"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r>
      <w:tr>
        <w:trPr/>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Percentage</w:t>
            </w:r>
          </w:p>
        </w:tc>
      </w:tr>
      <w:tr>
        <w:trPr/>
        <w:tc>
          <w:tcPr>
            <w:tcW w:w="16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101.031 </w:t>
            </w:r>
          </w:p>
        </w:tc>
        <w:tc>
          <w:tcPr>
            <w:tcW w:w="5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 and 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100.000 </w:t>
            </w:r>
          </w:p>
        </w:tc>
        <w:tc>
          <w:tcPr>
            <w:tcW w:w="5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60" w:after="160"/>
        <w:jc w:val="both"/>
        <w:rPr>
          <w:rFonts w:ascii="Times New Roman;serif" w:hAnsi="Times New Roman;serif"/>
          <w:b w:val="false"/>
          <w:i/>
          <w:color w:val="000000"/>
          <w:sz w:val="20"/>
        </w:rPr>
      </w:pPr>
      <w:r>
        <w:rPr>
          <w:rFonts w:ascii="Times New Roman;serif" w:hAnsi="Times New Roman;serif"/>
          <w:b w:val="false"/>
          <w:i/>
          <w:color w:val="000000"/>
          <w:sz w:val="20"/>
        </w:rPr>
        <w:t>Credit Agreement</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 xml:space="preserve">In March 2025, the Company amended its existing credit agreement ("Credit Agreement") to extend the maturity date. The Company incurred fees and expenses of $1.3 million related to the amendment, all of which was capitalized as debt issuance costs. The Company also recorded $0.1 million of non-cash expense related to the write-off of previously capitalized deferred financing fees. </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Below is a summary of key terms under the Credit Agreement as of September 30, 2025, compared to the key terms prior to the amendment (showing gross availability):</w:t>
      </w:r>
    </w:p>
    <w:tbl>
      <w:tblPr>
        <w:tblW w:w="7560" w:type="dxa"/>
        <w:jc w:val="center"/>
        <w:tblInd w:w="0" w:type="dxa"/>
        <w:tblLayout w:type="fixed"/>
        <w:tblCellMar>
          <w:top w:w="28" w:type="dxa"/>
          <w:left w:w="28" w:type="dxa"/>
          <w:bottom w:w="28" w:type="dxa"/>
          <w:right w:w="28" w:type="dxa"/>
        </w:tblCellMar>
      </w:tblPr>
      <w:tblGrid>
        <w:gridCol w:w="1213"/>
        <w:gridCol w:w="1062"/>
        <w:gridCol w:w="1069"/>
        <w:gridCol w:w="109"/>
        <w:gridCol w:w="109"/>
        <w:gridCol w:w="109"/>
        <w:gridCol w:w="664"/>
        <w:gridCol w:w="664"/>
        <w:gridCol w:w="667"/>
        <w:gridCol w:w="109"/>
        <w:gridCol w:w="109"/>
        <w:gridCol w:w="109"/>
        <w:gridCol w:w="434"/>
        <w:gridCol w:w="434"/>
        <w:gridCol w:w="436"/>
        <w:gridCol w:w="109"/>
        <w:gridCol w:w="154"/>
      </w:tblGrid>
      <w:tr>
        <w:trPr/>
        <w:tc>
          <w:tcPr>
            <w:tcW w:w="1213"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Instrument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Amount ($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Maturity Date</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Credit Agreement (as amended)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secured revolving credit facility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$250.0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3/31/2030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Credit Agreement (prior to amending)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secured revolving credit facility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3/29/2026</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160"/>
        <w:jc w:val="center"/>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Credit Agreement is subject to benchmark interest rates determined based on the currency denomination of borrowings, with British pound sterling borrowings subject to the Sterling Overnight Index Average, Euro borrowings to the Euro InterBank Offered Rate and U.S. dollar borrowings subject to the Secured Overnight Financing Rate, each plus a spread that ranges from 1.375% to 2.00% based upon the leverage ratio, as defined, as of the most recent determination date. The Company's revolving credit facility allows for the issuance of letters of credit, not to exceed $40.0 million in aggregate. </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 xml:space="preserve">The Credit Agreement also provides incremental revolving credit facility commitments in an amount not to exceed the greater of $200.0 million and an amount such that, after giving effect to such incremental commitments and the incurrence of any other indebtedness substantially simultaneously with the making of such commitments, the senior secured net leverage ratio, as defined, is no greater than 3.00 to 1.00. The terms and conditions of any incremental revolving credit facility commitments must be no more favorable than the existing credit facility. </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 xml:space="preserve">At September 30, 2025, the Company had $10.9 million outstanding under its revolving credit facility and had $233.1 million available after giving effect to $6.0 million of letters of credit issued and outstanding. At December 31, 2024, the Company had $1.5 million outstanding under its revolving credit facility and had $292.2 million available after giving effect to $6.3 million of letters of credit issued and outstanding. The Company's borrowing capacity was not reduced by leverage restrictions contained in the Credit Agreement as of September 30, 2025. After consideration of leverage restrictions contained in the Credit Agreement, as of December 31, 2024, the Company had $216.7 million of borrowing capacity available for general corporate purposes.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e69bc5e88b0c4f53b7988ab1107efbce_7">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TRIMAS CORPORATION</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 xml:space="preserve">The debt under the Credit Agreement is an obligation of the Company and certain of its domestic subsidiaries and is secured by substantially all of the assets of such parties. Borrowings under the $125.0 million (equivalent) foreign currency sub limit of the $250.0 million senior secured revolving credit facility are secured by a cross-guarantee amongst, and a pledge of the assets of, the foreign subsidiary borrowers that are a party to the agreement. The Credit Agreement also contains various negative and affirmative covenants and other requirements affecting the Company and its subsidiaries, including the ability, subject to certain exceptions and limitations, to incur debt, liens, mergers, investments, loans, advances, guarantee obligations, acquisitions, asset dispositions, sale-leaseback transactions, hedging agreements, dividends and other restricted payments, transactions with affiliates, restrictive agreements and amendments to charters, bylaws, and other material documents. The terms of the Credit Agreement also require the Company and its restricted subsidiaries to meet certain restrictive financial covenants and ratios computed quarterly, including a maximum total net leverage ratio (total consolidated indebtedness plus outstanding amounts under any accounts receivable securitization facility, less the aggregate amount of certain unrestricted cash and unrestricted permitted investments, as defined, over consolidated EBITDA, as defined) and a minimum interest expense coverage ratio (consolidated EBITDA, as defined, over the sum of consolidated cash interest expense, as defined, and preferred dividends, as defined). At September 30, 2025, the Company was in compliance with its financial covenants contained in the Credit Agreement. </w:t>
      </w:r>
    </w:p>
    <w:p>
      <w:pPr>
        <w:pStyle w:val="TextBody"/>
        <w:bidi w:val="0"/>
        <w:spacing w:lineRule="auto" w:line="288" w:before="160" w:after="160"/>
        <w:jc w:val="both"/>
        <w:rPr>
          <w:rFonts w:ascii="Times New Roman;serif" w:hAnsi="Times New Roman;serif"/>
          <w:b w:val="false"/>
          <w:i/>
          <w:color w:val="000000"/>
          <w:sz w:val="20"/>
        </w:rPr>
      </w:pPr>
      <w:r>
        <w:rPr>
          <w:rFonts w:ascii="Times New Roman;serif" w:hAnsi="Times New Roman;serif"/>
          <w:b w:val="false"/>
          <w:i/>
          <w:color w:val="000000"/>
          <w:sz w:val="20"/>
        </w:rPr>
        <w:t>Other Revolving Loan Facility</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In May 2021, the Company, through one of its non-U.S. subsidiaries, entered into a revolving loan facility with a borrowing capacity of $4 million. The facility is guaranteed by TriMas Corporation. There were no borrowings outstanding on this loan facility as of September 30, 2025 or December 31, 2024.</w:t>
      </w:r>
    </w:p>
    <w:p>
      <w:pPr>
        <w:pStyle w:val="TextBody"/>
        <w:bidi w:val="0"/>
        <w:spacing w:lineRule="auto" w:line="288" w:before="160" w:after="160"/>
        <w:jc w:val="both"/>
        <w:rPr>
          <w:rFonts w:ascii="Times New Roman;serif" w:hAnsi="Times New Roman;serif"/>
          <w:b w:val="false"/>
          <w:i/>
          <w:color w:val="000000"/>
          <w:sz w:val="20"/>
        </w:rPr>
      </w:pPr>
      <w:r>
        <w:rPr>
          <w:rFonts w:ascii="Times New Roman;serif" w:hAnsi="Times New Roman;serif"/>
          <w:b w:val="false"/>
          <w:i/>
          <w:color w:val="000000"/>
          <w:sz w:val="20"/>
        </w:rPr>
        <w:t>Fair Value of Debt</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The valuations of the Senior Notes and revolving credit facility were determined based on Level 2 inputs under the fair value hierarchy, as defined. The carrying amounts and fair values were as follows (dollars in thousands):</w:t>
      </w:r>
    </w:p>
    <w:tbl>
      <w:tblPr>
        <w:tblW w:w="9747" w:type="dxa"/>
        <w:jc w:val="center"/>
        <w:tblInd w:w="0" w:type="dxa"/>
        <w:tblLayout w:type="fixed"/>
        <w:tblCellMar>
          <w:top w:w="28" w:type="dxa"/>
          <w:left w:w="28" w:type="dxa"/>
          <w:bottom w:w="28" w:type="dxa"/>
          <w:right w:w="28" w:type="dxa"/>
        </w:tblCellMar>
      </w:tblPr>
      <w:tblGrid>
        <w:gridCol w:w="1124"/>
        <w:gridCol w:w="988"/>
        <w:gridCol w:w="992"/>
        <w:gridCol w:w="109"/>
        <w:gridCol w:w="109"/>
        <w:gridCol w:w="109"/>
        <w:gridCol w:w="276"/>
        <w:gridCol w:w="1081"/>
        <w:gridCol w:w="142"/>
        <w:gridCol w:w="109"/>
        <w:gridCol w:w="109"/>
        <w:gridCol w:w="109"/>
        <w:gridCol w:w="211"/>
        <w:gridCol w:w="826"/>
        <w:gridCol w:w="109"/>
        <w:gridCol w:w="109"/>
        <w:gridCol w:w="109"/>
        <w:gridCol w:w="109"/>
        <w:gridCol w:w="276"/>
        <w:gridCol w:w="1081"/>
        <w:gridCol w:w="142"/>
        <w:gridCol w:w="109"/>
        <w:gridCol w:w="109"/>
        <w:gridCol w:w="109"/>
        <w:gridCol w:w="211"/>
        <w:gridCol w:w="826"/>
        <w:gridCol w:w="154"/>
      </w:tblGrid>
      <w:tr>
        <w:trPr/>
        <w:tc>
          <w:tcPr>
            <w:tcW w:w="1124"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2024</w:t>
            </w:r>
          </w:p>
        </w:tc>
      </w:tr>
      <w:tr>
        <w:trPr/>
        <w:tc>
          <w:tcPr>
            <w:tcW w:w="3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 Value</w:t>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4.125% Senior Notes due April 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400,000 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400,000 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365,000 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Revolving credit facility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10,890 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rFonts w:ascii="Times New Roman;serif" w:hAnsi="Times New Roman;serif"/>
          <w:b/>
          <w:color w:val="000000"/>
          <w:sz w:val="20"/>
        </w:rPr>
      </w:pPr>
      <w:r>
        <w:rPr>
          <w:rFonts w:ascii="Times New Roman;serif" w:hAnsi="Times New Roman;serif"/>
          <w:b/>
          <w:color w:val="000000"/>
          <w:sz w:val="20"/>
        </w:rPr>
        <w:t xml:space="preserve">10. Derivative Instruments </w:t>
      </w:r>
    </w:p>
    <w:p>
      <w:pPr>
        <w:pStyle w:val="TextBody"/>
        <w:bidi w:val="0"/>
        <w:spacing w:lineRule="auto" w:line="288" w:before="160" w:after="160"/>
        <w:jc w:val="both"/>
        <w:rPr>
          <w:rFonts w:ascii="Times New Roman;serif" w:hAnsi="Times New Roman;serif"/>
          <w:b w:val="false"/>
          <w:i/>
          <w:color w:val="000000"/>
          <w:sz w:val="20"/>
        </w:rPr>
      </w:pPr>
      <w:r>
        <w:rPr>
          <w:rFonts w:ascii="Times New Roman;serif" w:hAnsi="Times New Roman;serif"/>
          <w:b w:val="false"/>
          <w:i/>
          <w:color w:val="000000"/>
          <w:sz w:val="20"/>
        </w:rPr>
        <w:t>Derivatives Designated as Hedging Instruments</w:t>
      </w:r>
    </w:p>
    <w:p>
      <w:pPr>
        <w:pStyle w:val="TextBody"/>
        <w:bidi w:val="0"/>
        <w:spacing w:lineRule="auto" w:line="288" w:before="60" w:after="160"/>
        <w:jc w:val="both"/>
        <w:rPr>
          <w:rFonts w:ascii="Times New Roman;serif" w:hAnsi="Times New Roman;serif"/>
          <w:b w:val="false"/>
          <w:color w:val="000000"/>
          <w:sz w:val="20"/>
        </w:rPr>
      </w:pPr>
      <w:r>
        <w:rPr>
          <w:rFonts w:ascii="Times New Roman;serif" w:hAnsi="Times New Roman;serif"/>
          <w:b w:val="false"/>
          <w:color w:val="000000"/>
          <w:sz w:val="20"/>
        </w:rPr>
        <w:t>The Company uses cross-currency swap contracts to hedge its net investment in Euro-denominated assets against future volatility in the exchange rate between the U.S. dollar and the Euro. By doing so, the Company synthetically converts a portion of its U.S. dollar-based long-term debt into Euro-denominated long-term debt.</w:t>
      </w:r>
    </w:p>
    <w:p>
      <w:pPr>
        <w:pStyle w:val="TextBody"/>
        <w:bidi w:val="0"/>
        <w:spacing w:lineRule="auto" w:line="288" w:before="60" w:after="160"/>
        <w:jc w:val="both"/>
        <w:rPr>
          <w:rFonts w:ascii="Times New Roman;serif" w:hAnsi="Times New Roman;serif"/>
          <w:b w:val="false"/>
          <w:color w:val="000000"/>
          <w:sz w:val="20"/>
        </w:rPr>
      </w:pPr>
      <w:r>
        <w:rPr>
          <w:rFonts w:ascii="Times New Roman;serif" w:hAnsi="Times New Roman;serif"/>
          <w:b w:val="false"/>
          <w:color w:val="000000"/>
          <w:sz w:val="20"/>
        </w:rPr>
        <w:t>In June 2024, the Company entered into a cross-currency swap agreement effective as of June 27, 2024, with a notional amount of $75.0 million and a contract period end date of October 15, 2027. Under the terms of the agreement, the Company is to receive net interest payments at a fixed rate of approximately 1.43% of the notional amount. At inception, the cross-currency swap was designated as a net investment hedge.</w:t>
      </w:r>
    </w:p>
    <w:p>
      <w:pPr>
        <w:pStyle w:val="TextBody"/>
        <w:bidi w:val="0"/>
        <w:spacing w:lineRule="auto" w:line="288" w:before="60" w:after="160"/>
        <w:jc w:val="both"/>
        <w:rPr>
          <w:rFonts w:ascii="Times New Roman;serif" w:hAnsi="Times New Roman;serif"/>
          <w:b w:val="false"/>
          <w:color w:val="000000"/>
          <w:sz w:val="20"/>
        </w:rPr>
      </w:pPr>
      <w:r>
        <w:rPr>
          <w:rFonts w:ascii="Times New Roman;serif" w:hAnsi="Times New Roman;serif"/>
          <w:b w:val="false"/>
          <w:color w:val="000000"/>
          <w:sz w:val="20"/>
        </w:rPr>
        <w:t xml:space="preserve">In February 2024, the Company entered into a cross-currency swap agreement effective as of April 15, 2024, with a notional amount of $75.0 million and a contract period end date of April 15, 2029. Under the terms of the agreement, the Company is to receive net interest payments at a fixed rate of approximately 1.06% of the notional amount. At inception, the cross-currency swap was designated as a net investment hedge. At designation, the cross currency swap had an inception date non-zero fair value equal to a $4.9 million liability, which offset the inception date non-zero fair value of a $75.0 million foreign currency exchange forward contract entered into on the same date. The non-zero fair value of the cross currency swap was recognized in other income (expense), net in the consolidated statement of income during the nine months ended September 30, 2024.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e69bc5e88b0c4f53b7988ab1107efbce_7">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TRIMAS CORPORATION</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60" w:after="160"/>
        <w:jc w:val="both"/>
        <w:rPr>
          <w:rFonts w:ascii="Times New Roman;serif" w:hAnsi="Times New Roman;serif"/>
          <w:b w:val="false"/>
          <w:color w:val="000000"/>
          <w:sz w:val="20"/>
        </w:rPr>
      </w:pPr>
      <w:r>
        <w:rPr>
          <w:rFonts w:ascii="Times New Roman;serif" w:hAnsi="Times New Roman;serif"/>
          <w:b w:val="false"/>
          <w:color w:val="000000"/>
          <w:sz w:val="20"/>
        </w:rPr>
        <w:t>In February 2024, immediately prior to entering into the new cross-currency swap agreement, the Company voluntarily discontinued hedge accounting for its existing cross-currency swap agreement, de-designating the swap as a net investment hedge. The de-designated agreement had a notional amount of $75.0 million and a contract period end date of April 15, 2024. Under the terms of the agreement, the Company received net interest payments at a fixed rate of approximately 2.4% of the notional amount. At contract settlement, the cross currency swap agreement had a fair value equal to a $3.8 million liability, which was offset by the settlement of the $75.0 million foreign currency exchange forward contract that ended on the same date, both of which were classified as an investing activity in the accompanying consolidated statement of cash flows.</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 xml:space="preserve">As of September 30, 2025 and December 31, 2024, the fair value carrying amount of the Company's derivatives designated as hedging instruments are recorded as follows (dollars in thousands): </w:t>
      </w:r>
    </w:p>
    <w:tbl>
      <w:tblPr>
        <w:tblW w:w="10175" w:type="dxa"/>
        <w:jc w:val="left"/>
        <w:tblInd w:w="0" w:type="dxa"/>
        <w:tblLayout w:type="fixed"/>
        <w:tblCellMar>
          <w:top w:w="28" w:type="dxa"/>
          <w:left w:w="28" w:type="dxa"/>
          <w:bottom w:w="28" w:type="dxa"/>
          <w:right w:w="28" w:type="dxa"/>
        </w:tblCellMar>
      </w:tblPr>
      <w:tblGrid>
        <w:gridCol w:w="1367"/>
        <w:gridCol w:w="1203"/>
        <w:gridCol w:w="1210"/>
        <w:gridCol w:w="109"/>
        <w:gridCol w:w="109"/>
        <w:gridCol w:w="109"/>
        <w:gridCol w:w="739"/>
        <w:gridCol w:w="739"/>
        <w:gridCol w:w="742"/>
        <w:gridCol w:w="109"/>
        <w:gridCol w:w="109"/>
        <w:gridCol w:w="109"/>
        <w:gridCol w:w="303"/>
        <w:gridCol w:w="1145"/>
        <w:gridCol w:w="156"/>
        <w:gridCol w:w="109"/>
        <w:gridCol w:w="109"/>
        <w:gridCol w:w="109"/>
        <w:gridCol w:w="317"/>
        <w:gridCol w:w="1041"/>
        <w:gridCol w:w="232"/>
      </w:tblGrid>
      <w:tr>
        <w:trPr/>
        <w:tc>
          <w:tcPr>
            <w:tcW w:w="1367"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Asset / (Liability) Derivatives</w:t>
            </w:r>
          </w:p>
        </w:tc>
      </w:tr>
      <w:tr>
        <w:trPr/>
        <w:tc>
          <w:tcPr>
            <w:tcW w:w="37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Derivatives Designated as Hedging Instruments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Balance Sheet Caption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2024</w:t>
            </w:r>
          </w:p>
        </w:tc>
      </w:tr>
      <w:tr>
        <w:trPr/>
        <w:tc>
          <w:tcPr>
            <w:tcW w:w="37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Investment Hedges</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7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37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Cross-currency swaps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(18,840)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(2,920)</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37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37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37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37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37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37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37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1917" w:type="dxa"/>
            <w:gridSpan w:val="6"/>
            <w:tcBorders/>
          </w:tcPr>
          <w:p>
            <w:pPr>
              <w:pStyle w:val="TableContents"/>
              <w:bidi w:val="0"/>
              <w:spacing w:before="0" w:after="283"/>
              <w:jc w:val="left"/>
              <w:rPr>
                <w:sz w:val="4"/>
                <w:szCs w:val="4"/>
              </w:rPr>
            </w:pPr>
            <w:r>
              <w:rPr>
                <w:sz w:val="4"/>
                <w:szCs w:val="4"/>
              </w:rPr>
            </w:r>
          </w:p>
        </w:tc>
      </w:tr>
      <w:tr>
        <w:trPr/>
        <w:tc>
          <w:tcPr>
            <w:tcW w:w="37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37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37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37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16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income recognized in accumulated other comprehensive income (loss) ("AOCI") on derivative contracts designated as hedging instruments as of September 30, 2025 and December 31, 2024, and the amounts reclassified from AOCI into earnings for the nine months ended September 30, 2025 and 2024 (dollars in thousands):</w:t>
      </w:r>
    </w:p>
    <w:tbl>
      <w:tblPr>
        <w:tblW w:w="10205" w:type="dxa"/>
        <w:jc w:val="left"/>
        <w:tblInd w:w="0" w:type="dxa"/>
        <w:tblLayout w:type="fixed"/>
        <w:tblCellMar>
          <w:top w:w="28" w:type="dxa"/>
          <w:left w:w="28" w:type="dxa"/>
          <w:bottom w:w="28" w:type="dxa"/>
          <w:right w:w="28" w:type="dxa"/>
        </w:tblCellMar>
      </w:tblPr>
      <w:tblGrid>
        <w:gridCol w:w="675"/>
        <w:gridCol w:w="374"/>
        <w:gridCol w:w="376"/>
        <w:gridCol w:w="243"/>
        <w:gridCol w:w="711"/>
        <w:gridCol w:w="125"/>
        <w:gridCol w:w="110"/>
        <w:gridCol w:w="110"/>
        <w:gridCol w:w="110"/>
        <w:gridCol w:w="235"/>
        <w:gridCol w:w="806"/>
        <w:gridCol w:w="121"/>
        <w:gridCol w:w="109"/>
        <w:gridCol w:w="109"/>
        <w:gridCol w:w="109"/>
        <w:gridCol w:w="573"/>
        <w:gridCol w:w="521"/>
        <w:gridCol w:w="523"/>
        <w:gridCol w:w="109"/>
        <w:gridCol w:w="109"/>
        <w:gridCol w:w="109"/>
        <w:gridCol w:w="211"/>
        <w:gridCol w:w="406"/>
        <w:gridCol w:w="109"/>
        <w:gridCol w:w="109"/>
        <w:gridCol w:w="109"/>
        <w:gridCol w:w="109"/>
        <w:gridCol w:w="211"/>
        <w:gridCol w:w="406"/>
        <w:gridCol w:w="109"/>
        <w:gridCol w:w="109"/>
        <w:gridCol w:w="109"/>
        <w:gridCol w:w="109"/>
        <w:gridCol w:w="211"/>
        <w:gridCol w:w="406"/>
        <w:gridCol w:w="109"/>
        <w:gridCol w:w="109"/>
        <w:gridCol w:w="109"/>
        <w:gridCol w:w="109"/>
        <w:gridCol w:w="211"/>
        <w:gridCol w:w="406"/>
        <w:gridCol w:w="162"/>
      </w:tblGrid>
      <w:tr>
        <w:trPr/>
        <w:tc>
          <w:tcPr>
            <w:tcW w:w="675"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Amount of Income Recognized </w:t>
              <w:br/>
              <w:t>in AOCI on Derivatives</w:t>
              <w:br/>
              <w:t>(Effective Portion, net of tax)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8"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Amount of Income (Loss) Reclassified </w:t>
              <w:br/>
              <w:t>from AOCI into Earnings</w:t>
            </w:r>
          </w:p>
        </w:tc>
      </w:tr>
      <w:tr>
        <w:trPr/>
        <w:tc>
          <w:tcPr>
            <w:tcW w:w="1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 September 30, 2025</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 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Location of Income (Loss) Reclassified from AOCI into Earnings (Effective Portion)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Three months ended </w:t>
              <w:br/>
              <w:t xml:space="preserve">September 30,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Nine months ended </w:t>
              <w:br/>
              <w:t xml:space="preserve">September 30, </w:t>
            </w:r>
          </w:p>
        </w:tc>
      </w:tr>
      <w:tr>
        <w:trPr/>
        <w:tc>
          <w:tcPr>
            <w:tcW w:w="1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1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Investment Hedges</w:t>
            </w:r>
          </w:p>
        </w:tc>
        <w:tc>
          <w:tcPr>
            <w:tcW w:w="10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Cross-currency swaps</w:t>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4,230 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16,300 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5"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9" w:type="dxa"/>
            <w:gridSpan w:val="3"/>
            <w:tcBorders/>
            <w:vAlign w:val="center"/>
          </w:tcPr>
          <w:p>
            <w:pPr>
              <w:pStyle w:val="TableContents"/>
              <w:bidi w:val="0"/>
              <w:spacing w:before="0" w:after="283"/>
              <w:jc w:val="left"/>
              <w:rPr>
                <w:sz w:val="4"/>
                <w:szCs w:val="4"/>
              </w:rPr>
            </w:pPr>
            <w:r>
              <w:rPr>
                <w:sz w:val="4"/>
                <w:szCs w:val="4"/>
              </w:rPr>
            </w:r>
          </w:p>
        </w:tc>
      </w:tr>
      <w:tr>
        <w:trPr/>
        <w:tc>
          <w:tcPr>
            <w:tcW w:w="1425"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9" w:type="dxa"/>
            <w:gridSpan w:val="3"/>
            <w:tcBorders/>
            <w:vAlign w:val="center"/>
          </w:tcPr>
          <w:p>
            <w:pPr>
              <w:pStyle w:val="TableContents"/>
              <w:bidi w:val="0"/>
              <w:spacing w:before="0" w:after="283"/>
              <w:jc w:val="left"/>
              <w:rPr>
                <w:sz w:val="4"/>
                <w:szCs w:val="4"/>
              </w:rPr>
            </w:pPr>
            <w:r>
              <w:rPr>
                <w:sz w:val="4"/>
                <w:szCs w:val="4"/>
              </w:rPr>
            </w:r>
          </w:p>
        </w:tc>
      </w:tr>
      <w:tr>
        <w:trPr/>
        <w:tc>
          <w:tcPr>
            <w:tcW w:w="1425"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9" w:type="dxa"/>
            <w:gridSpan w:val="3"/>
            <w:tcBorders/>
            <w:vAlign w:val="center"/>
          </w:tcPr>
          <w:p>
            <w:pPr>
              <w:pStyle w:val="TableContents"/>
              <w:bidi w:val="0"/>
              <w:spacing w:before="0" w:after="283"/>
              <w:jc w:val="left"/>
              <w:rPr>
                <w:sz w:val="4"/>
                <w:szCs w:val="4"/>
              </w:rPr>
            </w:pPr>
            <w:r>
              <w:rPr>
                <w:sz w:val="4"/>
                <w:szCs w:val="4"/>
              </w:rPr>
            </w:r>
          </w:p>
        </w:tc>
      </w:tr>
      <w:tr>
        <w:trPr/>
        <w:tc>
          <w:tcPr>
            <w:tcW w:w="1425"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160"/>
        <w:jc w:val="both"/>
        <w:rPr>
          <w:rFonts w:ascii="Times New Roman;serif" w:hAnsi="Times New Roman;serif"/>
          <w:b w:val="false"/>
          <w:color w:val="000000"/>
          <w:sz w:val="20"/>
        </w:rPr>
      </w:pPr>
      <w:r>
        <w:rPr>
          <w:rFonts w:ascii="Times New Roman;serif" w:hAnsi="Times New Roman;serif"/>
          <w:b w:val="false"/>
          <w:color w:val="000000"/>
          <w:sz w:val="20"/>
        </w:rPr>
        <w:t>Over the next 12 months, the Company does not expect to reclassify any pre-tax deferred amounts from AOCI into earnings.</w:t>
      </w:r>
    </w:p>
    <w:p>
      <w:pPr>
        <w:pStyle w:val="TextBody"/>
        <w:bidi w:val="0"/>
        <w:spacing w:lineRule="auto" w:line="288" w:before="160" w:after="160"/>
        <w:jc w:val="both"/>
        <w:rPr>
          <w:rFonts w:ascii="Times New Roman;serif" w:hAnsi="Times New Roman;serif"/>
          <w:b w:val="false"/>
          <w:i/>
          <w:color w:val="000000"/>
          <w:sz w:val="20"/>
        </w:rPr>
      </w:pPr>
      <w:r>
        <w:rPr>
          <w:rFonts w:ascii="Times New Roman;serif" w:hAnsi="Times New Roman;serif"/>
          <w:b w:val="false"/>
          <w:i/>
          <w:color w:val="000000"/>
          <w:sz w:val="20"/>
        </w:rPr>
        <w:t>Derivatives Not Designated as Hedging Instruments</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 xml:space="preserve">As of September 30, 2025, the Company was party to foreign currency exchange forward contracts to economically hedge changes in foreign currency rates with notional amounts of $150.6 million. The Company uses foreign exchange contracts to mitigate the risk associated with fluctuations in currency rates impacting cash flows related to certain of its receivables, payables and intercompany transactions denominated in foreign currencies. The foreign exchange contracts primarily mitigate currency exposures between the U.S. dollar and the Euro, Canadian dollar, Chinese yuan, and the Mexican peso, as well as between the Euro and British pound and the Brazilian Real and the British pound, and have various settlement dates through December 2025. These contracts are not designated as hedge instruments; therefore, gains and losses on these contracts are recognized each period directly into the consolidated statement of income.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e69bc5e88b0c4f53b7988ab1107efbce_7">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TRIMAS CORPORATION</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effects of derivatives not designated as hedging instruments on the Company's consolidated statement of income (dollars in thousands):</w:t>
      </w:r>
    </w:p>
    <w:tbl>
      <w:tblPr>
        <w:tblW w:w="10205" w:type="dxa"/>
        <w:jc w:val="left"/>
        <w:tblInd w:w="0" w:type="dxa"/>
        <w:tblLayout w:type="fixed"/>
        <w:tblCellMar>
          <w:top w:w="28" w:type="dxa"/>
          <w:left w:w="28" w:type="dxa"/>
          <w:bottom w:w="28" w:type="dxa"/>
          <w:right w:w="28" w:type="dxa"/>
        </w:tblCellMar>
      </w:tblPr>
      <w:tblGrid>
        <w:gridCol w:w="944"/>
        <w:gridCol w:w="700"/>
        <w:gridCol w:w="702"/>
        <w:gridCol w:w="109"/>
        <w:gridCol w:w="109"/>
        <w:gridCol w:w="109"/>
        <w:gridCol w:w="786"/>
        <w:gridCol w:w="786"/>
        <w:gridCol w:w="789"/>
        <w:gridCol w:w="109"/>
        <w:gridCol w:w="109"/>
        <w:gridCol w:w="109"/>
        <w:gridCol w:w="211"/>
        <w:gridCol w:w="651"/>
        <w:gridCol w:w="109"/>
        <w:gridCol w:w="109"/>
        <w:gridCol w:w="109"/>
        <w:gridCol w:w="109"/>
        <w:gridCol w:w="211"/>
        <w:gridCol w:w="616"/>
        <w:gridCol w:w="109"/>
        <w:gridCol w:w="109"/>
        <w:gridCol w:w="109"/>
        <w:gridCol w:w="109"/>
        <w:gridCol w:w="211"/>
        <w:gridCol w:w="651"/>
        <w:gridCol w:w="109"/>
        <w:gridCol w:w="109"/>
        <w:gridCol w:w="109"/>
        <w:gridCol w:w="109"/>
        <w:gridCol w:w="211"/>
        <w:gridCol w:w="616"/>
        <w:gridCol w:w="158"/>
      </w:tblGrid>
      <w:tr>
        <w:trPr/>
        <w:tc>
          <w:tcPr>
            <w:tcW w:w="944"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4"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Amount of Income (Loss) Recognized in </w:t>
              <w:br/>
              <w:t>Earnings on Derivatives</w:t>
            </w:r>
          </w:p>
        </w:tc>
      </w:tr>
      <w:tr>
        <w:trPr/>
        <w:tc>
          <w:tcPr>
            <w:tcW w:w="2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Three months ended </w:t>
              <w:br/>
              <w:t xml:space="preserve">September 30,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Nine months ended </w:t>
              <w:br/>
              <w:t xml:space="preserve">September 30, </w:t>
            </w:r>
          </w:p>
        </w:tc>
      </w:tr>
      <w:tr>
        <w:trPr/>
        <w:tc>
          <w:tcPr>
            <w:tcW w:w="2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Location of Income (Loss) Recognized in Earnings on Derivatives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23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Derivatives not designated as hedging instruments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Cross-currency swaps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160"/>
        <w:jc w:val="both"/>
        <w:rPr>
          <w:rFonts w:ascii="Times New Roman;serif" w:hAnsi="Times New Roman;serif"/>
          <w:b w:val="false"/>
          <w:i/>
          <w:color w:val="000000"/>
          <w:sz w:val="20"/>
        </w:rPr>
      </w:pPr>
      <w:r>
        <w:rPr>
          <w:rFonts w:ascii="Times New Roman;serif" w:hAnsi="Times New Roman;serif"/>
          <w:b w:val="false"/>
          <w:i/>
          <w:color w:val="000000"/>
          <w:sz w:val="20"/>
        </w:rPr>
        <w:t>Fair Value of Derivatives</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The fair value of the Company's derivatives are estimated using an income approach based on valuation techniques to convert future amounts to a single, discounted amount. Estimates of the fair value of the Company's cross-currency swaps and foreign exchange contracts use observable inputs such as interest rate yield curves and forward currency exchange rates. Fair value measurements and the fair value hierarchy level for the Company's assets and liabilities measured at fair value on a recurring basis as of September 30, 2025 and December 31, 2024 are shown below (dollars in thousands):  </w:t>
      </w:r>
    </w:p>
    <w:tbl>
      <w:tblPr>
        <w:tblW w:w="10205" w:type="dxa"/>
        <w:jc w:val="center"/>
        <w:tblInd w:w="0" w:type="dxa"/>
        <w:tblLayout w:type="fixed"/>
        <w:tblCellMar>
          <w:top w:w="28" w:type="dxa"/>
          <w:left w:w="28" w:type="dxa"/>
          <w:bottom w:w="28" w:type="dxa"/>
          <w:right w:w="28" w:type="dxa"/>
        </w:tblCellMar>
      </w:tblPr>
      <w:tblGrid>
        <w:gridCol w:w="701"/>
        <w:gridCol w:w="468"/>
        <w:gridCol w:w="446"/>
        <w:gridCol w:w="109"/>
        <w:gridCol w:w="109"/>
        <w:gridCol w:w="109"/>
        <w:gridCol w:w="305"/>
        <w:gridCol w:w="305"/>
        <w:gridCol w:w="306"/>
        <w:gridCol w:w="109"/>
        <w:gridCol w:w="109"/>
        <w:gridCol w:w="109"/>
        <w:gridCol w:w="226"/>
        <w:gridCol w:w="813"/>
        <w:gridCol w:w="117"/>
        <w:gridCol w:w="109"/>
        <w:gridCol w:w="109"/>
        <w:gridCol w:w="109"/>
        <w:gridCol w:w="491"/>
        <w:gridCol w:w="948"/>
        <w:gridCol w:w="258"/>
        <w:gridCol w:w="109"/>
        <w:gridCol w:w="109"/>
        <w:gridCol w:w="109"/>
        <w:gridCol w:w="304"/>
        <w:gridCol w:w="1105"/>
        <w:gridCol w:w="157"/>
        <w:gridCol w:w="109"/>
        <w:gridCol w:w="109"/>
        <w:gridCol w:w="109"/>
        <w:gridCol w:w="440"/>
        <w:gridCol w:w="848"/>
        <w:gridCol w:w="332"/>
      </w:tblGrid>
      <w:tr>
        <w:trPr/>
        <w:tc>
          <w:tcPr>
            <w:tcW w:w="701"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r>
      <w:tr>
        <w:trPr/>
        <w:tc>
          <w:tcPr>
            <w:tcW w:w="16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Frequency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Asset / (Liability)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Quoted Prices in Active Markets for Identical Assets</w:t>
              <w:br/>
              <w:t>(Level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Significant Other Observable Inputs</w:t>
              <w:br/>
              <w:t>(Level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Significant Unobservable Inputs</w:t>
              <w:br/>
              <w:t>(Level 3)</w:t>
            </w:r>
          </w:p>
        </w:tc>
      </w:tr>
      <w:tr>
        <w:trPr/>
        <w:tc>
          <w:tcPr>
            <w:tcW w:w="16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September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Cross-currency swaps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Recurring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(18,840)</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(18,840)</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 contracts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Recurring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(1,020)</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(1,020)</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December 31,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Cross-currency swaps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Recurring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(2,920)</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(2,920)</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Recurring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rFonts w:ascii="Times New Roman;serif" w:hAnsi="Times New Roman;serif"/>
          <w:b/>
          <w:color w:val="000000"/>
          <w:sz w:val="20"/>
        </w:rPr>
      </w:pPr>
      <w:r>
        <w:rPr>
          <w:rFonts w:ascii="Times New Roman;serif" w:hAnsi="Times New Roman;serif"/>
          <w:b/>
          <w:color w:val="000000"/>
          <w:sz w:val="20"/>
        </w:rPr>
        <w:t>11. Leases</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The majority of the Company's lease obligations are non-cancelable operating leases for certain equipment and facilities. The Company's finance leases are for certain equipment as part of the Company's acquisition of Aarts. Leases with an initial term of 12 months or less are not recorded on the balance sheet; expense related to these leases is recognized on a straight-line basis over the lease term.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e69bc5e88b0c4f53b7988ab1107efbce_7">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TRIMAS CORPORATION</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Supplemental balance sheet information related to the Company's leases are shown below (dollars in thousands):</w:t>
      </w:r>
    </w:p>
    <w:tbl>
      <w:tblPr>
        <w:tblW w:w="8870" w:type="dxa"/>
        <w:jc w:val="left"/>
        <w:tblInd w:w="0" w:type="dxa"/>
        <w:tblLayout w:type="fixed"/>
        <w:tblCellMar>
          <w:top w:w="28" w:type="dxa"/>
          <w:left w:w="28" w:type="dxa"/>
          <w:bottom w:w="28" w:type="dxa"/>
          <w:right w:w="28" w:type="dxa"/>
        </w:tblCellMar>
      </w:tblPr>
      <w:tblGrid>
        <w:gridCol w:w="661"/>
        <w:gridCol w:w="581"/>
        <w:gridCol w:w="587"/>
        <w:gridCol w:w="109"/>
        <w:gridCol w:w="109"/>
        <w:gridCol w:w="109"/>
        <w:gridCol w:w="954"/>
        <w:gridCol w:w="954"/>
        <w:gridCol w:w="957"/>
        <w:gridCol w:w="109"/>
        <w:gridCol w:w="109"/>
        <w:gridCol w:w="109"/>
        <w:gridCol w:w="325"/>
        <w:gridCol w:w="1112"/>
        <w:gridCol w:w="168"/>
        <w:gridCol w:w="109"/>
        <w:gridCol w:w="109"/>
        <w:gridCol w:w="109"/>
        <w:gridCol w:w="309"/>
        <w:gridCol w:w="1056"/>
        <w:gridCol w:w="225"/>
      </w:tblGrid>
      <w:tr>
        <w:trPr/>
        <w:tc>
          <w:tcPr>
            <w:tcW w:w="661"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1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Sheet 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2024</w:t>
            </w:r>
          </w:p>
        </w:tc>
      </w:tr>
      <w:tr>
        <w:trPr/>
        <w:tc>
          <w:tcPr>
            <w:tcW w:w="1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43,340 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40,480 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Property and equipment, net</w:t>
            </w:r>
            <w:r>
              <w:rPr>
                <w:color w:val="000000"/>
              </w:rPr>
              <w:t xml:space="preserve"> </w:t>
            </w:r>
            <w:r>
              <w:rPr>
                <w:rFonts w:ascii="Times New Roman;serif" w:hAnsi="Times New Roman;serif"/>
                <w:b w:val="false"/>
                <w:color w:val="000000"/>
                <w:sz w:val="13"/>
              </w:rPr>
              <w: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2,210 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2,110 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45,550 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42,590 </w:t>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 liabilities, current portion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9,110 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7,580 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 liabilities, current portion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530 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37,280 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35,520 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940 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1,160 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47,860 </w:t>
            </w:r>
          </w:p>
        </w:tc>
        <w:tc>
          <w:tcPr>
            <w:tcW w:w="1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44,720 </w:t>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8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160"/>
        <w:jc w:val="left"/>
        <w:rPr>
          <w:rFonts w:ascii="Times New Roman;serif" w:hAnsi="Times New Roman;serif"/>
          <w:b w:val="false"/>
          <w:color w:val="000000"/>
          <w:sz w:val="12"/>
        </w:rPr>
      </w:pPr>
      <w:r>
        <w:rPr>
          <w:rFonts w:ascii="Times New Roman;serif" w:hAnsi="Times New Roman;serif"/>
          <w:b w:val="false"/>
          <w:color w:val="000000"/>
          <w:sz w:val="12"/>
        </w:rPr>
        <w:t>__________________________</w:t>
      </w:r>
    </w:p>
    <w:p>
      <w:pPr>
        <w:pStyle w:val="TextBody"/>
        <w:bidi w:val="0"/>
        <w:spacing w:lineRule="auto" w:line="288" w:before="160" w:after="160"/>
        <w:ind w:left="0" w:right="0" w:hanging="360"/>
        <w:jc w:val="both"/>
        <w:rPr/>
      </w:pPr>
      <w:r>
        <w:rPr>
          <w:rFonts w:ascii="Times New Roman;serif" w:hAnsi="Times New Roman;serif"/>
          <w:b w:val="false"/>
          <w:color w:val="000000"/>
          <w:sz w:val="10"/>
        </w:rPr>
        <w:t>(a)     </w:t>
      </w:r>
      <w:r>
        <w:rPr>
          <w:rFonts w:ascii="Times New Roman;serif" w:hAnsi="Times New Roman;serif"/>
          <w:b w:val="false"/>
          <w:color w:val="000000"/>
          <w:sz w:val="16"/>
        </w:rPr>
        <w:t xml:space="preserve">Finance leases were recorded net of accumulated depreciation of $0.6 million and $0.4 million as of September 30, 2025 and December 31, 2024, respectively. </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The components of lease expense are as follows (dollars in thousands):</w:t>
      </w:r>
    </w:p>
    <w:tbl>
      <w:tblPr>
        <w:tblW w:w="10205" w:type="dxa"/>
        <w:jc w:val="left"/>
        <w:tblInd w:w="0" w:type="dxa"/>
        <w:tblLayout w:type="fixed"/>
        <w:tblCellMar>
          <w:top w:w="28" w:type="dxa"/>
          <w:left w:w="28" w:type="dxa"/>
          <w:bottom w:w="28" w:type="dxa"/>
          <w:right w:w="28" w:type="dxa"/>
        </w:tblCellMar>
      </w:tblPr>
      <w:tblGrid>
        <w:gridCol w:w="774"/>
        <w:gridCol w:w="531"/>
        <w:gridCol w:w="535"/>
        <w:gridCol w:w="109"/>
        <w:gridCol w:w="109"/>
        <w:gridCol w:w="109"/>
        <w:gridCol w:w="988"/>
        <w:gridCol w:w="713"/>
        <w:gridCol w:w="716"/>
        <w:gridCol w:w="109"/>
        <w:gridCol w:w="109"/>
        <w:gridCol w:w="109"/>
        <w:gridCol w:w="230"/>
        <w:gridCol w:w="672"/>
        <w:gridCol w:w="118"/>
        <w:gridCol w:w="118"/>
        <w:gridCol w:w="118"/>
        <w:gridCol w:w="118"/>
        <w:gridCol w:w="230"/>
        <w:gridCol w:w="672"/>
        <w:gridCol w:w="118"/>
        <w:gridCol w:w="109"/>
        <w:gridCol w:w="109"/>
        <w:gridCol w:w="109"/>
        <w:gridCol w:w="220"/>
        <w:gridCol w:w="754"/>
        <w:gridCol w:w="113"/>
        <w:gridCol w:w="113"/>
        <w:gridCol w:w="113"/>
        <w:gridCol w:w="113"/>
        <w:gridCol w:w="220"/>
        <w:gridCol w:w="754"/>
        <w:gridCol w:w="173"/>
      </w:tblGrid>
      <w:tr>
        <w:trPr/>
        <w:tc>
          <w:tcPr>
            <w:tcW w:w="774"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1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Three months ended September 30,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Nine months ended September 30, </w:t>
            </w:r>
          </w:p>
        </w:tc>
      </w:tr>
      <w:tr>
        <w:trPr/>
        <w:tc>
          <w:tcPr>
            <w:tcW w:w="1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Statement of Income 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1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 and Selling, general and administrative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2,900 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2,270 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8,400 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7,110 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of lease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on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variable and other lease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 and Selling, general and administrative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3,160 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4,200 </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3,360 </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11,990 </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10,490 </w:t>
            </w:r>
          </w:p>
        </w:tc>
        <w:tc>
          <w:tcPr>
            <w:tcW w:w="1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e69bc5e88b0c4f53b7988ab1107efbce_7">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TRIMAS CORPORATION</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60" w:after="160"/>
        <w:jc w:val="left"/>
        <w:rPr>
          <w:rFonts w:ascii="Times New Roman;serif" w:hAnsi="Times New Roman;serif"/>
          <w:b w:val="false"/>
          <w:color w:val="000000"/>
          <w:sz w:val="20"/>
        </w:rPr>
      </w:pPr>
      <w:r>
        <w:rPr>
          <w:rFonts w:ascii="Times New Roman;serif" w:hAnsi="Times New Roman;serif"/>
          <w:b w:val="false"/>
          <w:color w:val="000000"/>
          <w:sz w:val="20"/>
        </w:rPr>
        <w:t>Maturities of lease liabilities are as follows (dollars in thousands):</w:t>
      </w:r>
    </w:p>
    <w:tbl>
      <w:tblPr>
        <w:tblW w:w="8783" w:type="dxa"/>
        <w:jc w:val="center"/>
        <w:tblInd w:w="0" w:type="dxa"/>
        <w:tblLayout w:type="fixed"/>
        <w:tblCellMar>
          <w:top w:w="28" w:type="dxa"/>
          <w:left w:w="28" w:type="dxa"/>
          <w:bottom w:w="28" w:type="dxa"/>
          <w:right w:w="28" w:type="dxa"/>
        </w:tblCellMar>
      </w:tblPr>
      <w:tblGrid>
        <w:gridCol w:w="1842"/>
        <w:gridCol w:w="1618"/>
        <w:gridCol w:w="1625"/>
        <w:gridCol w:w="109"/>
        <w:gridCol w:w="109"/>
        <w:gridCol w:w="109"/>
        <w:gridCol w:w="322"/>
        <w:gridCol w:w="1101"/>
        <w:gridCol w:w="166"/>
        <w:gridCol w:w="109"/>
        <w:gridCol w:w="109"/>
        <w:gridCol w:w="109"/>
        <w:gridCol w:w="313"/>
        <w:gridCol w:w="914"/>
        <w:gridCol w:w="228"/>
      </w:tblGrid>
      <w:tr>
        <w:trPr/>
        <w:tc>
          <w:tcPr>
            <w:tcW w:w="1842" w:type="dxa"/>
            <w:tcBorders/>
            <w:vAlign w:val="center"/>
          </w:tcPr>
          <w:p>
            <w:pPr>
              <w:pStyle w:val="TableContents"/>
              <w:bidi w:val="0"/>
              <w:spacing w:before="0" w:after="283"/>
              <w:jc w:val="left"/>
              <w:rPr>
                <w:sz w:val="4"/>
                <w:szCs w:val="4"/>
              </w:rPr>
            </w:pPr>
            <w:r>
              <w:rPr>
                <w:sz w:val="4"/>
                <w:szCs w:val="4"/>
              </w:rPr>
            </w:r>
          </w:p>
        </w:tc>
        <w:tc>
          <w:tcPr>
            <w:tcW w:w="1618" w:type="dxa"/>
            <w:tcBorders/>
            <w:vAlign w:val="center"/>
          </w:tcPr>
          <w:p>
            <w:pPr>
              <w:pStyle w:val="TableContents"/>
              <w:bidi w:val="0"/>
              <w:spacing w:before="0" w:after="283"/>
              <w:jc w:val="left"/>
              <w:rPr>
                <w:sz w:val="4"/>
                <w:szCs w:val="4"/>
              </w:rPr>
            </w:pPr>
            <w:r>
              <w:rPr>
                <w:sz w:val="4"/>
                <w:szCs w:val="4"/>
              </w:rPr>
            </w:r>
          </w:p>
        </w:tc>
        <w:tc>
          <w:tcPr>
            <w:tcW w:w="16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5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Operating Leases</w:t>
            </w:r>
            <w:r>
              <w:rPr>
                <w:rFonts w:ascii="Times New Roman;serif" w:hAnsi="Times New Roman;serif"/>
                <w:b w:val="false"/>
                <w:color w:val="000000"/>
                <w:sz w:val="13"/>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Finance Leases</w:t>
            </w:r>
            <w:r>
              <w:rPr>
                <w:rFonts w:ascii="Times New Roman;serif" w:hAnsi="Times New Roman;serif"/>
                <w:b w:val="false"/>
                <w:color w:val="000000"/>
                <w:sz w:val="13"/>
              </w:rPr>
              <w:t>(a)</w:t>
            </w:r>
          </w:p>
        </w:tc>
      </w:tr>
      <w:tr>
        <w:trPr/>
        <w:tc>
          <w:tcPr>
            <w:tcW w:w="50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2025 (excluding the nine months ended September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2,720 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140 </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11,200 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640 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9,820 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7,850 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6,440 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14,200 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52,230 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1,530 </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Imputed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(5,840)</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w:t>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Present value of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46,390 </w:t>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1,470 </w:t>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160"/>
        <w:jc w:val="left"/>
        <w:rPr>
          <w:rFonts w:ascii="Times New Roman;serif" w:hAnsi="Times New Roman;serif"/>
          <w:b w:val="false"/>
          <w:color w:val="000000"/>
          <w:sz w:val="12"/>
        </w:rPr>
      </w:pPr>
      <w:r>
        <w:rPr>
          <w:rFonts w:ascii="Times New Roman;serif" w:hAnsi="Times New Roman;serif"/>
          <w:b w:val="false"/>
          <w:color w:val="000000"/>
          <w:sz w:val="12"/>
        </w:rPr>
        <w:t>__________________________</w:t>
      </w:r>
    </w:p>
    <w:p>
      <w:pPr>
        <w:pStyle w:val="TextBody"/>
        <w:bidi w:val="0"/>
        <w:spacing w:lineRule="auto" w:line="288" w:before="160" w:after="160"/>
        <w:ind w:left="0" w:right="0" w:hanging="360"/>
        <w:jc w:val="both"/>
        <w:rPr/>
      </w:pPr>
      <w:r>
        <w:rPr>
          <w:rFonts w:ascii="Times New Roman;serif" w:hAnsi="Times New Roman;serif"/>
          <w:b w:val="false"/>
          <w:color w:val="000000"/>
          <w:sz w:val="10"/>
        </w:rPr>
        <w:t>(a)     </w:t>
      </w:r>
      <w:r>
        <w:rPr>
          <w:rFonts w:ascii="Times New Roman;serif" w:hAnsi="Times New Roman;serif"/>
          <w:b w:val="false"/>
          <w:color w:val="000000"/>
          <w:sz w:val="16"/>
        </w:rPr>
        <w:t>The maturity table excludes cash flows associated with exited lease facilities. Liabilities for exited lease facilities are included in accrued liabilities and other long-term liabilities in the accompanying consolidated balance sheet.</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Other information related to the Company's leases are as follows (dollars in thousands):</w:t>
      </w:r>
    </w:p>
    <w:tbl>
      <w:tblPr>
        <w:tblW w:w="10205" w:type="dxa"/>
        <w:jc w:val="left"/>
        <w:tblInd w:w="0" w:type="dxa"/>
        <w:tblLayout w:type="fixed"/>
        <w:tblCellMar>
          <w:top w:w="28" w:type="dxa"/>
          <w:left w:w="28" w:type="dxa"/>
          <w:bottom w:w="28" w:type="dxa"/>
          <w:right w:w="28" w:type="dxa"/>
        </w:tblCellMar>
      </w:tblPr>
      <w:tblGrid>
        <w:gridCol w:w="1851"/>
        <w:gridCol w:w="1623"/>
        <w:gridCol w:w="1632"/>
        <w:gridCol w:w="109"/>
        <w:gridCol w:w="109"/>
        <w:gridCol w:w="10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56"/>
      </w:tblGrid>
      <w:tr>
        <w:trPr/>
        <w:tc>
          <w:tcPr>
            <w:tcW w:w="1851" w:type="dxa"/>
            <w:tcBorders/>
            <w:vAlign w:val="center"/>
          </w:tcPr>
          <w:p>
            <w:pPr>
              <w:pStyle w:val="TableContents"/>
              <w:bidi w:val="0"/>
              <w:spacing w:before="0" w:after="283"/>
              <w:jc w:val="left"/>
              <w:rPr>
                <w:sz w:val="4"/>
                <w:szCs w:val="4"/>
              </w:rPr>
            </w:pPr>
            <w:r>
              <w:rPr>
                <w:sz w:val="4"/>
                <w:szCs w:val="4"/>
              </w:rPr>
            </w:r>
          </w:p>
        </w:tc>
        <w:tc>
          <w:tcPr>
            <w:tcW w:w="1623" w:type="dxa"/>
            <w:tcBorders/>
            <w:vAlign w:val="center"/>
          </w:tcPr>
          <w:p>
            <w:pPr>
              <w:pStyle w:val="TableContents"/>
              <w:bidi w:val="0"/>
              <w:spacing w:before="0" w:after="283"/>
              <w:jc w:val="left"/>
              <w:rPr>
                <w:sz w:val="4"/>
                <w:szCs w:val="4"/>
              </w:rPr>
            </w:pPr>
            <w:r>
              <w:rPr>
                <w:sz w:val="4"/>
                <w:szCs w:val="4"/>
              </w:rPr>
            </w:r>
          </w:p>
        </w:tc>
        <w:tc>
          <w:tcPr>
            <w:tcW w:w="16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1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Three months ended </w:t>
              <w:br/>
              <w:t xml:space="preserve">September 30,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Nine months ended </w:t>
              <w:br/>
              <w:t xml:space="preserve">September 30, </w:t>
            </w:r>
          </w:p>
        </w:tc>
      </w:tr>
      <w:tr>
        <w:trPr/>
        <w:tc>
          <w:tcPr>
            <w:tcW w:w="51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51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amounts included in the measurement of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cash flows from operating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7,040 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cash flows from finance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cash flows from finance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 assets obtained in exchange for new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The weighted-average remaining lease term of the Company's operating leases and finance leases as of September 30, 2025 is 5.7 years and 1.8 years, respectively. The weighted-average discount rate for the operating leases and finance leases as of September 30, 2025 is 4.5% and 2.6%,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12. Other Long-term Liabilities</w:t>
      </w:r>
    </w:p>
    <w:p>
      <w:pPr>
        <w:pStyle w:val="TextBody"/>
        <w:bidi w:val="0"/>
        <w:spacing w:lineRule="auto" w:line="288" w:before="160" w:after="160"/>
        <w:jc w:val="left"/>
        <w:rPr>
          <w:rFonts w:ascii="Times New Roman;serif" w:hAnsi="Times New Roman;serif"/>
          <w:b w:val="false"/>
          <w:color w:val="000000"/>
          <w:sz w:val="20"/>
        </w:rPr>
      </w:pPr>
      <w:r>
        <w:rPr>
          <w:rFonts w:ascii="Times New Roman;serif" w:hAnsi="Times New Roman;serif"/>
          <w:b w:val="false"/>
          <w:color w:val="000000"/>
          <w:sz w:val="20"/>
        </w:rPr>
        <w:t>Other long-term liabilities consist of the following components (dollars in thousands):</w:t>
      </w:r>
    </w:p>
    <w:tbl>
      <w:tblPr>
        <w:tblW w:w="7104" w:type="dxa"/>
        <w:jc w:val="left"/>
        <w:tblInd w:w="0" w:type="dxa"/>
        <w:tblLayout w:type="fixed"/>
        <w:tblCellMar>
          <w:top w:w="28" w:type="dxa"/>
          <w:left w:w="28" w:type="dxa"/>
          <w:bottom w:w="28" w:type="dxa"/>
          <w:right w:w="28" w:type="dxa"/>
        </w:tblCellMar>
      </w:tblPr>
      <w:tblGrid>
        <w:gridCol w:w="1179"/>
        <w:gridCol w:w="1036"/>
        <w:gridCol w:w="1040"/>
        <w:gridCol w:w="109"/>
        <w:gridCol w:w="109"/>
        <w:gridCol w:w="109"/>
        <w:gridCol w:w="325"/>
        <w:gridCol w:w="1112"/>
        <w:gridCol w:w="168"/>
        <w:gridCol w:w="109"/>
        <w:gridCol w:w="109"/>
        <w:gridCol w:w="109"/>
        <w:gridCol w:w="309"/>
        <w:gridCol w:w="1056"/>
        <w:gridCol w:w="225"/>
      </w:tblGrid>
      <w:tr>
        <w:trPr/>
        <w:tc>
          <w:tcPr>
            <w:tcW w:w="1179"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2024</w:t>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asbestos-related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33,770 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27,200 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28,490 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15,340 </w:t>
            </w:r>
          </w:p>
        </w:tc>
        <w:tc>
          <w:tcPr>
            <w:tcW w:w="2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long-term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62,260 </w:t>
            </w:r>
          </w:p>
        </w:tc>
        <w:tc>
          <w:tcPr>
            <w:tcW w:w="1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42,540 </w:t>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e69bc5e88b0c4f53b7988ab1107efbce_7">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TRIMAS CORPORATION</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160" w:after="160"/>
        <w:jc w:val="left"/>
        <w:rPr>
          <w:rFonts w:ascii="Times New Roman;serif" w:hAnsi="Times New Roman;serif"/>
          <w:b/>
          <w:color w:val="000000"/>
          <w:sz w:val="20"/>
        </w:rPr>
      </w:pPr>
      <w:r>
        <w:rPr>
          <w:rFonts w:ascii="Times New Roman;serif" w:hAnsi="Times New Roman;serif"/>
          <w:b/>
          <w:color w:val="000000"/>
          <w:sz w:val="20"/>
        </w:rPr>
        <w:t xml:space="preserve">13. Commitments and Contingencies </w:t>
      </w:r>
    </w:p>
    <w:p>
      <w:pPr>
        <w:pStyle w:val="TextBody"/>
        <w:bidi w:val="0"/>
        <w:spacing w:lineRule="auto" w:line="288" w:before="160" w:after="160"/>
        <w:jc w:val="both"/>
        <w:rPr>
          <w:rFonts w:ascii="Times New Roman;serif" w:hAnsi="Times New Roman;serif"/>
          <w:b w:val="false"/>
          <w:i/>
          <w:color w:val="000000"/>
          <w:sz w:val="20"/>
        </w:rPr>
      </w:pPr>
      <w:r>
        <w:rPr>
          <w:rFonts w:ascii="Times New Roman;serif" w:hAnsi="Times New Roman;serif"/>
          <w:b w:val="false"/>
          <w:i/>
          <w:color w:val="000000"/>
          <w:sz w:val="20"/>
        </w:rPr>
        <w:t>Asbestos</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 xml:space="preserve">As of September 30, 2025, the Company was a party to 565 pending cases involving an aggregate of 5,033 claimants primarily alleging personal injury from exposure to asbestos containing materials formerly used in gaskets (both encapsulated and otherwise) manufactured or distributed by its former Lamons division and certain other related subsidiaries for use primarily in the petrochemical, refining and exploration industries. The following chart summarizes the number of claims, number of claims filed, number of claims dismissed, number of claims settled, the average settlement amount per claim and the total defense costs, at the applicable date and for the applicable periods: </w:t>
      </w:r>
    </w:p>
    <w:tbl>
      <w:tblPr>
        <w:tblW w:w="10205" w:type="dxa"/>
        <w:jc w:val="center"/>
        <w:tblInd w:w="0" w:type="dxa"/>
        <w:tblLayout w:type="fixed"/>
        <w:tblCellMar>
          <w:top w:w="28" w:type="dxa"/>
          <w:left w:w="28" w:type="dxa"/>
          <w:bottom w:w="28" w:type="dxa"/>
          <w:right w:w="28" w:type="dxa"/>
        </w:tblCellMar>
      </w:tblPr>
      <w:tblGrid>
        <w:gridCol w:w="686"/>
        <w:gridCol w:w="408"/>
        <w:gridCol w:w="410"/>
        <w:gridCol w:w="109"/>
        <w:gridCol w:w="109"/>
        <w:gridCol w:w="109"/>
        <w:gridCol w:w="329"/>
        <w:gridCol w:w="298"/>
        <w:gridCol w:w="299"/>
        <w:gridCol w:w="109"/>
        <w:gridCol w:w="109"/>
        <w:gridCol w:w="109"/>
        <w:gridCol w:w="262"/>
        <w:gridCol w:w="230"/>
        <w:gridCol w:w="231"/>
        <w:gridCol w:w="109"/>
        <w:gridCol w:w="109"/>
        <w:gridCol w:w="109"/>
        <w:gridCol w:w="285"/>
        <w:gridCol w:w="285"/>
        <w:gridCol w:w="286"/>
        <w:gridCol w:w="109"/>
        <w:gridCol w:w="109"/>
        <w:gridCol w:w="109"/>
        <w:gridCol w:w="215"/>
        <w:gridCol w:w="215"/>
        <w:gridCol w:w="216"/>
        <w:gridCol w:w="109"/>
        <w:gridCol w:w="109"/>
        <w:gridCol w:w="109"/>
        <w:gridCol w:w="309"/>
        <w:gridCol w:w="307"/>
        <w:gridCol w:w="254"/>
        <w:gridCol w:w="109"/>
        <w:gridCol w:w="109"/>
        <w:gridCol w:w="109"/>
        <w:gridCol w:w="212"/>
        <w:gridCol w:w="724"/>
        <w:gridCol w:w="109"/>
        <w:gridCol w:w="109"/>
        <w:gridCol w:w="109"/>
        <w:gridCol w:w="109"/>
        <w:gridCol w:w="211"/>
        <w:gridCol w:w="976"/>
        <w:gridCol w:w="159"/>
      </w:tblGrid>
      <w:tr>
        <w:trPr/>
        <w:tc>
          <w:tcPr>
            <w:tcW w:w="686"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5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Claims</w:t>
              <w:br/>
              <w:t>pending at</w:t>
              <w:br/>
              <w:t>beginning of</w:t>
              <w:br/>
              <w:t xml:space="preserve">period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Claims filed</w:t>
              <w:br/>
              <w:t>during</w:t>
              <w:br/>
              <w:t xml:space="preserve">period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Claims</w:t>
              <w:br/>
              <w:t>dismissed</w:t>
              <w:br/>
              <w:t>during</w:t>
              <w:br/>
              <w:t xml:space="preserve">period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Claims</w:t>
              <w:br/>
              <w:t>settled</w:t>
              <w:br/>
              <w:t>during</w:t>
              <w:br/>
              <w:t xml:space="preserve">period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Claims</w:t>
              <w:br/>
              <w:t>pending at</w:t>
              <w:br/>
              <w:t>end of</w:t>
              <w:br/>
              <w:t xml:space="preserve">period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Average</w:t>
              <w:br/>
              <w:t>settlement</w:t>
              <w:br/>
              <w:t>amount per</w:t>
              <w:br/>
              <w:t>claim during</w:t>
              <w:br/>
              <w:t xml:space="preserve">period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 defense</w:t>
              <w:br/>
              <w:t>costs during</w:t>
              <w:br/>
              <w:t xml:space="preserve">period </w:t>
            </w:r>
          </w:p>
        </w:tc>
      </w:tr>
      <w:tr>
        <w:trPr/>
        <w:tc>
          <w:tcPr>
            <w:tcW w:w="1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Nine Months Ended September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4,968 </w:t>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237 </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5,033 </w:t>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1,110,000 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Fiscal Year Ended December 31,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4,863 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4,968 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1,750,000 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16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the Company acquired various companies to distribute its products that had distributed gaskets of other manufacturers prior to acquisition. The Company believes that many of its pending cases relate to locations at which none of its gaskets were distributed or used. </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The Company may be subjected to significant additional asbestos-related claims in the future, and will aggressively defend or reasonably resolve, as appropriate. The cost of settling cases in which product identification can be made may increase, and the Company may be subjected to further claims in respect of the former activities of its acquired gasket distributors. The cost of claims varies as claims may be initially made in some jurisdictions without specifying the amount sought or by simply stating the requisite or maximum permissible monetary relief, and may be amended to alter the amount sought. The large majority of claims do not specify the amount sought. Of the 5,033 claims pending at September 30, 2025, 38 set forth specific amounts of damages (other than those stating the statutory minimum or maximum). At September 30, 2025, of the 38 claims that set forth specific amounts, there were no claims seeking more than $5 million for punitive damages. Below is a breakdown of the compensatory damages sought for those claims seeking specific amounts:</w:t>
      </w:r>
    </w:p>
    <w:tbl>
      <w:tblPr>
        <w:tblW w:w="8937" w:type="dxa"/>
        <w:jc w:val="center"/>
        <w:tblInd w:w="0" w:type="dxa"/>
        <w:tblLayout w:type="fixed"/>
        <w:tblCellMar>
          <w:top w:w="28" w:type="dxa"/>
          <w:left w:w="28" w:type="dxa"/>
          <w:bottom w:w="28" w:type="dxa"/>
          <w:right w:w="28" w:type="dxa"/>
        </w:tblCellMar>
      </w:tblPr>
      <w:tblGrid>
        <w:gridCol w:w="1395"/>
        <w:gridCol w:w="1227"/>
        <w:gridCol w:w="1232"/>
        <w:gridCol w:w="109"/>
        <w:gridCol w:w="109"/>
        <w:gridCol w:w="109"/>
        <w:gridCol w:w="109"/>
        <w:gridCol w:w="109"/>
        <w:gridCol w:w="178"/>
        <w:gridCol w:w="178"/>
        <w:gridCol w:w="178"/>
        <w:gridCol w:w="178"/>
        <w:gridCol w:w="325"/>
        <w:gridCol w:w="325"/>
        <w:gridCol w:w="325"/>
        <w:gridCol w:w="109"/>
        <w:gridCol w:w="109"/>
        <w:gridCol w:w="109"/>
        <w:gridCol w:w="324"/>
        <w:gridCol w:w="324"/>
        <w:gridCol w:w="326"/>
        <w:gridCol w:w="109"/>
        <w:gridCol w:w="109"/>
        <w:gridCol w:w="109"/>
        <w:gridCol w:w="174"/>
        <w:gridCol w:w="174"/>
        <w:gridCol w:w="176"/>
        <w:gridCol w:w="109"/>
        <w:gridCol w:w="109"/>
        <w:gridCol w:w="109"/>
        <w:gridCol w:w="109"/>
        <w:gridCol w:w="109"/>
        <w:gridCol w:w="154"/>
      </w:tblGrid>
      <w:tr>
        <w:trPr/>
        <w:tc>
          <w:tcPr>
            <w:tcW w:w="1395"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7"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Compensatory</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4" w:type="dxa"/>
            <w:gridSpan w:val="3"/>
            <w:tcBorders/>
            <w:vAlign w:val="center"/>
          </w:tcPr>
          <w:p>
            <w:pPr>
              <w:pStyle w:val="TableContents"/>
              <w:bidi w:val="0"/>
              <w:spacing w:before="0" w:after="283"/>
              <w:jc w:val="left"/>
              <w:rPr>
                <w:sz w:val="4"/>
                <w:szCs w:val="4"/>
              </w:rPr>
            </w:pPr>
            <w:r>
              <w:rPr>
                <w:sz w:val="4"/>
                <w:szCs w:val="4"/>
              </w:rPr>
            </w:r>
          </w:p>
        </w:tc>
        <w:tc>
          <w:tcPr>
            <w:tcW w:w="1550" w:type="dxa"/>
            <w:gridSpan w:val="12"/>
            <w:tcBorders/>
          </w:tcPr>
          <w:p>
            <w:pPr>
              <w:pStyle w:val="TableContents"/>
              <w:bidi w:val="0"/>
              <w:spacing w:before="0" w:after="283"/>
              <w:jc w:val="left"/>
              <w:rPr>
                <w:sz w:val="4"/>
                <w:szCs w:val="4"/>
              </w:rPr>
            </w:pPr>
            <w:r>
              <w:rPr>
                <w:sz w:val="4"/>
                <w:szCs w:val="4"/>
              </w:rPr>
            </w:r>
          </w:p>
        </w:tc>
      </w:tr>
      <w:tr>
        <w:trPr/>
        <w:tc>
          <w:tcPr>
            <w:tcW w:w="38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Range of damages sought (dollars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9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$0.0 to $0.6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$0.6 to $5.0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$5.0+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Number of claims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9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160"/>
        <w:jc w:val="both"/>
        <w:rPr>
          <w:rFonts w:ascii="Times New Roman;serif" w:hAnsi="Times New Roman;serif"/>
          <w:b w:val="false"/>
          <w:color w:val="000000"/>
          <w:sz w:val="20"/>
        </w:rPr>
      </w:pPr>
      <w:r>
        <w:rPr>
          <w:rFonts w:ascii="Times New Roman;serif" w:hAnsi="Times New Roman;serif"/>
          <w:b w:val="false"/>
          <w:color w:val="000000"/>
          <w:sz w:val="20"/>
        </w:rPr>
        <w:t xml:space="preserve">Relatively few claims have reached the discovery stage and even fewer claims have gone past the discovery stage. Total settlement costs (exclusive of defense costs) for all such cases, some of which were filed over 30 years ago, have been $14.0 million. All relief sought in the asbestos cases is monetary in nature. Based on the settlements made to date and the number of claims dismissed or withdrawn for lack of product identification, the Company believes that the relief sought (when specified) does not bear a reasonable relationship to its potential liability. </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records a liability for asbestos-related claims, which includes both known and unknown claims, based on a study from the Company’s third-party actuary, the Company's review of the study, as well as the Company’s own review of asbestos claims and claim resolution activity.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e69bc5e88b0c4f53b7988ab1107efbce_7">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TRIMAS CORPORATION</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In the third quarter of 2024, the Company commissioned its actuary to update the study, based on data as of May 31, 2024. The Company recorded a pre-tax charge of $5.5 million to increase the liability estimate to $31.0 million, at the low end of the range. In the third quarter of 2025, the Company commissioned its actuary to update the asbestos study based on data as of July 31, 2025, which yielded a range of possible future liability of $36.6 million to $48.9 million, before consideration of any potential insurance recoveries. The Company did not believe any amount within the range of potential outcomes represented a better estimate than another given the many factors and assumptions inherent in the projections, and therefore recorded a pre-tax charge of $8.0 million to increase the liability estimate to $36.6 million, at the low end of the range. As of September 30, 2025 and December 31, 2024, the Company’s total asbestos-related liability was $36.6 million and $29.7 million, respectively, and is included in accrued liabilities and other long-term liabilities in the accompanying consolidated balance sheet. It is reasonably possible that a change in the estimate could occur in the near term.</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Company’s primary insurance, which covered approximately 40% of historical costs related to settlement and defense of asbestos litigation, expired in November 2018, upon which the Company became solely responsible for defense costs and indemnity payments. The Company is party to a coverage-in-place agreement (entered into in 2006) with its first level excess carriers regarding the coverage to be provided to the Company for asbestos-related claims. The coverage-in-place agreement makes asbestos defense costs and indemnity insurance coverage available to the Company that might otherwise be disputed by the carriers and provides a methodology for the administration of such expenses. Prior to the commencement of coverage under this agreement, the Company was solely responsible for defense costs and indemnity payments. During the three months ended June 30, 2025, the Company reached the threshold of qualified future settlements required to commence excess carrier insurance coverage under the coverage-in-place agreement. Through the three months ended September 30, 2025, the Company has continued to make progress in transitioning the administration and settlement of asbestos defense costs and indemnity payments to the insurance carriers under the coverage-in-place agreement, and payments of asbestos-related claims costs have begun to be paid by the insurance carriers in accordance with the contractual terms of the agreement. As of September 30, 2025, the Company has not recognized an asbestos-related insurance recovery asset corresponding to its asbestos-related liability. The Company will continue to reassess its estimate of insurance recoveries and corresponding accounting for any such recoveries as the facts and circumstances change.</w:t>
      </w:r>
    </w:p>
    <w:p>
      <w:pPr>
        <w:pStyle w:val="TextBody"/>
        <w:bidi w:val="0"/>
        <w:spacing w:lineRule="auto" w:line="276" w:before="160" w:after="160"/>
        <w:jc w:val="both"/>
        <w:rPr>
          <w:rFonts w:ascii="Times New Roman;serif" w:hAnsi="Times New Roman;serif"/>
          <w:b w:val="false"/>
          <w:color w:val="000000"/>
          <w:sz w:val="20"/>
        </w:rPr>
      </w:pPr>
      <w:r>
        <w:rPr>
          <w:rFonts w:ascii="Times New Roman;serif" w:hAnsi="Times New Roman;serif"/>
          <w:b w:val="false"/>
          <w:color w:val="000000"/>
          <w:sz w:val="20"/>
        </w:rPr>
        <w:t>Changes in the carrying amount of the asbestos liability and insurance recovery asset for the nine months ended September 30, 2025 and 2024 are summarized as follows (dollars in thousands):</w:t>
      </w:r>
    </w:p>
    <w:tbl>
      <w:tblPr>
        <w:tblW w:w="8141" w:type="dxa"/>
        <w:jc w:val="left"/>
        <w:tblInd w:w="0" w:type="dxa"/>
        <w:tblLayout w:type="fixed"/>
        <w:tblCellMar>
          <w:top w:w="28" w:type="dxa"/>
          <w:left w:w="28" w:type="dxa"/>
          <w:bottom w:w="28" w:type="dxa"/>
          <w:right w:w="28" w:type="dxa"/>
        </w:tblCellMar>
      </w:tblPr>
      <w:tblGrid>
        <w:gridCol w:w="902"/>
        <w:gridCol w:w="792"/>
        <w:gridCol w:w="796"/>
        <w:gridCol w:w="109"/>
        <w:gridCol w:w="109"/>
        <w:gridCol w:w="109"/>
        <w:gridCol w:w="301"/>
        <w:gridCol w:w="1029"/>
        <w:gridCol w:w="155"/>
        <w:gridCol w:w="109"/>
        <w:gridCol w:w="109"/>
        <w:gridCol w:w="109"/>
        <w:gridCol w:w="609"/>
        <w:gridCol w:w="1173"/>
        <w:gridCol w:w="317"/>
        <w:gridCol w:w="109"/>
        <w:gridCol w:w="109"/>
        <w:gridCol w:w="109"/>
        <w:gridCol w:w="211"/>
        <w:gridCol w:w="721"/>
        <w:gridCol w:w="154"/>
      </w:tblGrid>
      <w:tr>
        <w:trPr/>
        <w:tc>
          <w:tcPr>
            <w:tcW w:w="902"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1173"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Asbestos Liability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Insurance Recovery Asset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Net</w:t>
            </w:r>
          </w:p>
        </w:tc>
      </w:tr>
      <w:tr>
        <w:trPr/>
        <w:tc>
          <w:tcPr>
            <w:tcW w:w="2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29,660 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29,660 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Asbestos remeasurement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8,030 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(1,090)</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September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36,600 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36,600 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2,830 </w:t>
            </w:r>
          </w:p>
        </w:tc>
        <w:tc>
          <w:tcPr>
            <w:tcW w:w="15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7"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portion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33,770 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8141" w:type="dxa"/>
        <w:jc w:val="left"/>
        <w:tblInd w:w="0" w:type="dxa"/>
        <w:tblLayout w:type="fixed"/>
        <w:tblCellMar>
          <w:top w:w="28" w:type="dxa"/>
          <w:left w:w="28" w:type="dxa"/>
          <w:bottom w:w="28" w:type="dxa"/>
          <w:right w:w="28" w:type="dxa"/>
        </w:tblCellMar>
      </w:tblPr>
      <w:tblGrid>
        <w:gridCol w:w="902"/>
        <w:gridCol w:w="792"/>
        <w:gridCol w:w="796"/>
        <w:gridCol w:w="109"/>
        <w:gridCol w:w="109"/>
        <w:gridCol w:w="109"/>
        <w:gridCol w:w="301"/>
        <w:gridCol w:w="1029"/>
        <w:gridCol w:w="155"/>
        <w:gridCol w:w="109"/>
        <w:gridCol w:w="109"/>
        <w:gridCol w:w="109"/>
        <w:gridCol w:w="609"/>
        <w:gridCol w:w="1173"/>
        <w:gridCol w:w="317"/>
        <w:gridCol w:w="109"/>
        <w:gridCol w:w="109"/>
        <w:gridCol w:w="109"/>
        <w:gridCol w:w="211"/>
        <w:gridCol w:w="721"/>
        <w:gridCol w:w="154"/>
      </w:tblGrid>
      <w:tr>
        <w:trPr/>
        <w:tc>
          <w:tcPr>
            <w:tcW w:w="902"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1173"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Asbestos Liability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Insurance Recovery Asset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Net</w:t>
            </w:r>
          </w:p>
        </w:tc>
      </w:tr>
      <w:tr>
        <w:trPr/>
        <w:tc>
          <w:tcPr>
            <w:tcW w:w="2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26,580 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26,580 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Asbestos remeasurement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5,510 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(1,950)</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September 30,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30,140 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30,140 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2,450 </w:t>
            </w:r>
          </w:p>
        </w:tc>
        <w:tc>
          <w:tcPr>
            <w:tcW w:w="15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7"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portion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27,690 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e69bc5e88b0c4f53b7988ab1107efbce_7">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TRIMAS CORPORATION</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76" w:before="160" w:after="160"/>
        <w:jc w:val="both"/>
        <w:rPr>
          <w:rFonts w:ascii="Times New Roman;serif" w:hAnsi="Times New Roman;serif"/>
          <w:b w:val="false"/>
          <w:color w:val="000000"/>
          <w:sz w:val="20"/>
        </w:rPr>
      </w:pPr>
      <w:r>
        <w:rPr>
          <w:rFonts w:ascii="Times New Roman;serif" w:hAnsi="Times New Roman;serif"/>
          <w:b w:val="false"/>
          <w:color w:val="000000"/>
          <w:sz w:val="20"/>
        </w:rPr>
        <w:t>Asbestos-related costs as included in the accompanying consolidated statement of income is summarized as follows (dollars in thousands):</w:t>
      </w:r>
    </w:p>
    <w:tbl>
      <w:tblPr>
        <w:tblW w:w="5602" w:type="dxa"/>
        <w:jc w:val="left"/>
        <w:tblInd w:w="0" w:type="dxa"/>
        <w:tblLayout w:type="fixed"/>
        <w:tblCellMar>
          <w:top w:w="28" w:type="dxa"/>
          <w:left w:w="28" w:type="dxa"/>
          <w:bottom w:w="28" w:type="dxa"/>
          <w:right w:w="28" w:type="dxa"/>
        </w:tblCellMar>
      </w:tblPr>
      <w:tblGrid>
        <w:gridCol w:w="885"/>
        <w:gridCol w:w="779"/>
        <w:gridCol w:w="781"/>
        <w:gridCol w:w="109"/>
        <w:gridCol w:w="109"/>
        <w:gridCol w:w="109"/>
        <w:gridCol w:w="266"/>
        <w:gridCol w:w="778"/>
        <w:gridCol w:w="137"/>
        <w:gridCol w:w="137"/>
        <w:gridCol w:w="137"/>
        <w:gridCol w:w="137"/>
        <w:gridCol w:w="266"/>
        <w:gridCol w:w="778"/>
        <w:gridCol w:w="194"/>
      </w:tblGrid>
      <w:tr>
        <w:trPr/>
        <w:tc>
          <w:tcPr>
            <w:tcW w:w="885"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Nine months ended September 30, </w:t>
            </w:r>
          </w:p>
        </w:tc>
      </w:tr>
      <w:tr>
        <w:trPr/>
        <w:tc>
          <w:tcPr>
            <w:tcW w:w="2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4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2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Asbestos remeasurement,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8,030 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5,510 </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Asbestos-related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8,030 </w:t>
            </w:r>
          </w:p>
        </w:tc>
        <w:tc>
          <w:tcPr>
            <w:tcW w:w="1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5,510 </w:t>
            </w:r>
          </w:p>
        </w:tc>
        <w:tc>
          <w:tcPr>
            <w:tcW w:w="1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Based upon the Company's experience to date, including the trend in annual defense and settlement costs incurred to date, and other available information (including the availability of excess insurance), the Company does not believe these cases will have a material adverse effect on its financial position, results of operations, or cash flows.</w:t>
      </w:r>
    </w:p>
    <w:p>
      <w:pPr>
        <w:pStyle w:val="TextBody"/>
        <w:bidi w:val="0"/>
        <w:spacing w:lineRule="auto" w:line="288" w:before="160" w:after="160"/>
        <w:jc w:val="both"/>
        <w:rPr>
          <w:rFonts w:ascii="Times New Roman;serif" w:hAnsi="Times New Roman;serif"/>
          <w:b w:val="false"/>
          <w:i/>
          <w:color w:val="000000"/>
          <w:sz w:val="20"/>
        </w:rPr>
      </w:pPr>
      <w:r>
        <w:rPr>
          <w:rFonts w:ascii="Times New Roman;serif" w:hAnsi="Times New Roman;serif"/>
          <w:b w:val="false"/>
          <w:i/>
          <w:color w:val="000000"/>
          <w:sz w:val="20"/>
        </w:rPr>
        <w:t>Claims and Litigation</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The Company is subject to other claims and litigation in the ordinary course of business, but does not believe that any such claim or litigation will have a material adverse effect on its financial position and results of operations or cash flows.</w:t>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Environmental</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The Company is responsible for environmental remediation at currently or previously owned facilities and waste sites, including sites defined under the Comprehensive Environmental Response, Compensation, and Liability Act, commonly referred to as “Superfund” for which the Company has been named a potential responsible party. During the three and nine months ended September 30, 2025, the Company recorded no charges related to environmental remediation costs. During the three and nine months ended September 30, 2024, the Company recorded pre-tax charges of $1.8 million and $2.5 million, respectively, within selling, general and administrative expenses in the accompanying consolidated statement of income related to environmental remediation costs. As of September 30, 2025 and December 31, 2024, the Company’s total environmental remediation obligation was $3.3 million. The accrual is primarily based on environmental cost estimates provided by third parties and represents the best estimate of the Company’s proportionate share of costs to be incurred for site remediation efforts. Actual costs incurred resulting from the ultimate resolution of these uncertainties could exceed the amount accrued.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rFonts w:ascii="Times New Roman;serif" w:hAnsi="Times New Roman;serif"/>
          <w:b/>
          <w:color w:val="000000"/>
          <w:sz w:val="20"/>
        </w:rPr>
      </w:pPr>
      <w:r>
        <w:rPr>
          <w:rFonts w:ascii="Times New Roman;serif" w:hAnsi="Times New Roman;serif"/>
          <w:b/>
          <w:color w:val="000000"/>
          <w:sz w:val="20"/>
        </w:rPr>
        <w:t xml:space="preserve">14. Segment Information </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The Company defines its segments consistent with how internally reported financial information is regularly reviewed by TriMas' President and Chief Executive Officer (chief operating decision maker) to analyze financial performance, make decisions, and allocate resources. TriMas reports its operations in three segments: Packaging, Aerospace and Specialty Products. Each of these segments has discrete financial information that is regularly evaluated by the chief operating decision maker. The chief operating decision maker uses segment operating profit when assessing segment performance, determining resource and capital allocation and developing overall strategic direction of the Company. The chief operating decision maker analyzes segment operating profit on a monthly basis by comparing actual results to forecasted and budgeted expectations to assess performance. During the three months ended September 30, 2025, the Company updated its key reports used by its chief operating decision maker to include segment operating profit.</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 xml:space="preserve">See below for more information regarding the types of products and services provided within each reportable segment: </w:t>
      </w:r>
    </w:p>
    <w:p>
      <w:pPr>
        <w:pStyle w:val="TextBody"/>
        <w:bidi w:val="0"/>
        <w:spacing w:lineRule="auto" w:line="288" w:before="160" w:after="160"/>
        <w:jc w:val="both"/>
        <w:rPr/>
      </w:pPr>
      <w:r>
        <w:rPr>
          <w:rFonts w:ascii="Times New Roman;serif" w:hAnsi="Times New Roman;serif"/>
          <w:b/>
          <w:color w:val="000000"/>
          <w:sz w:val="20"/>
        </w:rPr>
        <w:t xml:space="preserve">Packaging – </w:t>
      </w:r>
      <w:r>
        <w:rPr>
          <w:rFonts w:ascii="Times New Roman;serif" w:hAnsi="Times New Roman;serif"/>
          <w:b w:val="false"/>
          <w:color w:val="000000"/>
          <w:sz w:val="20"/>
        </w:rPr>
        <w:t xml:space="preserve">TriMas' Packaging business develops and manufactures a broad array of dispensing products (such as foaming pumps, lotion, hand soap and sanitizer pumps, beverage dispensers, perfume sprayers, nasal sprayers and trigger sprayers), polymeric and steel caps and closures (such as food lids, flip-top closures, child resistant caps, beverage closures, fragrance and cosmetic caps, drum and pail closures, and flexible spouts), polymeric jar products, fully integrated dispensers for fill-ready bag-in-box applications, and consumable vascular delivery and diagnostic test components, all for a variety of consumer products submarkets including, but not limited to, beauty and personal care, food and beverage, home care, and life sciences, including, but not limited to, pharmaceutical, nutraceutical, and medical, as well as industrial markets (including agricultural). </w:t>
      </w:r>
    </w:p>
    <w:p>
      <w:pPr>
        <w:pStyle w:val="TextBody"/>
        <w:bidi w:val="0"/>
        <w:spacing w:lineRule="auto" w:line="288" w:before="160" w:after="160"/>
        <w:jc w:val="both"/>
        <w:rPr/>
      </w:pPr>
      <w:r>
        <w:rPr>
          <w:rFonts w:ascii="Times New Roman;serif" w:hAnsi="Times New Roman;serif"/>
          <w:b/>
          <w:color w:val="000000"/>
          <w:sz w:val="20"/>
        </w:rPr>
        <w:t xml:space="preserve">Aerospace – </w:t>
      </w:r>
      <w:r>
        <w:rPr>
          <w:rFonts w:ascii="Times New Roman;serif" w:hAnsi="Times New Roman;serif"/>
          <w:b w:val="false"/>
          <w:color w:val="000000"/>
          <w:sz w:val="20"/>
        </w:rPr>
        <w:t>TriMas' Aerospace business develops, qualifies and manufactures highly-engineered, precision fasteners, tubular products and assemblies for fluid conveyance, and machined products and assemblies to serve the aerospace and defense market. TriMas' Aerospace segment includes GMT Aerospace, acquired on February 17, 2025, which the Company has renamed TriMas Aerospace Germany.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e69bc5e88b0c4f53b7988ab1107efbce_7">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TRIMAS CORPORATION</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160" w:after="160"/>
        <w:jc w:val="both"/>
        <w:rPr/>
      </w:pPr>
      <w:r>
        <w:rPr>
          <w:rFonts w:ascii="Times New Roman;serif" w:hAnsi="Times New Roman;serif"/>
          <w:b/>
          <w:color w:val="000000"/>
          <w:sz w:val="20"/>
        </w:rPr>
        <w:t xml:space="preserve">Specialty Products – </w:t>
      </w:r>
      <w:r>
        <w:rPr>
          <w:rFonts w:ascii="Times New Roman;serif" w:hAnsi="Times New Roman;serif"/>
          <w:b w:val="false"/>
          <w:color w:val="000000"/>
          <w:sz w:val="20"/>
        </w:rPr>
        <w:t>TriMas' Specialty Products segment, which includes the Norris Cylinder business, designs, manufactures and distributes highly-engineered steel cylinders for use within industrial and aerospace markets. On January 31, 2025, the Company completed the divestiture of its Arrow Engine business within its Specialty Products segment. The Arrow Engine business manufactured and distributed natural gas-fired engines for remote power generation applications and compression systems for use within the North American industrial oil and gas markets.</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Corporate consists of the corporate office and related corporate activities. Corporate expenses primarily include compensation, benefits, professional services, information technology and other administrative costs. Corporate assets consist primarily of cash and cash equivalents, unallocated deferred tax assets and prepaid assets. Corporate expenses and assets reconcile reportable segment information to the consolidated totals.</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Segment activity is as follows (dollars in thousands):</w:t>
      </w:r>
    </w:p>
    <w:tbl>
      <w:tblPr>
        <w:tblW w:w="10205" w:type="dxa"/>
        <w:jc w:val="left"/>
        <w:tblInd w:w="0" w:type="dxa"/>
        <w:tblLayout w:type="fixed"/>
        <w:tblCellMar>
          <w:top w:w="28" w:type="dxa"/>
          <w:left w:w="28" w:type="dxa"/>
          <w:bottom w:w="28" w:type="dxa"/>
          <w:right w:w="28" w:type="dxa"/>
        </w:tblCellMar>
      </w:tblPr>
      <w:tblGrid>
        <w:gridCol w:w="1353"/>
        <w:gridCol w:w="1189"/>
        <w:gridCol w:w="1192"/>
        <w:gridCol w:w="109"/>
        <w:gridCol w:w="109"/>
        <w:gridCol w:w="109"/>
        <w:gridCol w:w="211"/>
        <w:gridCol w:w="826"/>
        <w:gridCol w:w="109"/>
        <w:gridCol w:w="109"/>
        <w:gridCol w:w="109"/>
        <w:gridCol w:w="109"/>
        <w:gridCol w:w="211"/>
        <w:gridCol w:w="826"/>
        <w:gridCol w:w="109"/>
        <w:gridCol w:w="109"/>
        <w:gridCol w:w="109"/>
        <w:gridCol w:w="109"/>
        <w:gridCol w:w="340"/>
        <w:gridCol w:w="1164"/>
        <w:gridCol w:w="176"/>
        <w:gridCol w:w="109"/>
        <w:gridCol w:w="109"/>
        <w:gridCol w:w="109"/>
        <w:gridCol w:w="211"/>
        <w:gridCol w:w="826"/>
        <w:gridCol w:w="154"/>
      </w:tblGrid>
      <w:tr>
        <w:trPr/>
        <w:tc>
          <w:tcPr>
            <w:tcW w:w="1353"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Packaging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Aerospace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Specialty Products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Three Months Ended September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135,700 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103,240 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30,320 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269,260 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(104,980)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(71,800)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(26,570)</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(1,310)</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segment items</w:t>
            </w:r>
            <w:r>
              <w:rPr>
                <w:color w:val="000000"/>
              </w:rPr>
              <w:t xml:space="preserve"> </w:t>
            </w:r>
            <w:r>
              <w:rPr>
                <w:rFonts w:ascii="Times New Roman;serif" w:hAnsi="Times New Roman;serif"/>
                <w:b w:val="false"/>
                <w:color w:val="000000"/>
                <w:sz w:val="13"/>
              </w:rPr>
              <w: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operating profit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2,370 </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Corporate </w:t>
            </w:r>
            <w:r>
              <w:rPr>
                <w:rFonts w:ascii="Times New Roman;serif" w:hAnsi="Times New Roman;serif"/>
                <w:b w:val="false"/>
                <w:color w:val="000000"/>
                <w:sz w:val="13"/>
              </w:rPr>
              <w:t>(b)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(22,270)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12,120 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Three Months Ended September 30,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130,240 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70,830 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28,290 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229,360 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(99,240)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(24,070)</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(1,840)</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segment items</w:t>
            </w:r>
            <w:r>
              <w:rPr>
                <w:color w:val="000000"/>
              </w:rPr>
              <w:t xml:space="preserve"> </w:t>
            </w:r>
            <w:r>
              <w:rPr>
                <w:rFonts w:ascii="Times New Roman;serif" w:hAnsi="Times New Roman;serif"/>
                <w:b w:val="false"/>
                <w:color w:val="000000"/>
                <w:sz w:val="13"/>
              </w:rPr>
              <w: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operating profit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6,310 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2,290 </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Corporate </w:t>
            </w:r>
            <w:r>
              <w:rPr>
                <w:rFonts w:ascii="Times New Roman;serif" w:hAnsi="Times New Roman;serif"/>
                <w:b w:val="false"/>
                <w:color w:val="000000"/>
                <w:sz w:val="13"/>
              </w:rPr>
              <w:t>(c)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(18,250)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Nine Months Ended September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406,280 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295,460 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83,950 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785,690 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(308,550)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(208,050)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(76,430)</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(4,970)</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segment items</w:t>
            </w:r>
            <w:r>
              <w:rPr>
                <w:color w:val="000000"/>
              </w:rPr>
              <w:t xml:space="preserve"> </w:t>
            </w:r>
            <w:r>
              <w:rPr>
                <w:rFonts w:ascii="Times New Roman;serif" w:hAnsi="Times New Roman;serif"/>
                <w:b w:val="false"/>
                <w:color w:val="000000"/>
                <w:sz w:val="13"/>
              </w:rPr>
              <w: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operating profit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55,410 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2,480 </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111,410 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Corporate </w:t>
            </w:r>
            <w:r>
              <w:rPr>
                <w:rFonts w:ascii="Times New Roman;serif" w:hAnsi="Times New Roman;serif"/>
                <w:b w:val="false"/>
                <w:color w:val="000000"/>
                <w:sz w:val="13"/>
              </w:rPr>
              <w:t>(d)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(45,910)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(13,440)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51,630 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e69bc5e88b0c4f53b7988ab1107efbce_7">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TRIMAS CORPORATION</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1353"/>
        <w:gridCol w:w="1189"/>
        <w:gridCol w:w="1192"/>
        <w:gridCol w:w="109"/>
        <w:gridCol w:w="109"/>
        <w:gridCol w:w="109"/>
        <w:gridCol w:w="211"/>
        <w:gridCol w:w="826"/>
        <w:gridCol w:w="109"/>
        <w:gridCol w:w="109"/>
        <w:gridCol w:w="109"/>
        <w:gridCol w:w="109"/>
        <w:gridCol w:w="211"/>
        <w:gridCol w:w="826"/>
        <w:gridCol w:w="109"/>
        <w:gridCol w:w="109"/>
        <w:gridCol w:w="109"/>
        <w:gridCol w:w="109"/>
        <w:gridCol w:w="340"/>
        <w:gridCol w:w="1164"/>
        <w:gridCol w:w="176"/>
        <w:gridCol w:w="109"/>
        <w:gridCol w:w="109"/>
        <w:gridCol w:w="109"/>
        <w:gridCol w:w="211"/>
        <w:gridCol w:w="826"/>
        <w:gridCol w:w="154"/>
      </w:tblGrid>
      <w:tr>
        <w:trPr/>
        <w:tc>
          <w:tcPr>
            <w:tcW w:w="1353"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Packaging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Aerospace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Specialty Products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Nine Months Ended September 30,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389,190 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215,890 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91,880 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696,960 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(293,820)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(164,550)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(80,170)</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(6,140)</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segment items</w:t>
            </w:r>
            <w:r>
              <w:rPr>
                <w:color w:val="000000"/>
              </w:rPr>
              <w:t xml:space="preserve"> </w:t>
            </w:r>
            <w:r>
              <w:rPr>
                <w:rFonts w:ascii="Times New Roman;serif" w:hAnsi="Times New Roman;serif"/>
                <w:b w:val="false"/>
                <w:color w:val="000000"/>
                <w:sz w:val="13"/>
              </w:rPr>
              <w: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operating profit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53,060 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23,870 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5,480 </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82,410 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Corporate </w:t>
            </w:r>
            <w:r>
              <w:rPr>
                <w:rFonts w:ascii="Times New Roman;serif" w:hAnsi="Times New Roman;serif"/>
                <w:b w:val="false"/>
                <w:color w:val="000000"/>
                <w:sz w:val="13"/>
              </w:rPr>
              <w: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(43,840)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(15,010)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23,250 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__________________________</w:t>
      </w:r>
    </w:p>
    <w:p>
      <w:pPr>
        <w:pStyle w:val="TextBody"/>
        <w:bidi w:val="0"/>
        <w:spacing w:lineRule="auto" w:line="288" w:before="160" w:after="160"/>
        <w:ind w:left="0" w:right="0" w:hanging="180"/>
        <w:jc w:val="both"/>
        <w:rPr/>
      </w:pPr>
      <w:r>
        <w:rPr>
          <w:rFonts w:ascii="Times New Roman;serif" w:hAnsi="Times New Roman;serif"/>
          <w:b w:val="false"/>
          <w:color w:val="000000"/>
          <w:sz w:val="10"/>
        </w:rPr>
        <w:t>(a)</w:t>
      </w:r>
      <w:r>
        <w:rPr>
          <w:color w:val="000000"/>
        </w:rPr>
        <w:t xml:space="preserve"> </w:t>
      </w:r>
      <w:r>
        <w:rPr>
          <w:rFonts w:ascii="Times New Roman;serif" w:hAnsi="Times New Roman;serif"/>
          <w:b w:val="false"/>
          <w:color w:val="000000"/>
          <w:sz w:val="16"/>
        </w:rPr>
        <w:t xml:space="preserve">Other segment items for each reportable segment includes net gain (loss) on dispositions of assets. </w:t>
      </w:r>
    </w:p>
    <w:p>
      <w:pPr>
        <w:pStyle w:val="TextBody"/>
        <w:bidi w:val="0"/>
        <w:spacing w:lineRule="auto" w:line="288" w:before="160" w:after="160"/>
        <w:ind w:left="0" w:right="0" w:hanging="180"/>
        <w:jc w:val="both"/>
        <w:rPr/>
      </w:pPr>
      <w:r>
        <w:rPr>
          <w:rFonts w:ascii="Times New Roman;serif" w:hAnsi="Times New Roman;serif"/>
          <w:b w:val="false"/>
          <w:color w:val="000000"/>
          <w:sz w:val="10"/>
        </w:rPr>
        <w:t>(b)</w:t>
      </w:r>
      <w:r>
        <w:rPr>
          <w:color w:val="000000"/>
        </w:rPr>
        <w:t xml:space="preserve"> </w:t>
      </w:r>
      <w:r>
        <w:rPr>
          <w:rFonts w:ascii="Times New Roman;serif" w:hAnsi="Times New Roman;serif"/>
          <w:b w:val="false"/>
          <w:color w:val="000000"/>
          <w:sz w:val="16"/>
        </w:rPr>
        <w:t>Includes $8.0 million of asbestos-related costs, $1.9 million of system implementation costs, and $0.5 million of realignment, severance and consulting costs.</w:t>
      </w:r>
    </w:p>
    <w:p>
      <w:pPr>
        <w:pStyle w:val="TextBody"/>
        <w:bidi w:val="0"/>
        <w:spacing w:lineRule="auto" w:line="288" w:before="160" w:after="160"/>
        <w:ind w:left="0" w:right="0" w:hanging="180"/>
        <w:jc w:val="both"/>
        <w:rPr/>
      </w:pPr>
      <w:r>
        <w:rPr>
          <w:rFonts w:ascii="Times New Roman;serif" w:hAnsi="Times New Roman;serif"/>
          <w:b w:val="false"/>
          <w:color w:val="000000"/>
          <w:sz w:val="10"/>
        </w:rPr>
        <w:t>(c)</w:t>
      </w:r>
      <w:r>
        <w:rPr>
          <w:color w:val="000000"/>
        </w:rPr>
        <w:t xml:space="preserve"> </w:t>
      </w:r>
      <w:r>
        <w:rPr>
          <w:rFonts w:ascii="Times New Roman;serif" w:hAnsi="Times New Roman;serif"/>
          <w:b w:val="false"/>
          <w:color w:val="000000"/>
          <w:sz w:val="16"/>
        </w:rPr>
        <w:t>Includes $5.5 million of asbestos-related costs, $1.8 million of system implementation costs, $1.8 million of environmental remediation costs, $0.8 million of mergers, acquisition, diligence and transaction costs, and $0.8 million of consulting costs.</w:t>
      </w:r>
    </w:p>
    <w:p>
      <w:pPr>
        <w:pStyle w:val="TextBody"/>
        <w:bidi w:val="0"/>
        <w:spacing w:lineRule="auto" w:line="288" w:before="160" w:after="160"/>
        <w:ind w:left="0" w:right="0" w:hanging="180"/>
        <w:jc w:val="both"/>
        <w:rPr/>
      </w:pPr>
      <w:r>
        <w:rPr>
          <w:rFonts w:ascii="Times New Roman;serif" w:hAnsi="Times New Roman;serif"/>
          <w:b w:val="false"/>
          <w:color w:val="000000"/>
          <w:sz w:val="10"/>
        </w:rPr>
        <w:t>(d)</w:t>
      </w:r>
      <w:r>
        <w:rPr>
          <w:color w:val="000000"/>
        </w:rPr>
        <w:t xml:space="preserve"> </w:t>
      </w:r>
      <w:r>
        <w:rPr>
          <w:rFonts w:ascii="Times New Roman;serif" w:hAnsi="Times New Roman;serif"/>
          <w:b w:val="false"/>
          <w:color w:val="000000"/>
          <w:sz w:val="16"/>
        </w:rPr>
        <w:t>Includes $8.0 million of asbestos-related costs, $7.5 million of realignment, severance and consulting costs, a $5.4 million gain on the sale of Arrow Engine, $4.3 million of system implementation costs and $0.4 million of mergers, acquisition, diligence and transaction costs.</w:t>
      </w:r>
    </w:p>
    <w:p>
      <w:pPr>
        <w:pStyle w:val="TextBody"/>
        <w:bidi w:val="0"/>
        <w:spacing w:lineRule="auto" w:line="288" w:before="160" w:after="160"/>
        <w:ind w:left="0" w:right="0" w:hanging="180"/>
        <w:jc w:val="both"/>
        <w:rPr/>
      </w:pPr>
      <w:r>
        <w:rPr>
          <w:rFonts w:ascii="Times New Roman;serif" w:hAnsi="Times New Roman;serif"/>
          <w:b w:val="false"/>
          <w:color w:val="000000"/>
          <w:sz w:val="10"/>
        </w:rPr>
        <w:t>(e)</w:t>
      </w:r>
      <w:r>
        <w:rPr>
          <w:color w:val="000000"/>
        </w:rPr>
        <w:t xml:space="preserve"> </w:t>
      </w:r>
      <w:r>
        <w:rPr>
          <w:rFonts w:ascii="Times New Roman;serif" w:hAnsi="Times New Roman;serif"/>
          <w:b w:val="false"/>
          <w:color w:val="000000"/>
          <w:sz w:val="16"/>
        </w:rPr>
        <w:t>Includes $5.5 million of asbestos-related costs, $3.6 million of system implementation costs, $3.0 million of mergers, acquisition, diligence and transaction costs, $2.5 million of environmental remediation costs, and $1.5 million of consulting costs.</w:t>
      </w:r>
    </w:p>
    <w:p>
      <w:pPr>
        <w:pStyle w:val="TextBody"/>
        <w:bidi w:val="0"/>
        <w:spacing w:before="160" w:after="160"/>
        <w:ind w:left="0" w:right="0" w:hanging="180"/>
        <w:jc w:val="both"/>
        <w:rPr/>
      </w:pPr>
      <w:r>
        <w:rPr/>
      </w:r>
    </w:p>
    <w:tbl>
      <w:tblPr>
        <w:tblW w:w="8246" w:type="dxa"/>
        <w:jc w:val="left"/>
        <w:tblInd w:w="0" w:type="dxa"/>
        <w:tblLayout w:type="fixed"/>
        <w:tblCellMar>
          <w:top w:w="28" w:type="dxa"/>
          <w:left w:w="28" w:type="dxa"/>
          <w:bottom w:w="28" w:type="dxa"/>
          <w:right w:w="28" w:type="dxa"/>
        </w:tblCellMar>
      </w:tblPr>
      <w:tblGrid>
        <w:gridCol w:w="989"/>
        <w:gridCol w:w="868"/>
        <w:gridCol w:w="872"/>
        <w:gridCol w:w="109"/>
        <w:gridCol w:w="109"/>
        <w:gridCol w:w="10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4"/>
      </w:tblGrid>
      <w:tr>
        <w:trPr/>
        <w:tc>
          <w:tcPr>
            <w:tcW w:w="989"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Three months ended </w:t>
              <w:br/>
              <w:t xml:space="preserve">September 30,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Nine months ended </w:t>
              <w:br/>
              <w:t xml:space="preserve">September 30, </w:t>
            </w:r>
          </w:p>
        </w:tc>
      </w:tr>
      <w:tr>
        <w:trPr/>
        <w:tc>
          <w:tcPr>
            <w:tcW w:w="2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Capital expenditures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Packaging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Aerospace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Specialty Products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13,670 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11,870 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35,980 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Packaging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Aerospace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Specialty Products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14,520 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14,150 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42,710 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42,580 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60" w:after="160"/>
        <w:ind w:left="0" w:right="0" w:hanging="18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e69bc5e88b0c4f53b7988ab1107efbce_7">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TRIMAS CORPORATION</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(unaudited)</w:t>
      </w:r>
    </w:p>
    <w:tbl>
      <w:tblPr>
        <w:tblW w:w="5826" w:type="dxa"/>
        <w:jc w:val="center"/>
        <w:tblInd w:w="0" w:type="dxa"/>
        <w:tblLayout w:type="fixed"/>
        <w:tblCellMar>
          <w:top w:w="28" w:type="dxa"/>
          <w:left w:w="28" w:type="dxa"/>
          <w:bottom w:w="28" w:type="dxa"/>
          <w:right w:w="28" w:type="dxa"/>
        </w:tblCellMar>
      </w:tblPr>
      <w:tblGrid>
        <w:gridCol w:w="591"/>
        <w:gridCol w:w="520"/>
        <w:gridCol w:w="523"/>
        <w:gridCol w:w="109"/>
        <w:gridCol w:w="109"/>
        <w:gridCol w:w="109"/>
        <w:gridCol w:w="288"/>
        <w:gridCol w:w="1333"/>
        <w:gridCol w:w="148"/>
        <w:gridCol w:w="109"/>
        <w:gridCol w:w="109"/>
        <w:gridCol w:w="109"/>
        <w:gridCol w:w="278"/>
        <w:gridCol w:w="1288"/>
        <w:gridCol w:w="203"/>
      </w:tblGrid>
      <w:tr>
        <w:trPr/>
        <w:tc>
          <w:tcPr>
            <w:tcW w:w="59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288"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2024</w:t>
            </w:r>
          </w:p>
        </w:tc>
      </w:tr>
      <w:tr>
        <w:trPr/>
        <w:tc>
          <w:tcPr>
            <w:tcW w:w="1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Packaging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868,800 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811,190 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Aerospace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451,220 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390,980 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Specialty Products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78,840 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89,210 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35,020 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32,800 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1,433,880 </w:t>
            </w:r>
          </w:p>
        </w:tc>
        <w:tc>
          <w:tcPr>
            <w:tcW w:w="1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1,324,180 </w:t>
            </w:r>
          </w:p>
        </w:tc>
        <w:tc>
          <w:tcPr>
            <w:tcW w:w="2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both"/>
        <w:rPr>
          <w:rFonts w:ascii="Times New Roman;serif" w:hAnsi="Times New Roman;serif"/>
          <w:b/>
          <w:color w:val="000000"/>
          <w:sz w:val="20"/>
        </w:rPr>
      </w:pPr>
      <w:r>
        <w:rPr>
          <w:rFonts w:ascii="Times New Roman;serif" w:hAnsi="Times New Roman;serif"/>
          <w:b/>
          <w:color w:val="000000"/>
          <w:sz w:val="20"/>
        </w:rPr>
        <w:t xml:space="preserve">15. Equity Awards </w:t>
      </w:r>
    </w:p>
    <w:p>
      <w:pPr>
        <w:pStyle w:val="TextBody"/>
        <w:bidi w:val="0"/>
        <w:spacing w:lineRule="auto" w:line="288" w:before="60" w:after="160"/>
        <w:jc w:val="both"/>
        <w:rPr>
          <w:rFonts w:ascii="Times New Roman;serif" w:hAnsi="Times New Roman;serif"/>
          <w:b w:val="false"/>
          <w:i/>
          <w:color w:val="000000"/>
          <w:sz w:val="20"/>
        </w:rPr>
      </w:pPr>
      <w:r>
        <w:rPr>
          <w:rFonts w:ascii="Times New Roman;serif" w:hAnsi="Times New Roman;serif"/>
          <w:b w:val="false"/>
          <w:i/>
          <w:color w:val="000000"/>
          <w:sz w:val="20"/>
        </w:rPr>
        <w:t>Stock Options</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The Company granted 900,000 stock option awards during the nine months ended September 30, 2025. The Company estimated the grant-date fair value of the awards using the Black-Scholes option pricing model using the following weighted-average assumptions: risk-free interest rate of 4.1%, expected volatility of 33.0%, annual dividend payment of $0.16, and an expected term of 6.5 years. Information related to stock options at September 30, 2025 is as follows:</w:t>
      </w:r>
    </w:p>
    <w:tbl>
      <w:tblPr>
        <w:tblW w:w="10205" w:type="dxa"/>
        <w:jc w:val="left"/>
        <w:tblInd w:w="0" w:type="dxa"/>
        <w:tblLayout w:type="fixed"/>
        <w:tblCellMar>
          <w:top w:w="28" w:type="dxa"/>
          <w:left w:w="28" w:type="dxa"/>
          <w:bottom w:w="28" w:type="dxa"/>
          <w:right w:w="28" w:type="dxa"/>
        </w:tblCellMar>
      </w:tblPr>
      <w:tblGrid>
        <w:gridCol w:w="729"/>
        <w:gridCol w:w="640"/>
        <w:gridCol w:w="643"/>
        <w:gridCol w:w="109"/>
        <w:gridCol w:w="109"/>
        <w:gridCol w:w="109"/>
        <w:gridCol w:w="413"/>
        <w:gridCol w:w="413"/>
        <w:gridCol w:w="322"/>
        <w:gridCol w:w="109"/>
        <w:gridCol w:w="109"/>
        <w:gridCol w:w="109"/>
        <w:gridCol w:w="396"/>
        <w:gridCol w:w="1157"/>
        <w:gridCol w:w="206"/>
        <w:gridCol w:w="109"/>
        <w:gridCol w:w="109"/>
        <w:gridCol w:w="109"/>
        <w:gridCol w:w="752"/>
        <w:gridCol w:w="752"/>
        <w:gridCol w:w="754"/>
        <w:gridCol w:w="109"/>
        <w:gridCol w:w="109"/>
        <w:gridCol w:w="109"/>
        <w:gridCol w:w="270"/>
        <w:gridCol w:w="1249"/>
        <w:gridCol w:w="201"/>
      </w:tblGrid>
      <w:tr>
        <w:trPr/>
        <w:tc>
          <w:tcPr>
            <w:tcW w:w="729"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20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Number of </w:t>
              <w:br/>
              <w:t>Stock 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Weighted Average Option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Average  Remaining Contractual Life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Aggregate Intrinsic Value</w:t>
            </w:r>
          </w:p>
        </w:tc>
      </w:tr>
      <w:tr>
        <w:trPr/>
        <w:tc>
          <w:tcPr>
            <w:tcW w:w="20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at January 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900,000 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41.11 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0" w:type="dxa"/>
            <w:gridSpan w:val="3"/>
            <w:tcBorders/>
            <w:vAlign w:val="center"/>
          </w:tcPr>
          <w:p>
            <w:pPr>
              <w:pStyle w:val="TableContents"/>
              <w:bidi w:val="0"/>
              <w:spacing w:before="0" w:after="283"/>
              <w:jc w:val="left"/>
              <w:rPr>
                <w:sz w:val="4"/>
                <w:szCs w:val="4"/>
              </w:rPr>
            </w:pPr>
            <w:r>
              <w:rPr>
                <w:sz w:val="4"/>
                <w:szCs w:val="4"/>
              </w:rPr>
            </w:r>
          </w:p>
        </w:tc>
      </w:tr>
      <w:tr>
        <w:trPr/>
        <w:tc>
          <w:tcPr>
            <w:tcW w:w="2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0" w:type="dxa"/>
            <w:gridSpan w:val="3"/>
            <w:tcBorders/>
            <w:vAlign w:val="center"/>
          </w:tcPr>
          <w:p>
            <w:pPr>
              <w:pStyle w:val="TableContents"/>
              <w:bidi w:val="0"/>
              <w:spacing w:before="0" w:after="283"/>
              <w:jc w:val="left"/>
              <w:rPr>
                <w:sz w:val="4"/>
                <w:szCs w:val="4"/>
              </w:rPr>
            </w:pPr>
            <w:r>
              <w:rPr>
                <w:sz w:val="4"/>
                <w:szCs w:val="4"/>
              </w:rPr>
            </w:r>
          </w:p>
        </w:tc>
      </w:tr>
      <w:tr>
        <w:trPr/>
        <w:tc>
          <w:tcPr>
            <w:tcW w:w="2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0" w:type="dxa"/>
            <w:gridSpan w:val="3"/>
            <w:tcBorders/>
            <w:vAlign w:val="center"/>
          </w:tcPr>
          <w:p>
            <w:pPr>
              <w:pStyle w:val="TableContents"/>
              <w:bidi w:val="0"/>
              <w:spacing w:before="0" w:after="283"/>
              <w:jc w:val="left"/>
              <w:rPr>
                <w:sz w:val="4"/>
                <w:szCs w:val="4"/>
              </w:rPr>
            </w:pPr>
            <w:r>
              <w:rPr>
                <w:sz w:val="4"/>
                <w:szCs w:val="4"/>
              </w:rPr>
            </w:r>
          </w:p>
        </w:tc>
      </w:tr>
      <w:tr>
        <w:trPr/>
        <w:tc>
          <w:tcPr>
            <w:tcW w:w="20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at September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900,000 </w:t>
            </w:r>
          </w:p>
        </w:tc>
        <w:tc>
          <w:tcPr>
            <w:tcW w:w="3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41.11 </w:t>
            </w:r>
          </w:p>
        </w:tc>
        <w:tc>
          <w:tcPr>
            <w:tcW w:w="2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8"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1,590,000 </w:t>
            </w:r>
          </w:p>
        </w:tc>
        <w:tc>
          <w:tcPr>
            <w:tcW w:w="2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160"/>
        <w:jc w:val="both"/>
        <w:rPr>
          <w:rFonts w:ascii="Times New Roman;serif" w:hAnsi="Times New Roman;serif"/>
          <w:b w:val="false"/>
          <w:color w:val="000000"/>
          <w:sz w:val="20"/>
        </w:rPr>
      </w:pPr>
      <w:r>
        <w:rPr>
          <w:rFonts w:ascii="Times New Roman;serif" w:hAnsi="Times New Roman;serif"/>
          <w:b w:val="false"/>
          <w:color w:val="000000"/>
          <w:sz w:val="20"/>
        </w:rPr>
        <w:t xml:space="preserve">As of September 30, 2025, there was $5.9 million of unrecognized compensation cost related to stock options that is expected to be recorded over a weighted average period of 1.5 years. </w:t>
      </w:r>
    </w:p>
    <w:p>
      <w:pPr>
        <w:pStyle w:val="TextBody"/>
        <w:bidi w:val="0"/>
        <w:spacing w:lineRule="auto" w:line="288" w:before="60" w:after="160"/>
        <w:jc w:val="both"/>
        <w:rPr>
          <w:rFonts w:ascii="Times New Roman;serif" w:hAnsi="Times New Roman;serif"/>
          <w:b w:val="false"/>
          <w:color w:val="000000"/>
          <w:sz w:val="20"/>
        </w:rPr>
      </w:pPr>
      <w:r>
        <w:rPr>
          <w:rFonts w:ascii="Times New Roman;serif" w:hAnsi="Times New Roman;serif"/>
          <w:b w:val="false"/>
          <w:color w:val="000000"/>
          <w:sz w:val="20"/>
        </w:rPr>
        <w:t>The Company recognized approximately $0.7 million and $0.8 million of stock-based compensation expense related to stock options during the three and nine months ended September 30, 2025, respectively, and no stock-based compensation expense related to stock options during the three and nine months ended September 30, 2024. The stock-based compensation expense is included in selling, general and administrative expenses in the accompanying consolidated statement of income.</w:t>
      </w:r>
    </w:p>
    <w:p>
      <w:pPr>
        <w:pStyle w:val="TextBody"/>
        <w:bidi w:val="0"/>
        <w:spacing w:lineRule="auto" w:line="288" w:before="60" w:after="160"/>
        <w:jc w:val="both"/>
        <w:rPr>
          <w:rFonts w:ascii="Times New Roman;serif" w:hAnsi="Times New Roman;serif"/>
          <w:b w:val="false"/>
          <w:i/>
          <w:color w:val="000000"/>
          <w:sz w:val="20"/>
        </w:rPr>
      </w:pPr>
      <w:r>
        <w:rPr>
          <w:rFonts w:ascii="Times New Roman;serif" w:hAnsi="Times New Roman;serif"/>
          <w:b w:val="false"/>
          <w:i/>
          <w:color w:val="000000"/>
          <w:sz w:val="20"/>
        </w:rPr>
        <w:t>Restricted Stock Units</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awarded the following restricted stock units ("RSUs") during the nine months ended September 30, 2025: </w:t>
      </w:r>
    </w:p>
    <w:p>
      <w:pPr>
        <w:pStyle w:val="TextBody"/>
        <w:bidi w:val="0"/>
        <w:spacing w:lineRule="auto" w:line="288" w:before="160" w:after="160"/>
        <w:ind w:left="0" w:right="0" w:hanging="360"/>
        <w:jc w:val="both"/>
        <w:rPr/>
      </w:pPr>
      <w:r>
        <w:rPr>
          <w:color w:val="000000"/>
        </w:rPr>
        <w:t>•</w:t>
      </w:r>
      <w:r>
        <w:rPr>
          <w:rFonts w:ascii="Times New Roman;serif" w:hAnsi="Times New Roman;serif"/>
          <w:b w:val="false"/>
          <w:color w:val="000000"/>
          <w:sz w:val="20"/>
        </w:rPr>
        <w:t>Granted 457,504 RSUs to certain employees, which are subject only to a service condition and vest ratably over one, two, or three years so long as the employee remains with the Company;</w:t>
      </w:r>
    </w:p>
    <w:p>
      <w:pPr>
        <w:pStyle w:val="TextBody"/>
        <w:bidi w:val="0"/>
        <w:spacing w:lineRule="auto" w:line="288" w:before="160" w:after="160"/>
        <w:ind w:left="0" w:right="0" w:hanging="360"/>
        <w:jc w:val="both"/>
        <w:rPr/>
      </w:pPr>
      <w:r>
        <w:rPr>
          <w:color w:val="000000"/>
        </w:rPr>
        <w:t>•</w:t>
      </w:r>
      <w:r>
        <w:rPr>
          <w:rFonts w:ascii="Times New Roman;serif" w:hAnsi="Times New Roman;serif"/>
          <w:b w:val="false"/>
          <w:color w:val="000000"/>
          <w:sz w:val="20"/>
        </w:rPr>
        <w:t>Granted 36,396 RSUs to its non-employee independent directors, which fully vest one year from date of grant so long as the director and/or Company does not terminate the director's service prior to the vesting date;</w:t>
      </w:r>
    </w:p>
    <w:p>
      <w:pPr>
        <w:pStyle w:val="TextBody"/>
        <w:bidi w:val="0"/>
        <w:spacing w:lineRule="auto" w:line="288" w:before="160" w:after="160"/>
        <w:ind w:left="0" w:right="0" w:hanging="360"/>
        <w:jc w:val="both"/>
        <w:rPr/>
      </w:pPr>
      <w:r>
        <w:rPr>
          <w:color w:val="000000"/>
        </w:rPr>
        <w:t>•</w:t>
      </w:r>
      <w:r>
        <w:rPr>
          <w:rFonts w:ascii="Times New Roman;serif" w:hAnsi="Times New Roman;serif"/>
          <w:b w:val="false"/>
          <w:color w:val="000000"/>
          <w:sz w:val="20"/>
        </w:rPr>
        <w:t>Issued 103 RSUs to certain employees related to dividend equivalent rights on existing equity awards; and</w:t>
      </w:r>
    </w:p>
    <w:p>
      <w:pPr>
        <w:pStyle w:val="TextBody"/>
        <w:bidi w:val="0"/>
        <w:spacing w:lineRule="auto" w:line="288" w:before="160" w:after="160"/>
        <w:ind w:left="0" w:right="0" w:hanging="360"/>
        <w:jc w:val="both"/>
        <w:rPr/>
      </w:pPr>
      <w:r>
        <w:rPr>
          <w:color w:val="000000"/>
        </w:rPr>
        <w:t>•</w:t>
      </w:r>
      <w:r>
        <w:rPr>
          <w:rFonts w:ascii="Times New Roman;serif" w:hAnsi="Times New Roman;serif"/>
          <w:b w:val="false"/>
          <w:color w:val="000000"/>
          <w:sz w:val="20"/>
        </w:rPr>
        <w:t>Issued 1,242 RSUs related to director fee deferrals as certain of the Company's directors elected to defer all or a portion of their director fees and to receive the amount in Company common stock at a future date.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e69bc5e88b0c4f53b7988ab1107efbce_7">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TRIMAS CORPORATION</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 xml:space="preserve">During 2025, the Company also awarded 95,023 performance-based RSUs to certain Company key employees which vest three years from the grant date as long as the employee remains with the Company. These awards are initially earned 50% based upon the Company's achievement of an earnings per share compound annual growth rate ("EPS CAGR") metric and 50% based upon the Company's cash return on net assets ("Cash RONA") metric over a period beginning January 1, 2025 and ending December 31, 2027. The total EPS CAGR and Cash RONA performance-based RSUs initially earned shall be subject to modification based on the Company's total shareholder return ("TSR") relative to the TSR of the common stock of a pre-defined industry peer-group, measured over the performance period. TSR is calculated as the Company's average closing stock price for the 20 trading days at the end of the performance period plus Company dividends, divided by the Company's average closing stock price for the 20 trading days prior to the start of the performance period. The Company estimates the grant-date fair value subject to a market condition using a Monte Carlo simulation model, using the following weighted average assumptions: risk-free rate of 4.00% and annualized volatility of 30.8%. Depending on the performance achieved for these two metrics, the amount of shares earned, if any, can vary for each metric from 0% of the target award to a maximum of 250% of the target. </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 xml:space="preserve">Information related to RSUs at September 30, 2025 is as follows: </w:t>
      </w:r>
    </w:p>
    <w:tbl>
      <w:tblPr>
        <w:tblW w:w="10205" w:type="dxa"/>
        <w:jc w:val="left"/>
        <w:tblInd w:w="0" w:type="dxa"/>
        <w:tblLayout w:type="fixed"/>
        <w:tblCellMar>
          <w:top w:w="28" w:type="dxa"/>
          <w:left w:w="28" w:type="dxa"/>
          <w:bottom w:w="28" w:type="dxa"/>
          <w:right w:w="28" w:type="dxa"/>
        </w:tblCellMar>
      </w:tblPr>
      <w:tblGrid>
        <w:gridCol w:w="657"/>
        <w:gridCol w:w="577"/>
        <w:gridCol w:w="580"/>
        <w:gridCol w:w="109"/>
        <w:gridCol w:w="109"/>
        <w:gridCol w:w="109"/>
        <w:gridCol w:w="713"/>
        <w:gridCol w:w="445"/>
        <w:gridCol w:w="446"/>
        <w:gridCol w:w="109"/>
        <w:gridCol w:w="109"/>
        <w:gridCol w:w="109"/>
        <w:gridCol w:w="407"/>
        <w:gridCol w:w="1189"/>
        <w:gridCol w:w="210"/>
        <w:gridCol w:w="109"/>
        <w:gridCol w:w="109"/>
        <w:gridCol w:w="109"/>
        <w:gridCol w:w="656"/>
        <w:gridCol w:w="656"/>
        <w:gridCol w:w="657"/>
        <w:gridCol w:w="109"/>
        <w:gridCol w:w="109"/>
        <w:gridCol w:w="109"/>
        <w:gridCol w:w="247"/>
        <w:gridCol w:w="1270"/>
        <w:gridCol w:w="187"/>
      </w:tblGrid>
      <w:tr>
        <w:trPr/>
        <w:tc>
          <w:tcPr>
            <w:tcW w:w="657"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270"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Number of Unvested RSUs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Weighted Average Grant Date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Average Remaining Contractual Life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Aggregate Intrinsic Value</w:t>
            </w:r>
          </w:p>
        </w:tc>
      </w:tr>
      <w:tr>
        <w:trPr/>
        <w:tc>
          <w:tcPr>
            <w:tcW w:w="1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at January 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823,943 </w:t>
            </w:r>
          </w:p>
        </w:tc>
        <w:tc>
          <w:tcPr>
            <w:tcW w:w="4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27.63 </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590,268 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25.49 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Vested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(251,740)</w:t>
            </w:r>
          </w:p>
        </w:tc>
        <w:tc>
          <w:tcPr>
            <w:tcW w:w="4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27.32 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Cancelled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(138,765)</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31.20 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at September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1,023,706 </w:t>
            </w:r>
          </w:p>
        </w:tc>
        <w:tc>
          <w:tcPr>
            <w:tcW w:w="4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25.99 </w:t>
            </w:r>
          </w:p>
        </w:tc>
        <w:tc>
          <w:tcPr>
            <w:tcW w:w="2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9"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39,560,000 </w:t>
            </w:r>
          </w:p>
        </w:tc>
        <w:tc>
          <w:tcPr>
            <w:tcW w:w="1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160"/>
        <w:jc w:val="both"/>
        <w:rPr>
          <w:rFonts w:ascii="Times New Roman;serif" w:hAnsi="Times New Roman;serif"/>
          <w:b w:val="false"/>
          <w:color w:val="000000"/>
          <w:sz w:val="20"/>
        </w:rPr>
      </w:pPr>
      <w:r>
        <w:rPr>
          <w:rFonts w:ascii="Times New Roman;serif" w:hAnsi="Times New Roman;serif"/>
          <w:b w:val="false"/>
          <w:color w:val="000000"/>
          <w:sz w:val="20"/>
        </w:rPr>
        <w:t xml:space="preserve">As of September 30, 2025, there was $10.5 million of unrecognized compensation cost related to unvested RSUs that is expected to be recorded over a weighted average period of 2.2 years. </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recognized stock-based compensation expense related to RSUs of $2.6 million and $1.6 million during the three months ended September 30, 2025 and 2024, respectively, and $7.5 million and $8.1 million during the nine months ended September 30, 2025 and 2024, respectively. The stock-based compensation expense is included in selling, general and administrative expenses in the accompanying consolidated statement of income.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both"/>
        <w:rPr>
          <w:rFonts w:ascii="Times New Roman;serif" w:hAnsi="Times New Roman;serif"/>
          <w:b/>
          <w:color w:val="000000"/>
          <w:sz w:val="20"/>
        </w:rPr>
      </w:pPr>
      <w:r>
        <w:rPr>
          <w:rFonts w:ascii="Times New Roman;serif" w:hAnsi="Times New Roman;serif"/>
          <w:b/>
          <w:color w:val="000000"/>
          <w:sz w:val="20"/>
        </w:rPr>
        <w:t xml:space="preserve">16. Earnings per Share </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 xml:space="preserve">Net income is divided by the weighted average number of common shares outstanding during the period to calculate basic earnings per share. Diluted earnings per share is calculated to give effect to RSUs and stock options. The following table summarizes the dilutive effect of RSUs and stock options on common stock for the nine months ended September 30, 2025 and 2024: </w:t>
      </w:r>
    </w:p>
    <w:tbl>
      <w:tblPr>
        <w:tblW w:w="10205" w:type="dxa"/>
        <w:jc w:val="left"/>
        <w:tblInd w:w="0" w:type="dxa"/>
        <w:tblLayout w:type="fixed"/>
        <w:tblCellMar>
          <w:top w:w="28" w:type="dxa"/>
          <w:left w:w="28" w:type="dxa"/>
          <w:bottom w:w="28" w:type="dxa"/>
          <w:right w:w="28" w:type="dxa"/>
        </w:tblCellMar>
      </w:tblPr>
      <w:tblGrid>
        <w:gridCol w:w="985"/>
        <w:gridCol w:w="862"/>
        <w:gridCol w:w="869"/>
        <w:gridCol w:w="109"/>
        <w:gridCol w:w="109"/>
        <w:gridCol w:w="109"/>
        <w:gridCol w:w="750"/>
        <w:gridCol w:w="331"/>
        <w:gridCol w:w="247"/>
        <w:gridCol w:w="247"/>
        <w:gridCol w:w="247"/>
        <w:gridCol w:w="247"/>
        <w:gridCol w:w="750"/>
        <w:gridCol w:w="331"/>
        <w:gridCol w:w="247"/>
        <w:gridCol w:w="109"/>
        <w:gridCol w:w="109"/>
        <w:gridCol w:w="109"/>
        <w:gridCol w:w="750"/>
        <w:gridCol w:w="331"/>
        <w:gridCol w:w="235"/>
        <w:gridCol w:w="235"/>
        <w:gridCol w:w="235"/>
        <w:gridCol w:w="235"/>
        <w:gridCol w:w="750"/>
        <w:gridCol w:w="331"/>
        <w:gridCol w:w="336"/>
      </w:tblGrid>
      <w:tr>
        <w:trPr/>
        <w:tc>
          <w:tcPr>
            <w:tcW w:w="985"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r>
      <w:tr>
        <w:trPr/>
        <w:tc>
          <w:tcPr>
            <w:tcW w:w="2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Three months ended September 30,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Nine months ended September 30, </w:t>
            </w:r>
          </w:p>
        </w:tc>
      </w:tr>
      <w:tr>
        <w:trPr/>
        <w:tc>
          <w:tcPr>
            <w:tcW w:w="2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7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70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27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common shares—basic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40,650,933 </w:t>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40,612,413 </w:t>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40,634,527 </w:t>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40,776,583 </w:t>
            </w:r>
          </w:p>
        </w:tc>
        <w:tc>
          <w:tcPr>
            <w:tcW w:w="3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Dilutive effect of restricted stock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462,389 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334,158 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369,633 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312,625 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8"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13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6" w:type="dxa"/>
            <w:gridSpan w:val="3"/>
            <w:tcBorders/>
            <w:vAlign w:val="center"/>
          </w:tcPr>
          <w:p>
            <w:pPr>
              <w:pStyle w:val="TableContents"/>
              <w:bidi w:val="0"/>
              <w:spacing w:before="0" w:after="283"/>
              <w:jc w:val="left"/>
              <w:rPr>
                <w:sz w:val="4"/>
                <w:szCs w:val="4"/>
              </w:rPr>
            </w:pPr>
            <w:r>
              <w:rPr>
                <w:sz w:val="4"/>
                <w:szCs w:val="4"/>
              </w:rPr>
            </w:r>
          </w:p>
        </w:tc>
        <w:tc>
          <w:tcPr>
            <w:tcW w:w="705" w:type="dxa"/>
            <w:gridSpan w:val="3"/>
            <w:tcBorders/>
            <w:vAlign w:val="center"/>
          </w:tcPr>
          <w:p>
            <w:pPr>
              <w:pStyle w:val="TableContents"/>
              <w:bidi w:val="0"/>
              <w:spacing w:before="0" w:after="283"/>
              <w:jc w:val="left"/>
              <w:rPr>
                <w:sz w:val="4"/>
                <w:szCs w:val="4"/>
              </w:rPr>
            </w:pPr>
            <w:r>
              <w:rPr>
                <w:sz w:val="4"/>
                <w:szCs w:val="4"/>
              </w:rPr>
            </w:r>
          </w:p>
        </w:tc>
        <w:tc>
          <w:tcPr>
            <w:tcW w:w="1417" w:type="dxa"/>
            <w:gridSpan w:val="3"/>
            <w:tcBorders/>
            <w:vAlign w:val="center"/>
          </w:tcPr>
          <w:p>
            <w:pPr>
              <w:pStyle w:val="TableContents"/>
              <w:bidi w:val="0"/>
              <w:spacing w:before="0" w:after="283"/>
              <w:jc w:val="left"/>
              <w:rPr>
                <w:sz w:val="4"/>
                <w:szCs w:val="4"/>
              </w:rPr>
            </w:pPr>
            <w:r>
              <w:rPr>
                <w:sz w:val="4"/>
                <w:szCs w:val="4"/>
              </w:rPr>
            </w:r>
          </w:p>
        </w:tc>
      </w:tr>
      <w:tr>
        <w:trPr/>
        <w:tc>
          <w:tcPr>
            <w:tcW w:w="27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common shares—diluted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41,113,322 </w:t>
            </w:r>
          </w:p>
        </w:tc>
        <w:tc>
          <w:tcPr>
            <w:tcW w:w="2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40,946,571 </w:t>
            </w:r>
          </w:p>
        </w:tc>
        <w:tc>
          <w:tcPr>
            <w:tcW w:w="2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41,004,160 </w:t>
            </w:r>
          </w:p>
        </w:tc>
        <w:tc>
          <w:tcPr>
            <w:tcW w:w="2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41,089,208 </w:t>
            </w:r>
          </w:p>
        </w:tc>
        <w:tc>
          <w:tcPr>
            <w:tcW w:w="3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 xml:space="preserve">Anti-dilutive shares excluded from the computation of diluted earnings per share for the three and nine months ended September 30, 2025, were 900,000 and 326,986 shares, respectively. There were no anti-dilutive shares for the three and nine months ended September 30, 2024.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e69bc5e88b0c4f53b7988ab1107efbce_7">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TRIMAS CORPORATION</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160" w:after="160"/>
        <w:jc w:val="both"/>
        <w:rPr/>
      </w:pPr>
      <w:r>
        <w:rPr>
          <w:rFonts w:ascii="Times New Roman;serif" w:hAnsi="Times New Roman;serif"/>
          <w:b w:val="false"/>
          <w:color w:val="000000"/>
          <w:sz w:val="20"/>
        </w:rPr>
        <w:t xml:space="preserve">In March 2020, the Company announced its Board of Directors had authorized the Company to increase the purchase of its common stock up to $250 million in the aggregate. During the three months ended September 30, 2025, </w:t>
      </w:r>
      <w:r>
        <w:rPr>
          <w:rFonts w:ascii="Times New Roman;serif" w:hAnsi="Times New Roman;serif"/>
          <w:b w:val="false"/>
          <w:color w:val="000000"/>
          <w:sz w:val="20"/>
          <w:shd w:fill="FFFFFF" w:val="clear"/>
        </w:rPr>
        <w:t>no</w:t>
      </w:r>
      <w:r>
        <w:rPr>
          <w:color w:val="000000"/>
        </w:rPr>
        <w:t xml:space="preserve"> </w:t>
      </w:r>
      <w:r>
        <w:rPr>
          <w:rFonts w:ascii="Times New Roman;serif" w:hAnsi="Times New Roman;serif"/>
          <w:b w:val="false"/>
          <w:color w:val="000000"/>
          <w:sz w:val="20"/>
        </w:rPr>
        <w:t xml:space="preserve">shares were purchased. In the nine months ended September 30, 2025, the Company purchased 106,220 shares of its outstanding common stock for $2.3 million. During the three and nine months ended September 30, 2024, the Company purchased 99,130 and 771,067 shares of its outstanding common stock for $2.4 million and $19.3 million, respectively. </w:t>
      </w:r>
      <w:r>
        <w:rPr>
          <w:rFonts w:ascii="Times New Roman;serif" w:hAnsi="Times New Roman;serif"/>
          <w:b w:val="false"/>
          <w:color w:val="000000"/>
          <w:sz w:val="20"/>
          <w:shd w:fill="FFFFFF" w:val="clear"/>
        </w:rPr>
        <w:t xml:space="preserve">As of </w:t>
      </w:r>
      <w:r>
        <w:rPr>
          <w:rFonts w:ascii="Times New Roman;serif" w:hAnsi="Times New Roman;serif"/>
          <w:b w:val="false"/>
          <w:color w:val="000000"/>
          <w:sz w:val="20"/>
        </w:rPr>
        <w:t>September 30, 2025</w:t>
      </w:r>
      <w:r>
        <w:rPr>
          <w:rFonts w:ascii="Times New Roman;serif" w:hAnsi="Times New Roman;serif"/>
          <w:b w:val="false"/>
          <w:color w:val="000000"/>
          <w:sz w:val="20"/>
          <w:shd w:fill="FFFFFF" w:val="clear"/>
        </w:rPr>
        <w:t xml:space="preserve">, the Company had $65.4 million remaining under the repurchase authorization. </w:t>
      </w:r>
    </w:p>
    <w:p>
      <w:pPr>
        <w:pStyle w:val="TextBody"/>
        <w:bidi w:val="0"/>
        <w:spacing w:lineRule="auto" w:line="288" w:before="160" w:after="160"/>
        <w:jc w:val="both"/>
        <w:rPr/>
      </w:pPr>
      <w:r>
        <w:rPr>
          <w:rFonts w:ascii="Times New Roman;serif" w:hAnsi="Times New Roman;serif"/>
          <w:b w:val="false"/>
          <w:color w:val="000000"/>
          <w:sz w:val="20"/>
          <w:shd w:fill="FFFFFF" w:val="clear"/>
        </w:rPr>
        <w:t xml:space="preserve">Holders of common stock are entitled to dividends at the discretion of the Company's Board of Directors. In 2021, the Company's Board of Directors declared the first dividend since the Company's initial public offering in 2007. During the three and </w:t>
      </w:r>
      <w:r>
        <w:rPr>
          <w:rFonts w:ascii="Times New Roman;serif" w:hAnsi="Times New Roman;serif"/>
          <w:b w:val="false"/>
          <w:color w:val="000000"/>
          <w:sz w:val="20"/>
        </w:rPr>
        <w:t xml:space="preserve">nine months ended September 30, 2025, </w:t>
      </w:r>
      <w:r>
        <w:rPr>
          <w:rFonts w:ascii="Times New Roman;serif" w:hAnsi="Times New Roman;serif"/>
          <w:b w:val="false"/>
          <w:color w:val="000000"/>
          <w:sz w:val="20"/>
          <w:shd w:fill="FFFFFF" w:val="clear"/>
        </w:rPr>
        <w:t xml:space="preserve">the Company's quarterly cash dividends declared were </w:t>
      </w:r>
      <w:r>
        <w:rPr>
          <w:rFonts w:ascii="Times New Roman;serif" w:hAnsi="Times New Roman;serif"/>
          <w:b w:val="false"/>
          <w:color w:val="000000"/>
          <w:sz w:val="20"/>
        </w:rPr>
        <w:t>$0.04</w:t>
      </w:r>
      <w:r>
        <w:rPr>
          <w:color w:val="000000"/>
          <w:shd w:fill="FFFFFF" w:val="clear"/>
        </w:rPr>
        <w:t xml:space="preserve"> </w:t>
      </w:r>
      <w:r>
        <w:rPr>
          <w:rFonts w:ascii="Times New Roman;serif" w:hAnsi="Times New Roman;serif"/>
          <w:b w:val="false"/>
          <w:color w:val="000000"/>
          <w:sz w:val="20"/>
          <w:shd w:fill="FFFFFF" w:val="clear"/>
        </w:rPr>
        <w:t xml:space="preserve">per share of common stock and total dividends declared and paid on common shares </w:t>
      </w:r>
      <w:r>
        <w:rPr>
          <w:rFonts w:ascii="Times New Roman;serif" w:hAnsi="Times New Roman;serif"/>
          <w:b w:val="false"/>
          <w:color w:val="000000"/>
          <w:sz w:val="20"/>
        </w:rPr>
        <w:t>were $1.7 million and $5.0 million, resp</w:t>
      </w:r>
      <w:r>
        <w:rPr>
          <w:rFonts w:ascii="Times New Roman;serif" w:hAnsi="Times New Roman;serif"/>
          <w:b w:val="false"/>
          <w:color w:val="000000"/>
          <w:sz w:val="20"/>
          <w:shd w:fill="FFFFFF" w:val="clear"/>
        </w:rPr>
        <w:t xml:space="preserve">ectively. In the three and </w:t>
      </w:r>
      <w:r>
        <w:rPr>
          <w:rFonts w:ascii="Times New Roman;serif" w:hAnsi="Times New Roman;serif"/>
          <w:b w:val="false"/>
          <w:color w:val="000000"/>
          <w:sz w:val="20"/>
        </w:rPr>
        <w:t>nine months ended September 30, 2024, the Company's quarterly cash dividends declared were $0.04 per share of common stock and total dividends declared and paid on common shares were $1.7 million and $5.0 million,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both"/>
        <w:rPr>
          <w:rFonts w:ascii="Times New Roman;serif" w:hAnsi="Times New Roman;serif"/>
          <w:b/>
          <w:color w:val="000000"/>
          <w:sz w:val="20"/>
        </w:rPr>
      </w:pPr>
      <w:r>
        <w:rPr>
          <w:rFonts w:ascii="Times New Roman;serif" w:hAnsi="Times New Roman;serif"/>
          <w:b/>
          <w:color w:val="000000"/>
          <w:sz w:val="20"/>
        </w:rPr>
        <w:t xml:space="preserve">17. Defined Benefit Plans </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 xml:space="preserve">Net periodic pension benefit costs for the Company's defined benefit pension plans cover certain foreign employees, union hourly employees and salaried employees. The components of net periodic benefit cost (income) are as follows (dollars in thousands): </w:t>
      </w:r>
    </w:p>
    <w:tbl>
      <w:tblPr>
        <w:tblW w:w="9242" w:type="dxa"/>
        <w:jc w:val="left"/>
        <w:tblInd w:w="0" w:type="dxa"/>
        <w:tblLayout w:type="fixed"/>
        <w:tblCellMar>
          <w:top w:w="28" w:type="dxa"/>
          <w:left w:w="28" w:type="dxa"/>
          <w:bottom w:w="28" w:type="dxa"/>
          <w:right w:w="28" w:type="dxa"/>
        </w:tblCellMar>
      </w:tblPr>
      <w:tblGrid>
        <w:gridCol w:w="1042"/>
        <w:gridCol w:w="914"/>
        <w:gridCol w:w="923"/>
        <w:gridCol w:w="109"/>
        <w:gridCol w:w="109"/>
        <w:gridCol w:w="109"/>
        <w:gridCol w:w="320"/>
        <w:gridCol w:w="706"/>
        <w:gridCol w:w="165"/>
        <w:gridCol w:w="165"/>
        <w:gridCol w:w="165"/>
        <w:gridCol w:w="165"/>
        <w:gridCol w:w="320"/>
        <w:gridCol w:w="706"/>
        <w:gridCol w:w="165"/>
        <w:gridCol w:w="109"/>
        <w:gridCol w:w="109"/>
        <w:gridCol w:w="109"/>
        <w:gridCol w:w="307"/>
        <w:gridCol w:w="679"/>
        <w:gridCol w:w="159"/>
        <w:gridCol w:w="159"/>
        <w:gridCol w:w="159"/>
        <w:gridCol w:w="159"/>
        <w:gridCol w:w="307"/>
        <w:gridCol w:w="679"/>
        <w:gridCol w:w="224"/>
      </w:tblGrid>
      <w:tr>
        <w:trPr/>
        <w:tc>
          <w:tcPr>
            <w:tcW w:w="1042"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r>
      <w:tr>
        <w:trPr/>
        <w:tc>
          <w:tcPr>
            <w:tcW w:w="28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Three months ended September 30,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Nine months ended September 30, </w:t>
            </w:r>
          </w:p>
        </w:tc>
      </w:tr>
      <w:tr>
        <w:trPr/>
        <w:tc>
          <w:tcPr>
            <w:tcW w:w="28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4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4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400 </w:t>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980 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return on plan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(760)</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(1,530)</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495"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5" w:type="dxa"/>
            <w:gridSpan w:val="3"/>
            <w:tcBorders/>
            <w:vAlign w:val="center"/>
          </w:tcPr>
          <w:p>
            <w:pPr>
              <w:pStyle w:val="TableContents"/>
              <w:bidi w:val="0"/>
              <w:spacing w:before="0" w:after="283"/>
              <w:jc w:val="left"/>
              <w:rPr>
                <w:sz w:val="4"/>
                <w:szCs w:val="4"/>
              </w:rPr>
            </w:pPr>
            <w:r>
              <w:rPr>
                <w:sz w:val="4"/>
                <w:szCs w:val="4"/>
              </w:rPr>
            </w:r>
          </w:p>
        </w:tc>
        <w:tc>
          <w:tcPr>
            <w:tcW w:w="477"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r>
      <w:tr>
        <w:trPr/>
        <w:tc>
          <w:tcPr>
            <w:tcW w:w="28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495"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5" w:type="dxa"/>
            <w:gridSpan w:val="3"/>
            <w:tcBorders/>
            <w:vAlign w:val="center"/>
          </w:tcPr>
          <w:p>
            <w:pPr>
              <w:pStyle w:val="TableContents"/>
              <w:bidi w:val="0"/>
              <w:spacing w:before="0" w:after="283"/>
              <w:jc w:val="left"/>
              <w:rPr>
                <w:sz w:val="4"/>
                <w:szCs w:val="4"/>
              </w:rPr>
            </w:pPr>
            <w:r>
              <w:rPr>
                <w:sz w:val="4"/>
                <w:szCs w:val="4"/>
              </w:rPr>
            </w:r>
          </w:p>
        </w:tc>
        <w:tc>
          <w:tcPr>
            <w:tcW w:w="477"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periodic benefit cost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230 </w:t>
            </w:r>
          </w:p>
        </w:tc>
        <w:tc>
          <w:tcPr>
            <w:tcW w:w="1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680 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2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160"/>
        <w:jc w:val="both"/>
        <w:rPr>
          <w:rFonts w:ascii="Times New Roman;serif" w:hAnsi="Times New Roman;serif"/>
          <w:b w:val="false"/>
          <w:color w:val="000000"/>
          <w:sz w:val="20"/>
        </w:rPr>
      </w:pPr>
      <w:r>
        <w:rPr>
          <w:rFonts w:ascii="Times New Roman;serif" w:hAnsi="Times New Roman;serif"/>
          <w:b w:val="false"/>
          <w:color w:val="000000"/>
          <w:sz w:val="20"/>
        </w:rPr>
        <w:t xml:space="preserve">The service cost component of net periodic benefit cost is recorded in cost of goods sold and selling, general and administrative expenses, while non-service cost components are recorded in other income (expense), net in the accompanying consolidated statement of income. </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The Company contributed $0.3 million and $0.8 million to its defined benefit pension plans during the three and nine months ended September 30, 2025, respectively. The Company expects to contribute $1.2 million to its defined benefit pension plans for the full year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both"/>
        <w:rPr>
          <w:rFonts w:ascii="Times New Roman;serif" w:hAnsi="Times New Roman;serif"/>
          <w:b/>
          <w:color w:val="000000"/>
          <w:sz w:val="20"/>
        </w:rPr>
      </w:pPr>
      <w:r>
        <w:rPr>
          <w:rFonts w:ascii="Times New Roman;serif" w:hAnsi="Times New Roman;serif"/>
          <w:b/>
          <w:color w:val="000000"/>
          <w:sz w:val="20"/>
        </w:rPr>
        <w:t>18. Other Comprehensive Income (Loss)</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Changes in AOCI by component for the nine months ended September 30, 2025 are summarized as follows, net of tax (dollars in thousands):</w:t>
      </w:r>
    </w:p>
    <w:tbl>
      <w:tblPr>
        <w:tblW w:w="10205" w:type="dxa"/>
        <w:jc w:val="left"/>
        <w:tblInd w:w="0" w:type="dxa"/>
        <w:tblLayout w:type="fixed"/>
        <w:tblCellMar>
          <w:top w:w="28" w:type="dxa"/>
          <w:left w:w="28" w:type="dxa"/>
          <w:bottom w:w="28" w:type="dxa"/>
          <w:right w:w="28" w:type="dxa"/>
        </w:tblCellMar>
      </w:tblPr>
      <w:tblGrid>
        <w:gridCol w:w="1280"/>
        <w:gridCol w:w="906"/>
        <w:gridCol w:w="909"/>
        <w:gridCol w:w="109"/>
        <w:gridCol w:w="109"/>
        <w:gridCol w:w="109"/>
        <w:gridCol w:w="292"/>
        <w:gridCol w:w="929"/>
        <w:gridCol w:w="150"/>
        <w:gridCol w:w="109"/>
        <w:gridCol w:w="109"/>
        <w:gridCol w:w="109"/>
        <w:gridCol w:w="309"/>
        <w:gridCol w:w="1058"/>
        <w:gridCol w:w="160"/>
        <w:gridCol w:w="109"/>
        <w:gridCol w:w="109"/>
        <w:gridCol w:w="109"/>
        <w:gridCol w:w="339"/>
        <w:gridCol w:w="1253"/>
        <w:gridCol w:w="175"/>
        <w:gridCol w:w="109"/>
        <w:gridCol w:w="109"/>
        <w:gridCol w:w="109"/>
        <w:gridCol w:w="211"/>
        <w:gridCol w:w="767"/>
        <w:gridCol w:w="159"/>
      </w:tblGrid>
      <w:tr>
        <w:trPr/>
        <w:tc>
          <w:tcPr>
            <w:tcW w:w="1280"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25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Defined Benefit Plans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18"/>
              </w:rPr>
              <w:t>Derivative Instruments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Foreign Currency Translation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3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(8,010)</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16,300 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(26,840)</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(18,550)</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Net unrealized gains (losses) arising during the period </w:t>
            </w:r>
            <w:r>
              <w:rPr>
                <w:rFonts w:ascii="Times New Roman;serif" w:hAnsi="Times New Roman;serif"/>
                <w:b w:val="false"/>
                <w:color w:val="000000"/>
                <w:sz w:val="13"/>
              </w:rPr>
              <w: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(12,070)</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32,100 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20,030 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Net realized losses reclassified to 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current-period other comprehensive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(12,070)</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32,100 </w:t>
            </w:r>
          </w:p>
        </w:tc>
        <w:tc>
          <w:tcPr>
            <w:tcW w:w="1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20,060 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r>
      <w:tr>
        <w:trPr/>
        <w:tc>
          <w:tcPr>
            <w:tcW w:w="3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September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(7,980)</w:t>
            </w:r>
          </w:p>
        </w:tc>
        <w:tc>
          <w:tcPr>
            <w:tcW w:w="1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4,230 </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5,260 </w:t>
            </w:r>
          </w:p>
        </w:tc>
        <w:tc>
          <w:tcPr>
            <w:tcW w:w="1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1,510 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160"/>
        <w:jc w:val="left"/>
        <w:rPr>
          <w:rFonts w:ascii="Times New Roman;serif" w:hAnsi="Times New Roman;serif"/>
          <w:b w:val="false"/>
          <w:color w:val="000000"/>
          <w:sz w:val="12"/>
        </w:rPr>
      </w:pPr>
      <w:r>
        <w:rPr>
          <w:rFonts w:ascii="Times New Roman;serif" w:hAnsi="Times New Roman;serif"/>
          <w:b w:val="false"/>
          <w:color w:val="000000"/>
          <w:sz w:val="12"/>
        </w:rPr>
        <w:t>__________________________</w:t>
      </w:r>
    </w:p>
    <w:p>
      <w:pPr>
        <w:pStyle w:val="TextBody"/>
        <w:bidi w:val="0"/>
        <w:spacing w:lineRule="auto" w:line="288" w:before="160" w:after="160"/>
        <w:ind w:left="0" w:right="0" w:hanging="360"/>
        <w:jc w:val="both"/>
        <w:rPr/>
      </w:pPr>
      <w:r>
        <w:rPr>
          <w:rFonts w:ascii="Times New Roman;serif" w:hAnsi="Times New Roman;serif"/>
          <w:b w:val="false"/>
          <w:color w:val="000000"/>
          <w:sz w:val="10"/>
        </w:rPr>
        <w:t>(a)     </w:t>
      </w:r>
      <w:r>
        <w:rPr>
          <w:rFonts w:ascii="Times New Roman;serif" w:hAnsi="Times New Roman;serif"/>
          <w:b w:val="false"/>
          <w:color w:val="000000"/>
          <w:sz w:val="16"/>
        </w:rPr>
        <w:t>Derivative instruments, net of income tax of $3.9 million. See Note 10, "</w:t>
      </w:r>
      <w:r>
        <w:rPr>
          <w:rFonts w:ascii="Times New Roman;serif" w:hAnsi="Times New Roman;serif"/>
          <w:b w:val="false"/>
          <w:i/>
          <w:color w:val="000000"/>
          <w:sz w:val="16"/>
        </w:rPr>
        <w:t>Derivative Instruments</w:t>
      </w:r>
      <w:r>
        <w:rPr>
          <w:rFonts w:ascii="Times New Roman;serif" w:hAnsi="Times New Roman;serif"/>
          <w:b w:val="false"/>
          <w:color w:val="000000"/>
          <w:sz w:val="16"/>
        </w:rPr>
        <w:t>," for further details.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e69bc5e88b0c4f53b7988ab1107efbce_7">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TRIMAS CORPORATION</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Changes in AOCI by component for the nine months ended September 30, 2024 are summarized as follows, net of tax (dollars in thousands):</w:t>
      </w:r>
    </w:p>
    <w:tbl>
      <w:tblPr>
        <w:tblW w:w="10205" w:type="dxa"/>
        <w:jc w:val="center"/>
        <w:tblInd w:w="0" w:type="dxa"/>
        <w:tblLayout w:type="fixed"/>
        <w:tblCellMar>
          <w:top w:w="28" w:type="dxa"/>
          <w:left w:w="28" w:type="dxa"/>
          <w:bottom w:w="28" w:type="dxa"/>
          <w:right w:w="28" w:type="dxa"/>
        </w:tblCellMar>
      </w:tblPr>
      <w:tblGrid>
        <w:gridCol w:w="1317"/>
        <w:gridCol w:w="958"/>
        <w:gridCol w:w="961"/>
        <w:gridCol w:w="109"/>
        <w:gridCol w:w="109"/>
        <w:gridCol w:w="109"/>
        <w:gridCol w:w="298"/>
        <w:gridCol w:w="953"/>
        <w:gridCol w:w="154"/>
        <w:gridCol w:w="109"/>
        <w:gridCol w:w="109"/>
        <w:gridCol w:w="109"/>
        <w:gridCol w:w="317"/>
        <w:gridCol w:w="1085"/>
        <w:gridCol w:w="164"/>
        <w:gridCol w:w="109"/>
        <w:gridCol w:w="109"/>
        <w:gridCol w:w="109"/>
        <w:gridCol w:w="377"/>
        <w:gridCol w:w="1233"/>
        <w:gridCol w:w="194"/>
        <w:gridCol w:w="109"/>
        <w:gridCol w:w="109"/>
        <w:gridCol w:w="109"/>
        <w:gridCol w:w="211"/>
        <w:gridCol w:w="515"/>
        <w:gridCol w:w="160"/>
      </w:tblGrid>
      <w:tr>
        <w:trPr/>
        <w:tc>
          <w:tcPr>
            <w:tcW w:w="1317"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1233"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2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Defined Benefit Plans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18"/>
              </w:rPr>
              <w:t>Derivative Instruments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Foreign Currency Translation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32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(5,730)</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13,260 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(6,880)</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Net unrealized gains (losses) arising during the period </w:t>
            </w:r>
            <w:r>
              <w:rPr>
                <w:rFonts w:ascii="Times New Roman;serif" w:hAnsi="Times New Roman;serif"/>
                <w:b w:val="false"/>
                <w:color w:val="000000"/>
                <w:sz w:val="13"/>
              </w:rPr>
              <w: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(2,640)</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1,560 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(1,080)</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Net realized losses reclassified to 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current-period other comprehensive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(2,640)</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1,560 </w:t>
            </w:r>
          </w:p>
        </w:tc>
        <w:tc>
          <w:tcPr>
            <w:tcW w:w="19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(990)</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r>
      <w:tr>
        <w:trPr/>
        <w:tc>
          <w:tcPr>
            <w:tcW w:w="32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September 30,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(5,640)</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10,620 </w:t>
            </w:r>
          </w:p>
        </w:tc>
        <w:tc>
          <w:tcPr>
            <w:tcW w:w="1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(5,320)</w:t>
            </w:r>
          </w:p>
        </w:tc>
        <w:tc>
          <w:tcPr>
            <w:tcW w:w="1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160"/>
        <w:ind w:left="0" w:right="0" w:hanging="180"/>
        <w:jc w:val="left"/>
        <w:rPr>
          <w:rFonts w:ascii="Times New Roman;serif" w:hAnsi="Times New Roman;serif"/>
          <w:b w:val="false"/>
          <w:color w:val="000000"/>
          <w:sz w:val="12"/>
        </w:rPr>
      </w:pPr>
      <w:r>
        <w:rPr>
          <w:rFonts w:ascii="Times New Roman;serif" w:hAnsi="Times New Roman;serif"/>
          <w:b w:val="false"/>
          <w:color w:val="000000"/>
          <w:sz w:val="12"/>
        </w:rPr>
        <w:t>__________________________</w:t>
      </w:r>
    </w:p>
    <w:p>
      <w:pPr>
        <w:pStyle w:val="TextBody"/>
        <w:bidi w:val="0"/>
        <w:spacing w:lineRule="auto" w:line="288" w:before="160" w:after="160"/>
        <w:ind w:left="0" w:right="0" w:hanging="360"/>
        <w:jc w:val="both"/>
        <w:rPr/>
      </w:pPr>
      <w:r>
        <w:rPr>
          <w:rFonts w:ascii="Times New Roman;serif" w:hAnsi="Times New Roman;serif"/>
          <w:b w:val="false"/>
          <w:color w:val="000000"/>
          <w:sz w:val="10"/>
        </w:rPr>
        <w:t>(a)     </w:t>
      </w:r>
      <w:r>
        <w:rPr>
          <w:rFonts w:ascii="Times New Roman;serif" w:hAnsi="Times New Roman;serif"/>
          <w:b w:val="false"/>
          <w:color w:val="000000"/>
          <w:sz w:val="16"/>
        </w:rPr>
        <w:t>Derivative instruments, net of income tax of $0.8 million. See Note 10, "</w:t>
      </w:r>
      <w:r>
        <w:rPr>
          <w:rFonts w:ascii="Times New Roman;serif" w:hAnsi="Times New Roman;serif"/>
          <w:b w:val="false"/>
          <w:i/>
          <w:color w:val="000000"/>
          <w:sz w:val="16"/>
        </w:rPr>
        <w:t>Derivative Instruments</w:t>
      </w:r>
      <w:r>
        <w:rPr>
          <w:rFonts w:ascii="Times New Roman;serif" w:hAnsi="Times New Roman;serif"/>
          <w:b w:val="false"/>
          <w:color w:val="000000"/>
          <w:sz w:val="16"/>
        </w:rPr>
        <w:t>," for further details.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both"/>
        <w:rPr>
          <w:rFonts w:ascii="Times New Roman;serif" w:hAnsi="Times New Roman;serif"/>
          <w:b/>
          <w:color w:val="000000"/>
          <w:sz w:val="20"/>
        </w:rPr>
      </w:pPr>
      <w:r>
        <w:rPr>
          <w:rFonts w:ascii="Times New Roman;serif" w:hAnsi="Times New Roman;serif"/>
          <w:b/>
          <w:color w:val="000000"/>
          <w:sz w:val="20"/>
        </w:rPr>
        <w:t>19. Income Taxes</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The effective income tax rate for the three months ended September 30, 2025 and September 30, 2024 was 23.3% and 25.4%, respectively. The Company recorded income tax expense of $2.8 million and $0.9 million for the three months ended September 30, 2025 and September 30, 2024, respectively. The decrease in the effective tax rate for the three months ended September 30, 2025 was primarily due to the attribution of income among jurisdictions with differing statutory tax rates.</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The effective income tax rate for the nine months ended September 30, 2025 and September 30, 2024 was 25.5% and 20.0%, respectively. The Company recorded income tax expense of $13.2 million and $4.6 million for the nine months ended September 30, 2025 and September 30, 2024, respectively. The effective tax rate for the nine months ended September 30, 2025 was higher than in the prior year primarily due to the recognition of approximately $1.7 million of tax benefit related to foreign tax loss carryforwards in the nine months ended September 30, 2024. Additionally, the sale of the Arrow Engine business resulted in a taxable capital gain and related income tax expense of approximately $1.4 million in the first nine months of 2025.</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 xml:space="preserve">On July 4, 2025, President Donald J. Trump signed into law the legislation formally titled “An Act to provide for reconciliation pursuant to title II of H. Con. Res. 14” —and commonly referred to as the One Big Beautiful Bill Act ("OBBBA"). The legislation took effect in the third quarter of 2025. Based on an initial analysis, the OBBBA did not have a material impact on the Company's effective tax rate. The Company expects a favorable impact on U.S. federal cash taxes for the remainder of 2025.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both"/>
        <w:rPr>
          <w:rFonts w:ascii="Times New Roman;serif" w:hAnsi="Times New Roman;serif"/>
          <w:b/>
          <w:color w:val="000000"/>
          <w:sz w:val="20"/>
        </w:rPr>
      </w:pPr>
      <w:r>
        <w:rPr>
          <w:rFonts w:ascii="Times New Roman;serif" w:hAnsi="Times New Roman;serif"/>
          <w:b/>
          <w:color w:val="000000"/>
          <w:sz w:val="20"/>
        </w:rPr>
        <w:t>20. Subsequent Events</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On October 23, 2025, the Company announced that its Board of Directors had declared a cash dividend of $0.04 per share of TriMas Corporation common stock, which will be payable on November 13, 2025, to shareholders of record as of the close of business on November 6,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e69bc5e88b0c4f53b7988ab1107efbc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00"/>
        <w:jc w:val="left"/>
        <w:rPr>
          <w:rFonts w:ascii="Times New Roman;serif" w:hAnsi="Times New Roman;serif"/>
          <w:b/>
          <w:color w:val="000000"/>
          <w:sz w:val="20"/>
        </w:rPr>
      </w:pPr>
      <w:r>
        <w:rPr>
          <w:rFonts w:ascii="Times New Roman;serif" w:hAnsi="Times New Roman;serif"/>
          <w:b/>
          <w:color w:val="000000"/>
          <w:sz w:val="20"/>
        </w:rPr>
        <w:t xml:space="preserve">Item 2.    Management's Discussion and Analysis of Financial Condition and Results of Operations </w:t>
      </w:r>
    </w:p>
    <w:p>
      <w:pPr>
        <w:pStyle w:val="TextBody"/>
        <w:bidi w:val="0"/>
        <w:spacing w:lineRule="auto" w:line="288" w:before="100" w:after="100"/>
        <w:jc w:val="both"/>
        <w:rPr>
          <w:rFonts w:ascii="Times New Roman;serif" w:hAnsi="Times New Roman;serif"/>
          <w:b w:val="false"/>
          <w:i/>
          <w:color w:val="000000"/>
          <w:sz w:val="20"/>
        </w:rPr>
      </w:pPr>
      <w:r>
        <w:rPr>
          <w:rFonts w:ascii="Times New Roman;serif" w:hAnsi="Times New Roman;serif"/>
          <w:b w:val="false"/>
          <w:i/>
          <w:color w:val="000000"/>
          <w:sz w:val="20"/>
        </w:rPr>
        <w:t>The following discussion and analysis of our financial condition contains forward-looking statements regarding industry outlook and our expectations regarding the performance of our business. These forward-looking statements are subject to numerous risks and uncertainties, including, but not limited to, the risks and uncertainties described under the heading "Forward-Looking Statements," at the beginning of this report. Our actual results may differ materially from those contained in or implied by any forward-looking statements. You should read the following discussion together with the Company's reports on file with the Securities and Exchange Commission, including its Annual Report on Form 10-K for the year ended December 31,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60" w:after="160"/>
        <w:jc w:val="both"/>
        <w:rPr/>
      </w:pPr>
      <w:r>
        <w:rPr/>
      </w:r>
    </w:p>
    <w:p>
      <w:pPr>
        <w:pStyle w:val="TextBody"/>
        <w:bidi w:val="0"/>
        <w:spacing w:lineRule="auto" w:line="288" w:before="160" w:after="160"/>
        <w:jc w:val="both"/>
        <w:rPr>
          <w:rFonts w:ascii="Times New Roman;serif" w:hAnsi="Times New Roman;serif"/>
          <w:b/>
          <w:color w:val="000000"/>
          <w:sz w:val="20"/>
        </w:rPr>
      </w:pPr>
      <w:r>
        <w:rPr>
          <w:rFonts w:ascii="Times New Roman;serif" w:hAnsi="Times New Roman;serif"/>
          <w:b/>
          <w:color w:val="000000"/>
          <w:sz w:val="20"/>
        </w:rPr>
        <w:t>Introduction</w:t>
      </w:r>
    </w:p>
    <w:p>
      <w:pPr>
        <w:pStyle w:val="TextBody"/>
        <w:bidi w:val="0"/>
        <w:spacing w:lineRule="auto" w:line="288" w:before="160" w:after="1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TriMas designs, develops and manufactures a diverse set of products primarily for the consumer products, aerospace &amp; defense and industrial markets through its TriMas Packaging, TriMas Aerospace and Specialty Products groups. Our wide range of innovative products are designed and engineered to solve application-specific challenges that our customers face. We believe our businesses share important and distinguishing characteristics, including: well-recognized and leading brand names in the markets we serve; innovative product technologies and features; a high-degree of customer approved processes and qualifications; established distribution networks; modest capital investment requirements; strong cash flow conversion and long-term growth opportunities. While the majority of our revenue is in the United States, we manufacture and supply products globally to a wide range of companies. We report our business activity in three segments: Packaging, Aerospace and Specialty Products. </w:t>
      </w:r>
    </w:p>
    <w:p>
      <w:pPr>
        <w:pStyle w:val="TextBody"/>
        <w:bidi w:val="0"/>
        <w:spacing w:lineRule="auto" w:line="288" w:before="160" w:after="160"/>
        <w:jc w:val="both"/>
        <w:rPr/>
      </w:pPr>
      <w:r>
        <w:rPr>
          <w:rFonts w:ascii="Times New Roman;serif" w:hAnsi="Times New Roman;serif"/>
          <w:b w:val="false"/>
          <w:i/>
          <w:color w:val="000000"/>
          <w:sz w:val="20"/>
          <w:shd w:fill="FFFFFF" w:val="clear"/>
        </w:rPr>
        <w:t>Key Factors Affecting Our Reported Results</w:t>
      </w:r>
      <w:r>
        <w:rPr>
          <w:color w:val="000000"/>
          <w:shd w:fill="FFFFFF" w:val="clear"/>
        </w:rPr>
        <w:t xml:space="preserve">   </w:t>
      </w:r>
    </w:p>
    <w:p>
      <w:pPr>
        <w:pStyle w:val="TextBody"/>
        <w:bidi w:val="0"/>
        <w:spacing w:lineRule="auto" w:line="288" w:before="160" w:after="1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Demand for the products our businesses produce and results of operations depend upon general economic conditions. We serve customers in industries that are highly competitive, and that may be significantly impacted by changes in economic or geopolitical conditions.</w:t>
      </w:r>
    </w:p>
    <w:p>
      <w:pPr>
        <w:pStyle w:val="TextBody"/>
        <w:bidi w:val="0"/>
        <w:spacing w:lineRule="auto" w:line="288" w:before="0" w:after="0"/>
        <w:jc w:val="both"/>
        <w:rPr/>
      </w:pPr>
      <w:r>
        <w:rPr>
          <w:rFonts w:ascii="Times New Roman;serif" w:hAnsi="Times New Roman;serif"/>
          <w:b w:val="false"/>
          <w:color w:val="000000"/>
          <w:sz w:val="20"/>
          <w:shd w:fill="FFFFFF" w:val="clear"/>
        </w:rPr>
        <w:t xml:space="preserve">Our </w:t>
      </w:r>
      <w:r>
        <w:rPr>
          <w:rFonts w:ascii="Times New Roman;serif" w:hAnsi="Times New Roman;serif"/>
          <w:b w:val="false"/>
          <w:color w:val="000000"/>
          <w:sz w:val="20"/>
        </w:rPr>
        <w:t>results of operations have been materially impacted over the past few years by macro-economic factors, most recently by cost inflation (raw materials, wage rates and freight) and a lack of material, and in certain regions, skilled labor availability. Additionally, during the first nine months of 2025, the U.S. government altered its approach to international trade policy and announced baseline tariffs on products from all countries and additional individualized reciprocal tariffs on the countries with which the United States has the largest trade deficits, including China. This change in international trade policy has also created uncertainty with respect to future tariffs, including any retaliatory tariffs imposed by other countries, or other potential governmental actions. These factors have affected each of our businesses and how we operate, albeit in different ways and magnitudes. The current tariffs, predominately those imposed on China-based imports, have increased the costs of certain products sourced from non-U.S. countries. Sales of certain of our products for industrial applications, for example steel cylinders for packaged gas applications, have experienced volatility in demand related to customers securing a high order rates in prior periods, only to enter a period of destocking in more recent periods. This significant level of volatility in demand levels, input and transportation costs, and material and labor availability, have pressured our ability to operate efficiently in recent periods. While some areas of demand volatility and softness remain, such as in our Specialty Products segment, and more specifically our Norris Cylinder business, we have experienced more steady and consistent demand in our Packaging and Aerospace segments.</w:t>
      </w:r>
    </w:p>
    <w:p>
      <w:pPr>
        <w:pStyle w:val="TextBody"/>
        <w:bidi w:val="0"/>
        <w:spacing w:lineRule="auto" w:line="288" w:before="160" w:after="160"/>
        <w:jc w:val="both"/>
        <w:rPr/>
      </w:pPr>
      <w:r>
        <w:rPr>
          <w:rFonts w:ascii="Times New Roman;serif" w:hAnsi="Times New Roman;serif"/>
          <w:b w:val="false"/>
          <w:color w:val="000000"/>
          <w:sz w:val="20"/>
          <w:shd w:fill="FFFFFF" w:val="clear"/>
        </w:rPr>
        <w:t xml:space="preserve">Overall, our </w:t>
      </w:r>
      <w:r>
        <w:rPr>
          <w:rFonts w:ascii="Times New Roman;serif" w:hAnsi="Times New Roman;serif"/>
          <w:b w:val="false"/>
          <w:color w:val="000000"/>
          <w:sz w:val="20"/>
        </w:rPr>
        <w:t>third quarter</w:t>
      </w:r>
      <w:r>
        <w:rPr>
          <w:color w:val="000000"/>
          <w:shd w:fill="FFFFFF" w:val="clear"/>
        </w:rPr>
        <w:t xml:space="preserve"> </w:t>
      </w:r>
      <w:r>
        <w:rPr>
          <w:rFonts w:ascii="Times New Roman;serif" w:hAnsi="Times New Roman;serif"/>
          <w:b w:val="false"/>
          <w:color w:val="000000"/>
          <w:sz w:val="20"/>
          <w:shd w:fill="FFFFFF" w:val="clear"/>
        </w:rPr>
        <w:t xml:space="preserve">2025 net sales </w:t>
      </w:r>
      <w:r>
        <w:rPr>
          <w:rFonts w:ascii="Times New Roman;serif" w:hAnsi="Times New Roman;serif"/>
          <w:b w:val="false"/>
          <w:color w:val="000000"/>
          <w:sz w:val="20"/>
        </w:rPr>
        <w:t>increased</w:t>
      </w:r>
      <w:r>
        <w:rPr>
          <w:color w:val="000000"/>
          <w:shd w:fill="FFFFFF" w:val="clear"/>
        </w:rPr>
        <w:t xml:space="preserve"> </w:t>
      </w:r>
      <w:r>
        <w:rPr>
          <w:rFonts w:ascii="Times New Roman;serif" w:hAnsi="Times New Roman;serif"/>
          <w:b w:val="false"/>
          <w:color w:val="000000"/>
          <w:sz w:val="20"/>
        </w:rPr>
        <w:t>$39.9 million, or 17.4%,</w:t>
      </w:r>
      <w:r>
        <w:rPr>
          <w:color w:val="000000"/>
          <w:shd w:fill="FFFFFF" w:val="clear"/>
        </w:rPr>
        <w:t xml:space="preserve"> </w:t>
      </w:r>
      <w:r>
        <w:rPr>
          <w:rFonts w:ascii="Times New Roman;serif" w:hAnsi="Times New Roman;serif"/>
          <w:b w:val="false"/>
          <w:color w:val="000000"/>
          <w:sz w:val="20"/>
          <w:shd w:fill="FFFFFF" w:val="clear"/>
        </w:rPr>
        <w:t xml:space="preserve">compared to </w:t>
      </w:r>
      <w:r>
        <w:rPr>
          <w:rFonts w:ascii="Times New Roman;serif" w:hAnsi="Times New Roman;serif"/>
          <w:b w:val="false"/>
          <w:color w:val="000000"/>
          <w:sz w:val="20"/>
        </w:rPr>
        <w:t>third quarter</w:t>
      </w:r>
      <w:r>
        <w:rPr>
          <w:color w:val="000000"/>
          <w:shd w:fill="FFFFFF" w:val="clear"/>
        </w:rPr>
        <w:t xml:space="preserve"> </w:t>
      </w:r>
      <w:r>
        <w:rPr>
          <w:rFonts w:ascii="Times New Roman;serif" w:hAnsi="Times New Roman;serif"/>
          <w:b w:val="false"/>
          <w:color w:val="000000"/>
          <w:sz w:val="20"/>
          <w:shd w:fill="FFFFFF" w:val="clear"/>
        </w:rPr>
        <w:t xml:space="preserve">2024. We experienced organic growth of </w:t>
      </w:r>
      <w:r>
        <w:rPr>
          <w:rFonts w:ascii="Times New Roman;serif" w:hAnsi="Times New Roman;serif"/>
          <w:b w:val="false"/>
          <w:color w:val="000000"/>
          <w:sz w:val="20"/>
        </w:rPr>
        <w:t>37.1%</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2.6%</w:t>
      </w:r>
      <w:r>
        <w:rPr>
          <w:color w:val="000000"/>
          <w:shd w:fill="FFFFFF" w:val="clear"/>
        </w:rPr>
        <w:t xml:space="preserve"> </w:t>
      </w:r>
      <w:r>
        <w:rPr>
          <w:rFonts w:ascii="Times New Roman;serif" w:hAnsi="Times New Roman;serif"/>
          <w:b w:val="false"/>
          <w:color w:val="000000"/>
          <w:sz w:val="20"/>
          <w:shd w:fill="FFFFFF" w:val="clear"/>
        </w:rPr>
        <w:t>within our Aerospace and Packaging segments, respectively, compared to third quarter 2024. We also experienced gro</w:t>
      </w:r>
      <w:r>
        <w:rPr>
          <w:rFonts w:ascii="Times New Roman;serif" w:hAnsi="Times New Roman;serif"/>
          <w:b w:val="false"/>
          <w:color w:val="000000"/>
          <w:sz w:val="20"/>
        </w:rPr>
        <w:t xml:space="preserve">wth from acquisitions of 8.7% in our Aerospace segment. Net sales increased 7.2% in our Specialty Products segment as compared to the prior year quarter, as higher sales of steel cylinders more than offset the lost sales due to the divestiture of our Arrow Engine business in January 2025. </w:t>
      </w:r>
      <w:r>
        <w:rPr>
          <w:rFonts w:ascii="Times New Roman;serif" w:hAnsi="Times New Roman;serif"/>
          <w:b w:val="false"/>
          <w:color w:val="000000"/>
          <w:sz w:val="20"/>
          <w:shd w:fill="FFFFFF" w:val="clear"/>
        </w:rPr>
        <w:t xml:space="preserve">Our overall sales increase included </w:t>
      </w:r>
      <w:r>
        <w:rPr>
          <w:rFonts w:ascii="Times New Roman;serif" w:hAnsi="Times New Roman;serif"/>
          <w:b w:val="false"/>
          <w:color w:val="000000"/>
          <w:sz w:val="20"/>
        </w:rPr>
        <w:t>$2.1 million of currency exchange, as our reported results in U.S. dollars were favorably impacted as a result of a weakening U.S. dollar relative to foreign currencies.</w:t>
      </w:r>
    </w:p>
    <w:p>
      <w:pPr>
        <w:pStyle w:val="TextBody"/>
        <w:bidi w:val="0"/>
        <w:spacing w:lineRule="auto" w:line="288" w:before="160" w:after="160"/>
        <w:jc w:val="both"/>
        <w:rPr/>
      </w:pPr>
      <w:r>
        <w:rPr>
          <w:rFonts w:ascii="Times New Roman;serif" w:hAnsi="Times New Roman;serif"/>
          <w:b w:val="false"/>
          <w:color w:val="000000"/>
          <w:sz w:val="20"/>
          <w:shd w:fill="FFFFFF" w:val="clear"/>
        </w:rPr>
        <w:t>The most significant drivers affecting our financial results in third quarter 2025 compared with third quarter 2024, other than as directly impacted by sales changes, were a charge to update our asbestos liability based on our recent actuarial valuation</w:t>
      </w:r>
      <w:r>
        <w:rPr>
          <w:rFonts w:ascii="Times New Roman;serif" w:hAnsi="Times New Roman;serif"/>
          <w:b w:val="false"/>
          <w:color w:val="000000"/>
          <w:sz w:val="20"/>
        </w:rPr>
        <w:t xml:space="preserve">, the year-over-year impact of </w:t>
      </w:r>
      <w:r>
        <w:rPr>
          <w:rFonts w:ascii="Times New Roman;serif" w:hAnsi="Times New Roman;serif"/>
          <w:b w:val="false"/>
          <w:color w:val="000000"/>
          <w:sz w:val="20"/>
          <w:shd w:fill="FFFFFF" w:val="clear"/>
        </w:rPr>
        <w:t xml:space="preserve">a prolonged labor union strike at one of our manufacturing facilities within our Aerospace segment beginning in third quarter 2024, </w:t>
      </w:r>
      <w:r>
        <w:rPr>
          <w:rFonts w:ascii="Times New Roman;serif" w:hAnsi="Times New Roman;serif"/>
          <w:b w:val="false"/>
          <w:color w:val="000000"/>
          <w:sz w:val="20"/>
        </w:rPr>
        <w:t>and a decrease in our effective tax rate.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e69bc5e88b0c4f53b7988ab1107efbce_7">
        <w:r>
          <w:rPr>
            <w:rStyle w:val="InternetLink"/>
            <w:rFonts w:ascii="Times New Roman;serif" w:hAnsi="Times New Roman;serif"/>
            <w:b w:val="false"/>
            <w:color w:val="0000FF"/>
            <w:sz w:val="20"/>
            <w:u w:val="single"/>
          </w:rPr>
          <w:t>Table of Contents</w:t>
        </w:r>
      </w:hyperlink>
    </w:p>
    <w:p>
      <w:pPr>
        <w:pStyle w:val="TextBody"/>
        <w:bidi w:val="0"/>
        <w:spacing w:lineRule="auto" w:line="288" w:before="160" w:after="160"/>
        <w:jc w:val="both"/>
        <w:rPr/>
      </w:pPr>
      <w:r>
        <w:rPr>
          <w:rFonts w:ascii="Times New Roman;serif" w:hAnsi="Times New Roman;serif"/>
          <w:b w:val="false"/>
          <w:color w:val="000000"/>
          <w:sz w:val="20"/>
        </w:rPr>
        <w:t>In third quarter 2025, we commissioned our actuary to update our asbestos study, and upon completion we recorded a pre-tax charge of $8.0 million. See Note 13, "</w:t>
      </w:r>
      <w:r>
        <w:rPr>
          <w:rFonts w:ascii="Times New Roman;serif" w:hAnsi="Times New Roman;serif"/>
          <w:b w:val="false"/>
          <w:i/>
          <w:color w:val="000000"/>
          <w:sz w:val="20"/>
        </w:rPr>
        <w:t>Commitments and Contingencies,</w:t>
      </w:r>
      <w:r>
        <w:rPr>
          <w:rFonts w:ascii="Times New Roman;serif" w:hAnsi="Times New Roman;serif"/>
          <w:b w:val="false"/>
          <w:color w:val="000000"/>
          <w:sz w:val="20"/>
        </w:rPr>
        <w:t>" included in Part 1, Item 1, "</w:t>
      </w:r>
      <w:r>
        <w:rPr>
          <w:rFonts w:ascii="Times New Roman;serif" w:hAnsi="Times New Roman;serif"/>
          <w:b w:val="false"/>
          <w:i/>
          <w:color w:val="000000"/>
          <w:sz w:val="20"/>
        </w:rPr>
        <w:t>Notes to Unaudited Consolidated Financial Statements</w:t>
      </w:r>
      <w:r>
        <w:rPr>
          <w:rFonts w:ascii="Times New Roman;serif" w:hAnsi="Times New Roman;serif"/>
          <w:b w:val="false"/>
          <w:color w:val="000000"/>
          <w:sz w:val="20"/>
        </w:rPr>
        <w:t>," within this quarterly report on Form 10-Q for more information.</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On January 31, 2025, we completed the divestiture of our Arrow Engine business within our Specialty Products segment for net cash proceeds of $21.0 million. We recognized a pre-tax gain of $5.4 million on the sale of Arrow Engine. Arrow Engine contributed $5.2 million of sales in third quarter 2024.</w:t>
      </w:r>
    </w:p>
    <w:p>
      <w:pPr>
        <w:pStyle w:val="TextBody"/>
        <w:bidi w:val="0"/>
        <w:spacing w:lineRule="auto" w:line="288" w:before="160" w:after="160"/>
        <w:jc w:val="both"/>
        <w:rPr/>
      </w:pPr>
      <w:r>
        <w:rPr>
          <w:rFonts w:ascii="Times New Roman;serif" w:hAnsi="Times New Roman;serif"/>
          <w:b w:val="false"/>
          <w:color w:val="000000"/>
          <w:sz w:val="20"/>
        </w:rPr>
        <w:t>In February 2025, we acquired the aerospace business of GMT Gummi-Metall-Technik GmbH (“GMT”) for a purchase price of $37.7 million. GMT’s aerospace division (“GMT Aerospace”), which is reported in our Aerospace segment, is located in Germany and contributed $6.2 million of acquisition-related sales growth during third quarter</w:t>
      </w:r>
      <w:r>
        <w:rPr>
          <w:color w:val="000000"/>
          <w:shd w:fill="FFFFFF" w:val="clear"/>
        </w:rPr>
        <w:t xml:space="preserve"> </w:t>
      </w:r>
      <w:r>
        <w:rPr>
          <w:rFonts w:ascii="Times New Roman;serif" w:hAnsi="Times New Roman;serif"/>
          <w:b w:val="false"/>
          <w:color w:val="000000"/>
          <w:sz w:val="20"/>
          <w:shd w:fill="FFFFFF" w:val="clear"/>
        </w:rPr>
        <w:t>2025.</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In August 2024, our labor agreement with the United Automobile, Aerospace and Agricultural Implement Workers of America ("UAW") at our TriMas Aerospace facility in Commerce, California, expired. On August 4, 2024, the UAW initiated a strike, causing a work stoppage that resulted in lost production volumes, reduced sales, manufacturing inefficiencies and $2.3 million of increased costs through the end of third quarter 2024, with the Company and the UAW reaching a new labor agreement in mid-October 2024.</w:t>
      </w:r>
    </w:p>
    <w:p>
      <w:pPr>
        <w:pStyle w:val="TextBody"/>
        <w:bidi w:val="0"/>
        <w:spacing w:lineRule="auto" w:line="288" w:before="160" w:after="160"/>
        <w:jc w:val="both"/>
        <w:rPr/>
      </w:pPr>
      <w:r>
        <w:rPr>
          <w:rFonts w:ascii="Times New Roman;serif" w:hAnsi="Times New Roman;serif"/>
          <w:b w:val="false"/>
          <w:color w:val="000000"/>
          <w:sz w:val="20"/>
        </w:rPr>
        <w:t xml:space="preserve">The effective income tax rate for </w:t>
      </w:r>
      <w:r>
        <w:rPr>
          <w:rFonts w:ascii="Times New Roman;serif" w:hAnsi="Times New Roman;serif"/>
          <w:b w:val="false"/>
          <w:color w:val="000000"/>
          <w:sz w:val="20"/>
          <w:shd w:fill="FFFFFF" w:val="clear"/>
        </w:rPr>
        <w:t>third quarter</w:t>
      </w:r>
      <w:r>
        <w:rPr>
          <w:color w:val="000000"/>
        </w:rPr>
        <w:t xml:space="preserve"> </w:t>
      </w:r>
      <w:r>
        <w:rPr>
          <w:rFonts w:ascii="Times New Roman;serif" w:hAnsi="Times New Roman;serif"/>
          <w:b w:val="false"/>
          <w:color w:val="000000"/>
          <w:sz w:val="20"/>
          <w:shd w:fill="FFFFFF" w:val="clear"/>
        </w:rPr>
        <w:t>2025</w:t>
      </w:r>
      <w:r>
        <w:rPr>
          <w:color w:val="000000"/>
        </w:rPr>
        <w:t xml:space="preserve"> </w:t>
      </w:r>
      <w:r>
        <w:rPr>
          <w:rFonts w:ascii="Times New Roman;serif" w:hAnsi="Times New Roman;serif"/>
          <w:b w:val="false"/>
          <w:color w:val="000000"/>
          <w:sz w:val="20"/>
        </w:rPr>
        <w:t xml:space="preserve">was 23.3% as compared to 25.4% for </w:t>
      </w:r>
      <w:r>
        <w:rPr>
          <w:rFonts w:ascii="Times New Roman;serif" w:hAnsi="Times New Roman;serif"/>
          <w:b w:val="false"/>
          <w:color w:val="000000"/>
          <w:sz w:val="20"/>
          <w:shd w:fill="FFFFFF" w:val="clear"/>
        </w:rPr>
        <w:t>third quarter</w:t>
      </w:r>
      <w:r>
        <w:rPr>
          <w:color w:val="000000"/>
        </w:rPr>
        <w:t xml:space="preserve"> </w:t>
      </w:r>
      <w:r>
        <w:rPr>
          <w:rFonts w:ascii="Times New Roman;serif" w:hAnsi="Times New Roman;serif"/>
          <w:b w:val="false"/>
          <w:color w:val="000000"/>
          <w:sz w:val="20"/>
          <w:shd w:fill="FFFFFF" w:val="clear"/>
        </w:rPr>
        <w:t>2024</w:t>
      </w:r>
      <w:r>
        <w:rPr>
          <w:rFonts w:ascii="Times New Roman;serif" w:hAnsi="Times New Roman;serif"/>
          <w:b w:val="false"/>
          <w:color w:val="000000"/>
          <w:sz w:val="20"/>
        </w:rPr>
        <w:t xml:space="preserve">. The decrease in the effective tax rate for </w:t>
      </w:r>
      <w:r>
        <w:rPr>
          <w:rFonts w:ascii="Times New Roman;serif" w:hAnsi="Times New Roman;serif"/>
          <w:b w:val="false"/>
          <w:color w:val="000000"/>
          <w:sz w:val="20"/>
          <w:shd w:fill="FFFFFF" w:val="clear"/>
        </w:rPr>
        <w:t>third quarter</w:t>
      </w:r>
      <w:r>
        <w:rPr>
          <w:color w:val="000000"/>
        </w:rPr>
        <w:t xml:space="preserve"> </w:t>
      </w:r>
      <w:r>
        <w:rPr>
          <w:rFonts w:ascii="Times New Roman;serif" w:hAnsi="Times New Roman;serif"/>
          <w:b w:val="false"/>
          <w:color w:val="000000"/>
          <w:sz w:val="20"/>
          <w:shd w:fill="FFFFFF" w:val="clear"/>
        </w:rPr>
        <w:t>2025</w:t>
      </w:r>
      <w:r>
        <w:rPr>
          <w:color w:val="000000"/>
        </w:rPr>
        <w:t xml:space="preserve"> </w:t>
      </w:r>
      <w:r>
        <w:rPr>
          <w:rFonts w:ascii="Times New Roman;serif" w:hAnsi="Times New Roman;serif"/>
          <w:b w:val="false"/>
          <w:color w:val="000000"/>
          <w:sz w:val="20"/>
        </w:rPr>
        <w:t>was primarily due to the distribution of income among jurisdictions with differing statutory tax rates.</w:t>
      </w:r>
    </w:p>
    <w:p>
      <w:pPr>
        <w:pStyle w:val="TextBody"/>
        <w:bidi w:val="0"/>
        <w:spacing w:lineRule="auto" w:line="288" w:before="160" w:after="160"/>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Additional Key Risks that May Affect Our Reported Results</w:t>
      </w:r>
    </w:p>
    <w:p>
      <w:pPr>
        <w:pStyle w:val="TextBody"/>
        <w:bidi w:val="0"/>
        <w:spacing w:lineRule="auto" w:line="288" w:before="160" w:after="1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have executed meaningful realignment actions over the past few years to address variable and structural costs where demand has fallen. We will continue to assess and take further actions if required. However, as a result of the current period of macroeconomic inflation and uncertainty, including uncertainty regarding the scope and duration of current and future tariffs and trade actions, and the potential impact of such factors to our future results of operations, as well as if there is an impact to TriMas' overall performance and market capitalization, we may record additional cash and non-cash charges related to further realignment actions, asset impairments, including impairments to our goodwill, intangible assets, fixed assets, inventory or customer receivable account balances.</w:t>
      </w:r>
    </w:p>
    <w:p>
      <w:pPr>
        <w:pStyle w:val="TextBody"/>
        <w:bidi w:val="0"/>
        <w:spacing w:lineRule="auto" w:line="288" w:before="160" w:after="1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Despite the potential for declines in future demand levels and results of operations, at present, we believe our capital structure is in a strong position. We have sufficient cash and available liquidity under our revolving credit facility to meet our debt service obligations, capital expenditure requirements and other short-term and long-term obligations for the foreseeable future. </w:t>
      </w:r>
    </w:p>
    <w:p>
      <w:pPr>
        <w:pStyle w:val="TextBody"/>
        <w:bidi w:val="0"/>
        <w:spacing w:lineRule="auto" w:line="288" w:before="160" w:after="1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Critical factors affecting our ability to succeed include: our ability to generate organic growth through product development, cross-selling and extending product-line offerings, and our ability to quickly and cost-effectively introduce and successfully launch new products; our ability to acquire and integrate companies or products that supplement existing product lines, add adjacent distribution channels and new customers, or expand our geographic coverage; our ability to manage our cost structure more efficiently via supply chain management, internal sourcing and/or purchasing of materials, selective outsourcing and/or purchasing of support functions, working capital management, and greater leverage of our administrative functions; and our ability to absorb, or recover via commercial actions, inflationary or other cost increases, including tariffs and duties.</w:t>
      </w:r>
    </w:p>
    <w:p>
      <w:pPr>
        <w:pStyle w:val="TextBody"/>
        <w:bidi w:val="0"/>
        <w:spacing w:lineRule="auto" w:line="288" w:before="160" w:after="160"/>
        <w:jc w:val="both"/>
        <w:rPr/>
      </w:pPr>
      <w:r>
        <w:rPr>
          <w:rFonts w:ascii="Times New Roman;serif" w:hAnsi="Times New Roman;serif"/>
          <w:b w:val="false"/>
          <w:color w:val="000000"/>
          <w:sz w:val="20"/>
          <w:shd w:fill="FFFFFF" w:val="clear"/>
        </w:rPr>
        <w:t>Our overall business does not experience significant seasonal fluctuation, other than our fourth quarter, which has tended to be the lowest net sales quarter of the year due to holiday shutdowns at certain customers or other customers deferring capital spending to the following year.</w:t>
      </w:r>
      <w:r>
        <w:rPr>
          <w:color w:val="000000"/>
        </w:rPr>
        <w:t xml:space="preserve"> </w:t>
      </w:r>
      <w:r>
        <w:rPr>
          <w:rFonts w:ascii="Times New Roman;serif" w:hAnsi="Times New Roman;serif"/>
          <w:b w:val="false"/>
          <w:color w:val="000000"/>
          <w:sz w:val="20"/>
        </w:rPr>
        <w:t>A growing amount of our sales is derived from international sources, which exposes us to certain risks, including currency risks.</w:t>
      </w:r>
    </w:p>
    <w:p>
      <w:pPr>
        <w:pStyle w:val="TextBody"/>
        <w:bidi w:val="0"/>
        <w:spacing w:lineRule="auto" w:line="288" w:before="160" w:after="1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are sensitive to price movements and availability of our raw materials supply. Our largest raw material purchases are for polypropylene, polyethylene, steel, aluminum, superalloys (such as titanium, A286 stainless steel and Inconel) and other oil and metal-based purchased components, the costs for each of which are subject to volatility. There has also been volatility in certain of our input costs as a direct and indirect result of foreign trade policy, where tariffs on certain of our commodity-based products sourced from Asia have been instituted. In addition, the U.S. government recently announced baseline tariffs on products from all countries and additional individualized reciprocal tariffs on the countries with which the United States has the largest trade deficits, including China. We will continue to take actions to mitigate such increases, including implementing commercial pricing adjustments, holding extra inventories, resourcing to alternate suppliers and insourcing of previously sourced products. Although we believe we are generally able to mitigate the impact of higher commodity costs over time, we may experience additional material costs and disruptions in supply in the future and may not be able to pass along higher costs to our customers in the form of price increases or otherwise mitigate the impacts to our operating results.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e69bc5e88b0c4f53b7988ab1107efbce_7">
        <w:r>
          <w:rPr>
            <w:rStyle w:val="InternetLink"/>
            <w:rFonts w:ascii="Times New Roman;serif" w:hAnsi="Times New Roman;serif"/>
            <w:b w:val="false"/>
            <w:color w:val="0000FF"/>
            <w:sz w:val="20"/>
            <w:u w:val="single"/>
          </w:rPr>
          <w:t>Table of Contents</w:t>
        </w:r>
      </w:hyperlink>
    </w:p>
    <w:p>
      <w:pPr>
        <w:pStyle w:val="TextBody"/>
        <w:bidi w:val="0"/>
        <w:spacing w:lineRule="auto" w:line="288" w:before="160" w:after="1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Although we have escalator/de-escalator clauses in commercial contracts with certain of our customers to address fluctuations in input costs, or can modify prices based on market conditions to recover higher costs, our price increases generally lag the underlying input cost increase, and we cannot be assured of full cost recovery in the open market. If input costs increase at rapid rates, our ability to recover cost increases on a timely basis is made more difficult by the lag nature of these contracts. </w:t>
      </w:r>
    </w:p>
    <w:p>
      <w:pPr>
        <w:pStyle w:val="TextBody"/>
        <w:bidi w:val="0"/>
        <w:spacing w:lineRule="auto" w:line="288" w:before="160" w:after="1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Oil-based commodity costs are a significant driver of raw materials and purchased components used within our Packaging segment. As such, an increase in crude oil often is a precursor to rising polymeric raw material costs, for which we may experience a contractual commercial recovery lag. </w:t>
      </w:r>
    </w:p>
    <w:p>
      <w:pPr>
        <w:pStyle w:val="TextBody"/>
        <w:bidi w:val="0"/>
        <w:spacing w:lineRule="auto" w:line="288" w:before="160" w:after="1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Each year, as a core tenet of the TriMas Business Model, our businesses target cost savings from Kaizen (continuous improvement) initiatives in an effort to reduce, or otherwise offset, the impact of increased input and conversion costs through increased throughput and yield rates, with a goal of at least covering inflationary and market cost increases. In addition, we continuously review our operating cost structures to ensure alignment with current market demand.</w:t>
      </w:r>
    </w:p>
    <w:p>
      <w:pPr>
        <w:pStyle w:val="TextBody"/>
        <w:bidi w:val="0"/>
        <w:spacing w:lineRule="auto" w:line="288" w:before="160" w:after="160"/>
        <w:jc w:val="both"/>
        <w:rPr/>
      </w:pPr>
      <w:r>
        <w:rPr>
          <w:rFonts w:ascii="Times New Roman;serif" w:hAnsi="Times New Roman;serif"/>
          <w:b w:val="false"/>
          <w:color w:val="000000"/>
          <w:sz w:val="20"/>
          <w:shd w:fill="FFFFFF" w:val="clear"/>
        </w:rPr>
        <w:t xml:space="preserve">We continue to evaluate alternatives to redeploy the cash generated by our businesses, one of which includes returning capital to our shareholders. In 2020, our Board of Directors increased the authorization of share repurchases to a cumulative amount of $250 million. During </w:t>
      </w:r>
      <w:r>
        <w:rPr>
          <w:rFonts w:ascii="Times New Roman;serif" w:hAnsi="Times New Roman;serif"/>
          <w:b w:val="false"/>
          <w:color w:val="000000"/>
          <w:sz w:val="20"/>
        </w:rPr>
        <w:t>third quarter</w:t>
      </w:r>
      <w:r>
        <w:rPr>
          <w:color w:val="000000"/>
          <w:shd w:fill="FFFFFF" w:val="clear"/>
        </w:rPr>
        <w:t xml:space="preserve"> </w:t>
      </w:r>
      <w:r>
        <w:rPr>
          <w:rFonts w:ascii="Times New Roman;serif" w:hAnsi="Times New Roman;serif"/>
          <w:b w:val="false"/>
          <w:color w:val="000000"/>
          <w:sz w:val="20"/>
          <w:shd w:fill="FFFFFF" w:val="clear"/>
        </w:rPr>
        <w:t xml:space="preserve">2025, no shares were purchased. As of </w:t>
      </w:r>
      <w:r>
        <w:rPr>
          <w:rFonts w:ascii="Times New Roman;serif" w:hAnsi="Times New Roman;serif"/>
          <w:b w:val="false"/>
          <w:color w:val="000000"/>
          <w:sz w:val="20"/>
        </w:rPr>
        <w:t>September 30, 2025</w:t>
      </w:r>
      <w:r>
        <w:rPr>
          <w:rFonts w:ascii="Times New Roman;serif" w:hAnsi="Times New Roman;serif"/>
          <w:b w:val="false"/>
          <w:color w:val="000000"/>
          <w:sz w:val="20"/>
          <w:shd w:fill="FFFFFF" w:val="clear"/>
        </w:rPr>
        <w:t xml:space="preserve">, we had $65.4 million remaining under the repurchase authorization. </w:t>
      </w:r>
    </w:p>
    <w:p>
      <w:pPr>
        <w:pStyle w:val="TextBody"/>
        <w:bidi w:val="0"/>
        <w:spacing w:lineRule="auto" w:line="288" w:before="160" w:after="160"/>
        <w:jc w:val="both"/>
        <w:rPr/>
      </w:pPr>
      <w:r>
        <w:rPr>
          <w:rFonts w:ascii="Times New Roman;serif" w:hAnsi="Times New Roman;serif"/>
          <w:b w:val="false"/>
          <w:color w:val="000000"/>
          <w:sz w:val="20"/>
          <w:shd w:fill="FFFFFF" w:val="clear"/>
        </w:rPr>
        <w:t xml:space="preserve">In addition, in </w:t>
      </w:r>
      <w:r>
        <w:rPr>
          <w:rFonts w:ascii="Times New Roman;serif" w:hAnsi="Times New Roman;serif"/>
          <w:b w:val="false"/>
          <w:color w:val="000000"/>
          <w:sz w:val="20"/>
        </w:rPr>
        <w:t>third quarter</w:t>
      </w:r>
      <w:r>
        <w:rPr>
          <w:color w:val="000000"/>
          <w:shd w:fill="FFFFFF" w:val="clear"/>
        </w:rPr>
        <w:t xml:space="preserve"> </w:t>
      </w:r>
      <w:r>
        <w:rPr>
          <w:rFonts w:ascii="Times New Roman;serif" w:hAnsi="Times New Roman;serif"/>
          <w:b w:val="false"/>
          <w:color w:val="000000"/>
          <w:sz w:val="20"/>
          <w:shd w:fill="FFFFFF" w:val="clear"/>
        </w:rPr>
        <w:t xml:space="preserve">2025, we declared dividends of $0.04 per share of common stock and paid dividends of </w:t>
      </w:r>
      <w:r>
        <w:rPr>
          <w:rFonts w:ascii="Times New Roman;serif" w:hAnsi="Times New Roman;serif"/>
          <w:b w:val="false"/>
          <w:color w:val="000000"/>
          <w:sz w:val="20"/>
        </w:rPr>
        <w:t>$1.7 million</w:t>
      </w:r>
      <w:r>
        <w:rPr>
          <w:rFonts w:ascii="Times New Roman;serif" w:hAnsi="Times New Roman;serif"/>
          <w:b w:val="false"/>
          <w:color w:val="000000"/>
          <w:sz w:val="20"/>
          <w:shd w:fill="FFFFFF" w:val="clear"/>
        </w:rPr>
        <w:t>.</w:t>
      </w:r>
      <w:r>
        <w:rPr>
          <w:color w:val="000000"/>
        </w:rPr>
        <w:t xml:space="preserve"> </w:t>
      </w:r>
      <w:r>
        <w:rPr>
          <w:rFonts w:ascii="Times New Roman;serif" w:hAnsi="Times New Roman;serif"/>
          <w:b w:val="false"/>
          <w:color w:val="000000"/>
          <w:sz w:val="20"/>
          <w:shd w:fill="FFFFFF" w:val="clear"/>
        </w:rPr>
        <w:t>We will continue to evaluate opportunities to return capital to shareholders through the purchase of our common stock, as well as dividends, depending on market conditions and other factors.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e69bc5e88b0c4f53b7988ab1107efbce_7">
        <w:r>
          <w:rPr>
            <w:rStyle w:val="InternetLink"/>
            <w:rFonts w:ascii="Times New Roman;serif" w:hAnsi="Times New Roman;serif"/>
            <w:b w:val="false"/>
            <w:color w:val="0000FF"/>
            <w:sz w:val="20"/>
            <w:u w:val="single"/>
          </w:rPr>
          <w:t>Table of Contents</w:t>
        </w:r>
      </w:hyperlink>
    </w:p>
    <w:p>
      <w:pPr>
        <w:pStyle w:val="TextBody"/>
        <w:bidi w:val="0"/>
        <w:spacing w:lineRule="auto" w:line="288" w:before="160" w:after="160"/>
        <w:jc w:val="left"/>
        <w:rPr>
          <w:rFonts w:ascii="Times New Roman;serif" w:hAnsi="Times New Roman;serif"/>
          <w:b/>
          <w:color w:val="000000"/>
          <w:sz w:val="20"/>
        </w:rPr>
      </w:pPr>
      <w:r>
        <w:rPr>
          <w:rFonts w:ascii="Times New Roman;serif" w:hAnsi="Times New Roman;serif"/>
          <w:b/>
          <w:color w:val="000000"/>
          <w:sz w:val="20"/>
        </w:rPr>
        <w:t xml:space="preserve">Segment Information and Supplemental Analysis </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summarizes financial information for our reportable segments for the three months ended September 30, 2025 and September 30, 2024 (dollars in thousands): </w:t>
      </w:r>
    </w:p>
    <w:tbl>
      <w:tblPr>
        <w:tblW w:w="10065" w:type="dxa"/>
        <w:jc w:val="left"/>
        <w:tblInd w:w="0" w:type="dxa"/>
        <w:tblLayout w:type="fixed"/>
        <w:tblCellMar>
          <w:top w:w="28" w:type="dxa"/>
          <w:left w:w="28" w:type="dxa"/>
          <w:bottom w:w="28" w:type="dxa"/>
          <w:right w:w="28" w:type="dxa"/>
        </w:tblCellMar>
      </w:tblPr>
      <w:tblGrid>
        <w:gridCol w:w="1440"/>
        <w:gridCol w:w="1266"/>
        <w:gridCol w:w="1283"/>
        <w:gridCol w:w="211"/>
        <w:gridCol w:w="826"/>
        <w:gridCol w:w="109"/>
        <w:gridCol w:w="109"/>
        <w:gridCol w:w="109"/>
        <w:gridCol w:w="109"/>
        <w:gridCol w:w="353"/>
        <w:gridCol w:w="293"/>
        <w:gridCol w:w="733"/>
        <w:gridCol w:w="109"/>
        <w:gridCol w:w="109"/>
        <w:gridCol w:w="109"/>
        <w:gridCol w:w="211"/>
        <w:gridCol w:w="826"/>
        <w:gridCol w:w="109"/>
        <w:gridCol w:w="109"/>
        <w:gridCol w:w="109"/>
        <w:gridCol w:w="109"/>
        <w:gridCol w:w="335"/>
        <w:gridCol w:w="281"/>
        <w:gridCol w:w="808"/>
      </w:tblGrid>
      <w:tr>
        <w:trPr/>
        <w:tc>
          <w:tcPr>
            <w:tcW w:w="1440" w:type="dxa"/>
            <w:tcBorders/>
            <w:vAlign w:val="center"/>
          </w:tcPr>
          <w:p>
            <w:pPr>
              <w:pStyle w:val="TableContents"/>
              <w:bidi w:val="0"/>
              <w:spacing w:before="0" w:after="283"/>
              <w:jc w:val="left"/>
              <w:rPr>
                <w:sz w:val="4"/>
                <w:szCs w:val="4"/>
              </w:rPr>
            </w:pPr>
            <w:r>
              <w:rPr>
                <w:sz w:val="4"/>
                <w:szCs w:val="4"/>
              </w:rPr>
            </w:r>
          </w:p>
        </w:tc>
        <w:tc>
          <w:tcPr>
            <w:tcW w:w="1266" w:type="dxa"/>
            <w:tcBorders/>
            <w:vAlign w:val="center"/>
          </w:tcPr>
          <w:p>
            <w:pPr>
              <w:pStyle w:val="TableContents"/>
              <w:bidi w:val="0"/>
              <w:spacing w:before="0" w:after="283"/>
              <w:jc w:val="left"/>
              <w:rPr>
                <w:sz w:val="4"/>
                <w:szCs w:val="4"/>
              </w:rPr>
            </w:pPr>
            <w:r>
              <w:rPr>
                <w:sz w:val="4"/>
                <w:szCs w:val="4"/>
              </w:rPr>
            </w:r>
          </w:p>
        </w:tc>
        <w:tc>
          <w:tcPr>
            <w:tcW w:w="128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r>
      <w:tr>
        <w:trPr/>
        <w:tc>
          <w:tcPr>
            <w:tcW w:w="3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Three months ended September 30, </w:t>
            </w:r>
          </w:p>
        </w:tc>
      </w:tr>
      <w:tr>
        <w:trPr/>
        <w:tc>
          <w:tcPr>
            <w:tcW w:w="39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a Percentage</w:t>
              <w:br/>
              <w:t xml:space="preserve">of Net Sales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a Percentage</w:t>
              <w:br/>
              <w:t xml:space="preserve">of Net Sales </w:t>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Sales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Packaging</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135,700 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50.4 </w:t>
            </w:r>
          </w:p>
        </w:tc>
        <w:tc>
          <w:tcPr>
            <w:tcW w:w="7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130,240 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56.8 </w:t>
            </w:r>
          </w:p>
        </w:tc>
        <w:tc>
          <w:tcPr>
            <w:tcW w:w="8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Aerospace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103,240 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38.3 </w:t>
            </w:r>
          </w:p>
        </w:tc>
        <w:tc>
          <w:tcPr>
            <w:tcW w:w="7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70,830 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30.9 </w:t>
            </w:r>
          </w:p>
        </w:tc>
        <w:tc>
          <w:tcPr>
            <w:tcW w:w="8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Specialty Products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11.3 </w:t>
            </w:r>
          </w:p>
        </w:tc>
        <w:tc>
          <w:tcPr>
            <w:tcW w:w="7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12.3 </w:t>
            </w:r>
          </w:p>
        </w:tc>
        <w:tc>
          <w:tcPr>
            <w:tcW w:w="8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269,260 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7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229,360 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8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Gross Profit</w:t>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Packaging</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22.6 </w:t>
            </w:r>
          </w:p>
        </w:tc>
        <w:tc>
          <w:tcPr>
            <w:tcW w:w="7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23.8 </w:t>
            </w:r>
          </w:p>
        </w:tc>
        <w:tc>
          <w:tcPr>
            <w:tcW w:w="8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Aerospace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30.5 </w:t>
            </w:r>
          </w:p>
        </w:tc>
        <w:tc>
          <w:tcPr>
            <w:tcW w:w="7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23.3 </w:t>
            </w:r>
          </w:p>
        </w:tc>
        <w:tc>
          <w:tcPr>
            <w:tcW w:w="8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Specialty Products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12.4 </w:t>
            </w:r>
          </w:p>
        </w:tc>
        <w:tc>
          <w:tcPr>
            <w:tcW w:w="7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14.9 </w:t>
            </w:r>
          </w:p>
        </w:tc>
        <w:tc>
          <w:tcPr>
            <w:tcW w:w="8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65,910 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24.5 </w:t>
            </w:r>
          </w:p>
        </w:tc>
        <w:tc>
          <w:tcPr>
            <w:tcW w:w="7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22.5 </w:t>
            </w:r>
          </w:p>
        </w:tc>
        <w:tc>
          <w:tcPr>
            <w:tcW w:w="8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Selling, General and Administrative Expenses</w:t>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Packaging</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7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10.9 </w:t>
            </w:r>
          </w:p>
        </w:tc>
        <w:tc>
          <w:tcPr>
            <w:tcW w:w="8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Aerospace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7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14.4 </w:t>
            </w:r>
          </w:p>
        </w:tc>
        <w:tc>
          <w:tcPr>
            <w:tcW w:w="8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Specialty Products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7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8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15.3 </w:t>
            </w:r>
          </w:p>
        </w:tc>
        <w:tc>
          <w:tcPr>
            <w:tcW w:w="7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17.0 </w:t>
            </w:r>
          </w:p>
        </w:tc>
        <w:tc>
          <w:tcPr>
            <w:tcW w:w="8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Profit (Loss)</w:t>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Packaging</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12.0 </w:t>
            </w:r>
          </w:p>
        </w:tc>
        <w:tc>
          <w:tcPr>
            <w:tcW w:w="7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13.8 </w:t>
            </w:r>
          </w:p>
        </w:tc>
        <w:tc>
          <w:tcPr>
            <w:tcW w:w="8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Aerospace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19.6 </w:t>
            </w:r>
          </w:p>
        </w:tc>
        <w:tc>
          <w:tcPr>
            <w:tcW w:w="7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8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Specialty Products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7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8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7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8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Depreciation</w:t>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Packaging</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7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8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Aerospace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7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8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Specialty Products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7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8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7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8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Amortization</w:t>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Packaging</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7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8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Aerospace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7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8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Specialty Products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7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8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summarizes detail on the year-over-year sales growth percentages for our reportable segments for the three months ended September 30, 2025 as compared to the three months ended September 30, 2024: </w:t>
      </w:r>
    </w:p>
    <w:tbl>
      <w:tblPr>
        <w:tblW w:w="9970" w:type="dxa"/>
        <w:jc w:val="left"/>
        <w:tblInd w:w="0" w:type="dxa"/>
        <w:tblLayout w:type="fixed"/>
        <w:tblCellMar>
          <w:top w:w="28" w:type="dxa"/>
          <w:left w:w="28" w:type="dxa"/>
          <w:bottom w:w="28" w:type="dxa"/>
          <w:right w:w="28" w:type="dxa"/>
        </w:tblCellMar>
      </w:tblPr>
      <w:tblGrid>
        <w:gridCol w:w="1042"/>
        <w:gridCol w:w="916"/>
        <w:gridCol w:w="921"/>
        <w:gridCol w:w="109"/>
        <w:gridCol w:w="109"/>
        <w:gridCol w:w="109"/>
        <w:gridCol w:w="255"/>
        <w:gridCol w:w="256"/>
        <w:gridCol w:w="401"/>
        <w:gridCol w:w="109"/>
        <w:gridCol w:w="109"/>
        <w:gridCol w:w="109"/>
        <w:gridCol w:w="237"/>
        <w:gridCol w:w="237"/>
        <w:gridCol w:w="592"/>
        <w:gridCol w:w="109"/>
        <w:gridCol w:w="109"/>
        <w:gridCol w:w="109"/>
        <w:gridCol w:w="293"/>
        <w:gridCol w:w="293"/>
        <w:gridCol w:w="567"/>
        <w:gridCol w:w="109"/>
        <w:gridCol w:w="109"/>
        <w:gridCol w:w="109"/>
        <w:gridCol w:w="329"/>
        <w:gridCol w:w="329"/>
        <w:gridCol w:w="826"/>
        <w:gridCol w:w="109"/>
        <w:gridCol w:w="109"/>
        <w:gridCol w:w="109"/>
        <w:gridCol w:w="255"/>
        <w:gridCol w:w="256"/>
        <w:gridCol w:w="330"/>
      </w:tblGrid>
      <w:tr>
        <w:trPr/>
        <w:tc>
          <w:tcPr>
            <w:tcW w:w="1042"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r>
      <w:tr>
        <w:trPr/>
        <w:tc>
          <w:tcPr>
            <w:tcW w:w="2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4"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Third Quarter 2025 vs. Third Quarter 2024</w:t>
            </w:r>
          </w:p>
        </w:tc>
      </w:tr>
      <w:tr>
        <w:trPr/>
        <w:tc>
          <w:tcPr>
            <w:tcW w:w="2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Organic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Acquisitions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Divestitures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Foreign Exchange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TriMas Corporation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16.1 </w:t>
            </w:r>
          </w:p>
        </w:tc>
        <w:tc>
          <w:tcPr>
            <w:tcW w:w="4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5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5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17.4 </w:t>
            </w:r>
          </w:p>
        </w:tc>
        <w:tc>
          <w:tcPr>
            <w:tcW w:w="3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Packaging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4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3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Aerospace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37.1 </w:t>
            </w:r>
          </w:p>
        </w:tc>
        <w:tc>
          <w:tcPr>
            <w:tcW w:w="4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5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45.8 </w:t>
            </w:r>
          </w:p>
        </w:tc>
        <w:tc>
          <w:tcPr>
            <w:tcW w:w="3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Specialty Products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25.6 </w:t>
            </w:r>
          </w:p>
        </w:tc>
        <w:tc>
          <w:tcPr>
            <w:tcW w:w="4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w:t>
            </w:r>
          </w:p>
        </w:tc>
        <w:tc>
          <w:tcPr>
            <w:tcW w:w="5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3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e69bc5e88b0c4f53b7988ab1107efbce_7">
        <w:r>
          <w:rPr>
            <w:rStyle w:val="InternetLink"/>
            <w:rFonts w:ascii="Times New Roman;serif" w:hAnsi="Times New Roman;serif"/>
            <w:b w:val="false"/>
            <w:color w:val="0000FF"/>
            <w:sz w:val="20"/>
            <w:u w:val="single"/>
          </w:rPr>
          <w:t>Table of Contents</w:t>
        </w:r>
      </w:hyperlink>
    </w:p>
    <w:p>
      <w:pPr>
        <w:pStyle w:val="TextBody"/>
        <w:bidi w:val="0"/>
        <w:spacing w:lineRule="auto" w:line="288" w:before="16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financial information for our reportable segments for the nine months ended September 30, 2025 and 2024 (dollars in thousands):</w:t>
      </w:r>
    </w:p>
    <w:tbl>
      <w:tblPr>
        <w:tblW w:w="10065" w:type="dxa"/>
        <w:jc w:val="left"/>
        <w:tblInd w:w="0" w:type="dxa"/>
        <w:tblLayout w:type="fixed"/>
        <w:tblCellMar>
          <w:top w:w="28" w:type="dxa"/>
          <w:left w:w="28" w:type="dxa"/>
          <w:bottom w:w="28" w:type="dxa"/>
          <w:right w:w="28" w:type="dxa"/>
        </w:tblCellMar>
      </w:tblPr>
      <w:tblGrid>
        <w:gridCol w:w="1440"/>
        <w:gridCol w:w="1266"/>
        <w:gridCol w:w="1283"/>
        <w:gridCol w:w="211"/>
        <w:gridCol w:w="826"/>
        <w:gridCol w:w="109"/>
        <w:gridCol w:w="109"/>
        <w:gridCol w:w="109"/>
        <w:gridCol w:w="109"/>
        <w:gridCol w:w="353"/>
        <w:gridCol w:w="293"/>
        <w:gridCol w:w="733"/>
        <w:gridCol w:w="109"/>
        <w:gridCol w:w="109"/>
        <w:gridCol w:w="109"/>
        <w:gridCol w:w="211"/>
        <w:gridCol w:w="826"/>
        <w:gridCol w:w="109"/>
        <w:gridCol w:w="109"/>
        <w:gridCol w:w="109"/>
        <w:gridCol w:w="109"/>
        <w:gridCol w:w="335"/>
        <w:gridCol w:w="281"/>
        <w:gridCol w:w="808"/>
      </w:tblGrid>
      <w:tr>
        <w:trPr/>
        <w:tc>
          <w:tcPr>
            <w:tcW w:w="1440" w:type="dxa"/>
            <w:tcBorders/>
            <w:vAlign w:val="center"/>
          </w:tcPr>
          <w:p>
            <w:pPr>
              <w:pStyle w:val="TableContents"/>
              <w:bidi w:val="0"/>
              <w:spacing w:before="0" w:after="283"/>
              <w:jc w:val="left"/>
              <w:rPr>
                <w:sz w:val="4"/>
                <w:szCs w:val="4"/>
              </w:rPr>
            </w:pPr>
            <w:r>
              <w:rPr>
                <w:sz w:val="4"/>
                <w:szCs w:val="4"/>
              </w:rPr>
            </w:r>
          </w:p>
        </w:tc>
        <w:tc>
          <w:tcPr>
            <w:tcW w:w="1266" w:type="dxa"/>
            <w:tcBorders/>
            <w:vAlign w:val="center"/>
          </w:tcPr>
          <w:p>
            <w:pPr>
              <w:pStyle w:val="TableContents"/>
              <w:bidi w:val="0"/>
              <w:spacing w:before="0" w:after="283"/>
              <w:jc w:val="left"/>
              <w:rPr>
                <w:sz w:val="4"/>
                <w:szCs w:val="4"/>
              </w:rPr>
            </w:pPr>
            <w:r>
              <w:rPr>
                <w:sz w:val="4"/>
                <w:szCs w:val="4"/>
              </w:rPr>
            </w:r>
          </w:p>
        </w:tc>
        <w:tc>
          <w:tcPr>
            <w:tcW w:w="128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r>
      <w:tr>
        <w:trPr/>
        <w:tc>
          <w:tcPr>
            <w:tcW w:w="3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Nine months ended September 30, </w:t>
            </w:r>
          </w:p>
        </w:tc>
      </w:tr>
      <w:tr>
        <w:trPr/>
        <w:tc>
          <w:tcPr>
            <w:tcW w:w="39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a Percentage</w:t>
              <w:br/>
              <w:t xml:space="preserve">of Net Sales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a Percentage</w:t>
              <w:br/>
              <w:t xml:space="preserve">of Net Sales </w:t>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Sales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Packaging</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406,280 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51.7 </w:t>
            </w:r>
          </w:p>
        </w:tc>
        <w:tc>
          <w:tcPr>
            <w:tcW w:w="7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389,190 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55.8 </w:t>
            </w:r>
          </w:p>
        </w:tc>
        <w:tc>
          <w:tcPr>
            <w:tcW w:w="8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Aerospace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295,460 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37.6 </w:t>
            </w:r>
          </w:p>
        </w:tc>
        <w:tc>
          <w:tcPr>
            <w:tcW w:w="7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215,890 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31.0 </w:t>
            </w:r>
          </w:p>
        </w:tc>
        <w:tc>
          <w:tcPr>
            <w:tcW w:w="8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Specialty Products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83,950 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7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91,880 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13.2 </w:t>
            </w:r>
          </w:p>
        </w:tc>
        <w:tc>
          <w:tcPr>
            <w:tcW w:w="8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785,690 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7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696,960 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8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Gross Profit</w:t>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Packaging</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97,730 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24.1 </w:t>
            </w:r>
          </w:p>
        </w:tc>
        <w:tc>
          <w:tcPr>
            <w:tcW w:w="7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95,370 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24.5 </w:t>
            </w:r>
          </w:p>
        </w:tc>
        <w:tc>
          <w:tcPr>
            <w:tcW w:w="8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Aerospace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87,410 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29.6 </w:t>
            </w:r>
          </w:p>
        </w:tc>
        <w:tc>
          <w:tcPr>
            <w:tcW w:w="7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23.8 </w:t>
            </w:r>
          </w:p>
        </w:tc>
        <w:tc>
          <w:tcPr>
            <w:tcW w:w="8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Specialty Products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7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12.7 </w:t>
            </w:r>
          </w:p>
        </w:tc>
        <w:tc>
          <w:tcPr>
            <w:tcW w:w="8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192,660 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24.5 </w:t>
            </w:r>
          </w:p>
        </w:tc>
        <w:tc>
          <w:tcPr>
            <w:tcW w:w="7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158,420 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22.7 </w:t>
            </w:r>
          </w:p>
        </w:tc>
        <w:tc>
          <w:tcPr>
            <w:tcW w:w="8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Selling, General and Administrative Expenses</w:t>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Packaging</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10.9 </w:t>
            </w:r>
          </w:p>
        </w:tc>
        <w:tc>
          <w:tcPr>
            <w:tcW w:w="7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11.2 </w:t>
            </w:r>
          </w:p>
        </w:tc>
        <w:tc>
          <w:tcPr>
            <w:tcW w:w="8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Aerospace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7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12.7 </w:t>
            </w:r>
          </w:p>
        </w:tc>
        <w:tc>
          <w:tcPr>
            <w:tcW w:w="8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Specialty Products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7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8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124,250 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15.8 </w:t>
            </w:r>
          </w:p>
        </w:tc>
        <w:tc>
          <w:tcPr>
            <w:tcW w:w="7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115,380 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16.6 </w:t>
            </w:r>
          </w:p>
        </w:tc>
        <w:tc>
          <w:tcPr>
            <w:tcW w:w="8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Profit (Loss)</w:t>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Packaging</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13.2 </w:t>
            </w:r>
          </w:p>
        </w:tc>
        <w:tc>
          <w:tcPr>
            <w:tcW w:w="7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53,060 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13.6 </w:t>
            </w:r>
          </w:p>
        </w:tc>
        <w:tc>
          <w:tcPr>
            <w:tcW w:w="8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Aerospace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55,410 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18.8 </w:t>
            </w:r>
          </w:p>
        </w:tc>
        <w:tc>
          <w:tcPr>
            <w:tcW w:w="7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11.1 </w:t>
            </w:r>
          </w:p>
        </w:tc>
        <w:tc>
          <w:tcPr>
            <w:tcW w:w="8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Specialty Products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7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8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65,500 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7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38,570 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8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Depreciation</w:t>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Packaging</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7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8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Aerospace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7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8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Specialty Products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7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8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29,770 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7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8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Amortization</w:t>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Packaging</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7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8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Aerospace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7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8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Specialty Products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12,940 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7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12,640 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8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summarizes detail on the year-over-year sales growth percentages for our reportable segments for the nine months ended September 30, 2025 as compared to the nine months ended September 30, 2024: </w:t>
      </w:r>
    </w:p>
    <w:tbl>
      <w:tblPr>
        <w:tblW w:w="10205" w:type="dxa"/>
        <w:jc w:val="left"/>
        <w:tblInd w:w="0" w:type="dxa"/>
        <w:tblLayout w:type="fixed"/>
        <w:tblCellMar>
          <w:top w:w="28" w:type="dxa"/>
          <w:left w:w="28" w:type="dxa"/>
          <w:bottom w:w="28" w:type="dxa"/>
          <w:right w:w="28" w:type="dxa"/>
        </w:tblCellMar>
      </w:tblPr>
      <w:tblGrid>
        <w:gridCol w:w="946"/>
        <w:gridCol w:w="832"/>
        <w:gridCol w:w="836"/>
        <w:gridCol w:w="109"/>
        <w:gridCol w:w="109"/>
        <w:gridCol w:w="109"/>
        <w:gridCol w:w="255"/>
        <w:gridCol w:w="256"/>
        <w:gridCol w:w="401"/>
        <w:gridCol w:w="150"/>
        <w:gridCol w:w="150"/>
        <w:gridCol w:w="150"/>
        <w:gridCol w:w="237"/>
        <w:gridCol w:w="237"/>
        <w:gridCol w:w="592"/>
        <w:gridCol w:w="150"/>
        <w:gridCol w:w="150"/>
        <w:gridCol w:w="150"/>
        <w:gridCol w:w="288"/>
        <w:gridCol w:w="288"/>
        <w:gridCol w:w="567"/>
        <w:gridCol w:w="150"/>
        <w:gridCol w:w="150"/>
        <w:gridCol w:w="150"/>
        <w:gridCol w:w="313"/>
        <w:gridCol w:w="306"/>
        <w:gridCol w:w="770"/>
        <w:gridCol w:w="150"/>
        <w:gridCol w:w="150"/>
        <w:gridCol w:w="150"/>
        <w:gridCol w:w="278"/>
        <w:gridCol w:w="233"/>
        <w:gridCol w:w="443"/>
      </w:tblGrid>
      <w:tr>
        <w:trPr/>
        <w:tc>
          <w:tcPr>
            <w:tcW w:w="946"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r>
      <w:tr>
        <w:trPr/>
        <w:tc>
          <w:tcPr>
            <w:tcW w:w="2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4"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to Date Third Quarter 2025 vs. Year to Date Third Quarter 2024</w:t>
            </w:r>
          </w:p>
        </w:tc>
      </w:tr>
      <w:tr>
        <w:trPr/>
        <w:tc>
          <w:tcPr>
            <w:tcW w:w="2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Organic</w:t>
            </w:r>
          </w:p>
        </w:tc>
        <w:tc>
          <w:tcPr>
            <w:tcW w:w="4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Acquisitions</w:t>
            </w:r>
          </w:p>
        </w:tc>
        <w:tc>
          <w:tcPr>
            <w:tcW w:w="4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Divestitures</w:t>
            </w:r>
          </w:p>
        </w:tc>
        <w:tc>
          <w:tcPr>
            <w:tcW w:w="4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Foreign Exchange</w:t>
            </w:r>
          </w:p>
        </w:tc>
        <w:tc>
          <w:tcPr>
            <w:tcW w:w="4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2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TriMas Corporation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12.6 </w:t>
            </w:r>
          </w:p>
        </w:tc>
        <w:tc>
          <w:tcPr>
            <w:tcW w:w="4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5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5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7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12.7 </w:t>
            </w:r>
          </w:p>
        </w:tc>
        <w:tc>
          <w:tcPr>
            <w:tcW w:w="4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Packaging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4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7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4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Aerospace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29.4 </w:t>
            </w:r>
          </w:p>
        </w:tc>
        <w:tc>
          <w:tcPr>
            <w:tcW w:w="4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5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36.9 </w:t>
            </w:r>
          </w:p>
        </w:tc>
        <w:tc>
          <w:tcPr>
            <w:tcW w:w="4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Specialty Products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4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w:t>
            </w:r>
          </w:p>
        </w:tc>
        <w:tc>
          <w:tcPr>
            <w:tcW w:w="5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w:t>
            </w:r>
          </w:p>
        </w:tc>
        <w:tc>
          <w:tcPr>
            <w:tcW w:w="4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e69bc5e88b0c4f53b7988ab1107efbc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 xml:space="preserve">Results of Operations </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 xml:space="preserve">The principal factors impacting us during the three months ended September 30, 2025, compared with the three months ended September 30, 2024, were: </w:t>
      </w:r>
    </w:p>
    <w:p>
      <w:pPr>
        <w:pStyle w:val="TextBody"/>
        <w:bidi w:val="0"/>
        <w:spacing w:lineRule="auto" w:line="288" w:before="160" w:after="160"/>
        <w:ind w:left="0" w:right="0" w:hanging="360"/>
        <w:jc w:val="both"/>
        <w:rPr/>
      </w:pPr>
      <w:r>
        <w:rPr>
          <w:color w:val="000000"/>
        </w:rPr>
        <w:t>•</w:t>
      </w:r>
      <w:r>
        <w:rPr>
          <w:rFonts w:ascii="Times New Roman;serif" w:hAnsi="Times New Roman;serif"/>
          <w:b w:val="false"/>
          <w:color w:val="000000"/>
          <w:sz w:val="20"/>
        </w:rPr>
        <w:t xml:space="preserve">Increases in demand for products within our Aerospace and Packaging segments; </w:t>
      </w:r>
    </w:p>
    <w:p>
      <w:pPr>
        <w:pStyle w:val="TextBody"/>
        <w:bidi w:val="0"/>
        <w:spacing w:lineRule="auto" w:line="288" w:before="160" w:after="160"/>
        <w:ind w:left="0" w:right="0" w:hanging="360"/>
        <w:jc w:val="both"/>
        <w:rPr/>
      </w:pPr>
      <w:r>
        <w:rPr>
          <w:color w:val="000000"/>
        </w:rPr>
        <w:t>•</w:t>
      </w:r>
      <w:r>
        <w:rPr>
          <w:rFonts w:ascii="Times New Roman;serif" w:hAnsi="Times New Roman;serif"/>
          <w:b w:val="false"/>
          <w:color w:val="000000"/>
          <w:sz w:val="20"/>
        </w:rPr>
        <w:t>Increase in demand for our cylinder products within our Specialty Products segment;</w:t>
      </w:r>
    </w:p>
    <w:p>
      <w:pPr>
        <w:pStyle w:val="TextBody"/>
        <w:bidi w:val="0"/>
        <w:spacing w:lineRule="auto" w:line="288" w:before="160" w:after="160"/>
        <w:ind w:left="0" w:right="0" w:hanging="360"/>
        <w:jc w:val="both"/>
        <w:rPr/>
      </w:pPr>
      <w:r>
        <w:rPr>
          <w:color w:val="000000"/>
        </w:rPr>
        <w:t>•</w:t>
      </w:r>
      <w:r>
        <w:rPr>
          <w:rFonts w:ascii="Times New Roman;serif" w:hAnsi="Times New Roman;serif"/>
          <w:b w:val="false"/>
          <w:color w:val="000000"/>
          <w:sz w:val="20"/>
        </w:rPr>
        <w:t>Expenses associated with our asbestos exposure to update the liability to recent actuarial studies;</w:t>
      </w:r>
    </w:p>
    <w:p>
      <w:pPr>
        <w:pStyle w:val="TextBody"/>
        <w:bidi w:val="0"/>
        <w:spacing w:lineRule="auto" w:line="288" w:before="160" w:after="160"/>
        <w:ind w:left="0" w:right="0" w:hanging="360"/>
        <w:jc w:val="both"/>
        <w:rPr/>
      </w:pPr>
      <w:r>
        <w:rPr>
          <w:color w:val="000000"/>
          <w:shd w:fill="FFFFFF" w:val="clear"/>
        </w:rPr>
        <w:t>•</w:t>
      </w:r>
      <w:r>
        <w:rPr>
          <w:rFonts w:ascii="Times New Roman;serif" w:hAnsi="Times New Roman;serif"/>
          <w:b w:val="false"/>
          <w:color w:val="000000"/>
          <w:sz w:val="20"/>
          <w:shd w:fill="FFFFFF" w:val="clear"/>
        </w:rPr>
        <w:t>The divestiture of our Arrow Engine business</w:t>
      </w:r>
      <w:r>
        <w:rPr>
          <w:rFonts w:ascii="Times New Roman;serif" w:hAnsi="Times New Roman;serif"/>
          <w:b w:val="false"/>
          <w:color w:val="000000"/>
          <w:sz w:val="20"/>
        </w:rPr>
        <w:t xml:space="preserve">; </w:t>
      </w:r>
    </w:p>
    <w:p>
      <w:pPr>
        <w:pStyle w:val="TextBody"/>
        <w:bidi w:val="0"/>
        <w:spacing w:lineRule="auto" w:line="288" w:before="160" w:after="160"/>
        <w:ind w:left="0" w:right="0" w:hanging="360"/>
        <w:jc w:val="both"/>
        <w:rPr/>
      </w:pPr>
      <w:r>
        <w:rPr>
          <w:color w:val="000000"/>
        </w:rPr>
        <w:t>•</w:t>
      </w:r>
      <w:r>
        <w:rPr>
          <w:rFonts w:ascii="Times New Roman;serif" w:hAnsi="Times New Roman;serif"/>
          <w:b w:val="false"/>
          <w:color w:val="000000"/>
          <w:sz w:val="20"/>
        </w:rPr>
        <w:t xml:space="preserve">The impact of our recent acquisition of GMT Aerospace; </w:t>
      </w:r>
    </w:p>
    <w:p>
      <w:pPr>
        <w:pStyle w:val="TextBody"/>
        <w:bidi w:val="0"/>
        <w:spacing w:lineRule="auto" w:line="288" w:before="160" w:after="160"/>
        <w:ind w:left="0" w:right="0" w:hanging="360"/>
        <w:jc w:val="both"/>
        <w:rPr/>
      </w:pPr>
      <w:r>
        <w:rPr>
          <w:color w:val="000000"/>
          <w:shd w:fill="FFFFFF" w:val="clear"/>
        </w:rPr>
        <w:t>•</w:t>
      </w:r>
      <w:r>
        <w:rPr>
          <w:rFonts w:ascii="Times New Roman;serif" w:hAnsi="Times New Roman;serif"/>
          <w:b w:val="false"/>
          <w:color w:val="000000"/>
          <w:sz w:val="20"/>
          <w:shd w:fill="FFFFFF" w:val="clear"/>
        </w:rPr>
        <w:t xml:space="preserve">The third quarter 2024 </w:t>
      </w:r>
      <w:r>
        <w:rPr>
          <w:rFonts w:ascii="Times New Roman;serif" w:hAnsi="Times New Roman;serif"/>
          <w:b w:val="false"/>
          <w:color w:val="000000"/>
          <w:sz w:val="20"/>
        </w:rPr>
        <w:t>labor union strike at one of our manufacturing facilities in our Aerospace segment; and</w:t>
      </w:r>
    </w:p>
    <w:p>
      <w:pPr>
        <w:pStyle w:val="TextBody"/>
        <w:bidi w:val="0"/>
        <w:spacing w:lineRule="auto" w:line="288" w:before="160" w:after="160"/>
        <w:ind w:left="0" w:right="0" w:hanging="360"/>
        <w:jc w:val="both"/>
        <w:rPr/>
      </w:pPr>
      <w:r>
        <w:rPr>
          <w:color w:val="000000"/>
        </w:rPr>
        <w:t>•</w:t>
      </w:r>
      <w:r>
        <w:rPr>
          <w:rFonts w:ascii="Times New Roman;serif" w:hAnsi="Times New Roman;serif"/>
          <w:b w:val="false"/>
          <w:color w:val="000000"/>
          <w:sz w:val="20"/>
        </w:rPr>
        <w:t>A decrease in our effective tax rate in third quarter 2025 compared with third quarter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00" w:after="10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rFonts w:ascii="Times New Roman;serif" w:hAnsi="Times New Roman;serif"/>
          <w:b/>
          <w:color w:val="000000"/>
          <w:sz w:val="20"/>
        </w:rPr>
      </w:pPr>
      <w:r>
        <w:rPr>
          <w:rFonts w:ascii="Times New Roman;serif" w:hAnsi="Times New Roman;serif"/>
          <w:b/>
          <w:color w:val="000000"/>
          <w:sz w:val="20"/>
        </w:rPr>
        <w:t xml:space="preserve">Three Months Ended September 30, 2025 Compared with Three Months Ended September 30, 2024 </w:t>
      </w:r>
    </w:p>
    <w:p>
      <w:pPr>
        <w:pStyle w:val="TextBody"/>
        <w:bidi w:val="0"/>
        <w:spacing w:lineRule="auto" w:line="288" w:before="160" w:after="160"/>
        <w:jc w:val="both"/>
        <w:rPr/>
      </w:pPr>
      <w:r>
        <w:rPr>
          <w:rFonts w:ascii="Times New Roman;serif" w:hAnsi="Times New Roman;serif"/>
          <w:b w:val="false"/>
          <w:color w:val="000000"/>
          <w:sz w:val="20"/>
        </w:rPr>
        <w:t xml:space="preserve">Overall, net sales increased $39.9 million, or 17.4%, to $269.3 million for the three months ended September 30, 2025, as compared with $229.4 million in the three months ended September 30, 2024. Acquisition-related sales growth was $6.2 million from our February 2025 acquisition of GMT Aerospace. </w:t>
      </w:r>
      <w:r>
        <w:rPr>
          <w:rFonts w:ascii="Times New Roman;serif" w:hAnsi="Times New Roman;serif"/>
          <w:b w:val="false"/>
          <w:color w:val="000000"/>
          <w:sz w:val="20"/>
          <w:shd w:fill="FFFFFF" w:val="clear"/>
        </w:rPr>
        <w:t xml:space="preserve">Organic sales, excluding </w:t>
      </w:r>
      <w:r>
        <w:rPr>
          <w:rFonts w:ascii="Times New Roman;serif" w:hAnsi="Times New Roman;serif"/>
          <w:b w:val="false"/>
          <w:color w:val="000000"/>
          <w:sz w:val="20"/>
        </w:rPr>
        <w:t xml:space="preserve">the impact of currency exchange, increased $36.8 million, or 16.1%, as organic sales increased </w:t>
      </w:r>
      <w:r>
        <w:rPr>
          <w:rFonts w:ascii="Times New Roman;serif" w:hAnsi="Times New Roman;serif"/>
          <w:b w:val="false"/>
          <w:color w:val="000000"/>
          <w:sz w:val="20"/>
          <w:shd w:fill="FFFFFF" w:val="clear"/>
        </w:rPr>
        <w:t xml:space="preserve">37.1% and 2.6% within our Aerospace and Packaging </w:t>
      </w:r>
      <w:r>
        <w:rPr>
          <w:rFonts w:ascii="Times New Roman;serif" w:hAnsi="Times New Roman;serif"/>
          <w:b w:val="false"/>
          <w:color w:val="000000"/>
          <w:sz w:val="20"/>
        </w:rPr>
        <w:t>segments, respectively, due to improved throughput and commercial actions with Aerospace and certain end market demand improvements within Packaging. Sales increased 7.2% in our Specialty Products segment as an organic sales increase of 31.3% for our steel cylinders was offset by the impact of the divestiture of our Arrow Engine business. In addition, net sales increased by $2.1 million due to currency exchange, as our reported results in U.S. dollars were favorably impacted as a result of the weakening of the U.S. dollar relative to foreign currencies.</w:t>
      </w:r>
    </w:p>
    <w:p>
      <w:pPr>
        <w:pStyle w:val="TextBody"/>
        <w:bidi w:val="0"/>
        <w:spacing w:lineRule="auto" w:line="288" w:before="160" w:after="160"/>
        <w:jc w:val="both"/>
        <w:rPr/>
      </w:pPr>
      <w:r>
        <w:rPr>
          <w:rFonts w:ascii="Times New Roman;serif" w:hAnsi="Times New Roman;serif"/>
          <w:b w:val="false"/>
          <w:color w:val="000000"/>
          <w:sz w:val="20"/>
          <w:shd w:fill="FFFFFF" w:val="clear"/>
        </w:rPr>
        <w:t>Gross profit margin (gross profit as a percentage of sales) approximated 24.5% and 22.5% for the three months ended September 30, 2025 and September 30, 2024, respectively</w:t>
      </w:r>
      <w:r>
        <w:rPr>
          <w:rFonts w:ascii="Times New Roman;serif" w:hAnsi="Times New Roman;serif"/>
          <w:b w:val="false"/>
          <w:color w:val="000000"/>
          <w:sz w:val="20"/>
        </w:rPr>
        <w:t>. Gross profit margin increased primarily due to higher sales levels and related improved fixed cost absorption, a more favorable product sales mix, the impact of the labor union strike in 2024 that did not repeat, and favorable commercial actions within our Aerospace segment. These improvements were partially offset by lower margin within our Packaging segment primarily due to a $1.5 million write-off of certain inventory to the lower of cost or market, and increased input costs, as well as lower margin within our Specialty segment as the increase in gross profit related to increased steel cylinder sales was more than offset by the loss of sales related to the divestiture of our Arrow Engine business. Additionally, the increase in gross profit was partially offset by incremental maintenance and a $0.5 million purchase accounting charge related to the step-up of GMT Aerospace's inventory to fair value.</w:t>
      </w:r>
    </w:p>
    <w:p>
      <w:pPr>
        <w:pStyle w:val="TextBody"/>
        <w:bidi w:val="0"/>
        <w:spacing w:lineRule="auto" w:line="288" w:before="160" w:after="160"/>
        <w:jc w:val="both"/>
        <w:rPr/>
      </w:pPr>
      <w:r>
        <w:rPr>
          <w:rFonts w:ascii="Times New Roman;serif" w:hAnsi="Times New Roman;serif"/>
          <w:b w:val="false"/>
          <w:color w:val="000000"/>
          <w:sz w:val="20"/>
          <w:shd w:fill="FFFFFF" w:val="clear"/>
        </w:rPr>
        <w:t>Operating profit margin (operating profit as a p</w:t>
      </w:r>
      <w:r>
        <w:rPr>
          <w:rFonts w:ascii="Times New Roman;serif" w:hAnsi="Times New Roman;serif"/>
          <w:b w:val="false"/>
          <w:color w:val="000000"/>
          <w:sz w:val="20"/>
        </w:rPr>
        <w:t xml:space="preserve">ercentage of sales) approximated 6.2% and 3.6% for the three months ended September 30, 2025 and September 30, 2024, respectively. Operating profit increased $8.3 million to $16.6 million in the three months ended September 30, 2025, from $8.3 million for the three months ended September 30, 2024, </w:t>
      </w:r>
      <w:r>
        <w:rPr>
          <w:rFonts w:ascii="Times New Roman;serif" w:hAnsi="Times New Roman;serif"/>
          <w:b w:val="false"/>
          <w:color w:val="000000"/>
          <w:sz w:val="20"/>
          <w:shd w:fill="FFFFFF" w:val="clear"/>
        </w:rPr>
        <w:t>primarily</w:t>
      </w:r>
      <w:r>
        <w:rPr>
          <w:color w:val="000000"/>
        </w:rPr>
        <w:t xml:space="preserve"> </w:t>
      </w:r>
      <w:r>
        <w:rPr>
          <w:rFonts w:ascii="Times New Roman;serif" w:hAnsi="Times New Roman;serif"/>
          <w:b w:val="false"/>
          <w:color w:val="000000"/>
          <w:sz w:val="20"/>
        </w:rPr>
        <w:t>due to the impact of higher sales levels and related improved fixed cost absorption, a more favorable product sales mix, the impact of the labor union strike in 2024 that did not repeat, and favorable commercial actions within our Aerospace segment, as well as due to a $1.8 million pre-tax charge for environmental remediation obligations in third quarter 2024 that did not recur. These increases were partially offset by a decrease in operating profit within our Packaging segment due to the impact of $1.1 million of net gains on sales of non-core properties in the third quarter of 2024 that did not repeat, as well as the write-off of certain inventory to the lower of cost or market and increased input costs within the Packaging segment. Additionally, operating profit decreased due to a $8.0 million pre-tax charge related to updating our asbestos studies in the third quarter of 2025, as compared to a $5.5 million pre-tax charge taken in third quarter 2024. Operating profit further decreased due to incremental maintenance and a $0.5 million purchase accounting charge related to the step-up of GMT Aerospace's inventory to fair value within our Aerospace segment as well as higher employee-related costs.</w:t>
      </w:r>
      <w:r>
        <w:rPr>
          <w:color w:val="000000"/>
          <w:shd w:fill="FFFFFF" w:val="clear"/>
        </w:rPr>
        <w:t xml:space="preserve"> </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Interest expense decreased $0.5 million, to $4.4 million for the three months ended September 30, 2025, compared to $4.9 million for the three months ended September 30, 2024, due to a decrease in our weighted average borrowings and a lower effective interest rate on our revolving credit facility as a result of decreased borrowings from our revolving credit facility.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e69bc5e88b0c4f53b7988ab1107efbce_7">
        <w:r>
          <w:rPr>
            <w:rStyle w:val="InternetLink"/>
            <w:rFonts w:ascii="Times New Roman;serif" w:hAnsi="Times New Roman;serif"/>
            <w:b w:val="false"/>
            <w:color w:val="0000FF"/>
            <w:sz w:val="20"/>
            <w:u w:val="single"/>
          </w:rPr>
          <w:t>Table of Contents</w:t>
        </w:r>
      </w:hyperlink>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Other income (expense) increased $0.1 million to $0.1 million of expense for the three months ended September 30, 2025, as compared to a nominal amount of expense for the three months ended September 30, 2024, primarily due to a decrease in other miscellaneous income, which was largely offset by a decrease in realized losses in foreign currency transactions.</w:t>
      </w:r>
    </w:p>
    <w:p>
      <w:pPr>
        <w:pStyle w:val="TextBody"/>
        <w:bidi w:val="0"/>
        <w:spacing w:lineRule="auto" w:line="288" w:before="0" w:after="0"/>
        <w:jc w:val="both"/>
        <w:rPr/>
      </w:pPr>
      <w:r>
        <w:rPr>
          <w:rFonts w:ascii="Times New Roman;serif" w:hAnsi="Times New Roman;serif"/>
          <w:b w:val="false"/>
          <w:color w:val="000000"/>
          <w:sz w:val="20"/>
        </w:rPr>
        <w:t xml:space="preserve">The effective income tax rate for the three months ended September 30, 2025 and September 30, 2024 was 23.3% and 25.4%, respectively. We recorded income tax expense of $2.8 million and $0.9 million for the three months ended September 30, 2025 and </w:t>
      </w:r>
      <w:r>
        <w:rPr>
          <w:rFonts w:ascii="Times New Roman;serif" w:hAnsi="Times New Roman;serif"/>
          <w:b w:val="false"/>
          <w:color w:val="000000"/>
          <w:sz w:val="20"/>
          <w:shd w:fill="FFFFFF" w:val="clear"/>
        </w:rPr>
        <w:t>September 30, 2024, respectivel</w:t>
      </w:r>
      <w:r>
        <w:rPr>
          <w:rFonts w:ascii="Times New Roman;serif" w:hAnsi="Times New Roman;serif"/>
          <w:b w:val="false"/>
          <w:color w:val="000000"/>
          <w:sz w:val="20"/>
        </w:rPr>
        <w:t>y. The decrease in the effective tax rate for the three months ended September 30, 2025 was primarily due to the attribution of income among jurisdictions with differing statutory tax rates.</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Net income increased $6.8 million, to $9.3 million for the three months ended September 30, 2025, as compared to $2.5 million for the three months ended September 30, 2024. The increase was primarily the result of an increase in operating profit of $8.3 million and a decrease in interest expense of $0.5 million, partially offset by an increase in income tax expense of $2.0 million and an increase in other expense of $0.1 million.</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 xml:space="preserve">See below for a discussion of operating results by segment.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both"/>
        <w:rPr/>
      </w:pPr>
      <w:r>
        <w:rPr>
          <w:rFonts w:ascii="Times New Roman;serif" w:hAnsi="Times New Roman;serif"/>
          <w:b/>
          <w:i/>
          <w:color w:val="000000"/>
          <w:sz w:val="20"/>
        </w:rPr>
        <w:t xml:space="preserve">Packaging. </w:t>
      </w:r>
      <w:r>
        <w:rPr>
          <w:rFonts w:ascii="Times New Roman;serif" w:hAnsi="Times New Roman;serif"/>
          <w:b w:val="false"/>
          <w:color w:val="000000"/>
          <w:sz w:val="20"/>
        </w:rPr>
        <w:t>Net sales increased $5.5 million, or 4.2% (of which 2.6% was organic and 1.6% was foreign currency exchange), to $135.7 million in the three months ended September 30, 2025, as compared to $130.2 million in the three months ended September 30, 2024. Sales of dispensing products used primarily for beauty, personal care and home care applications increased by $7.4 million and sales of other consumer goods products increased by $1.1 million. These increases were partially offset by the decrease in sales of products used in food and beverage applications of $5.2 million. Sales of products used for industrial applications remained flat. Net sales increased by $2.1 million due to currency exchange, as our reported results in U.S. dollars were favorably impacted as a result of the weakening of the U.S. dollar relative to foreign currencies, as compared to third quarter 2024.</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Gross profit decreased $0.3 million to $30.7 million, or 22.6% of sales, in the three months ended September 30, 2025, as compared to $31.0 million, or 23.8% of sales, in the three months ended September 30, 2024, as increases due to higher sales levels were more than offset by a $1.5 million write-off of certain inventory to the lower of cost or market, and increased input costs.</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 increased $0.3 million to $14.4 million, or 10.6% of sales, in the three months ended September 30, 2025, as compared to $14.2 million, or 10.9% of sales, in the three months ended September 30, 2024, primarily due to higher employee-related costs.</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Operating profit decreased $1.6 million to $16.3 million, or 12.0% of sales, in the three months ended September 30, 2025, as compared to $17.9 million, or 13.8% of sales, in the three months ended September 30, 2024, primarily due to the impact of $1.1 million of net gains on the sale of non-core properties in third quarter 2024 that did not repeat, as well as the write-off of certain inventory to the lower of cost or market, increased input costs, and higher selling, general and administrative expenses.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both"/>
        <w:rPr/>
      </w:pPr>
      <w:r>
        <w:rPr>
          <w:rFonts w:ascii="Times New Roman;serif" w:hAnsi="Times New Roman;serif"/>
          <w:b/>
          <w:i/>
          <w:color w:val="000000"/>
          <w:sz w:val="20"/>
        </w:rPr>
        <w:t>Aerospace.</w:t>
      </w:r>
      <w:r>
        <w:rPr>
          <w:color w:val="000000"/>
        </w:rPr>
        <w:t>    </w:t>
      </w:r>
      <w:r>
        <w:rPr>
          <w:rFonts w:ascii="Times New Roman;serif" w:hAnsi="Times New Roman;serif"/>
          <w:b w:val="false"/>
          <w:color w:val="000000"/>
          <w:sz w:val="20"/>
        </w:rPr>
        <w:t xml:space="preserve">Net sales for the three months ended September 30, 2025 increased $32.4 million, or 45.8% (of which 37.1% was organic and 8.7% related to acquisitions), to $103.2 million, as compared to $70.8 million in the three months ended September 30, 2024. Acquisition-related sales growth from our February 2025 acquisition of GMT Aerospace was $6.2 million. Sales of our fasteners products increased by $24.2 million due to increases in aircraft build rates, improved production yield and commercial actions. Sales of our engineered components products increased by $2.0 million due to improved production throughput. </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Gross profit increased $15.0 million to $31.4 million, or 30.5% of sales, in the three months ended September 30, 2025, from $16.5 million, or 23.3% of sales, in the three months ended September 30, 2024. Gross profit increased primarily due to higher sales levels and resulting improved fixed cost absorption, a more favorable product sales mix and favorable commercial actions. Additionally, third quarter 2024 was impacted by increased costs and manufacturing inefficiencies resulting from a prolonged labor union strike that did not repeat. These increases in gross profit were partially offset by incremental maintenance and a $0.5 million purchase accounting charge related to the step-up of GMT Aerospace's inventory to fair value.</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 increased $0.9 million to $11.1 million, or 10.7% of sales, in the three months ended September 30, 2025, as compared to $10.2 million, or 14.4% of sales, in the three months ended September 30, 2024, primarily due to higher employee-related costs and higher ongoing selling, general and administrative costs associated with our acquisition of GMT Aerospace. These increases were partially offset by the impact of $1.3 million of costs related to the labor union strike in third quarter 2024 that did not repeat.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e69bc5e88b0c4f53b7988ab1107efbce_7">
        <w:r>
          <w:rPr>
            <w:rStyle w:val="InternetLink"/>
            <w:rFonts w:ascii="Times New Roman;serif" w:hAnsi="Times New Roman;serif"/>
            <w:b w:val="false"/>
            <w:color w:val="0000FF"/>
            <w:sz w:val="20"/>
            <w:u w:val="single"/>
          </w:rPr>
          <w:t>Table of Contents</w:t>
        </w:r>
      </w:hyperlink>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Operating profit increased $13.9 million to $20.2 million, or 19.6% of sales, in the three months ended September 30, 2025, as compared to $6.3 million, or 8.9% of sales, in the three months ended September 30, 2024, primarily due to the impact of higher sales levels, improved fixed cost absorption, a more favorable product sales mix, the impact of the labor union strike in 2024 that did not repeat, and commercial actions. These increases were partially offset by higher selling, general and administrative expenses, costs related to incremental maintenance and the recognition of the purchase accounting charge related to the step-up of GMT Aerospace's inventory to fair value.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pPr>
      <w:r>
        <w:rPr>
          <w:rFonts w:ascii="Times New Roman;serif" w:hAnsi="Times New Roman;serif"/>
          <w:b/>
          <w:i/>
          <w:color w:val="000000"/>
          <w:sz w:val="20"/>
        </w:rPr>
        <w:t>Specialty Products.</w:t>
      </w:r>
      <w:r>
        <w:rPr>
          <w:color w:val="000000"/>
        </w:rPr>
        <w:t xml:space="preserve">   </w:t>
      </w:r>
      <w:r>
        <w:rPr>
          <w:rFonts w:ascii="Times New Roman;serif" w:hAnsi="Times New Roman;serif"/>
          <w:b w:val="false"/>
          <w:color w:val="000000"/>
          <w:sz w:val="20"/>
        </w:rPr>
        <w:t>Net sales for the three months ended September 30, 2025 increased $2.0 million, or 7.2% (of which 25.6% was organic and (18.4)% was due to the divestiture of Arrow Engine), to $30.3 million, as compared to $28.3 million in the three months ended September 30, 2024. Sales of steel cylinders increased $7.2 million, or 31.3%, to $30.3 million, as compared to $23.1 million, due to improved order intake and overall market conditions. Arrow Engine contributed $5.2 million of sales in third quarter 2024. See Note 5, "</w:t>
      </w:r>
      <w:r>
        <w:rPr>
          <w:rFonts w:ascii="Times New Roman;serif" w:hAnsi="Times New Roman;serif"/>
          <w:b w:val="false"/>
          <w:i/>
          <w:color w:val="000000"/>
          <w:sz w:val="20"/>
        </w:rPr>
        <w:t>Acquisitions and Sale of Business,</w:t>
      </w:r>
      <w:r>
        <w:rPr>
          <w:rFonts w:ascii="Times New Roman;serif" w:hAnsi="Times New Roman;serif"/>
          <w:b w:val="false"/>
          <w:color w:val="000000"/>
          <w:sz w:val="20"/>
        </w:rPr>
        <w:t>" included in Part 1, Item 1, "</w:t>
      </w:r>
      <w:r>
        <w:rPr>
          <w:rFonts w:ascii="Times New Roman;serif" w:hAnsi="Times New Roman;serif"/>
          <w:b w:val="false"/>
          <w:i/>
          <w:color w:val="000000"/>
          <w:sz w:val="20"/>
        </w:rPr>
        <w:t>Notes to Unaudited Consolidated Financial Statements</w:t>
      </w:r>
      <w:r>
        <w:rPr>
          <w:rFonts w:ascii="Times New Roman;serif" w:hAnsi="Times New Roman;serif"/>
          <w:b w:val="false"/>
          <w:color w:val="000000"/>
          <w:sz w:val="20"/>
        </w:rPr>
        <w:t>," within this quarterly report on Form 10-Q for more information.</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Gross profit decreased $0.5 million to $3.8 million, or 12.4% of sales, in the three months ended September 30, 2025, as compared to $4.2 million, or 14.9% of sales, in the three months ended September 30, 2024, as the increase in gross profit related to increased steel cylinder sales was more than offset by the impact of the divestiture of Arrow Engine, which yielded a higher contribution margin in third quarter 2024. </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 decreased $0.5 million to $1.3 million, or 4.3% of sales, in the three months ended September 30, 2025, as compared to $1.8 million, or 6.5% of sales, in the three months ended September 30, 2024, primarily due to the year-over-year impact from the divestiture of our Arrow Engine business.</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Operating profit increased $0.1 million to $2.4 million, or 7.8% of sales, in the three months ended September 30, 2025, as compared to $2.3 million, or 8.1% of sales, in the three months ended September 30, 2024, primarily due to increased sales of steel cylinders, which was largely offset by the year-over-year impact from the divestiture of our Arrow Engine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both"/>
        <w:rPr/>
      </w:pPr>
      <w:r>
        <w:rPr>
          <w:rFonts w:ascii="Times New Roman;serif" w:hAnsi="Times New Roman;serif"/>
          <w:b/>
          <w:i/>
          <w:color w:val="000000"/>
          <w:sz w:val="20"/>
        </w:rPr>
        <w:t>Corporate.</w:t>
      </w:r>
      <w:r>
        <w:rPr>
          <w:color w:val="000000"/>
        </w:rPr>
        <w:t>    </w:t>
      </w:r>
      <w:r>
        <w:rPr>
          <w:rFonts w:ascii="Times New Roman;serif" w:hAnsi="Times New Roman;serif"/>
          <w:b w:val="false"/>
          <w:color w:val="000000"/>
          <w:sz w:val="20"/>
        </w:rPr>
        <w:t>Corporate expenses consist of the following (dollars in millions):</w:t>
      </w:r>
    </w:p>
    <w:tbl>
      <w:tblPr>
        <w:tblW w:w="5798" w:type="dxa"/>
        <w:jc w:val="center"/>
        <w:tblInd w:w="0" w:type="dxa"/>
        <w:tblLayout w:type="fixed"/>
        <w:tblCellMar>
          <w:top w:w="28" w:type="dxa"/>
          <w:left w:w="28" w:type="dxa"/>
          <w:bottom w:w="28" w:type="dxa"/>
          <w:right w:w="28" w:type="dxa"/>
        </w:tblCellMar>
      </w:tblPr>
      <w:tblGrid>
        <w:gridCol w:w="923"/>
        <w:gridCol w:w="811"/>
        <w:gridCol w:w="816"/>
        <w:gridCol w:w="109"/>
        <w:gridCol w:w="109"/>
        <w:gridCol w:w="109"/>
        <w:gridCol w:w="303"/>
        <w:gridCol w:w="735"/>
        <w:gridCol w:w="156"/>
        <w:gridCol w:w="156"/>
        <w:gridCol w:w="156"/>
        <w:gridCol w:w="156"/>
        <w:gridCol w:w="303"/>
        <w:gridCol w:w="735"/>
        <w:gridCol w:w="221"/>
      </w:tblGrid>
      <w:tr>
        <w:trPr/>
        <w:tc>
          <w:tcPr>
            <w:tcW w:w="923"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Three months ended September 30, </w:t>
            </w:r>
          </w:p>
        </w:tc>
      </w:tr>
      <w:tr>
        <w:trPr/>
        <w:tc>
          <w:tcPr>
            <w:tcW w:w="255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4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stock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Legacy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disposition of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18.3 </w:t>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Corporate expenses increased $4.0 million to $22.3 million for the three months ended September 30, 2025, from $18.3 million for the three months ended September 30, 2024, primarily due to a $8.0 million pre-tax charge related to updating our asbestos studies in the third quarter of 2025, as compared to a $5.5 million pre-tax charge taken in third quarter 2024. Additionally, corporate expenses were favorably impacted by a $1.8 million pre-tax charge for environmental remediation obligations in third quarter 2024 that did not recur, which was partially offset by a $1.7 million increase in non-cash stock compensation expense due to timing and estimated attainment of existing awards and higher employee-related costs.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both"/>
        <w:rPr>
          <w:rFonts w:ascii="Times New Roman;serif" w:hAnsi="Times New Roman;serif"/>
          <w:b/>
          <w:color w:val="000000"/>
          <w:sz w:val="20"/>
        </w:rPr>
      </w:pPr>
      <w:r>
        <w:rPr>
          <w:rFonts w:ascii="Times New Roman;serif" w:hAnsi="Times New Roman;serif"/>
          <w:b/>
          <w:color w:val="000000"/>
          <w:sz w:val="20"/>
        </w:rPr>
        <w:t xml:space="preserve">Nine Months Ended September 30, 2025 Compared with Nine Months Ended September 30, 2024 </w:t>
      </w:r>
    </w:p>
    <w:p>
      <w:pPr>
        <w:pStyle w:val="TextBody"/>
        <w:bidi w:val="0"/>
        <w:spacing w:lineRule="auto" w:line="288" w:before="160" w:after="160"/>
        <w:jc w:val="both"/>
        <w:rPr/>
      </w:pPr>
      <w:r>
        <w:rPr>
          <w:rFonts w:ascii="Times New Roman;serif" w:hAnsi="Times New Roman;serif"/>
          <w:b w:val="false"/>
          <w:color w:val="000000"/>
          <w:sz w:val="20"/>
        </w:rPr>
        <w:t>Overall, net sales increased $88.7 million, or 12.7%, to $785.7 million for the nine months ended September 30, 2025, as compared with $697.0 million in the nine months ended September 30, 2024. Acquisition-related sales growth was $16.2 million from our February 2025 acquisition of GMT Aerospace. Organic sales, excluding the impact of currency exchange and acquisitions, increased $87.8 million, or 12.6%, as organic sales increases of 29.4</w:t>
      </w:r>
      <w:r>
        <w:rPr>
          <w:rFonts w:ascii="Times New Roman;serif" w:hAnsi="Times New Roman;serif"/>
          <w:b w:val="false"/>
          <w:color w:val="000000"/>
          <w:sz w:val="20"/>
          <w:shd w:fill="FFFFFF" w:val="clear"/>
        </w:rPr>
        <w:t xml:space="preserve">% and 4.6% within our Aerospace and Packaging </w:t>
      </w:r>
      <w:r>
        <w:rPr>
          <w:rFonts w:ascii="Times New Roman;serif" w:hAnsi="Times New Roman;serif"/>
          <w:b w:val="false"/>
          <w:color w:val="000000"/>
          <w:sz w:val="20"/>
        </w:rPr>
        <w:t>segments, respectively, driven by end market demand improvements, were partially offset by a 8.6% sales decrease in our Specialty Products segment as the organic sales increase of 8.2% for our steel cylinders was more than offset by the impact of the divestiture of our Arrow Engine business. In addition, net sales decreased by $1.1 million due to currency exchange, as our reported results in U.S. dollars were unfavorably impacted as a result of a strengthening U.S. dollar relative to foreign currencies.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e69bc5e88b0c4f53b7988ab1107efbce_7">
        <w:r>
          <w:rPr>
            <w:rStyle w:val="InternetLink"/>
            <w:rFonts w:ascii="Times New Roman;serif" w:hAnsi="Times New Roman;serif"/>
            <w:b w:val="false"/>
            <w:color w:val="0000FF"/>
            <w:sz w:val="20"/>
            <w:u w:val="single"/>
          </w:rPr>
          <w:t>Table of Contents</w:t>
        </w:r>
      </w:hyperlink>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Gross profit margin (gross profit as a percentage of sales) approximated 24.5% for the nine months ended September 30, 2025 and 22.7% for the nine months ended September 30, 2024. Gross profit margin increased primarily due to higher sales levels and related improved fixed cost absorption within our Aerospace and Packaging segments, a more favorable product sales mix, the impact of the labor union strike in 2024 that did not repeat, and favorable commercial actions within our Aerospace segment. The increase in gross profit was partially offset by lower sales within our Specialty segment driven by the loss of sales related to the divestiture of our Arrow Engine business. Additionally, gross profit decreased due to a $1.2 million purchase accounting charge related to the step-up of GMT Aerospace's inventory to fair value and incremental maintenance within our Aerospace segment as well as increased input costs and a $1.5 million write-off of certain inventory to the lower of cost or market in our Packaging segment.</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Operating profit margin (operating profit as a percentage of sales) approximated 8.3% and 5.5% for the nine months ended September 30, 2025 and September 30, 2024, respectively. Operating profit increased $26.9 million, to $65.5 million, for the nine months ended September 30, 2025, compared to $38.6 million for the nine months ended September 30, 2024, primarily due to higher sales levels and related improved fixed cost absorption within our Aerospace and Packaging segments, a more favorable product sales mix, the impact of the labor union strike in 2024 that did not repeat, and favorable commercial actions within our Aerospace segment. Operating profit further increased due to a $5.4 million gain on the sale of Arrow Engine, $2.6 million of lower professional costs associated with business acquisition, diligence and transaction-related activity, and the impact of $2.5 millions of pre-tax charges for environmental remediation obligations in the nine months ended 2024 that did not recur. The increase in operating profit was partially offset by reduced sales within our Specialty segment driven by the loss of sales related to the divestiture of our Arrow Engine business and due to increased tariff and related input costs and a $1.5 million write-off of certain inventory to the lower of cost or market in our Packaging segment. In addition, operating profit decreased by $4.5 million primarily related to consulting services and costs associated with actions to reorganize the corporate office and due to a $8.0 million pre-tax charge related to updating our asbestos studies in 2025, as compared to a $5.5 million pre-tax charge taken in 2024. Operating profit further decreased due to a $1.2 million purchase accounting charge related to the step-up of GMT Aerospace's inventory to fair value and incremental maintenance within our Aerospace segment, and higher employee-related costs.</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Interest expense decreased $1.6 million, to $13.4 million, for the nine months ended September 30, 2025, as compared to $15.0 million for the nine months ended September 30, 2024, due to a decrease in our weighted average borrowings and a lower effective interest rate as a result of decreased borrowings from our revolving credit facility.</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Other income (expense) increased $0.1 million to $0.4 million of expense, for the nine months ended September 30, 2025, from $0.3 million of expense for the nine months ended September 30, 2024, as decreased losses on foreign currency transactions were largely offset by lower miscellaneous income.</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The effective income tax rate for the nine months ended September 30, 2025 and September 30, 2024 was 25.5% and 20.0%, respectively. We recorded tax expense of $13.2 million for the nine months ended September 30, 2025, as compared to $4.6 million for the nine months ended September 30, 2024. The effective tax rate for the nine months ended September 30, 2025 was higher than in the prior year primarily due to the recognition of approximately $1.7 million of tax benefit related to foreign tax loss carryforwards in the nine months ended September 30, 2024. Additionally, the sale of the Arrow Engine business resulted in a taxable capital gain and related income tax expense of approximately $1.4 million in the first nine months of 2025.</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Net income increased by $19.8 million, to $38.4 million, for the nine months ended September 30, 2025, compared to $18.6 million for the nine months ended September 30, 2024. The increase was primarily the result of an increase in operating profit of $26.9 million and a decrease in interest expense of $1.6 million, partially offset by an increase in income tax expense of $8.6 million and an increase in other expense of $0.1 million.</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 xml:space="preserve">See below for a discussion of operating results by segment.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both"/>
        <w:rPr/>
      </w:pPr>
      <w:r>
        <w:rPr>
          <w:rFonts w:ascii="Times New Roman;serif" w:hAnsi="Times New Roman;serif"/>
          <w:b/>
          <w:i/>
          <w:color w:val="000000"/>
          <w:sz w:val="20"/>
        </w:rPr>
        <w:t xml:space="preserve">Packaging. </w:t>
      </w:r>
      <w:r>
        <w:rPr>
          <w:color w:val="000000"/>
        </w:rPr>
        <w:t>  </w:t>
      </w:r>
      <w:r>
        <w:rPr>
          <w:rFonts w:ascii="Times New Roman;serif" w:hAnsi="Times New Roman;serif"/>
          <w:b w:val="false"/>
          <w:color w:val="000000"/>
          <w:sz w:val="20"/>
        </w:rPr>
        <w:t>Net sales increased $17.1 million, or 4.4% (of which 4.6% was organic and (0.2)% was foreign currency exchange), to $406.3 million in the nine months ended September 30, 2025, as compared to $389.2 million in the nine months ended September 30, 2024. Sales of dispensing products used primarily for beauty, personal care and home care applications increased by $27.6 million. Sales of products used for industrial applications increased by $2.0 million and sales of other consumer goods products increased by $6.7 million. These increases were partially offset by the decrease in sales of products used in food and beverage applications of $18.2 million. Net sales decreased by $1.0 million due to currency exchange, as our reported results in U.S. dollars were unfavorably impacted as a result of the strengthening U.S. dollar relative to foreign currencies, as compared to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e69bc5e88b0c4f53b7988ab1107efbce_7">
        <w:r>
          <w:rPr>
            <w:rStyle w:val="InternetLink"/>
            <w:rFonts w:ascii="Times New Roman;serif" w:hAnsi="Times New Roman;serif"/>
            <w:b w:val="false"/>
            <w:color w:val="0000FF"/>
            <w:sz w:val="20"/>
            <w:u w:val="single"/>
          </w:rPr>
          <w:t>Table of Contents</w:t>
        </w:r>
      </w:hyperlink>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Gross profit increased $2.4 million to $97.7 million, or 24.1% of sales, in the nine months ended September 30, 2025, as compared to $95.4 million, or 24.5% of sales, in the nine months ended September 30, 2024, due to higher sales levels and resulting improved fixed cost absorption, as well as the favorable impact of prior year operational improvement actions. Although gross profit increased, gross profit margin decreased primarily due to increased input costs and a $1.5 million write-off of certain inventory to the lower of cost or market.</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 increased $0.8 million to $44.2 million, or 10.9% of sales, in the nine months ended September 30, 2025, as compared to $43.4 million, or 11.2% of sales, in the nine months ended September 30, 2024, primarily due to higher employee-related costs and higher information technology costs.</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Operating profit increased $0.5 million to $53.5 million, or 13.2% of sales, in the nine months ended September 30, 2025, as compared to $53.1 million, or 13.6% of sales, in the nine months ended September 30, 2024, primarily due to higher sales volume, improved fixed cost absorption and the favorable impact of cost reduction efforts, partially offset by increased input costs, the write-off of certain inventory to the lower of cost or market, higher selling, general and administrative expenses, and the impact of $1.2 million of net gains on sale of non-core properties in the first nine months of 2024 that did not repeat.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both"/>
        <w:rPr/>
      </w:pPr>
      <w:r>
        <w:rPr>
          <w:rFonts w:ascii="Times New Roman;serif" w:hAnsi="Times New Roman;serif"/>
          <w:b/>
          <w:i/>
          <w:color w:val="000000"/>
          <w:sz w:val="20"/>
        </w:rPr>
        <w:t>Aerospace.</w:t>
      </w:r>
      <w:r>
        <w:rPr>
          <w:color w:val="000000"/>
        </w:rPr>
        <w:t>    </w:t>
      </w:r>
      <w:r>
        <w:rPr>
          <w:rFonts w:ascii="Times New Roman;serif" w:hAnsi="Times New Roman;serif"/>
          <w:b w:val="false"/>
          <w:color w:val="000000"/>
          <w:sz w:val="20"/>
        </w:rPr>
        <w:t>Net sales for the nine months ended September 30, 2025 increased $79.6 million, or 36.9% (of which 29.4% was organic and 7.5% related to acquisitions), to $295.5 million, as compared to $215.9 million in the nine months ended September 30, 2024. Acquisition-related sales growth from our February 2025 acquisition of GMT Aerospace was $16.2 million. Sales of our fasteners products increased by $50.3 million due to increases in aircraft build rates, improved production yield and commercial actions. Sales of our engineered components products increased by $13.1 million due to improved production throughput.</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Gross profit increased $36.1 million to $87.4 million, or 29.6% of sales, in the nine months ended September 30, 2025, from $51.3 million, or 23.8% of sales, in the nine months ended September 30, 2024. Gross profit increased primarily due to higher sales levels and resulting improved fixed cost absorption, a more favorable product sales mix and favorable commercial actions. Additionally, 2024 was impacted by increased costs and manufacturing inefficiencies resulting from a prolonged labor union strike that did not repeat. These increases in gross profit were partially offset by a $1.2 million purchase accounting charge related to the step-up of GMT Aerospace's inventory to fair value and incremental maintenance.</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 xml:space="preserve">Selling, general and administrative expenses increased $4.4 million to $31.8 million, or 10.8% of sales, in the nine months ended September 30, 2025, as compared to $27.5 million, or 12.7% of sales, in the nine months ended September 30, 2024, primarily due to higher employee-related costs, higher ongoing selling, general and administrative costs associated with our acquisition of GMT Aerospace, and higher information technology costs. These increases were partially offset by the impact of $1.3 million of costs related to the labor union strike in 2024 that did not repeat as well as lower charges for the provision for losses on accounts receivable and lower professional fees. </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Operating profit increased $31.5 million to $55.4 million, or 18.8% of sales, in the nine months ended September 30, 2025, as compared to $23.9 million, or 11.1% of sales, in the nine months ended September 30, 2024, primarily due to the impact of higher sales levels, improved fixed cost absorption, a more favorable product sales mix, the impact of the labor union strike in 2024 that did not repeat, and commercial actions. These increases were partially offset by higher selling, general and administrative expenses, the recognition of the purchase accounting charge related to the step-up of GMT Aerospace's inventory to fair value and costs related to incremental maintenance.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both"/>
        <w:rPr/>
      </w:pPr>
      <w:r>
        <w:rPr>
          <w:rFonts w:ascii="Times New Roman;serif" w:hAnsi="Times New Roman;serif"/>
          <w:b/>
          <w:i/>
          <w:color w:val="000000"/>
          <w:sz w:val="20"/>
        </w:rPr>
        <w:t>Specialty Products.</w:t>
      </w:r>
      <w:r>
        <w:rPr>
          <w:color w:val="000000"/>
        </w:rPr>
        <w:t>    </w:t>
      </w:r>
      <w:r>
        <w:rPr>
          <w:rFonts w:ascii="Times New Roman;serif" w:hAnsi="Times New Roman;serif"/>
          <w:b w:val="false"/>
          <w:color w:val="000000"/>
          <w:sz w:val="20"/>
        </w:rPr>
        <w:t>Net sales for the nine months ended September 30, 2025 decreased $7.9 million, or 8.6% (of which 6.8% was organic and (15.4)% was due to the divestiture of Arrow Engine), to $84.0 million, as compared to $91.9 million in the nine months ended September 30, 2024. Sales of steel cylinders increased $6.3 million, or 8.2%, to $82.5 million, as compared to $76.3 million, due predominantly to improved demand for industrial applications as customers continued to work through high prior period inventory balances. Arrow Engine contributed $1.4 million of sales in first nine months of 2025, as compared to $15.6 million in first nine months of 2024. See Note 5, "</w:t>
      </w:r>
      <w:r>
        <w:rPr>
          <w:rFonts w:ascii="Times New Roman;serif" w:hAnsi="Times New Roman;serif"/>
          <w:b w:val="false"/>
          <w:i/>
          <w:color w:val="000000"/>
          <w:sz w:val="20"/>
        </w:rPr>
        <w:t>Acquisitions and Sale of Business,</w:t>
      </w:r>
      <w:r>
        <w:rPr>
          <w:rFonts w:ascii="Times New Roman;serif" w:hAnsi="Times New Roman;serif"/>
          <w:b w:val="false"/>
          <w:color w:val="000000"/>
          <w:sz w:val="20"/>
        </w:rPr>
        <w:t>" included in Part 1, Item 1, "</w:t>
      </w:r>
      <w:r>
        <w:rPr>
          <w:rFonts w:ascii="Times New Roman;serif" w:hAnsi="Times New Roman;serif"/>
          <w:b w:val="false"/>
          <w:i/>
          <w:color w:val="000000"/>
          <w:sz w:val="20"/>
        </w:rPr>
        <w:t>Notes to Unaudited Consolidated Financial Statements</w:t>
      </w:r>
      <w:r>
        <w:rPr>
          <w:rFonts w:ascii="Times New Roman;serif" w:hAnsi="Times New Roman;serif"/>
          <w:b w:val="false"/>
          <w:color w:val="000000"/>
          <w:sz w:val="20"/>
        </w:rPr>
        <w:t>," within this quarterly report on Form 10-Q for more information.</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Gross profit decreased $4.2 million to $7.5 million, or 9.0% of sales, in the nine months ended September 30, 2025, as compared to $11.7 million, or 12.7% of sales, in the nine months ended September 30, 2024, primarily due to the year-over-year impact from the divestiture of our Arrow Engine business, which more than offset higher sales of steel cylinders and improved fixed costs absorption.</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 decreased $1.2 million to $5.0 million, or 5.9% of sales, in the nine months ended September 30, 2025, as compared to $6.1 million, or 6.7% of sales, in the nine months ended September 30, 2024, due to the year-over-year impact from the divestiture of our Arrow Engine business and reduced spending levels, partially offset by $0.9 million of transaction-related costs associated with the divestiture of our Arrow Engine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e69bc5e88b0c4f53b7988ab1107efbce_7">
        <w:r>
          <w:rPr>
            <w:rStyle w:val="InternetLink"/>
            <w:rFonts w:ascii="Times New Roman;serif" w:hAnsi="Times New Roman;serif"/>
            <w:b w:val="false"/>
            <w:color w:val="0000FF"/>
            <w:sz w:val="20"/>
            <w:u w:val="single"/>
          </w:rPr>
          <w:t>Table of Contents</w:t>
        </w:r>
      </w:hyperlink>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Operating profit decreased $3.0 million to $2.5 million, or 3.0% of sales, in the nine months ended September 30, 2025, as compared to $5.5 million, or 6.0% of sales, in the nine months ended September 30, 2024, primarily due to the year-over-year impact from the divestiture of our Arrow Engine business, which more than offset higher steel cylinder sales levels.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both"/>
        <w:rPr/>
      </w:pPr>
      <w:r>
        <w:rPr>
          <w:rFonts w:ascii="Times New Roman;serif" w:hAnsi="Times New Roman;serif"/>
          <w:b/>
          <w:i/>
          <w:color w:val="000000"/>
          <w:sz w:val="20"/>
        </w:rPr>
        <w:t>Corporate.</w:t>
      </w:r>
      <w:r>
        <w:rPr>
          <w:color w:val="000000"/>
        </w:rPr>
        <w:t>    </w:t>
      </w:r>
      <w:r>
        <w:rPr>
          <w:rFonts w:ascii="Times New Roman;serif" w:hAnsi="Times New Roman;serif"/>
          <w:b w:val="false"/>
          <w:color w:val="000000"/>
          <w:sz w:val="20"/>
        </w:rPr>
        <w:t>Corporate expenses, net consist of the following (dollars in millions):</w:t>
      </w:r>
    </w:p>
    <w:tbl>
      <w:tblPr>
        <w:tblW w:w="5707" w:type="dxa"/>
        <w:jc w:val="center"/>
        <w:tblInd w:w="0" w:type="dxa"/>
        <w:tblLayout w:type="fixed"/>
        <w:tblCellMar>
          <w:top w:w="28" w:type="dxa"/>
          <w:left w:w="28" w:type="dxa"/>
          <w:bottom w:w="28" w:type="dxa"/>
          <w:right w:w="28" w:type="dxa"/>
        </w:tblCellMar>
      </w:tblPr>
      <w:tblGrid>
        <w:gridCol w:w="923"/>
        <w:gridCol w:w="811"/>
        <w:gridCol w:w="816"/>
        <w:gridCol w:w="109"/>
        <w:gridCol w:w="109"/>
        <w:gridCol w:w="109"/>
        <w:gridCol w:w="294"/>
        <w:gridCol w:w="712"/>
        <w:gridCol w:w="151"/>
        <w:gridCol w:w="151"/>
        <w:gridCol w:w="151"/>
        <w:gridCol w:w="151"/>
        <w:gridCol w:w="294"/>
        <w:gridCol w:w="712"/>
        <w:gridCol w:w="214"/>
      </w:tblGrid>
      <w:tr>
        <w:trPr/>
        <w:tc>
          <w:tcPr>
            <w:tcW w:w="923"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Nine months ended September 30, </w:t>
            </w:r>
          </w:p>
        </w:tc>
      </w:tr>
      <w:tr>
        <w:trPr/>
        <w:tc>
          <w:tcPr>
            <w:tcW w:w="255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4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27.3 </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stock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Legacy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disposition of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45.9 </w:t>
            </w:r>
          </w:p>
        </w:tc>
        <w:tc>
          <w:tcPr>
            <w:tcW w:w="1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43.8 </w:t>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160"/>
        <w:jc w:val="both"/>
        <w:rPr>
          <w:rFonts w:ascii="Times New Roman;serif" w:hAnsi="Times New Roman;serif"/>
          <w:b w:val="false"/>
          <w:color w:val="000000"/>
          <w:sz w:val="20"/>
        </w:rPr>
      </w:pPr>
      <w:r>
        <w:rPr>
          <w:rFonts w:ascii="Times New Roman;serif" w:hAnsi="Times New Roman;serif"/>
          <w:b w:val="false"/>
          <w:color w:val="000000"/>
          <w:sz w:val="20"/>
        </w:rPr>
        <w:t xml:space="preserve">Corporate expenses increased $2.1 million to $45.9 million for the nine months ended September 30, 2025, from $43.8 million for the nine months ended September 30, 2024, primarily due to an increase of $4.5 million, primarily related to consulting and other costs associated with actions to reorganize the corporate office and a $8.0 million pre-tax charge related to updating our asbestos studies in the third quarter of 2025, as compared to a $5.5 million pre-tax charge taken in third quarter 2024. Additionally, corporate expenses increased due to $0.7 million of higher costs associated with the upgrade of certain key information technology applications and higher employee-related costs. The increase in corporate expenses was partially offset by a $5.4 million pre-tax gain on the sale of the Arrow Engine business, $2.6 million of lower professional costs associated with business acquisition, diligence and transaction-related activity, and the impact of $2.5 million of pre-tax charges for environmental remediation obligations in the nine months ended 2024 that did not recur.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e69bc5e88b0c4f53b7988ab1107efbce_7">
        <w:r>
          <w:rPr>
            <w:rStyle w:val="InternetLink"/>
            <w:rFonts w:ascii="Times New Roman;serif" w:hAnsi="Times New Roman;serif"/>
            <w:b w:val="false"/>
            <w:color w:val="0000FF"/>
            <w:sz w:val="20"/>
            <w:u w:val="single"/>
          </w:rPr>
          <w:t>Table of Contents</w:t>
        </w:r>
      </w:hyperlink>
    </w:p>
    <w:p>
      <w:pPr>
        <w:pStyle w:val="TextBody"/>
        <w:bidi w:val="0"/>
        <w:spacing w:lineRule="auto" w:line="288" w:before="160" w:after="160"/>
        <w:jc w:val="left"/>
        <w:rPr>
          <w:rFonts w:ascii="Times New Roman;serif" w:hAnsi="Times New Roman;serif"/>
          <w:b/>
          <w:color w:val="000000"/>
          <w:sz w:val="20"/>
        </w:rPr>
      </w:pPr>
      <w:r>
        <w:rPr>
          <w:rFonts w:ascii="Times New Roman;serif" w:hAnsi="Times New Roman;serif"/>
          <w:b/>
          <w:color w:val="000000"/>
          <w:sz w:val="20"/>
        </w:rPr>
        <w:t xml:space="preserve">Liquidity and Capital Resources </w:t>
      </w:r>
    </w:p>
    <w:p>
      <w:pPr>
        <w:pStyle w:val="TextBody"/>
        <w:bidi w:val="0"/>
        <w:spacing w:lineRule="auto" w:line="288" w:before="160" w:after="160"/>
        <w:jc w:val="left"/>
        <w:rPr>
          <w:rFonts w:ascii="Times New Roman;serif" w:hAnsi="Times New Roman;serif"/>
          <w:b w:val="false"/>
          <w:i/>
          <w:color w:val="000000"/>
          <w:sz w:val="20"/>
        </w:rPr>
      </w:pPr>
      <w:r>
        <w:rPr>
          <w:rFonts w:ascii="Times New Roman;serif" w:hAnsi="Times New Roman;serif"/>
          <w:b w:val="false"/>
          <w:i/>
          <w:color w:val="000000"/>
          <w:sz w:val="20"/>
        </w:rPr>
        <w:t xml:space="preserve">Cash Flows </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 xml:space="preserve">Cash flows provided by operating activities were $75.9 million for the nine months ended September 30, 2025, as compared to $36.7 million for the nine months ended September 30, 2024. Significant changes in cash flows provided by operating activities and the reasons for such changes were as follows: </w:t>
      </w:r>
    </w:p>
    <w:p>
      <w:pPr>
        <w:pStyle w:val="TextBody"/>
        <w:bidi w:val="0"/>
        <w:spacing w:lineRule="auto" w:line="288" w:before="160" w:after="160"/>
        <w:ind w:left="0" w:right="0" w:hanging="360"/>
        <w:jc w:val="both"/>
        <w:rPr/>
      </w:pPr>
      <w:r>
        <w:rPr>
          <w:color w:val="000000"/>
        </w:rPr>
        <w:t>•</w:t>
      </w:r>
      <w:r>
        <w:rPr>
          <w:rFonts w:ascii="Times New Roman;serif" w:hAnsi="Times New Roman;serif"/>
          <w:b w:val="false"/>
          <w:color w:val="000000"/>
          <w:sz w:val="20"/>
        </w:rPr>
        <w:t>For the nine months ended September 30, 2025, we generated $91.0 million in cash flows, based on net income of $38.4 million and after considering the effects of non-cash items related to depreciation, amortization, and gain on dispositions of assets, amortization of debt issuance costs, changes in deferred income taxes, stock-based compensation, provision for losses on accounts receivable, asbestos-related costs, and other operating activities. For the nine months ended September 30, 2024, we generated $87.3 million in cash flows based on net income of $18.6 million and after considering the effects of similar non-cash items and change in environmental liability estimate.</w:t>
      </w:r>
    </w:p>
    <w:p>
      <w:pPr>
        <w:pStyle w:val="TextBody"/>
        <w:bidi w:val="0"/>
        <w:spacing w:lineRule="auto" w:line="288" w:before="160" w:after="160"/>
        <w:ind w:left="0" w:right="0" w:hanging="360"/>
        <w:jc w:val="both"/>
        <w:rPr/>
      </w:pPr>
      <w:r>
        <w:rPr>
          <w:color w:val="000000"/>
        </w:rPr>
        <w:t>•</w:t>
      </w:r>
      <w:r>
        <w:rPr>
          <w:rFonts w:ascii="Times New Roman;serif" w:hAnsi="Times New Roman;serif"/>
          <w:b w:val="false"/>
          <w:color w:val="000000"/>
          <w:sz w:val="20"/>
        </w:rPr>
        <w:t xml:space="preserve">Increases in accounts receivable resulted in a use of cash of $18.3 million and $15.9 million for the nine months ended September 30, 2025 and September 30, 2024, respectively. The increased use of cash for each of the nine month periods is due primarily to the timing of sales and collection of cash related thereto within the periods. Days sales outstanding of receivables decreased one day through the nine months ended September 30, 2025, and increased one day through the nine months ended September 30, 2024. </w:t>
      </w:r>
    </w:p>
    <w:p>
      <w:pPr>
        <w:pStyle w:val="TextBody"/>
        <w:bidi w:val="0"/>
        <w:spacing w:lineRule="auto" w:line="288" w:before="160" w:after="160"/>
        <w:ind w:left="0" w:right="0" w:hanging="360"/>
        <w:jc w:val="both"/>
        <w:rPr/>
      </w:pPr>
      <w:r>
        <w:rPr>
          <w:color w:val="000000"/>
        </w:rPr>
        <w:t>•</w:t>
      </w:r>
      <w:r>
        <w:rPr>
          <w:rFonts w:ascii="Times New Roman;serif" w:hAnsi="Times New Roman;serif"/>
          <w:b w:val="false"/>
          <w:color w:val="000000"/>
          <w:sz w:val="20"/>
        </w:rPr>
        <w:t>We increased our investment in inventory by $8.4 million and $23.1 million for the nine months ended September 30, 2025 and the nine months ended September 30, 2024, respectively. Our days sales in inventory remained flat through the nine months ended September 30, 2025, and increased by four days through the nine months ended September 30, 2024, as we continued to manage inventory levels, considering our supply needs, and balanced with sales growth within our Packaging and Aerospace segments in both periods.</w:t>
      </w:r>
    </w:p>
    <w:p>
      <w:pPr>
        <w:pStyle w:val="TextBody"/>
        <w:bidi w:val="0"/>
        <w:spacing w:lineRule="auto" w:line="288" w:before="160" w:after="160"/>
        <w:ind w:left="0" w:right="0" w:hanging="360"/>
        <w:jc w:val="both"/>
        <w:rPr/>
      </w:pPr>
      <w:r>
        <w:rPr>
          <w:color w:val="000000"/>
        </w:rPr>
        <w:t>•</w:t>
      </w:r>
      <w:r>
        <w:rPr>
          <w:rFonts w:ascii="Times New Roman;serif" w:hAnsi="Times New Roman;serif"/>
          <w:b w:val="false"/>
          <w:color w:val="000000"/>
          <w:sz w:val="20"/>
        </w:rPr>
        <w:t xml:space="preserve">A decrease in prepaid expenses and other assets resulted in a source of cash of $8.3 million for the nine months ended September 30, 2025, while an increase in prepaid expenses and other assets resulted in a use of cash of $4.6 million for the nine months ended September 30, 2024. These changes were primarily a result of the timing of payments made for income taxes and certain operating expenses. </w:t>
      </w:r>
    </w:p>
    <w:p>
      <w:pPr>
        <w:pStyle w:val="TextBody"/>
        <w:bidi w:val="0"/>
        <w:spacing w:lineRule="auto" w:line="288" w:before="160" w:after="160"/>
        <w:ind w:left="0" w:right="0" w:hanging="360"/>
        <w:jc w:val="both"/>
        <w:rPr/>
      </w:pPr>
      <w:r>
        <w:rPr>
          <w:color w:val="000000"/>
        </w:rPr>
        <w:t>•</w:t>
      </w:r>
      <w:r>
        <w:rPr>
          <w:rFonts w:ascii="Times New Roman;serif" w:hAnsi="Times New Roman;serif"/>
          <w:b w:val="false"/>
          <w:color w:val="000000"/>
          <w:sz w:val="20"/>
        </w:rPr>
        <w:t>An increase in accounts payable and accrued liabilities resulted in a source of cash of $3.3 million for the nine months ended September 30, 2025, while a decrease in accounts payable and accrued liabilities resulted in a use of cash of $7.0 million for the nine months ended September 30, 2024. Days accounts payable on hand decreased by four days through the nine months ended September 30, 2025, and decreased by nine days for the nine months ended September 30, 2024. Our days accounts payable on hand fluctuate primarily as a result of the timing of payments made to suppliers and the mix of vendors and related terms.</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Net cash used for investing activities for the nine months ended September 30, 2025 and September 30, 2024 was $59.6 million and $31.9 million, respectively. During the first nine months of September 30, 2025, we invested $43.7 million in capital expenditures, as we continued our investment in growth, capacity and productivity-related capital projects. We paid $37.7 million, net of cash acquired, to acquire GMT Aerospace. We also received net proceeds of $21.8 million from the sale of our Arrow Engine business and disposition of property and equipment. During the first nine months of September 30, 2024, we invested $36.0 million in capital expenditures and received net proceeds of $4.1 million from disposition of property and equipment.</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 xml:space="preserve">Net cash used by financing activities was $5.8 million and $12.8 million for the nine months ended September 30, 2025 and September 30, 2024, respectively. During the nine months ended September 30, 2025, we received net proceeds of $4.5 million from borrowings on our revolving credit facilities, paid $1.3 million for debt financing fees, purchased $2.3 million of our outstanding common stock, used a net cash amount of $1.9 million related to our stock compensation arrangements, and paid dividends of $5.0 million. Our reported net proceeds from borrowings on our revolving credit facilities considers the impact of foreign currency translation. During the nine months ended September 30, 2024, we received net proceeds of $13.4 million from borrowings on our revolving credit facilities, purchased $19.3 million of outstanding common stock, used a net cash amount of $1.6 million related to our stock compensation arrangements, paid dividends of $5.0 million, and paid $0.3 million related to other financing liabilities.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e69bc5e88b0c4f53b7988ab1107efbce_7">
        <w:r>
          <w:rPr>
            <w:rStyle w:val="InternetLink"/>
            <w:rFonts w:ascii="Times New Roman;serif" w:hAnsi="Times New Roman;serif"/>
            <w:b w:val="false"/>
            <w:color w:val="0000FF"/>
            <w:sz w:val="20"/>
            <w:u w:val="single"/>
          </w:rPr>
          <w:t>Table of Contents</w:t>
        </w:r>
      </w:hyperlink>
    </w:p>
    <w:p>
      <w:pPr>
        <w:pStyle w:val="TextBody"/>
        <w:bidi w:val="0"/>
        <w:spacing w:lineRule="auto" w:line="288" w:before="160" w:after="160"/>
        <w:jc w:val="both"/>
        <w:rPr>
          <w:rFonts w:ascii="Times New Roman;serif" w:hAnsi="Times New Roman;serif"/>
          <w:b w:val="false"/>
          <w:i/>
          <w:color w:val="000000"/>
          <w:sz w:val="20"/>
        </w:rPr>
      </w:pPr>
      <w:r>
        <w:rPr>
          <w:rFonts w:ascii="Times New Roman;serif" w:hAnsi="Times New Roman;serif"/>
          <w:b w:val="false"/>
          <w:i/>
          <w:color w:val="000000"/>
          <w:sz w:val="20"/>
        </w:rPr>
        <w:t xml:space="preserve">Our Debt and Other Commitments </w:t>
      </w:r>
    </w:p>
    <w:p>
      <w:pPr>
        <w:pStyle w:val="TextBody"/>
        <w:bidi w:val="0"/>
        <w:spacing w:lineRule="auto" w:line="288" w:before="160" w:after="160"/>
        <w:jc w:val="both"/>
        <w:rPr/>
      </w:pPr>
      <w:r>
        <w:rPr>
          <w:rFonts w:ascii="Times New Roman;serif" w:hAnsi="Times New Roman;serif"/>
          <w:b w:val="false"/>
          <w:color w:val="000000"/>
          <w:sz w:val="20"/>
        </w:rPr>
        <w:t xml:space="preserve">In March 2021, we issued $400.0 million aggregate principal amount of 4.125% senior notes due April 15, 2029 ("Senior Notes") at par value in a private placement under Rule 144A of the Securities Act of 1933, as amended ("Securities Act"). The Senior Notes accrue interest at a rate of 4.125% per annum, payable semi-annually in arrears on April 15 and October 15. The payment of principal and interest is jointly and severally guaranteed, on a senior unsecured basis, by certain subsidiaries of the Company. The Senior Notes are </w:t>
      </w:r>
      <w:r>
        <w:rPr>
          <w:rFonts w:ascii="Times New Roman;serif" w:hAnsi="Times New Roman;serif"/>
          <w:b w:val="false"/>
          <w:i/>
          <w:color w:val="000000"/>
          <w:sz w:val="20"/>
        </w:rPr>
        <w:t>pari passu</w:t>
      </w:r>
      <w:r>
        <w:rPr>
          <w:color w:val="000000"/>
        </w:rPr>
        <w:t xml:space="preserve"> </w:t>
      </w:r>
      <w:r>
        <w:rPr>
          <w:rFonts w:ascii="Times New Roman;serif" w:hAnsi="Times New Roman;serif"/>
          <w:b w:val="false"/>
          <w:color w:val="000000"/>
          <w:sz w:val="20"/>
        </w:rPr>
        <w:t>in right of payment with all existing and future senior indebtedness and effectively subordinated to all existing and future secured indebtedness to the extent of the value of the assets securing such indebtedness.</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We may redeem all or part of the Senior Notes at the redemption prices (expressed as percentages of principal amount) set forth below, plus accrued and unpaid interest, if any, to the redemption date, if redeemed during the twelve-month period beginning on April 15 of the years indicated below:</w:t>
      </w:r>
    </w:p>
    <w:tbl>
      <w:tblPr>
        <w:tblW w:w="3425" w:type="dxa"/>
        <w:jc w:val="center"/>
        <w:tblInd w:w="0" w:type="dxa"/>
        <w:tblLayout w:type="fixed"/>
        <w:tblCellMar>
          <w:top w:w="28" w:type="dxa"/>
          <w:left w:w="28" w:type="dxa"/>
          <w:bottom w:w="28" w:type="dxa"/>
          <w:right w:w="28" w:type="dxa"/>
        </w:tblCellMar>
      </w:tblPr>
      <w:tblGrid>
        <w:gridCol w:w="610"/>
        <w:gridCol w:w="537"/>
        <w:gridCol w:w="547"/>
        <w:gridCol w:w="109"/>
        <w:gridCol w:w="109"/>
        <w:gridCol w:w="109"/>
        <w:gridCol w:w="413"/>
        <w:gridCol w:w="413"/>
        <w:gridCol w:w="578"/>
      </w:tblGrid>
      <w:tr>
        <w:trPr/>
        <w:tc>
          <w:tcPr>
            <w:tcW w:w="610"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r>
      <w:tr>
        <w:trPr/>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Percentage</w:t>
            </w:r>
          </w:p>
        </w:tc>
      </w:tr>
      <w:tr>
        <w:trPr/>
        <w:tc>
          <w:tcPr>
            <w:tcW w:w="16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4" w:type="dxa"/>
            <w:gridSpan w:val="3"/>
            <w:tcBorders/>
            <w:vAlign w:val="center"/>
          </w:tcPr>
          <w:p>
            <w:pPr>
              <w:pStyle w:val="TableContents"/>
              <w:bidi w:val="0"/>
              <w:spacing w:before="0" w:after="283"/>
              <w:jc w:val="left"/>
              <w:rPr>
                <w:sz w:val="4"/>
                <w:szCs w:val="4"/>
              </w:rPr>
            </w:pPr>
            <w:r>
              <w:rPr>
                <w:sz w:val="4"/>
                <w:szCs w:val="4"/>
              </w:rPr>
            </w:r>
          </w:p>
        </w:tc>
      </w:tr>
      <w:tr>
        <w:trPr/>
        <w:tc>
          <w:tcPr>
            <w:tcW w:w="16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101.031 </w:t>
            </w:r>
          </w:p>
        </w:tc>
        <w:tc>
          <w:tcPr>
            <w:tcW w:w="5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 and 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100.000 </w:t>
            </w:r>
          </w:p>
        </w:tc>
        <w:tc>
          <w:tcPr>
            <w:tcW w:w="5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 xml:space="preserve">For the nine months ended September 30, 2025, our consolidated subsidiaries that do not guarantee the Senior Notes represented 30% of the total of guarantor and non-guarantor net sales, treating each as a consolidated group and excluding intercompany transactions between guarantor and non-guarantor subsidiaries. In addition, our non-guarantor subsidiaries represented 40% and 15% of the total guarantor and non-guarantor assets and liabilities, respectively, as of September 30, 2025, treating the guarantor and non-guarantor subsidiaries each as a consolidated group. </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 xml:space="preserve">In March 2025, we amended our Credit Agreement to extend the maturity date. We incurred fees and expenses of $1.3 million related to the amendment, all of which was capitalized as debt issuance costs. We also recorded $0.1 million of non-cash expense related to the write-off of previously capitalized deferred financing fees. </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Below is a summary of key terms under the Credit Agreement as of September 30, 2025, compared to the key terms prior to the amendment (showing gross availability):</w:t>
      </w:r>
    </w:p>
    <w:tbl>
      <w:tblPr>
        <w:tblW w:w="7560" w:type="dxa"/>
        <w:jc w:val="center"/>
        <w:tblInd w:w="0" w:type="dxa"/>
        <w:tblLayout w:type="fixed"/>
        <w:tblCellMar>
          <w:top w:w="28" w:type="dxa"/>
          <w:left w:w="28" w:type="dxa"/>
          <w:bottom w:w="28" w:type="dxa"/>
          <w:right w:w="28" w:type="dxa"/>
        </w:tblCellMar>
      </w:tblPr>
      <w:tblGrid>
        <w:gridCol w:w="1213"/>
        <w:gridCol w:w="1062"/>
        <w:gridCol w:w="1069"/>
        <w:gridCol w:w="109"/>
        <w:gridCol w:w="109"/>
        <w:gridCol w:w="109"/>
        <w:gridCol w:w="664"/>
        <w:gridCol w:w="664"/>
        <w:gridCol w:w="667"/>
        <w:gridCol w:w="109"/>
        <w:gridCol w:w="109"/>
        <w:gridCol w:w="109"/>
        <w:gridCol w:w="434"/>
        <w:gridCol w:w="434"/>
        <w:gridCol w:w="436"/>
        <w:gridCol w:w="109"/>
        <w:gridCol w:w="154"/>
      </w:tblGrid>
      <w:tr>
        <w:trPr/>
        <w:tc>
          <w:tcPr>
            <w:tcW w:w="1213"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Instrument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Amount ($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Maturity Date</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Credit Agreement (as amended)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secured revolving credit facility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$250.0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3/31/2030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Credit Agreement (prior to amending)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secured revolving credit facility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3/29/2026</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160"/>
        <w:jc w:val="both"/>
        <w:rPr>
          <w:rFonts w:ascii="Times New Roman;serif" w:hAnsi="Times New Roman;serif"/>
          <w:b w:val="false"/>
          <w:color w:val="000000"/>
          <w:sz w:val="20"/>
        </w:rPr>
      </w:pPr>
      <w:r>
        <w:rPr>
          <w:rFonts w:ascii="Times New Roman;serif" w:hAnsi="Times New Roman;serif"/>
          <w:b w:val="false"/>
          <w:color w:val="000000"/>
          <w:sz w:val="20"/>
        </w:rPr>
        <w:t xml:space="preserve">The Credit Agreement is subject to benchmark interest rates determined based on the currency denomination of borrowings, with British pound sterling borrowings subject to the Sterling Overnight Index Average, Euro borrowings to the Euro InterBank Offered Rate and U.S. dollar borrowings subject to the Secured Overnight Financing Rate, each plus a spread that ranges from 1.375% to 2.00% based upon the leverage ratio, as defined, as of the most recent determination date. Our revolving credit facility allows for the issuance of letters of credit, not to exceed $40.0 million in aggregate. </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 xml:space="preserve">The Credit Agreement permits borrowings denominated in specific foreign currencies, subject to a $125.0 million sub limit. The Credit Agreement also provides for incremental revolving credit commitments in an amount not to exceed the greater of $200.0 million and an amount such that, after giving effect to such incremental commitments and the incurrence of any other indebtedness substantially simultaneously with the making of such commitments, the senior secured net leverage ratio, as defined in the Credit Agreement, is no greater than 3.00 to 1.00. The terms and conditions of any incremental revolving credit facility commitments must be no more favorable than the existing credit facility.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e69bc5e88b0c4f53b7988ab1107efbce_7">
        <w:r>
          <w:rPr>
            <w:rStyle w:val="InternetLink"/>
            <w:rFonts w:ascii="Times New Roman;serif" w:hAnsi="Times New Roman;serif"/>
            <w:b w:val="false"/>
            <w:color w:val="0000FF"/>
            <w:sz w:val="20"/>
            <w:u w:val="single"/>
          </w:rPr>
          <w:t>Table of Contents</w:t>
        </w:r>
      </w:hyperlink>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Amounts drawn under our revolving credit facility fluctuate daily based upon our working capital and other ordinary course needs. Availability under our revolving credit facility depends upon, among other things, compliance with our Credit Agreement's financial covenants. Our Credit Agreement contains various negative and affirmative covenants and other requirements affecting us and our subsidiaries, including the ability to, subject to certain exceptions and limitations, incur debt, liens, mergers, investments, loans, advances, guarantee obligations, acquisitions, asset dispositions, sale-leaseback transactions, hedging agreements, dividends and other restricted payments, transactions with affiliates, restrictive agreements and amendments to charters, bylaws, and other material documents. The terms of our Credit Agreement require us and our subsidiaries to meet certain restrictive financial covenants and ratios computed quarterly, including a maximum total net leverage ratio (total consolidated indebtedness plus outstanding amounts under the accounts receivable securitization facility, less the aggregate amount of certain unrestricted cash and unrestricted permitted investments, as defined, over consolidated EBITDA, as defined) and a minimum interest expense coverage ratio (consolidated EBITDA, as defined, over the sum of consolidated cash interest expense, as defined, and preferred dividends, as defined). Our permitted total net leverage ratio under the Credit Agreement is 4.00 to 1.00 as of September 30, 2025. If we were to complete an acquisition which qualifies for a Covenant Holiday Period, as defined in our Credit Agreement, then our permitted total net leverage ratio cannot exceed 4.50 to 1.00 during that period. Our actual total net leverage ratio was 2.29 to 1.00 at September 30, 2025. Our permitted interest expense coverage ratio under the Credit Agreement is 3.00 to 1.00 as of September 30, 2025. Our actual interest expense coverage ratio was 10.46 to 1.00 at September 30, 2025. At September 30, 2025, we were in compliance with our financial covenants.</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The following is a reconciliation of net income, as reported, which is a GAAP measure of our operating results, to Consolidated Bank EBITDA, as defined in our Credit Agreement, for the twelve months ended September 30, 2025 (dollars in thousands). We present Consolidated Bank EBITDA to show our performance under our financial covenants.</w:t>
      </w:r>
    </w:p>
    <w:tbl>
      <w:tblPr>
        <w:tblW w:w="7431" w:type="dxa"/>
        <w:jc w:val="center"/>
        <w:tblInd w:w="0" w:type="dxa"/>
        <w:tblLayout w:type="fixed"/>
        <w:tblCellMar>
          <w:top w:w="28" w:type="dxa"/>
          <w:left w:w="28" w:type="dxa"/>
          <w:bottom w:w="28" w:type="dxa"/>
          <w:right w:w="28" w:type="dxa"/>
        </w:tblCellMar>
      </w:tblPr>
      <w:tblGrid>
        <w:gridCol w:w="1649"/>
        <w:gridCol w:w="1446"/>
        <w:gridCol w:w="1465"/>
        <w:gridCol w:w="109"/>
        <w:gridCol w:w="109"/>
        <w:gridCol w:w="109"/>
        <w:gridCol w:w="109"/>
        <w:gridCol w:w="109"/>
        <w:gridCol w:w="109"/>
        <w:gridCol w:w="109"/>
        <w:gridCol w:w="109"/>
        <w:gridCol w:w="109"/>
        <w:gridCol w:w="335"/>
        <w:gridCol w:w="1311"/>
        <w:gridCol w:w="244"/>
      </w:tblGrid>
      <w:tr>
        <w:trPr/>
        <w:tc>
          <w:tcPr>
            <w:tcW w:w="1649" w:type="dxa"/>
            <w:tcBorders/>
            <w:vAlign w:val="center"/>
          </w:tcPr>
          <w:p>
            <w:pPr>
              <w:pStyle w:val="TableContents"/>
              <w:bidi w:val="0"/>
              <w:spacing w:before="0" w:after="283"/>
              <w:jc w:val="left"/>
              <w:rPr>
                <w:sz w:val="4"/>
                <w:szCs w:val="4"/>
              </w:rPr>
            </w:pPr>
            <w:r>
              <w:rPr>
                <w:sz w:val="4"/>
                <w:szCs w:val="4"/>
              </w:rPr>
            </w:r>
          </w:p>
        </w:tc>
        <w:tc>
          <w:tcPr>
            <w:tcW w:w="1446" w:type="dxa"/>
            <w:tcBorders/>
            <w:vAlign w:val="center"/>
          </w:tcPr>
          <w:p>
            <w:pPr>
              <w:pStyle w:val="TableContents"/>
              <w:bidi w:val="0"/>
              <w:spacing w:before="0" w:after="283"/>
              <w:jc w:val="left"/>
              <w:rPr>
                <w:sz w:val="4"/>
                <w:szCs w:val="4"/>
              </w:rPr>
            </w:pPr>
            <w:r>
              <w:rPr>
                <w:sz w:val="4"/>
                <w:szCs w:val="4"/>
              </w:rPr>
            </w:r>
          </w:p>
        </w:tc>
        <w:tc>
          <w:tcPr>
            <w:tcW w:w="14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311"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r>
      <w:tr>
        <w:trPr/>
        <w:tc>
          <w:tcPr>
            <w:tcW w:w="4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Twelve Months Ended</w:t>
              <w:br/>
              <w:t> September 30, 2025</w:t>
            </w:r>
          </w:p>
        </w:tc>
      </w:tr>
      <w:tr>
        <w:trPr/>
        <w:tc>
          <w:tcPr>
            <w:tcW w:w="4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44,080 </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Bank stipulated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17,990 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14,340 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65,050 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charges and asset write-offs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1,750 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Non-cash compensation expense</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7,210 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0" w:type="dxa"/>
            <w:gridSpan w:val="3"/>
            <w:tcBorders/>
            <w:vAlign w:val="center"/>
          </w:tcPr>
          <w:p>
            <w:pPr>
              <w:pStyle w:val="TableContents"/>
              <w:bidi w:val="0"/>
              <w:spacing w:before="0" w:after="283"/>
              <w:jc w:val="left"/>
              <w:rPr>
                <w:sz w:val="4"/>
                <w:szCs w:val="4"/>
              </w:rPr>
            </w:pPr>
            <w:r>
              <w:rPr>
                <w:sz w:val="4"/>
                <w:szCs w:val="4"/>
              </w:rPr>
            </w:r>
          </w:p>
        </w:tc>
      </w:tr>
      <w:tr>
        <w:trPr/>
        <w:tc>
          <w:tcPr>
            <w:tcW w:w="4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non-cash expenses or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Non-recurring expenses or costs</w:t>
            </w:r>
            <w:r>
              <w:rPr>
                <w:rFonts w:ascii="Times New Roman;serif" w:hAnsi="Times New Roman;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19,250 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Extraordinary, non-recurring or unusual gains or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8,030 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Effects of purchase accounting 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1,200 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Business and asset dispositions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(5,080)</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0" w:type="dxa"/>
            <w:gridSpan w:val="3"/>
            <w:tcBorders/>
            <w:vAlign w:val="center"/>
          </w:tcPr>
          <w:p>
            <w:pPr>
              <w:pStyle w:val="TableContents"/>
              <w:bidi w:val="0"/>
              <w:spacing w:before="0" w:after="283"/>
              <w:jc w:val="left"/>
              <w:rPr>
                <w:sz w:val="4"/>
                <w:szCs w:val="4"/>
              </w:rPr>
            </w:pPr>
            <w:r>
              <w:rPr>
                <w:sz w:val="4"/>
                <w:szCs w:val="4"/>
              </w:rPr>
            </w:r>
          </w:p>
        </w:tc>
      </w:tr>
      <w:tr>
        <w:trPr/>
        <w:tc>
          <w:tcPr>
            <w:tcW w:w="4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Permitted acquisitions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1,810 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Permitted dispositions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(530)</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Currency gains and losses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0" w:type="dxa"/>
            <w:gridSpan w:val="3"/>
            <w:tcBorders/>
            <w:vAlign w:val="center"/>
          </w:tcPr>
          <w:p>
            <w:pPr>
              <w:pStyle w:val="TableContents"/>
              <w:bidi w:val="0"/>
              <w:spacing w:before="0" w:after="283"/>
              <w:jc w:val="left"/>
              <w:rPr>
                <w:sz w:val="4"/>
                <w:szCs w:val="4"/>
              </w:rPr>
            </w:pPr>
            <w:r>
              <w:rPr>
                <w:sz w:val="4"/>
                <w:szCs w:val="4"/>
              </w:rPr>
            </w:r>
          </w:p>
        </w:tc>
      </w:tr>
      <w:tr>
        <w:trPr/>
        <w:tc>
          <w:tcPr>
            <w:tcW w:w="45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0" w:type="dxa"/>
            <w:gridSpan w:val="3"/>
            <w:tcBorders/>
            <w:vAlign w:val="center"/>
          </w:tcPr>
          <w:p>
            <w:pPr>
              <w:pStyle w:val="TableContents"/>
              <w:bidi w:val="0"/>
              <w:spacing w:before="0" w:after="283"/>
              <w:jc w:val="left"/>
              <w:rPr>
                <w:sz w:val="4"/>
                <w:szCs w:val="4"/>
              </w:rPr>
            </w:pPr>
            <w:r>
              <w:rPr>
                <w:sz w:val="4"/>
                <w:szCs w:val="4"/>
              </w:rPr>
            </w:r>
          </w:p>
        </w:tc>
      </w:tr>
      <w:tr>
        <w:trPr/>
        <w:tc>
          <w:tcPr>
            <w:tcW w:w="4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Bank EBITDA, as defined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175,720 </w:t>
            </w:r>
          </w:p>
        </w:tc>
        <w:tc>
          <w:tcPr>
            <w:tcW w:w="2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5335" w:type="dxa"/>
        <w:jc w:val="center"/>
        <w:tblInd w:w="0" w:type="dxa"/>
        <w:tblLayout w:type="fixed"/>
        <w:tblCellMar>
          <w:top w:w="28" w:type="dxa"/>
          <w:left w:w="28" w:type="dxa"/>
          <w:bottom w:w="28" w:type="dxa"/>
          <w:right w:w="28" w:type="dxa"/>
        </w:tblCellMar>
      </w:tblPr>
      <w:tblGrid>
        <w:gridCol w:w="1217"/>
        <w:gridCol w:w="1070"/>
        <w:gridCol w:w="1072"/>
        <w:gridCol w:w="295"/>
        <w:gridCol w:w="1157"/>
        <w:gridCol w:w="152"/>
        <w:gridCol w:w="109"/>
        <w:gridCol w:w="109"/>
        <w:gridCol w:w="154"/>
      </w:tblGrid>
      <w:tr>
        <w:trPr/>
        <w:tc>
          <w:tcPr>
            <w:tcW w:w="1217"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30, 2025</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3359"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359"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3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Total Indebtedness, as defined</w:t>
            </w:r>
            <w:r>
              <w:rPr>
                <w:rFonts w:ascii="Times New Roman;serif" w:hAnsi="Times New Roman;serif"/>
                <w:b w:val="false"/>
                <w:color w:val="000000"/>
                <w:sz w:val="13"/>
              </w:rPr>
              <w:t>(3)</w:t>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402,730 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Bank EBITDA, as defined</w:t>
            </w:r>
          </w:p>
        </w:tc>
        <w:tc>
          <w:tcPr>
            <w:tcW w:w="14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175,720 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net leverage ratio</w:t>
            </w:r>
          </w:p>
        </w:tc>
        <w:tc>
          <w:tcPr>
            <w:tcW w:w="14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Covenant requirement</w:t>
            </w:r>
          </w:p>
        </w:tc>
        <w:tc>
          <w:tcPr>
            <w:tcW w:w="145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4.00 </w:t>
            </w:r>
          </w:p>
        </w:tc>
        <w:tc>
          <w:tcPr>
            <w:tcW w:w="1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0" w:after="0"/>
        <w:jc w:val="left"/>
        <w:rPr/>
      </w:pPr>
      <w:hyperlink w:anchor="ie69bc5e88b0c4f53b7988ab1107efbce_7">
        <w:r>
          <w:rPr>
            <w:rStyle w:val="InternetLink"/>
            <w:rFonts w:ascii="Times New Roman;serif" w:hAnsi="Times New Roman;serif"/>
            <w:b w:val="false"/>
            <w:color w:val="0000FF"/>
            <w:sz w:val="20"/>
            <w:u w:val="single"/>
          </w:rPr>
          <w:t>Table of Contents</w:t>
        </w:r>
      </w:hyperlink>
    </w:p>
    <w:tbl>
      <w:tblPr>
        <w:tblW w:w="8255" w:type="dxa"/>
        <w:jc w:val="center"/>
        <w:tblInd w:w="0" w:type="dxa"/>
        <w:tblLayout w:type="fixed"/>
        <w:tblCellMar>
          <w:top w:w="28" w:type="dxa"/>
          <w:left w:w="28" w:type="dxa"/>
          <w:bottom w:w="28" w:type="dxa"/>
          <w:right w:w="28" w:type="dxa"/>
        </w:tblCellMar>
      </w:tblPr>
      <w:tblGrid>
        <w:gridCol w:w="1951"/>
        <w:gridCol w:w="1709"/>
        <w:gridCol w:w="1724"/>
        <w:gridCol w:w="109"/>
        <w:gridCol w:w="109"/>
        <w:gridCol w:w="109"/>
        <w:gridCol w:w="109"/>
        <w:gridCol w:w="109"/>
        <w:gridCol w:w="109"/>
        <w:gridCol w:w="109"/>
        <w:gridCol w:w="109"/>
        <w:gridCol w:w="109"/>
        <w:gridCol w:w="367"/>
        <w:gridCol w:w="1255"/>
        <w:gridCol w:w="268"/>
      </w:tblGrid>
      <w:tr>
        <w:trPr/>
        <w:tc>
          <w:tcPr>
            <w:tcW w:w="1951" w:type="dxa"/>
            <w:tcBorders/>
            <w:vAlign w:val="center"/>
          </w:tcPr>
          <w:p>
            <w:pPr>
              <w:pStyle w:val="TableContents"/>
              <w:bidi w:val="0"/>
              <w:spacing w:before="0" w:after="283"/>
              <w:jc w:val="left"/>
              <w:rPr>
                <w:sz w:val="4"/>
                <w:szCs w:val="4"/>
              </w:rPr>
            </w:pPr>
            <w:r>
              <w:rPr>
                <w:sz w:val="4"/>
                <w:szCs w:val="4"/>
              </w:rPr>
            </w:r>
          </w:p>
        </w:tc>
        <w:tc>
          <w:tcPr>
            <w:tcW w:w="1709" w:type="dxa"/>
            <w:tcBorders/>
            <w:vAlign w:val="center"/>
          </w:tcPr>
          <w:p>
            <w:pPr>
              <w:pStyle w:val="TableContents"/>
              <w:bidi w:val="0"/>
              <w:spacing w:before="0" w:after="283"/>
              <w:jc w:val="left"/>
              <w:rPr>
                <w:sz w:val="4"/>
                <w:szCs w:val="4"/>
              </w:rPr>
            </w:pPr>
            <w:r>
              <w:rPr>
                <w:sz w:val="4"/>
                <w:szCs w:val="4"/>
              </w:rPr>
            </w:r>
          </w:p>
        </w:tc>
        <w:tc>
          <w:tcPr>
            <w:tcW w:w="17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255"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r>
      <w:tr>
        <w:trPr/>
        <w:tc>
          <w:tcPr>
            <w:tcW w:w="53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0" w:type="dxa"/>
            <w:gridSpan w:val="3"/>
            <w:tcBorders/>
            <w:vAlign w:val="center"/>
          </w:tcPr>
          <w:p>
            <w:pPr>
              <w:pStyle w:val="TableContents"/>
              <w:bidi w:val="0"/>
              <w:spacing w:before="0" w:after="283"/>
              <w:jc w:val="left"/>
              <w:rPr>
                <w:sz w:val="4"/>
                <w:szCs w:val="4"/>
              </w:rPr>
            </w:pPr>
            <w:r>
              <w:rPr>
                <w:sz w:val="4"/>
                <w:szCs w:val="4"/>
              </w:rPr>
            </w:r>
          </w:p>
        </w:tc>
      </w:tr>
      <w:tr>
        <w:trPr/>
        <w:tc>
          <w:tcPr>
            <w:tcW w:w="53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Twelve Months Ended</w:t>
              <w:br/>
              <w:t> September 30, 2025</w:t>
            </w:r>
          </w:p>
        </w:tc>
      </w:tr>
      <w:tr>
        <w:trPr/>
        <w:tc>
          <w:tcPr>
            <w:tcW w:w="5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17,990 </w:t>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Bank stipulated 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amounts attributable to amortization of financing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(960)</w:t>
            </w:r>
          </w:p>
        </w:tc>
        <w:tc>
          <w:tcPr>
            <w:tcW w:w="2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0" w:type="dxa"/>
            <w:gridSpan w:val="3"/>
            <w:tcBorders/>
            <w:vAlign w:val="center"/>
          </w:tcPr>
          <w:p>
            <w:pPr>
              <w:pStyle w:val="TableContents"/>
              <w:bidi w:val="0"/>
              <w:spacing w:before="0" w:after="283"/>
              <w:jc w:val="left"/>
              <w:rPr>
                <w:sz w:val="4"/>
                <w:szCs w:val="4"/>
              </w:rPr>
            </w:pPr>
            <w:r>
              <w:rPr>
                <w:sz w:val="4"/>
                <w:szCs w:val="4"/>
              </w:rPr>
            </w:r>
          </w:p>
        </w:tc>
      </w:tr>
      <w:tr>
        <w:trPr/>
        <w:tc>
          <w:tcPr>
            <w:tcW w:w="5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Consolidated Cash Interest Expense, as defined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16,790 </w:t>
            </w:r>
          </w:p>
        </w:tc>
        <w:tc>
          <w:tcPr>
            <w:tcW w:w="2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6415" w:type="dxa"/>
        <w:jc w:val="center"/>
        <w:tblInd w:w="0" w:type="dxa"/>
        <w:tblLayout w:type="fixed"/>
        <w:tblCellMar>
          <w:top w:w="28" w:type="dxa"/>
          <w:left w:w="28" w:type="dxa"/>
          <w:bottom w:w="28" w:type="dxa"/>
          <w:right w:w="28" w:type="dxa"/>
        </w:tblCellMar>
      </w:tblPr>
      <w:tblGrid>
        <w:gridCol w:w="1607"/>
        <w:gridCol w:w="1412"/>
        <w:gridCol w:w="1420"/>
        <w:gridCol w:w="295"/>
        <w:gridCol w:w="1157"/>
        <w:gridCol w:w="152"/>
        <w:gridCol w:w="109"/>
        <w:gridCol w:w="109"/>
        <w:gridCol w:w="154"/>
      </w:tblGrid>
      <w:tr>
        <w:trPr/>
        <w:tc>
          <w:tcPr>
            <w:tcW w:w="1607" w:type="dxa"/>
            <w:tcBorders/>
            <w:vAlign w:val="center"/>
          </w:tcPr>
          <w:p>
            <w:pPr>
              <w:pStyle w:val="TableContents"/>
              <w:bidi w:val="0"/>
              <w:spacing w:before="0" w:after="283"/>
              <w:jc w:val="left"/>
              <w:rPr>
                <w:sz w:val="4"/>
                <w:szCs w:val="4"/>
              </w:rPr>
            </w:pPr>
            <w:r>
              <w:rPr>
                <w:sz w:val="4"/>
                <w:szCs w:val="4"/>
              </w:rPr>
            </w:r>
          </w:p>
        </w:tc>
        <w:tc>
          <w:tcPr>
            <w:tcW w:w="1412" w:type="dxa"/>
            <w:tcBorders/>
            <w:vAlign w:val="center"/>
          </w:tcPr>
          <w:p>
            <w:pPr>
              <w:pStyle w:val="TableContents"/>
              <w:bidi w:val="0"/>
              <w:spacing w:before="0" w:after="283"/>
              <w:jc w:val="left"/>
              <w:rPr>
                <w:sz w:val="4"/>
                <w:szCs w:val="4"/>
              </w:rPr>
            </w:pPr>
            <w:r>
              <w:rPr>
                <w:sz w:val="4"/>
                <w:szCs w:val="4"/>
              </w:rPr>
            </w:r>
          </w:p>
        </w:tc>
        <w:tc>
          <w:tcPr>
            <w:tcW w:w="1420"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30, 2025</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Bank EBITDA, as defined</w:t>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175,720 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Consolidated Cash Interest Expense, as defined</w:t>
            </w:r>
          </w:p>
        </w:tc>
        <w:tc>
          <w:tcPr>
            <w:tcW w:w="14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16,790 </w:t>
            </w:r>
          </w:p>
        </w:tc>
        <w:tc>
          <w:tcPr>
            <w:tcW w:w="1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Actual interest expense coverage ratio</w:t>
            </w:r>
          </w:p>
        </w:tc>
        <w:tc>
          <w:tcPr>
            <w:tcW w:w="14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10.46 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Covenant requirement</w:t>
            </w:r>
          </w:p>
        </w:tc>
        <w:tc>
          <w:tcPr>
            <w:tcW w:w="1452"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3.00 </w:t>
            </w:r>
          </w:p>
        </w:tc>
        <w:tc>
          <w:tcPr>
            <w:tcW w:w="15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w:t>
            </w:r>
          </w:p>
        </w:tc>
      </w:tr>
    </w:tbl>
    <w:p>
      <w:pPr>
        <w:pStyle w:val="TextBody"/>
        <w:bidi w:val="0"/>
        <w:spacing w:lineRule="auto" w:line="288" w:before="60" w:after="16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w:t>
      </w:r>
    </w:p>
    <w:p>
      <w:pPr>
        <w:pStyle w:val="TextBody"/>
        <w:bidi w:val="0"/>
        <w:spacing w:lineRule="auto" w:line="288" w:before="160" w:after="160"/>
        <w:ind w:left="0" w:right="0" w:hanging="360"/>
        <w:jc w:val="both"/>
        <w:rPr/>
      </w:pPr>
      <w:r>
        <w:rPr>
          <w:rFonts w:ascii="Times New Roman;serif" w:hAnsi="Times New Roman;serif"/>
          <w:b w:val="false"/>
          <w:color w:val="000000"/>
          <w:sz w:val="10"/>
        </w:rPr>
        <w:t>(1)</w:t>
      </w:r>
      <w:r>
        <w:rPr>
          <w:color w:val="000000"/>
        </w:rPr>
        <w:t>    </w:t>
      </w:r>
      <w:r>
        <w:rPr>
          <w:rFonts w:ascii="Times New Roman;serif" w:hAnsi="Times New Roman;serif"/>
          <w:b w:val="false"/>
          <w:color w:val="000000"/>
          <w:sz w:val="16"/>
        </w:rPr>
        <w:t>Non-cash compensation expenses resulting from the grant of equity awards.</w:t>
      </w:r>
    </w:p>
    <w:p>
      <w:pPr>
        <w:pStyle w:val="TextBody"/>
        <w:bidi w:val="0"/>
        <w:spacing w:lineRule="auto" w:line="288" w:before="0" w:after="0"/>
        <w:ind w:left="0" w:right="0" w:hanging="360"/>
        <w:jc w:val="both"/>
        <w:rPr/>
      </w:pPr>
      <w:r>
        <w:rPr>
          <w:rFonts w:ascii="Times New Roman;serif" w:hAnsi="Times New Roman;serif"/>
          <w:b w:val="false"/>
          <w:color w:val="000000"/>
          <w:sz w:val="10"/>
        </w:rPr>
        <w:t>(2)</w:t>
      </w:r>
      <w:r>
        <w:rPr>
          <w:color w:val="000000"/>
        </w:rPr>
        <w:t>    </w:t>
      </w:r>
      <w:r>
        <w:rPr>
          <w:rFonts w:ascii="Times New Roman;serif" w:hAnsi="Times New Roman;serif"/>
          <w:b w:val="false"/>
          <w:color w:val="000000"/>
          <w:sz w:val="16"/>
        </w:rPr>
        <w:t>Non-recurring costs and expenses relating to diligence and transaction costs, strike related costs, severance, relocation, and realignment expenses.</w:t>
      </w:r>
    </w:p>
    <w:p>
      <w:pPr>
        <w:pStyle w:val="TextBody"/>
        <w:bidi w:val="0"/>
        <w:spacing w:lineRule="auto" w:line="288" w:before="160" w:after="283"/>
        <w:ind w:left="0" w:right="0" w:hanging="360"/>
        <w:jc w:val="both"/>
        <w:rPr/>
      </w:pPr>
      <w:r>
        <w:rPr>
          <w:rFonts w:ascii="Times New Roman;serif" w:hAnsi="Times New Roman;serif"/>
          <w:b w:val="false"/>
          <w:color w:val="000000"/>
          <w:sz w:val="10"/>
        </w:rPr>
        <w:t>(3)</w:t>
      </w:r>
      <w:r>
        <w:rPr>
          <w:color w:val="000000"/>
        </w:rPr>
        <w:t>    </w:t>
      </w:r>
      <w:r>
        <w:rPr>
          <w:rFonts w:ascii="Times New Roman;serif" w:hAnsi="Times New Roman;serif"/>
          <w:b w:val="false"/>
          <w:color w:val="000000"/>
          <w:sz w:val="16"/>
        </w:rPr>
        <w:t>Includes $14.0 million of derivative liabilities and $1.5 million of finance leases as of September 30, 2025.</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At September 30, 2025, we had $10.9 million outstanding under our revolving credit facility and had $233.1 million available after giving effect to $6.0 million of letters of credit issued and outstanding. At December 31, 2024, we had $1.5 million outstanding under our revolving credit facility and had $292.2 million available after giving effect to $6.3 million of letters of credit issued and outstanding. Our letters of credit are used for a variety of purposes, including support of certain operating lease agreements, vendor payment terms and other subsidiary operating activities, and to meet various states' requirements to self-insure workers' compensation claims, including incurred but not reported claims. Our borrowing capacity was not reduced by leverage restrictions contained in the Credit Agreement as of September 30, 2025. After consideration of leverage restrictions contained in the Credit Agreement, as of December 31, 2024, we had $216.7 million of borrowing capacity available for general corporate purposes.</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We rely upon our cash flow from operations and available liquidity under our revolving credit facility to fund our debt service obligations and other contractual commitments, working capital and capital expenditure requirements. At the end of each quarter, we have historically used cash on hand from our domestic and foreign subsidiaries to pay down amounts outstanding under our revolving credit facility, as applicable.</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Our weighted average borrowings during the first nine months of 2025 approximated $433.7 million, compared to $437.5 million during the first nine months of 2024, primarily due to borrowings made on our revolving credit facility.</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 xml:space="preserve">In May 2021, we, through one of our non-U.S. subsidiaries, entered into a revolving loan facility with a borrowing capacity of $4.0 million. The facility is guaranteed by TriMas Corporation. At September 30, 2025, we had no amounts outstanding on this loan facility. </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 xml:space="preserve">Cash management related to our revolving credit facility is centralized. We monitor our cash position and available liquidity on a daily basis and forecast our cash needs on a weekly basis within the current quarter and on a monthly basis outside the current quarter over the remainder of the year. Our business and related cash forecasts are updated monthly. </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While the majority of our cash on hand as of September 30, 2025 is located outside of the U.S., given available funding under our revolving credit facility of $233.1 million at September 30, 2025, and based on forecasted cash sources and requirements inherent in our business plans, we believe that our liquidity and capital resources, including anticipated cash flows from operations, will be sufficient to meet our debt service, capital expenditure and other short-term and long-term obligations for the foreseeable future, as well as dividends and share repurchases.</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We are subject to variable interest rates on our revolving credit facility, which is subject to a benchmark interest rate determined based on the currency denomination of borrowings. Based on our variable rate-based borrowings outstanding at September 30, 2025, a 1% increase in the per annum interest rate would increase our interest expense by $0.1 million annually.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0" w:after="0"/>
        <w:jc w:val="left"/>
        <w:rPr/>
      </w:pPr>
      <w:hyperlink w:anchor="ie69bc5e88b0c4f53b7988ab1107efbce_7">
        <w:r>
          <w:rPr>
            <w:rStyle w:val="InternetLink"/>
            <w:rFonts w:ascii="Times New Roman;serif" w:hAnsi="Times New Roman;serif"/>
            <w:b w:val="false"/>
            <w:color w:val="0000FF"/>
            <w:sz w:val="20"/>
            <w:u w:val="single"/>
          </w:rPr>
          <w:t>Table of Contents</w:t>
        </w:r>
      </w:hyperlink>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to our long-term debt, we have other cash commitments related to leases. The majority of our lease transactions are accounted for as operating leases, and annual rent expense related thereto approximated $13.9 million in 2024. We expect leasing will continue to be an available financing option to fund future capital expenditure requirements. </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In March 2020, we announced our Board of Directors had authorized us to increase the purchase of our common stock up to $250 million in the aggregate. In the nine months ended September 30, 2025, we purchased 106,220 shares of our outstanding common stock for an aggregate purchase price of $2.3 million. Since the initial authorization through September 30, 2025, we have purchased 6,672,784 shares of our outstanding common stock for an aggregate purchase price of $184.6 million. We will continue to evaluate opportunities to return capital to shareholders through the purchase of our common stock and the payment of dividends, depending on market conditions, and other factors.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rFonts w:ascii="Times New Roman;serif" w:hAnsi="Times New Roman;serif"/>
          <w:b/>
          <w:color w:val="000000"/>
          <w:sz w:val="20"/>
        </w:rPr>
      </w:pPr>
      <w:r>
        <w:rPr>
          <w:rFonts w:ascii="Times New Roman;serif" w:hAnsi="Times New Roman;serif"/>
          <w:b/>
          <w:color w:val="000000"/>
          <w:sz w:val="20"/>
        </w:rPr>
        <w:t xml:space="preserve">Market Risk </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 xml:space="preserve">We conduct business in various locations throughout the world and are subject to market risk due to changes in the value of foreign currencies. The functional currencies of our foreign subsidiaries are primarily the local currency in the country of domicile. We manage these operating activities at the local level and revenues and costs are generally denominated in local currencies; however, results of operations and assets and liabilities reported in U.S. dollars will fluctuate with changes in exchange rates between such local currencies and the U.S. dollar. </w:t>
      </w:r>
    </w:p>
    <w:p>
      <w:pPr>
        <w:pStyle w:val="TextBody"/>
        <w:bidi w:val="0"/>
        <w:spacing w:lineRule="auto" w:line="288" w:before="160" w:after="160"/>
        <w:jc w:val="both"/>
        <w:rPr/>
      </w:pPr>
      <w:r>
        <w:rPr>
          <w:rFonts w:ascii="Times New Roman;serif" w:hAnsi="Times New Roman;serif"/>
          <w:b w:val="false"/>
          <w:color w:val="000000"/>
          <w:sz w:val="20"/>
        </w:rPr>
        <w:t>We use derivative financial instruments to manage currency risks associated with our procurement activities denominated in currencies other than the functional currency of our subsidiaries and the impact of currency rate volatility on our earnings. As of September 30, 2025, we were party to foreign exchange forward and swap contracts to hedge changes in foreign currency exchange rates with notional amounts of $150.6 million. We also use cross-currency swap agreements to mitigate currency risks associated with the net investment in certain of our foreign subsidiaries. See Note 10, "</w:t>
      </w:r>
      <w:r>
        <w:rPr>
          <w:rFonts w:ascii="Times New Roman;serif" w:hAnsi="Times New Roman;serif"/>
          <w:b w:val="false"/>
          <w:i/>
          <w:color w:val="000000"/>
          <w:sz w:val="20"/>
        </w:rPr>
        <w:t>Derivative Instruments</w:t>
      </w:r>
      <w:r>
        <w:rPr>
          <w:rFonts w:ascii="Times New Roman;serif" w:hAnsi="Times New Roman;serif"/>
          <w:b w:val="false"/>
          <w:color w:val="000000"/>
          <w:sz w:val="20"/>
        </w:rPr>
        <w:t>," included in Part 1, Item 1, "</w:t>
      </w:r>
      <w:r>
        <w:rPr>
          <w:rFonts w:ascii="Times New Roman;serif" w:hAnsi="Times New Roman;serif"/>
          <w:b w:val="false"/>
          <w:i/>
          <w:color w:val="000000"/>
          <w:sz w:val="20"/>
        </w:rPr>
        <w:t>Notes to Unaudited Consolidated Financial Statements</w:t>
      </w:r>
      <w:r>
        <w:rPr>
          <w:rFonts w:ascii="Times New Roman;serif" w:hAnsi="Times New Roman;serif"/>
          <w:b w:val="false"/>
          <w:color w:val="000000"/>
          <w:sz w:val="20"/>
        </w:rPr>
        <w:t>," within this quarterly report on Form 10-Q for additional information.</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We are also subject to interest risk as it relates to our long-term debt. We have historically used interest rate swap agreements to fix the variable portion of our debt to manage this risk.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rFonts w:ascii="Times New Roman;serif" w:hAnsi="Times New Roman;serif"/>
          <w:b/>
          <w:color w:val="000000"/>
          <w:sz w:val="20"/>
        </w:rPr>
      </w:pPr>
      <w:r>
        <w:rPr>
          <w:rFonts w:ascii="Times New Roman;serif" w:hAnsi="Times New Roman;serif"/>
          <w:b/>
          <w:color w:val="000000"/>
          <w:sz w:val="20"/>
        </w:rPr>
        <w:t xml:space="preserve">Common Stock </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TriMas is listed in the NASDAQ Global Select Market. Our stock trades under the symbol "TRS."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rFonts w:ascii="Times New Roman;serif" w:hAnsi="Times New Roman;serif"/>
          <w:b/>
          <w:color w:val="000000"/>
          <w:sz w:val="20"/>
        </w:rPr>
      </w:pPr>
      <w:r>
        <w:rPr>
          <w:rFonts w:ascii="Times New Roman;serif" w:hAnsi="Times New Roman;serif"/>
          <w:b/>
          <w:color w:val="000000"/>
          <w:sz w:val="20"/>
        </w:rPr>
        <w:t xml:space="preserve">Credit Rating </w:t>
      </w:r>
    </w:p>
    <w:p>
      <w:pPr>
        <w:pStyle w:val="TextBody"/>
        <w:bidi w:val="0"/>
        <w:spacing w:lineRule="auto" w:line="288" w:before="160" w:after="160"/>
        <w:jc w:val="both"/>
        <w:rPr/>
      </w:pPr>
      <w:r>
        <w:rPr>
          <w:rFonts w:ascii="Times New Roman;serif" w:hAnsi="Times New Roman;serif"/>
          <w:b w:val="false"/>
          <w:color w:val="000000"/>
          <w:sz w:val="20"/>
        </w:rPr>
        <w:t xml:space="preserve">We and certain of our outstanding debt obligations are rated by Standard &amp; Poor's and Moody's. On January 7, 2025, Moody's affirmed a Ba3 rating to our Senior Notes. See Note 9, </w:t>
      </w:r>
      <w:r>
        <w:rPr>
          <w:rFonts w:ascii="Times New Roman;serif" w:hAnsi="Times New Roman;serif"/>
          <w:b w:val="false"/>
          <w:i/>
          <w:color w:val="000000"/>
          <w:sz w:val="20"/>
        </w:rPr>
        <w:t>"Long-term Debt"</w:t>
      </w:r>
      <w:r>
        <w:rPr>
          <w:color w:val="000000"/>
        </w:rPr>
        <w:t xml:space="preserve"> </w:t>
      </w:r>
      <w:r>
        <w:rPr>
          <w:rFonts w:ascii="Times New Roman;serif" w:hAnsi="Times New Roman;serif"/>
          <w:b w:val="false"/>
          <w:color w:val="000000"/>
          <w:sz w:val="20"/>
        </w:rPr>
        <w:t xml:space="preserve">included in Part I, Item 1, </w:t>
      </w:r>
      <w:r>
        <w:rPr>
          <w:rFonts w:ascii="Times New Roman;serif" w:hAnsi="Times New Roman;serif"/>
          <w:b w:val="false"/>
          <w:i/>
          <w:color w:val="000000"/>
          <w:sz w:val="20"/>
        </w:rPr>
        <w:t>"Notes to Unaudited Consolidated Financial Statements"</w:t>
      </w:r>
      <w:r>
        <w:rPr>
          <w:color w:val="000000"/>
        </w:rPr>
        <w:t xml:space="preserve"> </w:t>
      </w:r>
      <w:r>
        <w:rPr>
          <w:rFonts w:ascii="Times New Roman;serif" w:hAnsi="Times New Roman;serif"/>
          <w:b w:val="false"/>
          <w:color w:val="000000"/>
          <w:sz w:val="20"/>
        </w:rPr>
        <w:t>within this quarterly report on Form 10-Q. Moody's also affirmed a Ba2 Corporate Family Rating, and changed its outlook from stable to negative. On August 6, 2025, Standard &amp; Poor's affirmed a BB- rating to our Senior Notes. Standard &amp; Poor's also affirmed a BB corporate credit rating and maintained its outlook as stable. If our credit ratings were to decline, our ability to access certain financial markets may become limited, our cost of borrowings may increase, the perception of us in the view of our customers, suppliers and security holders may worsen and as a result, we may be adversely affected.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rFonts w:ascii="Times New Roman;serif" w:hAnsi="Times New Roman;serif"/>
          <w:b/>
          <w:color w:val="000000"/>
          <w:sz w:val="20"/>
        </w:rPr>
      </w:pPr>
      <w:r>
        <w:rPr>
          <w:rFonts w:ascii="Times New Roman;serif" w:hAnsi="Times New Roman;serif"/>
          <w:b/>
          <w:color w:val="000000"/>
          <w:sz w:val="20"/>
        </w:rPr>
        <w:t xml:space="preserve">Outlook </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We delivered strong financial results through the first nine months of 2025, driven by increased demand and successful growth initiatives within our Aerospace and Packaging segments, combined with manufacturing enhancements and commercial actions. During first quarter 2025, we successfully completed our acquisition of GMT Aerospace in our Aerospace segment and divested of our Arrow Engine business, which reflect our continued steps to optimize our portfolio of businesses. Looking forward, we remain optimistic about the long-term growth within our two largest segments, Packaging and Aerospace, and an accelerated recovery of our cylinder business within our Specialty Products segment, which had increased sales and operating profit in third quarter 2025 as compared to the prior year period.</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We have seen a number of global market uncertainties stemming from the macro-economic environment in the past few years, including significant challenges in inflationary pressures, supply chain disruptions and labor availability, as well as significant volatility in our customers' sentiment and order patterns. While we expect continued strong performance in our two largest segments and recovery in Specialty Products, we remain cautious of both primary and secondary effects from the impact of tariffs on input costs and global market conditions. However, we remain committed to mitigate the impact of the tariff environment, as much as practical, by executing on commercial, procurement, production, and streamlining actions and taking other steps as necessary, to maintain our strong balance sheet and generate cash in support of our capital allocation strategy.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88" w:before="0" w:after="0"/>
        <w:jc w:val="left"/>
        <w:rPr/>
      </w:pPr>
      <w:hyperlink w:anchor="ie69bc5e88b0c4f53b7988ab1107efbce_7">
        <w:r>
          <w:rPr>
            <w:rStyle w:val="InternetLink"/>
            <w:rFonts w:ascii="Times New Roman;serif" w:hAnsi="Times New Roman;serif"/>
            <w:b w:val="false"/>
            <w:color w:val="0000FF"/>
            <w:sz w:val="20"/>
            <w:u w:val="single"/>
          </w:rPr>
          <w:t>Table of Contents</w:t>
        </w:r>
      </w:hyperlink>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We believe our capital structure remains strong and that we have sufficient headroom under our financial covenants, and ample cash and available liquidity under our revolving credit facility, to meet our debt service, capital expenditure and other short-term and long-term obligations for the next 12 months and for the foreseeable future, as well as fund dividends, share repurchases and bolt-on acquisitions consistent with our capital allocation strategy.</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We expect to continue to leverage the tenets of our TriMas Business Model to manage our multi-industry businesses on a longer-term basis, achieve our growth plans, execute continuous improvement initiatives to offset inflationary pressures, and seek lower-cost sources for input costs, all while continuously assessing the appropriateness of our manufacturing footprint and fixed-cost structure.</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On July 4, 2025, President Donald J. Trump signed into law the legislation formally titled “An Act to provide for reconciliation pursuant to title II of H. Con. Res. 14” —and commonly referred to as the One Big Beautiful Bill Act ("OBBBA"). The legislation took effect in the third quarter of 2025. Based on an initial analysis of the OBBBA, we do not anticipate a material impact on the effective tax rate and expect a favorable impact on U.S. federal cash taxes for the remainder of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rFonts w:ascii="Times New Roman;serif" w:hAnsi="Times New Roman;serif"/>
          <w:b/>
          <w:color w:val="000000"/>
          <w:sz w:val="20"/>
        </w:rPr>
      </w:pPr>
      <w:r>
        <w:rPr>
          <w:rFonts w:ascii="Times New Roman;serif" w:hAnsi="Times New Roman;serif"/>
          <w:b/>
          <w:color w:val="000000"/>
          <w:sz w:val="20"/>
        </w:rPr>
        <w:t xml:space="preserve">Impact of New Accounting Standards </w:t>
      </w:r>
    </w:p>
    <w:p>
      <w:pPr>
        <w:pStyle w:val="TextBody"/>
        <w:bidi w:val="0"/>
        <w:spacing w:lineRule="auto" w:line="288" w:before="160" w:after="160"/>
        <w:jc w:val="both"/>
        <w:rPr/>
      </w:pPr>
      <w:r>
        <w:rPr>
          <w:rFonts w:ascii="Times New Roman;serif" w:hAnsi="Times New Roman;serif"/>
          <w:b w:val="false"/>
          <w:color w:val="000000"/>
          <w:sz w:val="20"/>
        </w:rPr>
        <w:t>See Note 2, "</w:t>
      </w:r>
      <w:r>
        <w:rPr>
          <w:rFonts w:ascii="Times New Roman;serif" w:hAnsi="Times New Roman;serif"/>
          <w:b w:val="false"/>
          <w:i/>
          <w:color w:val="000000"/>
          <w:sz w:val="20"/>
        </w:rPr>
        <w:t>New Accounting Pronouncements</w:t>
      </w:r>
      <w:r>
        <w:rPr>
          <w:rFonts w:ascii="Times New Roman;serif" w:hAnsi="Times New Roman;serif"/>
          <w:b w:val="false"/>
          <w:color w:val="000000"/>
          <w:sz w:val="20"/>
        </w:rPr>
        <w:t>," included in Part 1, Item 1, "</w:t>
      </w:r>
      <w:r>
        <w:rPr>
          <w:rFonts w:ascii="Times New Roman;serif" w:hAnsi="Times New Roman;serif"/>
          <w:b w:val="false"/>
          <w:i/>
          <w:color w:val="000000"/>
          <w:sz w:val="20"/>
        </w:rPr>
        <w:t>Notes to Unaudited Consolidated Financial Statements</w:t>
      </w:r>
      <w:r>
        <w:rPr>
          <w:rFonts w:ascii="Times New Roman;serif" w:hAnsi="Times New Roman;serif"/>
          <w:b w:val="false"/>
          <w:color w:val="000000"/>
          <w:sz w:val="20"/>
        </w:rPr>
        <w:t>," within this quarterly report on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rFonts w:ascii="Times New Roman;serif" w:hAnsi="Times New Roman;serif"/>
          <w:b/>
          <w:color w:val="000000"/>
          <w:sz w:val="20"/>
        </w:rPr>
      </w:pPr>
      <w:r>
        <w:rPr>
          <w:rFonts w:ascii="Times New Roman;serif" w:hAnsi="Times New Roman;serif"/>
          <w:b/>
          <w:color w:val="000000"/>
          <w:sz w:val="20"/>
        </w:rPr>
        <w:t xml:space="preserve">Critical Accounting Policies </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 xml:space="preserve">Certain of our accounting policies require the application of significant judgment by management in selecting the appropriate assumptions used in calculating financial estimates. By their nature, these judgments are subject to an inherent degree of uncertainty. These judgments are based on our historical experience, our evaluation of business and macroeconomic trends, and information from other outside sources, as appropriate. </w:t>
      </w:r>
    </w:p>
    <w:p>
      <w:pPr>
        <w:pStyle w:val="TextBody"/>
        <w:bidi w:val="0"/>
        <w:spacing w:lineRule="auto" w:line="288" w:before="160" w:after="160"/>
        <w:jc w:val="both"/>
        <w:rPr/>
      </w:pPr>
      <w:r>
        <w:rPr>
          <w:rFonts w:ascii="Times New Roman;serif" w:hAnsi="Times New Roman;serif"/>
          <w:b w:val="false"/>
          <w:color w:val="000000"/>
          <w:sz w:val="20"/>
        </w:rPr>
        <w:t>During the quarter ended September 30, 2025, there were no material changes to the items that we disclosed as our critical accounting policies in Part II, Item 7, "</w:t>
      </w:r>
      <w:r>
        <w:rPr>
          <w:rFonts w:ascii="Times New Roman;serif" w:hAnsi="Times New Roman;serif"/>
          <w:b w:val="false"/>
          <w:i/>
          <w:color w:val="000000"/>
          <w:sz w:val="20"/>
        </w:rPr>
        <w:t>Management's Discussion and Analysis of Financial Condition and Results of Operations</w:t>
      </w:r>
      <w:r>
        <w:rPr>
          <w:rFonts w:ascii="Times New Roman;serif" w:hAnsi="Times New Roman;serif"/>
          <w:b w:val="false"/>
          <w:color w:val="000000"/>
          <w:sz w:val="20"/>
        </w:rPr>
        <w:t xml:space="preserve">," in the Annual Report on Form 10-K for the year ended December 31, 2024.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88" w:before="0" w:after="0"/>
        <w:jc w:val="left"/>
        <w:rPr/>
      </w:pPr>
      <w:hyperlink w:anchor="ie69bc5e88b0c4f53b7988ab1107efbce_7">
        <w:r>
          <w:rPr>
            <w:rStyle w:val="InternetLink"/>
            <w:rFonts w:ascii="Times New Roman;serif" w:hAnsi="Times New Roman;serif"/>
            <w:b w:val="false"/>
            <w:color w:val="0000FF"/>
            <w:sz w:val="20"/>
            <w:u w:val="single"/>
          </w:rPr>
          <w:t>Table of Contents</w:t>
        </w:r>
      </w:hyperlink>
    </w:p>
    <w:p>
      <w:pPr>
        <w:pStyle w:val="TextBody"/>
        <w:bidi w:val="0"/>
        <w:spacing w:lineRule="auto" w:line="288" w:before="160" w:after="160"/>
        <w:jc w:val="left"/>
        <w:rPr>
          <w:rFonts w:ascii="Times New Roman;serif" w:hAnsi="Times New Roman;serif"/>
          <w:b/>
          <w:color w:val="000000"/>
          <w:sz w:val="20"/>
        </w:rPr>
      </w:pPr>
      <w:r>
        <w:rPr>
          <w:rFonts w:ascii="Times New Roman;serif" w:hAnsi="Times New Roman;serif"/>
          <w:b/>
          <w:color w:val="000000"/>
          <w:sz w:val="20"/>
        </w:rPr>
        <w:t xml:space="preserve">Item 3.    Quantitative and Qualitative Disclosures About Market Risk </w:t>
      </w:r>
    </w:p>
    <w:p>
      <w:pPr>
        <w:pStyle w:val="TextBody"/>
        <w:bidi w:val="0"/>
        <w:spacing w:lineRule="auto" w:line="288" w:before="160" w:after="160"/>
        <w:jc w:val="both"/>
        <w:rPr/>
      </w:pPr>
      <w:r>
        <w:rPr>
          <w:rFonts w:ascii="Times New Roman;serif" w:hAnsi="Times New Roman;serif"/>
          <w:b w:val="false"/>
          <w:color w:val="000000"/>
          <w:sz w:val="20"/>
        </w:rPr>
        <w:t>In the normal course of business, we are exposed to market risk associated with fluctuations in foreign currency exchange rates. We are also subject to interest risk as it relates to long-term debt. See Part I, Item 2, "</w:t>
      </w:r>
      <w:r>
        <w:rPr>
          <w:rFonts w:ascii="Times New Roman;serif" w:hAnsi="Times New Roman;serif"/>
          <w:b w:val="false"/>
          <w:i/>
          <w:color w:val="000000"/>
          <w:sz w:val="20"/>
        </w:rPr>
        <w:t>Management's Discussion and Analysis of Financial Condition and Results of Operations,</w:t>
      </w:r>
      <w:r>
        <w:rPr>
          <w:rFonts w:ascii="Times New Roman;serif" w:hAnsi="Times New Roman;serif"/>
          <w:b w:val="false"/>
          <w:color w:val="000000"/>
          <w:sz w:val="20"/>
        </w:rPr>
        <w:t>" for details about our primary market risks, and the objectives and strategies used to manage these risks. Also see Note 9, "</w:t>
      </w:r>
      <w:r>
        <w:rPr>
          <w:rFonts w:ascii="Times New Roman;serif" w:hAnsi="Times New Roman;serif"/>
          <w:b w:val="false"/>
          <w:i/>
          <w:color w:val="000000"/>
          <w:sz w:val="20"/>
        </w:rPr>
        <w:t>Long-term Debt</w:t>
      </w:r>
      <w:r>
        <w:rPr>
          <w:rFonts w:ascii="Times New Roman;serif" w:hAnsi="Times New Roman;serif"/>
          <w:b w:val="false"/>
          <w:color w:val="000000"/>
          <w:sz w:val="20"/>
        </w:rPr>
        <w:t>," and Note 10, "</w:t>
      </w:r>
      <w:r>
        <w:rPr>
          <w:rFonts w:ascii="Times New Roman;serif" w:hAnsi="Times New Roman;serif"/>
          <w:b w:val="false"/>
          <w:i/>
          <w:color w:val="000000"/>
          <w:sz w:val="20"/>
        </w:rPr>
        <w:t>Derivative Instruments</w:t>
      </w:r>
      <w:r>
        <w:rPr>
          <w:rFonts w:ascii="Times New Roman;serif" w:hAnsi="Times New Roman;serif"/>
          <w:b w:val="false"/>
          <w:color w:val="000000"/>
          <w:sz w:val="20"/>
        </w:rPr>
        <w:t>," in Part I, Item 1, "</w:t>
      </w:r>
      <w:r>
        <w:rPr>
          <w:rFonts w:ascii="Times New Roman;serif" w:hAnsi="Times New Roman;serif"/>
          <w:b w:val="false"/>
          <w:i/>
          <w:color w:val="000000"/>
          <w:sz w:val="20"/>
        </w:rPr>
        <w:t>Notes to Unaudited Consolidated Financial Statements</w:t>
      </w:r>
      <w:r>
        <w:rPr>
          <w:rFonts w:ascii="Times New Roman;serif" w:hAnsi="Times New Roman;serif"/>
          <w:b w:val="false"/>
          <w:color w:val="000000"/>
          <w:sz w:val="20"/>
        </w:rPr>
        <w:t xml:space="preserve">," included within this quarterly report on Form 10-Q for additional information.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rFonts w:ascii="Times New Roman;serif" w:hAnsi="Times New Roman;serif"/>
          <w:b/>
          <w:color w:val="000000"/>
          <w:sz w:val="20"/>
        </w:rPr>
      </w:pPr>
      <w:r>
        <w:rPr>
          <w:rFonts w:ascii="Times New Roman;serif" w:hAnsi="Times New Roman;serif"/>
          <w:b/>
          <w:color w:val="000000"/>
          <w:sz w:val="20"/>
        </w:rPr>
        <w:t xml:space="preserve">Item 4.    Controls and Procedures </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maintains disclosure controls and procedures that are designed to ensure that information required to be disclosed in the reports that the Company files or submits under the Securities Exchange Act of 1934, as amended (the "Exchange Act"), is recorded, processed, summarized, and reported within the time periods specified in the Securities and Exchange Commission's rules and forms, and that such information is accumulated and communicated to the Company's management, including its Chief Executive Officer and Chief Financial Officer, as appropriate, to allow timely decisions regarding required disclosures. </w:t>
      </w:r>
    </w:p>
    <w:p>
      <w:pPr>
        <w:pStyle w:val="TextBody"/>
        <w:bidi w:val="0"/>
        <w:spacing w:lineRule="auto" w:line="288" w:before="160" w:after="160"/>
        <w:jc w:val="both"/>
        <w:rPr>
          <w:rFonts w:ascii="Times New Roman;serif" w:hAnsi="Times New Roman;serif"/>
          <w:b/>
          <w:i/>
          <w:color w:val="000000"/>
          <w:sz w:val="20"/>
        </w:rPr>
      </w:pPr>
      <w:r>
        <w:rPr>
          <w:rFonts w:ascii="Times New Roman;serif" w:hAnsi="Times New Roman;serif"/>
          <w:b/>
          <w:i/>
          <w:color w:val="000000"/>
          <w:sz w:val="20"/>
        </w:rPr>
        <w:t xml:space="preserve">Evaluation of disclosure controls and procedures </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 xml:space="preserve">As of September 30, 2025, an evaluation was carried out by management, with the participation of the Chief Executive Officer and Chief Financial Officer, of the effectiveness of the Company's disclosure controls and procedures (as such term is defined in Rule 13a-15(e) and Rule 15d-15(e) of the Exchange Act) pursuant to Rule 13a-15 of the Exchange Act. The Company's disclosure controls and procedures are designed only to provide reasonable assurance that they will meet their objectives. Based upon that evaluation, the Chief Executive Officer and Chief Financial Officer concluded that as of September 30, 2025, the Company's disclosure controls and procedures are effective to provide reasonable assurance that they would meet their objectives. </w:t>
      </w:r>
    </w:p>
    <w:p>
      <w:pPr>
        <w:pStyle w:val="TextBody"/>
        <w:bidi w:val="0"/>
        <w:spacing w:lineRule="auto" w:line="288" w:before="160" w:after="160"/>
        <w:jc w:val="both"/>
        <w:rPr>
          <w:rFonts w:ascii="Times New Roman;serif" w:hAnsi="Times New Roman;serif"/>
          <w:b/>
          <w:i/>
          <w:color w:val="000000"/>
          <w:sz w:val="20"/>
        </w:rPr>
      </w:pPr>
      <w:r>
        <w:rPr>
          <w:rFonts w:ascii="Times New Roman;serif" w:hAnsi="Times New Roman;serif"/>
          <w:b/>
          <w:i/>
          <w:color w:val="000000"/>
          <w:sz w:val="20"/>
        </w:rPr>
        <w:t xml:space="preserve">Changes in internal control over financial reporting </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There have been no changes in the Company's internal control over financial reporting during the quarter ended September 30, 2025 that have materially affected, or are reasonably likely to materially affect, the Company's internal control over financial reporting.</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88" w:before="0" w:after="0"/>
        <w:jc w:val="left"/>
        <w:rPr/>
      </w:pPr>
      <w:hyperlink w:anchor="ie69bc5e88b0c4f53b7988ab1107efbce_7">
        <w:r>
          <w:rPr>
            <w:rStyle w:val="InternetLink"/>
            <w:rFonts w:ascii="Times New Roman;serif" w:hAnsi="Times New Roman;serif"/>
            <w:b w:val="false"/>
            <w:color w:val="0000FF"/>
            <w:sz w:val="20"/>
            <w:u w:val="single"/>
          </w:rPr>
          <w:t>Table of Contents</w:t>
        </w:r>
      </w:hyperlink>
    </w:p>
    <w:p>
      <w:pPr>
        <w:pStyle w:val="TextBody"/>
        <w:bidi w:val="0"/>
        <w:spacing w:lineRule="auto" w:line="288" w:before="160" w:after="160"/>
        <w:jc w:val="left"/>
        <w:rPr>
          <w:rFonts w:ascii="Times New Roman;serif" w:hAnsi="Times New Roman;serif"/>
          <w:b/>
          <w:color w:val="000000"/>
          <w:sz w:val="20"/>
        </w:rPr>
      </w:pPr>
      <w:r>
        <w:rPr>
          <w:rFonts w:ascii="Times New Roman;serif" w:hAnsi="Times New Roman;serif"/>
          <w:b/>
          <w:color w:val="000000"/>
          <w:sz w:val="20"/>
        </w:rPr>
        <w:t xml:space="preserve">PART II. OTHER INFORMATION </w:t>
      </w:r>
    </w:p>
    <w:p>
      <w:pPr>
        <w:pStyle w:val="TextBody"/>
        <w:bidi w:val="0"/>
        <w:spacing w:lineRule="auto" w:line="288" w:before="160" w:after="160"/>
        <w:jc w:val="center"/>
        <w:rPr>
          <w:rFonts w:ascii="Times New Roman;serif" w:hAnsi="Times New Roman;serif"/>
          <w:b/>
          <w:color w:val="000000"/>
          <w:sz w:val="20"/>
        </w:rPr>
      </w:pPr>
      <w:r>
        <w:rPr>
          <w:rFonts w:ascii="Times New Roman;serif" w:hAnsi="Times New Roman;serif"/>
          <w:b/>
          <w:color w:val="000000"/>
          <w:sz w:val="20"/>
        </w:rPr>
        <w:t>TRIMAS CORPORATION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both"/>
        <w:rPr>
          <w:rFonts w:ascii="Times New Roman;serif" w:hAnsi="Times New Roman;serif"/>
          <w:b/>
          <w:color w:val="000000"/>
          <w:sz w:val="20"/>
        </w:rPr>
      </w:pPr>
      <w:r>
        <w:rPr>
          <w:rFonts w:ascii="Times New Roman;serif" w:hAnsi="Times New Roman;serif"/>
          <w:b/>
          <w:color w:val="000000"/>
          <w:sz w:val="20"/>
        </w:rPr>
        <w:t xml:space="preserve">Item 1.    Legal Proceedings </w:t>
      </w:r>
    </w:p>
    <w:p>
      <w:pPr>
        <w:pStyle w:val="TextBody"/>
        <w:bidi w:val="0"/>
        <w:spacing w:lineRule="auto" w:line="288" w:before="160" w:after="160"/>
        <w:jc w:val="both"/>
        <w:rPr/>
      </w:pPr>
      <w:r>
        <w:rPr>
          <w:rFonts w:ascii="Times New Roman;serif" w:hAnsi="Times New Roman;serif"/>
          <w:b w:val="false"/>
          <w:color w:val="000000"/>
          <w:sz w:val="20"/>
        </w:rPr>
        <w:t>See Note 13, "</w:t>
      </w:r>
      <w:r>
        <w:rPr>
          <w:rFonts w:ascii="Times New Roman;serif" w:hAnsi="Times New Roman;serif"/>
          <w:b w:val="false"/>
          <w:i/>
          <w:color w:val="000000"/>
          <w:sz w:val="20"/>
        </w:rPr>
        <w:t>Commitments and Contingencies,</w:t>
      </w:r>
      <w:r>
        <w:rPr>
          <w:rFonts w:ascii="Times New Roman;serif" w:hAnsi="Times New Roman;serif"/>
          <w:b w:val="false"/>
          <w:color w:val="000000"/>
          <w:sz w:val="20"/>
        </w:rPr>
        <w:t>" included in Part I, Item 1, "</w:t>
      </w:r>
      <w:r>
        <w:rPr>
          <w:rFonts w:ascii="Times New Roman;serif" w:hAnsi="Times New Roman;serif"/>
          <w:b w:val="false"/>
          <w:i/>
          <w:color w:val="000000"/>
          <w:sz w:val="20"/>
        </w:rPr>
        <w:t>Notes to Unaudited Consolidated Financial Statements</w:t>
      </w:r>
      <w:r>
        <w:rPr>
          <w:rFonts w:ascii="Times New Roman;serif" w:hAnsi="Times New Roman;serif"/>
          <w:b w:val="false"/>
          <w:color w:val="000000"/>
          <w:sz w:val="20"/>
        </w:rPr>
        <w:t xml:space="preserve">," within this quarterly report on Form 10-Q.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both"/>
        <w:rPr>
          <w:rFonts w:ascii="Times New Roman;serif" w:hAnsi="Times New Roman;serif"/>
          <w:b/>
          <w:color w:val="000000"/>
          <w:sz w:val="20"/>
        </w:rPr>
      </w:pPr>
      <w:r>
        <w:rPr>
          <w:rFonts w:ascii="Times New Roman;serif" w:hAnsi="Times New Roman;serif"/>
          <w:b/>
          <w:color w:val="000000"/>
          <w:sz w:val="20"/>
        </w:rPr>
        <w:t xml:space="preserve">Item 1A.    Risk Factors </w:t>
      </w:r>
    </w:p>
    <w:p>
      <w:pPr>
        <w:pStyle w:val="TextBody"/>
        <w:bidi w:val="0"/>
        <w:spacing w:lineRule="auto" w:line="288" w:before="160" w:after="160"/>
        <w:jc w:val="both"/>
        <w:rPr/>
      </w:pPr>
      <w:r>
        <w:rPr>
          <w:rFonts w:ascii="Times New Roman;serif" w:hAnsi="Times New Roman;serif"/>
          <w:b w:val="false"/>
          <w:color w:val="000000"/>
          <w:sz w:val="20"/>
        </w:rPr>
        <w:t>In addition to the other information set forth in this report, you should carefully consider the factors discussed in Part 1, Item 1A., "</w:t>
      </w:r>
      <w:r>
        <w:rPr>
          <w:rFonts w:ascii="Times New Roman;serif" w:hAnsi="Times New Roman;serif"/>
          <w:b w:val="false"/>
          <w:i/>
          <w:color w:val="000000"/>
          <w:sz w:val="20"/>
        </w:rPr>
        <w:t>Risk Factors</w:t>
      </w:r>
      <w:r>
        <w:rPr>
          <w:rFonts w:ascii="Times New Roman;serif" w:hAnsi="Times New Roman;serif"/>
          <w:b w:val="false"/>
          <w:color w:val="000000"/>
          <w:sz w:val="20"/>
        </w:rPr>
        <w:t>," in our 2024 Annual Report on Form 10-K and Part 2, Item 1A., "</w:t>
      </w:r>
      <w:r>
        <w:rPr>
          <w:rFonts w:ascii="Times New Roman;serif" w:hAnsi="Times New Roman;serif"/>
          <w:b w:val="false"/>
          <w:i/>
          <w:color w:val="000000"/>
          <w:sz w:val="20"/>
        </w:rPr>
        <w:t>Risk Factors</w:t>
      </w:r>
      <w:r>
        <w:rPr>
          <w:rFonts w:ascii="Times New Roman;serif" w:hAnsi="Times New Roman;serif"/>
          <w:b w:val="false"/>
          <w:color w:val="000000"/>
          <w:sz w:val="20"/>
        </w:rPr>
        <w:t>," in our Quarterly Report on Form 10-Q for the period ended March 31, 2025, which could materially affect our business, financial condition or future results. Except as set forth below, there are no material changes to our risk factors as disclosed in our 2024 Annual Report on Form 10-K and our Quarterly Report on Form 10-Q for the period ended March 31, 2025. The risk factor presented below supersedes the corresponding risk factor in our 2024 Annual Report on Form 10-K and should otherwise be read in conjunction with all of the risk factors disclosed in our 2024 Annual Report on 10-K and our Quarterly Report on Form 10-Q for the period ended March 31, 2025.</w:t>
      </w:r>
    </w:p>
    <w:p>
      <w:pPr>
        <w:pStyle w:val="TextBody"/>
        <w:bidi w:val="0"/>
        <w:spacing w:lineRule="auto" w:line="288" w:before="160" w:after="160"/>
        <w:jc w:val="both"/>
        <w:rPr>
          <w:rFonts w:ascii="Times New Roman;serif" w:hAnsi="Times New Roman;serif"/>
          <w:b/>
          <w:i/>
          <w:color w:val="000000"/>
          <w:sz w:val="20"/>
        </w:rPr>
      </w:pPr>
      <w:r>
        <w:rPr>
          <w:rFonts w:ascii="Times New Roman;serif" w:hAnsi="Times New Roman;serif"/>
          <w:b/>
          <w:i/>
          <w:color w:val="000000"/>
          <w:sz w:val="20"/>
        </w:rPr>
        <w:t>Our acquisition and disposition agreements by which we have acquired or sold companies include indemnification provisions that may not fully protect us and may result in unexpected liabilities.</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Certain of the agreements related to the acquisition and disposition of businesses require indemnification against certain liabilities related to the operations of the company for the previous owner. We cannot be assured that any of these indemnification provisions will fully protect us. In some instances, third parties may have an obligation to indemnify us for liabilities related to a disposed business, and such third parties may be unable to, or fail to, fulfill such obligations. If such third parties fail to indemnify us, or if indemnification provisions otherwise fail to fully protect us, we may be financially responsible and may incur unexpected liabilities that adversely affect our profitability and financial position.</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For example, we completed the spin-off of our legacy Cequent businesses in 2015, creating a new independent publicly traded company, Horizon Global Corporation (“Horizon”). In connection with the spin-off, we entered into an agreement pursuant to which Horizon agreed to fully indemnify us from, among other things, any and all future damages incurred by us in connection with certain litigation and environmental liabilities relating to our legacy Cequent businesses. In 2023, First Brands Group, LLC (“First Brands”) acquired Horizon, and subsequently assumed Horizon’s indemnification obligations to us. First Brands filed for Chapter 11 bankruptcy protection in September 2025. If First Brands is unable to satisfy its indemnification obligations to us, we may incur unexpected liabilities relating to our legacy Cequent businesses.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rFonts w:ascii="Times New Roman;serif" w:hAnsi="Times New Roman;serif"/>
          <w:b/>
          <w:color w:val="000000"/>
          <w:sz w:val="20"/>
        </w:rPr>
      </w:pPr>
      <w:r>
        <w:rPr>
          <w:rFonts w:ascii="Times New Roman;serif" w:hAnsi="Times New Roman;serif"/>
          <w:b/>
          <w:color w:val="000000"/>
          <w:sz w:val="20"/>
        </w:rPr>
        <w:t xml:space="preserve">Item 2.    Unregistered Sales of Equity Securities and Use of Proceeds </w:t>
      </w:r>
    </w:p>
    <w:p>
      <w:pPr>
        <w:pStyle w:val="TextBody"/>
        <w:bidi w:val="0"/>
        <w:spacing w:lineRule="auto" w:line="288" w:before="160" w:after="160"/>
        <w:jc w:val="both"/>
        <w:rPr/>
      </w:pPr>
      <w:r>
        <w:rPr>
          <w:rFonts w:ascii="Times New Roman;serif" w:hAnsi="Times New Roman;serif"/>
          <w:b w:val="false"/>
          <w:color w:val="000000"/>
          <w:sz w:val="20"/>
        </w:rPr>
        <w:t xml:space="preserve">There were no purchases made by the Company, or on behalf of the Company by an affiliated purchaser, of shares of the Company's common stock during the three months ended September 30, 2025. </w:t>
      </w:r>
      <w:r>
        <w:rPr>
          <w:rFonts w:ascii="Times New Roman;serif" w:hAnsi="Times New Roman;serif"/>
          <w:b w:val="false"/>
          <w:color w:val="000000"/>
          <w:sz w:val="20"/>
          <w:shd w:fill="FFFFFF" w:val="clear"/>
        </w:rPr>
        <w:t xml:space="preserve">In March 2020, the Board of Directors increased the authorization of share repurchases to a cumulative amount of $250 million. As of </w:t>
      </w:r>
      <w:r>
        <w:rPr>
          <w:rFonts w:ascii="Times New Roman;serif" w:hAnsi="Times New Roman;serif"/>
          <w:b w:val="false"/>
          <w:color w:val="000000"/>
          <w:sz w:val="20"/>
        </w:rPr>
        <w:t>September 30, 2025</w:t>
      </w:r>
      <w:r>
        <w:rPr>
          <w:rFonts w:ascii="Times New Roman;serif" w:hAnsi="Times New Roman;serif"/>
          <w:b w:val="false"/>
          <w:color w:val="000000"/>
          <w:sz w:val="20"/>
          <w:shd w:fill="FFFFFF" w:val="clear"/>
        </w:rPr>
        <w:t xml:space="preserve">, the Company had approximately $65.4 million remaining under the repurchase authorization.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rFonts w:ascii="Times New Roman;serif" w:hAnsi="Times New Roman;serif"/>
          <w:b/>
          <w:color w:val="000000"/>
          <w:sz w:val="20"/>
        </w:rPr>
      </w:pPr>
      <w:r>
        <w:rPr>
          <w:rFonts w:ascii="Times New Roman;serif" w:hAnsi="Times New Roman;serif"/>
          <w:b/>
          <w:color w:val="000000"/>
          <w:sz w:val="20"/>
        </w:rPr>
        <w:t xml:space="preserve">Item 3.    Defaults Upon Senior Securities </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 xml:space="preserve">Not applicable.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rFonts w:ascii="Times New Roman;serif" w:hAnsi="Times New Roman;serif"/>
          <w:b/>
          <w:color w:val="000000"/>
          <w:sz w:val="20"/>
        </w:rPr>
      </w:pPr>
      <w:r>
        <w:rPr>
          <w:rFonts w:ascii="Times New Roman;serif" w:hAnsi="Times New Roman;serif"/>
          <w:b/>
          <w:color w:val="000000"/>
          <w:sz w:val="20"/>
        </w:rPr>
        <w:t xml:space="preserve">Item 4.    Mine Safety Disclosures </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 xml:space="preserve">Not applicable.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rFonts w:ascii="Times New Roman;serif" w:hAnsi="Times New Roman;serif"/>
          <w:b/>
          <w:color w:val="000000"/>
          <w:sz w:val="20"/>
        </w:rPr>
      </w:pPr>
      <w:r>
        <w:rPr>
          <w:rFonts w:ascii="Times New Roman;serif" w:hAnsi="Times New Roman;serif"/>
          <w:b/>
          <w:color w:val="000000"/>
          <w:sz w:val="20"/>
        </w:rPr>
        <w:t xml:space="preserve">Item 5.    Other Information </w:t>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Rule 10b5-1 Trading Arrangements</w:t>
      </w:r>
    </w:p>
    <w:p>
      <w:pPr>
        <w:pStyle w:val="TextBody"/>
        <w:bidi w:val="0"/>
        <w:spacing w:lineRule="auto" w:line="276" w:before="160" w:after="160"/>
        <w:jc w:val="both"/>
        <w:rPr>
          <w:rFonts w:ascii="Times New Roman;serif" w:hAnsi="Times New Roman;serif"/>
          <w:b w:val="false"/>
          <w:color w:val="000000"/>
          <w:sz w:val="20"/>
        </w:rPr>
      </w:pPr>
      <w:r>
        <w:rPr>
          <w:rFonts w:ascii="Times New Roman;serif" w:hAnsi="Times New Roman;serif"/>
          <w:b w:val="false"/>
          <w:color w:val="000000"/>
          <w:sz w:val="20"/>
        </w:rPr>
        <w:t>During the quarter ended September 30, 2025, no director or officer (as defined in Rule 16a-1(f) promulgated under the Exchange Act) of the Company adopted or terminated any “Rule 10b5-1 trading arrangement” or any “non-Rule 10b5-1 trading arrangement” (as each term is defined in Item 408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88" w:before="0" w:after="0"/>
        <w:jc w:val="left"/>
        <w:rPr/>
      </w:pPr>
      <w:hyperlink w:anchor="ie69bc5e88b0c4f53b7988ab1107efbc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Exhibits Index:</w:t>
      </w:r>
    </w:p>
    <w:tbl>
      <w:tblPr>
        <w:tblW w:w="10205" w:type="dxa"/>
        <w:jc w:val="left"/>
        <w:tblInd w:w="0" w:type="dxa"/>
        <w:tblLayout w:type="fixed"/>
        <w:tblCellMar>
          <w:top w:w="28" w:type="dxa"/>
          <w:left w:w="28" w:type="dxa"/>
          <w:bottom w:w="28" w:type="dxa"/>
          <w:right w:w="28" w:type="dxa"/>
        </w:tblCellMar>
      </w:tblPr>
      <w:tblGrid>
        <w:gridCol w:w="173"/>
        <w:gridCol w:w="152"/>
        <w:gridCol w:w="156"/>
        <w:gridCol w:w="2938"/>
        <w:gridCol w:w="2806"/>
        <w:gridCol w:w="3980"/>
      </w:tblGrid>
      <w:tr>
        <w:trPr/>
        <w:tc>
          <w:tcPr>
            <w:tcW w:w="173"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938" w:type="dxa"/>
            <w:tcBorders/>
            <w:vAlign w:val="center"/>
          </w:tcPr>
          <w:p>
            <w:pPr>
              <w:pStyle w:val="TableContents"/>
              <w:bidi w:val="0"/>
              <w:spacing w:before="0" w:after="283"/>
              <w:jc w:val="left"/>
              <w:rPr>
                <w:sz w:val="4"/>
                <w:szCs w:val="4"/>
              </w:rPr>
            </w:pPr>
            <w:r>
              <w:rPr>
                <w:sz w:val="4"/>
                <w:szCs w:val="4"/>
              </w:rPr>
            </w:r>
          </w:p>
        </w:tc>
        <w:tc>
          <w:tcPr>
            <w:tcW w:w="2806" w:type="dxa"/>
            <w:tcBorders/>
            <w:vAlign w:val="center"/>
          </w:tcPr>
          <w:p>
            <w:pPr>
              <w:pStyle w:val="TableContents"/>
              <w:bidi w:val="0"/>
              <w:spacing w:before="0" w:after="283"/>
              <w:jc w:val="left"/>
              <w:rPr>
                <w:sz w:val="4"/>
                <w:szCs w:val="4"/>
              </w:rPr>
            </w:pPr>
            <w:r>
              <w:rPr>
                <w:sz w:val="4"/>
                <w:szCs w:val="4"/>
              </w:rPr>
            </w:r>
          </w:p>
        </w:tc>
        <w:tc>
          <w:tcPr>
            <w:tcW w:w="3980"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w:t>
            </w:r>
          </w:p>
        </w:tc>
        <w:tc>
          <w:tcPr>
            <w:tcW w:w="97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Times New Roman;serif" w:hAnsi="Times New Roman;serif"/>
                  <w:b w:val="false"/>
                  <w:color w:val="0000FF"/>
                  <w:sz w:val="20"/>
                  <w:u w:val="single"/>
                </w:rPr>
                <w:t>Fourth Amended and Restated Certificate of Incorporation of TriMas Corporation, incorporated by reference to Exhibit 3.1 to the Company's Quarterly Report on Form 10-Q filed on August 3, 2007.</w:t>
              </w:r>
            </w:hyperlink>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w:t>
            </w:r>
          </w:p>
        </w:tc>
        <w:tc>
          <w:tcPr>
            <w:tcW w:w="97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erif" w:hAnsi="Times New Roman;serif"/>
                  <w:b w:val="false"/>
                  <w:color w:val="0000FF"/>
                  <w:sz w:val="20"/>
                  <w:u w:val="single"/>
                </w:rPr>
                <w:t>Third Amended and Restated By-laws of TriMas Corporation, incorporated by reference to Exhibit 3.1 to the Company's Current Report on Form 8-K filed on December 18, 2015.</w:t>
              </w:r>
            </w:hyperlink>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31.1</w:t>
            </w:r>
          </w:p>
        </w:tc>
        <w:tc>
          <w:tcPr>
            <w:tcW w:w="97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trs_09302025xexh311.htm">
              <w:r>
                <w:rPr>
                  <w:rStyle w:val="InternetLink"/>
                  <w:rFonts w:ascii="Times New Roman;serif" w:hAnsi="Times New Roman;serif"/>
                  <w:b w:val="false"/>
                  <w:color w:val="0000FF"/>
                  <w:sz w:val="20"/>
                  <w:u w:val="single"/>
                </w:rPr>
                <w:t>Certification pursuant to 18 U.S.C. Section 1350, as adopted pursuant to Section 302 of the Sarbanes</w:t>
                <w:noBreakHyphen/>
                <w:t>Oxley Act of 2002.</w:t>
              </w:r>
            </w:hyperlink>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31.2</w:t>
            </w:r>
          </w:p>
        </w:tc>
        <w:tc>
          <w:tcPr>
            <w:tcW w:w="97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trs_09302025xexh312.htm">
              <w:r>
                <w:rPr>
                  <w:rStyle w:val="InternetLink"/>
                  <w:rFonts w:ascii="Times New Roman;serif" w:hAnsi="Times New Roman;serif"/>
                  <w:b w:val="false"/>
                  <w:color w:val="0000FF"/>
                  <w:sz w:val="20"/>
                  <w:u w:val="single"/>
                </w:rPr>
                <w:t>Certification pursuant to 18 U.S.C. Section 1350, as adopted pursuant to Section 302 of the Sarbanes</w:t>
                <w:noBreakHyphen/>
                <w:t>Oxley Act of 2002.</w:t>
              </w:r>
            </w:hyperlink>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32.1</w:t>
            </w:r>
          </w:p>
        </w:tc>
        <w:tc>
          <w:tcPr>
            <w:tcW w:w="97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trs_09302025xexh321.htm">
              <w:r>
                <w:rPr>
                  <w:rStyle w:val="InternetLink"/>
                  <w:rFonts w:ascii="Times New Roman;serif" w:hAnsi="Times New Roman;serif"/>
                  <w:b w:val="false"/>
                  <w:color w:val="0000FF"/>
                  <w:sz w:val="20"/>
                  <w:u w:val="single"/>
                </w:rPr>
                <w:t>Certification pursuant to 18 U.S.C. Section 1350, as adopted pursuant to Section 906 of the Sarbanes</w:t>
                <w:noBreakHyphen/>
                <w:t>Oxley Act of 2002.</w:t>
              </w:r>
            </w:hyperlink>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32.2</w:t>
            </w:r>
          </w:p>
        </w:tc>
        <w:tc>
          <w:tcPr>
            <w:tcW w:w="97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trs_09302025xexh322.htm">
              <w:r>
                <w:rPr>
                  <w:rStyle w:val="InternetLink"/>
                  <w:rFonts w:ascii="Times New Roman;serif" w:hAnsi="Times New Roman;serif"/>
                  <w:b w:val="false"/>
                  <w:color w:val="0000FF"/>
                  <w:sz w:val="20"/>
                  <w:u w:val="single"/>
                </w:rPr>
                <w:t>Certification pursuant to 18 U.S.C. Section 1350, as adopted pursuant to Section 906 of the Sarbanes</w:t>
                <w:noBreakHyphen/>
                <w:t>Oxley Act of 2002.</w:t>
              </w:r>
            </w:hyperlink>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972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The following materials from TriMas Corporation's Quarterly Report on Form 10-Q for the quarter ended September 30, 2025, formatted in Inline XBRL (eXtensible Business Reporting Language): (i) the Consolidated Balance Sheet, (ii) the Consolidated Statement of Income, (iii) the Consolidated Statement of Comprehensive Income, (iv) the Consolidated Statement of Cash Flows, (v) the Consolidated Statement of Shareholders' Equity, (vi) Notes to Consolidated Financial Statements, and (vii) document and entity information.</w:t>
            </w:r>
          </w:p>
        </w:tc>
      </w:tr>
      <w:tr>
        <w:trPr/>
        <w:tc>
          <w:tcPr>
            <w:tcW w:w="481" w:type="dxa"/>
            <w:gridSpan w:val="3"/>
            <w:tcBorders/>
            <w:vAlign w:val="center"/>
          </w:tcPr>
          <w:p>
            <w:pPr>
              <w:pStyle w:val="TableContents"/>
              <w:bidi w:val="0"/>
              <w:spacing w:before="0" w:after="283"/>
              <w:jc w:val="left"/>
              <w:rPr>
                <w:sz w:val="4"/>
                <w:szCs w:val="4"/>
              </w:rPr>
            </w:pPr>
            <w:r>
              <w:rPr>
                <w:sz w:val="4"/>
                <w:szCs w:val="4"/>
              </w:rPr>
            </w:r>
          </w:p>
        </w:tc>
        <w:tc>
          <w:tcPr>
            <w:tcW w:w="9724" w:type="dxa"/>
            <w:gridSpan w:val="3"/>
            <w:tcBorders/>
            <w:vAlign w:val="center"/>
          </w:tcPr>
          <w:p>
            <w:pPr>
              <w:pStyle w:val="TableContents"/>
              <w:bidi w:val="0"/>
              <w:spacing w:before="0" w:after="283"/>
              <w:jc w:val="left"/>
              <w:rPr>
                <w:sz w:val="4"/>
                <w:szCs w:val="4"/>
              </w:rPr>
            </w:pPr>
            <w:r>
              <w:rPr>
                <w:sz w:val="4"/>
                <w:szCs w:val="4"/>
              </w:rPr>
            </w:r>
          </w:p>
        </w:tc>
      </w:tr>
      <w:tr>
        <w:trPr/>
        <w:tc>
          <w:tcPr>
            <w:tcW w:w="481" w:type="dxa"/>
            <w:gridSpan w:val="3"/>
            <w:tcBorders/>
            <w:vAlign w:val="center"/>
          </w:tcPr>
          <w:p>
            <w:pPr>
              <w:pStyle w:val="TableContents"/>
              <w:bidi w:val="0"/>
              <w:spacing w:before="0" w:after="283"/>
              <w:jc w:val="left"/>
              <w:rPr>
                <w:sz w:val="4"/>
                <w:szCs w:val="4"/>
              </w:rPr>
            </w:pPr>
            <w:r>
              <w:rPr>
                <w:sz w:val="4"/>
                <w:szCs w:val="4"/>
              </w:rPr>
            </w:r>
          </w:p>
        </w:tc>
        <w:tc>
          <w:tcPr>
            <w:tcW w:w="9724" w:type="dxa"/>
            <w:gridSpan w:val="3"/>
            <w:tcBorders/>
            <w:vAlign w:val="center"/>
          </w:tcPr>
          <w:p>
            <w:pPr>
              <w:pStyle w:val="TableContents"/>
              <w:bidi w:val="0"/>
              <w:spacing w:before="0" w:after="283"/>
              <w:jc w:val="left"/>
              <w:rPr>
                <w:sz w:val="4"/>
                <w:szCs w:val="4"/>
              </w:rPr>
            </w:pPr>
            <w:r>
              <w:rPr>
                <w:sz w:val="4"/>
                <w:szCs w:val="4"/>
              </w:rPr>
            </w:r>
          </w:p>
        </w:tc>
      </w:tr>
      <w:tr>
        <w:trPr/>
        <w:tc>
          <w:tcPr>
            <w:tcW w:w="481" w:type="dxa"/>
            <w:gridSpan w:val="3"/>
            <w:tcBorders/>
            <w:vAlign w:val="center"/>
          </w:tcPr>
          <w:p>
            <w:pPr>
              <w:pStyle w:val="TableContents"/>
              <w:bidi w:val="0"/>
              <w:spacing w:before="0" w:after="283"/>
              <w:jc w:val="left"/>
              <w:rPr>
                <w:sz w:val="4"/>
                <w:szCs w:val="4"/>
              </w:rPr>
            </w:pPr>
            <w:r>
              <w:rPr>
                <w:sz w:val="4"/>
                <w:szCs w:val="4"/>
              </w:rPr>
            </w:r>
          </w:p>
        </w:tc>
        <w:tc>
          <w:tcPr>
            <w:tcW w:w="9724" w:type="dxa"/>
            <w:gridSpan w:val="3"/>
            <w:tcBorders/>
            <w:vAlign w:val="center"/>
          </w:tcPr>
          <w:p>
            <w:pPr>
              <w:pStyle w:val="TableContents"/>
              <w:bidi w:val="0"/>
              <w:spacing w:before="0" w:after="283"/>
              <w:jc w:val="left"/>
              <w:rPr>
                <w:sz w:val="4"/>
                <w:szCs w:val="4"/>
              </w:rPr>
            </w:pPr>
            <w:r>
              <w:rPr>
                <w:sz w:val="4"/>
                <w:szCs w:val="4"/>
              </w:rPr>
            </w:r>
          </w:p>
        </w:tc>
      </w:tr>
      <w:tr>
        <w:trPr/>
        <w:tc>
          <w:tcPr>
            <w:tcW w:w="481" w:type="dxa"/>
            <w:gridSpan w:val="3"/>
            <w:tcBorders/>
            <w:vAlign w:val="center"/>
          </w:tcPr>
          <w:p>
            <w:pPr>
              <w:pStyle w:val="TableContents"/>
              <w:bidi w:val="0"/>
              <w:spacing w:before="0" w:after="283"/>
              <w:jc w:val="left"/>
              <w:rPr>
                <w:sz w:val="4"/>
                <w:szCs w:val="4"/>
              </w:rPr>
            </w:pPr>
            <w:r>
              <w:rPr>
                <w:sz w:val="4"/>
                <w:szCs w:val="4"/>
              </w:rPr>
            </w:r>
          </w:p>
        </w:tc>
        <w:tc>
          <w:tcPr>
            <w:tcW w:w="9724" w:type="dxa"/>
            <w:gridSpan w:val="3"/>
            <w:tcBorders/>
            <w:vAlign w:val="center"/>
          </w:tcPr>
          <w:p>
            <w:pPr>
              <w:pStyle w:val="TableContents"/>
              <w:bidi w:val="0"/>
              <w:spacing w:before="0" w:after="283"/>
              <w:jc w:val="left"/>
              <w:rPr>
                <w:sz w:val="4"/>
                <w:szCs w:val="4"/>
              </w:rPr>
            </w:pPr>
            <w:r>
              <w:rPr>
                <w:sz w:val="4"/>
                <w:szCs w:val="4"/>
              </w:rPr>
            </w:r>
          </w:p>
        </w:tc>
      </w:tr>
      <w:tr>
        <w:trPr/>
        <w:tc>
          <w:tcPr>
            <w:tcW w:w="481" w:type="dxa"/>
            <w:gridSpan w:val="3"/>
            <w:tcBorders/>
            <w:vAlign w:val="center"/>
          </w:tcPr>
          <w:p>
            <w:pPr>
              <w:pStyle w:val="TableContents"/>
              <w:bidi w:val="0"/>
              <w:spacing w:before="0" w:after="283"/>
              <w:jc w:val="left"/>
              <w:rPr>
                <w:sz w:val="4"/>
                <w:szCs w:val="4"/>
              </w:rPr>
            </w:pPr>
            <w:r>
              <w:rPr>
                <w:sz w:val="4"/>
                <w:szCs w:val="4"/>
              </w:rPr>
            </w:r>
          </w:p>
        </w:tc>
        <w:tc>
          <w:tcPr>
            <w:tcW w:w="9724" w:type="dxa"/>
            <w:gridSpan w:val="3"/>
            <w:tcBorders/>
            <w:vAlign w:val="center"/>
          </w:tcPr>
          <w:p>
            <w:pPr>
              <w:pStyle w:val="TableContents"/>
              <w:bidi w:val="0"/>
              <w:spacing w:before="0" w:after="283"/>
              <w:jc w:val="left"/>
              <w:rPr>
                <w:sz w:val="4"/>
                <w:szCs w:val="4"/>
              </w:rPr>
            </w:pPr>
            <w:r>
              <w:rPr>
                <w:sz w:val="4"/>
                <w:szCs w:val="4"/>
              </w:rPr>
            </w:r>
          </w:p>
        </w:tc>
      </w:tr>
      <w:tr>
        <w:trPr/>
        <w:tc>
          <w:tcPr>
            <w:tcW w:w="481" w:type="dxa"/>
            <w:gridSpan w:val="3"/>
            <w:tcBorders/>
            <w:vAlign w:val="center"/>
          </w:tcPr>
          <w:p>
            <w:pPr>
              <w:pStyle w:val="TableContents"/>
              <w:bidi w:val="0"/>
              <w:spacing w:before="0" w:after="283"/>
              <w:jc w:val="left"/>
              <w:rPr>
                <w:sz w:val="4"/>
                <w:szCs w:val="4"/>
              </w:rPr>
            </w:pPr>
            <w:r>
              <w:rPr>
                <w:sz w:val="4"/>
                <w:szCs w:val="4"/>
              </w:rPr>
            </w:r>
          </w:p>
        </w:tc>
        <w:tc>
          <w:tcPr>
            <w:tcW w:w="9724" w:type="dxa"/>
            <w:gridSpan w:val="3"/>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97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pStyle w:val="TextBody"/>
        <w:bidi w:val="0"/>
        <w:spacing w:before="0" w:after="0"/>
        <w:jc w:val="left"/>
        <w:rPr/>
      </w:pPr>
      <w:r>
        <w:rPr/>
      </w:r>
    </w:p>
    <w:p>
      <w:pPr>
        <w:pStyle w:val="TextBody"/>
        <w:bidi w:val="0"/>
        <w:spacing w:before="0" w:after="0"/>
        <w:jc w:val="both"/>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lineRule="auto" w:line="288" w:before="0" w:after="0"/>
        <w:jc w:val="left"/>
        <w:rPr/>
      </w:pPr>
      <w:hyperlink w:anchor="ie69bc5e88b0c4f53b7988ab1107efbc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00"/>
        <w:jc w:val="center"/>
        <w:rPr>
          <w:rFonts w:ascii="Times New Roman;serif" w:hAnsi="Times New Roman;serif"/>
          <w:b/>
          <w:color w:val="000000"/>
          <w:sz w:val="20"/>
        </w:rPr>
      </w:pPr>
      <w:r>
        <w:rPr>
          <w:rFonts w:ascii="Times New Roman;serif" w:hAnsi="Times New Roman;serif"/>
          <w:b/>
          <w:color w:val="000000"/>
          <w:sz w:val="20"/>
        </w:rPr>
        <w:t xml:space="preserve">Signatures </w:t>
      </w:r>
    </w:p>
    <w:p>
      <w:pPr>
        <w:pStyle w:val="TextBody"/>
        <w:bidi w:val="0"/>
        <w:spacing w:lineRule="auto" w:line="288" w:before="100" w:after="100"/>
        <w:jc w:val="both"/>
        <w:rPr>
          <w:rFonts w:ascii="Times New Roman;serif" w:hAnsi="Times New Roman;serif"/>
          <w:b w:val="false"/>
          <w:color w:val="000000"/>
          <w:sz w:val="20"/>
        </w:rPr>
      </w:pPr>
      <w:r>
        <w:rPr>
          <w:rFonts w:ascii="Times New Roman;serif" w:hAnsi="Times New Roman;serif"/>
          <w:b w:val="false"/>
          <w:color w:val="000000"/>
          <w:sz w:val="20"/>
        </w:rPr>
        <w:t xml:space="preserve">Pursuant to the requirements of the Securities Exchange Act of 1934, the registrant has duly caused this report to be signed on its behalf by the undersigned thereunto duly authorized. </w:t>
      </w:r>
    </w:p>
    <w:tbl>
      <w:tblPr>
        <w:tblW w:w="6379" w:type="dxa"/>
        <w:jc w:val="left"/>
        <w:tblInd w:w="0" w:type="dxa"/>
        <w:tblLayout w:type="fixed"/>
        <w:tblCellMar>
          <w:top w:w="28" w:type="dxa"/>
          <w:left w:w="28" w:type="dxa"/>
          <w:bottom w:w="28" w:type="dxa"/>
          <w:right w:w="28" w:type="dxa"/>
        </w:tblCellMar>
      </w:tblPr>
      <w:tblGrid>
        <w:gridCol w:w="200"/>
        <w:gridCol w:w="177"/>
        <w:gridCol w:w="178"/>
        <w:gridCol w:w="504"/>
        <w:gridCol w:w="504"/>
        <w:gridCol w:w="506"/>
        <w:gridCol w:w="366"/>
        <w:gridCol w:w="366"/>
        <w:gridCol w:w="366"/>
        <w:gridCol w:w="366"/>
        <w:gridCol w:w="366"/>
        <w:gridCol w:w="366"/>
        <w:gridCol w:w="613"/>
        <w:gridCol w:w="613"/>
        <w:gridCol w:w="888"/>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31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TRIMAS CORPORATION (Registrant)</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TERESA M. FINLEY</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October 28, 2025</w:t>
            </w:r>
          </w:p>
        </w:tc>
        <w:tc>
          <w:tcPr>
            <w:tcW w:w="1098" w:type="dxa"/>
            <w:gridSpan w:val="3"/>
            <w:tcBorders/>
            <w:tcMar>
              <w:top w:w="0" w:type="dxa"/>
              <w:left w:w="0" w:type="dxa"/>
              <w:bottom w:w="0" w:type="dxa"/>
              <w:right w:w="0" w:type="dxa"/>
            </w:tcMar>
            <w:vAlign w:val="center"/>
          </w:tcPr>
          <w:p>
            <w:pPr>
              <w:pStyle w:val="TableContents"/>
              <w:bidi w:val="0"/>
              <w:spacing w:lineRule="auto" w:line="240" w:before="0" w:after="283"/>
              <w:jc w:val="left"/>
              <w:rPr/>
            </w:pPr>
            <w:r>
              <w:rPr>
                <w:rFonts w:ascii="Times New Roman;serif" w:hAnsi="Times New Roman;serif"/>
                <w:b w:val="false"/>
                <w:sz w:val="20"/>
              </w:rPr>
              <w:br/>
            </w:r>
            <w:r>
              <w:rPr>
                <w:rFonts w:ascii="Times New Roman;serif" w:hAnsi="Times New Roman;serif"/>
                <w:b w:val="false"/>
                <w:color w:val="000000"/>
                <w:sz w:val="20"/>
              </w:rPr>
              <w:t>By:</w:t>
            </w:r>
          </w:p>
        </w:tc>
        <w:tc>
          <w:tcPr>
            <w:tcW w:w="1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Teresa M. Finley</w:t>
            </w:r>
          </w:p>
          <w:p>
            <w:pPr>
              <w:pStyle w:val="TableContents"/>
              <w:bidi w:val="0"/>
              <w:spacing w:lineRule="auto" w:line="240" w:before="0" w:after="0"/>
              <w:jc w:val="center"/>
              <w:rPr>
                <w:rFonts w:ascii="Times New Roman;serif" w:hAnsi="Times New Roman;serif"/>
                <w:b w:val="false"/>
                <w:i/>
                <w:color w:val="000000"/>
                <w:sz w:val="20"/>
              </w:rPr>
            </w:pPr>
            <w:r>
              <w:rPr>
                <w:rFonts w:ascii="Times New Roman;serif" w:hAnsi="Times New Roman;serif"/>
                <w:b w:val="false"/>
                <w:i/>
                <w:color w:val="000000"/>
                <w:sz w:val="20"/>
              </w:rPr>
              <w:t>Chief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Exhibit 31.1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302 of The Sarbanes-Oxley Act of 2002</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(Chapter 63, Title 18 U.S.C. Section 1350(A) and (B)) </w:t>
      </w:r>
    </w:p>
    <w:p>
      <w:pPr>
        <w:pStyle w:val="TextBody"/>
        <w:bidi w:val="0"/>
        <w:spacing w:before="0" w:after="0"/>
        <w:jc w:val="center"/>
        <w:rPr/>
      </w:pPr>
      <w:r>
        <w:rPr/>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 Thomas J. Snyder, certify that:</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1.    I have reviewed this Quarterly Report on Form 10-Q of TriMas Corporation;</w:t>
      </w:r>
    </w:p>
    <w:p>
      <w:pPr>
        <w:pStyle w:val="TextBody"/>
        <w:bidi w:val="0"/>
        <w:spacing w:lineRule="auto" w:line="288" w:before="0" w:after="24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24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24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24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Date: October 28, 2025 </w:t>
      </w:r>
    </w:p>
    <w:tbl>
      <w:tblPr>
        <w:tblW w:w="2516" w:type="dxa"/>
        <w:jc w:val="left"/>
        <w:tblInd w:w="0" w:type="dxa"/>
        <w:tblLayout w:type="fixed"/>
        <w:tblCellMar>
          <w:top w:w="28" w:type="dxa"/>
          <w:left w:w="28" w:type="dxa"/>
          <w:bottom w:w="28" w:type="dxa"/>
          <w:right w:w="28" w:type="dxa"/>
        </w:tblCellMar>
      </w:tblPr>
      <w:tblGrid>
        <w:gridCol w:w="124"/>
        <w:gridCol w:w="109"/>
        <w:gridCol w:w="109"/>
        <w:gridCol w:w="635"/>
        <w:gridCol w:w="635"/>
        <w:gridCol w:w="90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THOMAS J. SNYDER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Thomas J. Snyder</w:t>
            </w:r>
          </w:p>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Chief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75260"/>
                <wp:effectExtent l="0" t="0" r="0" b="0"/>
                <wp:wrapNone/>
                <wp:docPr id="50" name="Frame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Exhibit 31.2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302 of The Sarbanes-Oxley Act of 2002</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(Chapter 63, Title 18 U.S.C. Section 1350(A) and (B)) </w:t>
      </w:r>
    </w:p>
    <w:p>
      <w:pPr>
        <w:pStyle w:val="TextBody"/>
        <w:bidi w:val="0"/>
        <w:spacing w:before="0" w:after="0"/>
        <w:jc w:val="center"/>
        <w:rPr/>
      </w:pPr>
      <w:r>
        <w:rPr/>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 Teresa M. Finley, certify that:</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1.    I have reviewed this Quarterly Report on Form 10-Q of TriMas Corporation;</w:t>
      </w:r>
    </w:p>
    <w:p>
      <w:pPr>
        <w:pStyle w:val="TextBody"/>
        <w:bidi w:val="0"/>
        <w:spacing w:lineRule="auto" w:line="288" w:before="0" w:after="24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24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24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24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Date: October 28, 2025 </w:t>
      </w:r>
    </w:p>
    <w:tbl>
      <w:tblPr>
        <w:tblW w:w="2457" w:type="dxa"/>
        <w:jc w:val="left"/>
        <w:tblInd w:w="0" w:type="dxa"/>
        <w:tblLayout w:type="fixed"/>
        <w:tblCellMar>
          <w:top w:w="28" w:type="dxa"/>
          <w:left w:w="28" w:type="dxa"/>
          <w:bottom w:w="28" w:type="dxa"/>
          <w:right w:w="28" w:type="dxa"/>
        </w:tblCellMar>
      </w:tblPr>
      <w:tblGrid>
        <w:gridCol w:w="124"/>
        <w:gridCol w:w="109"/>
        <w:gridCol w:w="109"/>
        <w:gridCol w:w="618"/>
        <w:gridCol w:w="618"/>
        <w:gridCol w:w="87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TERESA M. FINLEY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Teresa M. Finley</w:t>
            </w:r>
          </w:p>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 xml:space="preserve">Chief Financial Officer </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75260"/>
                <wp:effectExtent l="0" t="0" r="0" b="0"/>
                <wp:wrapNone/>
                <wp:docPr id="51" name="Frame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Exhibit 32.1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Section 906 of the Sarbanes-Oxley Act of 2002 </w:t>
      </w:r>
    </w:p>
    <w:p>
      <w:pPr>
        <w:pStyle w:val="TextBody"/>
        <w:bidi w:val="0"/>
        <w:spacing w:before="0" w:after="0"/>
        <w:jc w:val="both"/>
        <w:rPr/>
      </w:pPr>
      <w:r>
        <w:rPr/>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of TriMas Corporation (the “Company”) on Form 10-Q for the period ended September 30, 2025 as filed with the Securities and Exchange Commission on the date hereof (the “Report”), I, Thomas J. Snyder, Chief Executive Officer of the Company, certify, pursuant to 18 U.S.C. § 1350, as adopted pursuant to § 906 of the Sarbanes-Oxley Act of 2002, that to the best of my knowledge:</w:t>
      </w:r>
    </w:p>
    <w:p>
      <w:pPr>
        <w:pStyle w:val="TextBody"/>
        <w:bidi w:val="0"/>
        <w:spacing w:lineRule="auto" w:line="288" w:before="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and</w:t>
      </w:r>
    </w:p>
    <w:p>
      <w:pPr>
        <w:pStyle w:val="TextBody"/>
        <w:bidi w:val="0"/>
        <w:spacing w:lineRule="auto" w:line="288" w:before="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Date: October 28, 2025 </w:t>
      </w:r>
    </w:p>
    <w:tbl>
      <w:tblPr>
        <w:tblW w:w="2516" w:type="dxa"/>
        <w:jc w:val="left"/>
        <w:tblInd w:w="0" w:type="dxa"/>
        <w:tblLayout w:type="fixed"/>
        <w:tblCellMar>
          <w:top w:w="28" w:type="dxa"/>
          <w:left w:w="28" w:type="dxa"/>
          <w:bottom w:w="28" w:type="dxa"/>
          <w:right w:w="28" w:type="dxa"/>
        </w:tblCellMar>
      </w:tblPr>
      <w:tblGrid>
        <w:gridCol w:w="124"/>
        <w:gridCol w:w="109"/>
        <w:gridCol w:w="109"/>
        <w:gridCol w:w="635"/>
        <w:gridCol w:w="635"/>
        <w:gridCol w:w="90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THOMAS J. SNYDER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Thomas J. Snyder</w:t>
            </w:r>
          </w:p>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 xml:space="preserve">Chief Executive Officer </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75260"/>
                <wp:effectExtent l="0" t="0" r="0" b="0"/>
                <wp:wrapNone/>
                <wp:docPr id="52" name="Frame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Exhibit 32.2</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Section 906 of the Sarbanes-Oxley Act of 2002 </w:t>
      </w:r>
    </w:p>
    <w:p>
      <w:pPr>
        <w:pStyle w:val="TextBody"/>
        <w:bidi w:val="0"/>
        <w:spacing w:before="0" w:after="0"/>
        <w:jc w:val="center"/>
        <w:rPr/>
      </w:pPr>
      <w:r>
        <w:rPr/>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of TriMas Corporation (the “Company”) on Form 10-Q for the period ended September 30, 2025 as filed with the Securities and Exchange Commission on the date hereof (the “Report”), I, Teresa M. Finley, Chief Financial Officer of the Company, certify, pursuant to 18 U.S.C. § 1350, as adopted pursuant to § 906 of the Sarbanes-Oxley Act of 2002, that to the best of my knowledge:</w:t>
      </w:r>
    </w:p>
    <w:p>
      <w:pPr>
        <w:pStyle w:val="TextBody"/>
        <w:bidi w:val="0"/>
        <w:spacing w:lineRule="auto" w:line="288" w:before="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and</w:t>
      </w:r>
    </w:p>
    <w:p>
      <w:pPr>
        <w:pStyle w:val="TextBody"/>
        <w:bidi w:val="0"/>
        <w:spacing w:lineRule="auto" w:line="288" w:before="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Date: October 28, 2025 </w:t>
      </w:r>
    </w:p>
    <w:tbl>
      <w:tblPr>
        <w:tblW w:w="2457" w:type="dxa"/>
        <w:jc w:val="left"/>
        <w:tblInd w:w="0" w:type="dxa"/>
        <w:tblLayout w:type="fixed"/>
        <w:tblCellMar>
          <w:top w:w="28" w:type="dxa"/>
          <w:left w:w="28" w:type="dxa"/>
          <w:bottom w:w="28" w:type="dxa"/>
          <w:right w:w="28" w:type="dxa"/>
        </w:tblCellMar>
      </w:tblPr>
      <w:tblGrid>
        <w:gridCol w:w="124"/>
        <w:gridCol w:w="109"/>
        <w:gridCol w:w="109"/>
        <w:gridCol w:w="618"/>
        <w:gridCol w:w="618"/>
        <w:gridCol w:w="87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TERESA M. FINLEY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Teresa M. Finley</w:t>
            </w:r>
          </w:p>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Chief Financial Officer</w:t>
            </w:r>
          </w:p>
        </w:tc>
      </w:tr>
    </w:tbl>
    <w:p>
      <w:pPr>
        <w:pStyle w:val="TextBody"/>
        <w:bidi w:val="0"/>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75260"/>
                <wp:effectExtent l="0" t="0" r="0" b="0"/>
                <wp:wrapNone/>
                <wp:docPr id="53" name="Frame5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842633/000110465907058776/a07-19157_1ex3d1.htm" TargetMode="External"/><Relationship Id="rId3" Type="http://schemas.openxmlformats.org/officeDocument/2006/relationships/hyperlink" Target="https://www.sec.gov/Archives/edgar/data/842633/000084263315000161/thirdamendedandrestatedbyl.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24435</Words>
  <Characters>136213</Characters>
  <CharactersWithSpaces>159190</CharactersWithSpaces>
  <Paragraphs>3253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