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tabs>
          <w:tab w:leader="none" w:pos="670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38-2687639</w:t>
            </w:r>
          </w:p>
        </w:tc>
      </w:tr>
      <w:tr>
        <w:trPr>
          <w:trHeight w:val="180"/>
        </w:trPr>
        <w:tc>
          <w:tcPr>
            <w:tcW w:w="2720" w:type="dxa"/>
            <w:vAlign w:val="bottom"/>
          </w:tcPr>
          <w:p>
            <w:pPr>
              <w:jc w:val="center"/>
              <w:ind w:right="4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90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jc w:val="both"/>
        <w:ind w:right="1880"/>
        <w:spacing w:after="0" w:line="3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July 23, 2024, the number of outstanding shares of the Registrant's common stock, $0.01 par value, was 40,647,264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1"/>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4540" w:type="dxa"/>
            <w:vAlign w:val="bottom"/>
            <w:gridSpan w:val="11"/>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 as of June 30, 2024 and December 31, 2023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Income for the Three and Six Months Ended June 30, 2024</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and Six Months Ended</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June 30, 2024 and 2023</w:t>
            </w:r>
          </w:p>
        </w:tc>
        <w:tc>
          <w:tcPr>
            <w:tcW w:w="462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Six Months Ended June 30, 2024 and 2023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 of Shareholders' Equity for the Six Months Ended June 30, 2024</w:t>
            </w:r>
          </w:p>
        </w:tc>
        <w:tc>
          <w:tcPr>
            <w:tcW w:w="220" w:type="dxa"/>
            <w:vAlign w:val="bottom"/>
          </w:tcPr>
          <w:p>
            <w:pPr>
              <w:spacing w:after="0"/>
              <w:rPr>
                <w:sz w:val="24"/>
                <w:szCs w:val="24"/>
                <w:color w:val="auto"/>
              </w:rPr>
            </w:pP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00" w:type="dxa"/>
            <w:vAlign w:val="bottom"/>
            <w:gridSpan w:val="8"/>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6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our ability to successfully complete the sale of our Arrow Engine business; and other risks that are discussed in Part I, Item 1A, "Risk Factors," in our Annual Report on Form 10-K for the year ended December 31, 2023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year ended December 31, 2023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176"/>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$5.0 million and $4.2 million as of June 30, 2024 and December 31,</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658,710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40,656,370 shares at June 30, 2024 and 41,202,110 shares at December 31, 2023</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677,660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448,650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(346,430)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41,462,452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40,858,668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41,503,039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40,999,038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41,645,184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41,160,526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41,723,611</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(8,950)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(7,790)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dispositions of assets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prepaid expenses and other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 of foreign currency exchange forward contract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property and equipment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for the period</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8,120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20" w:type="dxa"/>
            <w:vAlign w:val="bottom"/>
          </w:tcPr>
          <w:p>
            <w:pPr>
              <w:spacing w:after="0"/>
              <w:rPr>
                <w:sz w:val="14"/>
                <w:szCs w:val="14"/>
                <w:color w:val="auto"/>
              </w:rPr>
            </w:pPr>
          </w:p>
        </w:tc>
        <w:tc>
          <w:tcPr>
            <w:tcW w:w="11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Pr>
          <w:p>
            <w:pPr>
              <w:spacing w:after="0"/>
              <w:rPr>
                <w:sz w:val="18"/>
                <w:szCs w:val="18"/>
                <w:color w:val="auto"/>
              </w:rPr>
            </w:pP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175"/>
        </w:trPr>
        <w:tc>
          <w:tcPr>
            <w:tcW w:w="4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March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667,430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673,220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665,790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675,930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4"/>
                <w:szCs w:val="14"/>
                <w:color w:val="auto"/>
              </w:rPr>
            </w:pPr>
          </w:p>
        </w:tc>
        <w:tc>
          <w:tcPr>
            <w:tcW w:w="11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20" w:type="dxa"/>
            <w:vAlign w:val="bottom"/>
          </w:tcPr>
          <w:p>
            <w:pPr>
              <w:spacing w:after="0"/>
              <w:rPr>
                <w:sz w:val="18"/>
                <w:szCs w:val="18"/>
                <w:color w:val="auto"/>
              </w:rPr>
            </w:pP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2022</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184"/>
        </w:trPr>
        <w:tc>
          <w:tcPr>
            <w:tcW w:w="43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March 31, 2023</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648,760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184"/>
        </w:trPr>
        <w:tc>
          <w:tcPr>
            <w:tcW w:w="43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180" w:type="dxa"/>
            <w:vAlign w:val="bottom"/>
          </w:tcPr>
          <w:p>
            <w:pPr>
              <w:spacing w:after="0"/>
              <w:rPr>
                <w:sz w:val="20"/>
                <w:szCs w:val="20"/>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2023</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683,330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2023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is in the process of assessing the impact of adoption on its consolidated financial statements.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disclosure of significant segment expenses and other segment items by reportable segment on an annual and interim basis, the title and position of chief operating decision maker ("CODM") and how the CODM uses reported measures in assessing segment performance, and also extends the requirement of annual disclosures currently required by Topic 280 to interim periods. ASU 2023-07 is effective for fiscal years beginning after December 15, 2023, and interim periods within fiscal years beginning after December 15, 2024, with early adoption permitted. The Company is in the process of assessing the impact of adoption on its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76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191,510</w:t>
            </w: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109,790</w:t>
            </w:r>
          </w:p>
        </w:tc>
      </w:tr>
      <w:tr>
        <w:trPr>
          <w:trHeight w:val="23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147,350</w:t>
            </w:r>
          </w:p>
        </w:tc>
      </w:tr>
      <w:tr>
        <w:trPr>
          <w:trHeight w:val="223"/>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448,650</w:t>
            </w:r>
          </w:p>
        </w:tc>
      </w:tr>
      <w:tr>
        <w:trPr>
          <w:trHeight w:val="21"/>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Realignment Actions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2023, the Company incurred realignment charges in its Packaging segment, primarily related to the closure and consolidation of two manufacturing facilities located in China into one new, larger facility in the Haining region. In connection with these actions, the Company recorded pre-tax realignment charges of $3.7 million during the three and six months ended June 30, 2023, of which $2.2 million related to charges to accelerate the depreciation of certain fixed assets, $1.3 million related to employee separation costs and $0.2 million related to other facility move and consolidation costs. For the three and six months ended June 30, 2023, $3.3 million and $0.4 million of these charges were included in cost of sales and selling, general and administrative expenses, respectively, in the accompanying consolidated statement of income.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2023, the Company acquired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 million of contingent consideration liability, with such estimate representing the Company's best estimate of fair value of contingent consideration based on Level 3 inputs under the fair value hierarchy, as defined. Located in El Cajon, California, and reported in the Company's Aerospace segment, Weldmac is a designer and manufacturer of complex metal fabricated components and assemblies predominantly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The remaining possible contingent consideration ranges from zero to $4.5 million, based on achievement of 2023 earnings targets, as defined in the purchase agreement. The Company expects to resolve the remaining contingent consideration matter in third quarter 2024.</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six months ended June 30, 2024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360,370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431,280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24"/>
                <w:szCs w:val="24"/>
                <w:color w:val="auto"/>
              </w:rPr>
            </w:pPr>
          </w:p>
        </w:tc>
        <w:tc>
          <w:tcPr>
            <w:tcW w:w="1620" w:type="dxa"/>
            <w:vAlign w:val="bottom"/>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502,090</w:t>
            </w:r>
          </w:p>
        </w:tc>
      </w:tr>
      <w:tr>
        <w:trPr>
          <w:trHeight w:val="223"/>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634,160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304,170</w:t>
            </w: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840" w:type="dxa"/>
            <w:vAlign w:val="bottom"/>
            <w:gridSpan w:val="6"/>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expense, included in selling, general and</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49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395,660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and Euro borrowings to the Euro InterBank Offered Rate, both plus a spread of 1.625%, and U.S. dollar borrowings subject to the Secured Overnight Financing Rate plus a spread of 1.725%. The interest rate spread is based upon the leverage ratio, as defined, as of the most recent determination date. The Company's revolving credit facility allows for the issuance of letters of credit, not to exceed $40.0 million in aggregate.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the Company had $31.2 million outstanding under its revolving credit facility and had $262.8 million potentially available after giving effect to $6.0 million of letters of credit issued and outstanding. At December 31, 2023, the Company had no amounts outstanding under its revolving credit facility and had $294.0 million potentially available after giving effect to $6.0 million of letters of credit issued and outstanding. After consideration of leverage restrictions contained in the Credit Agreement, as of June 30, 2024 and December 31, 2023, the Company had $197.5 million and $256.9 million, respectively, of borrowing capacity available for general corporate purposes.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2024, the Company was in compliance with its financial covenants contained in the Credit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460" w:type="dxa"/>
            <w:vAlign w:val="bottom"/>
          </w:tcPr>
          <w:p>
            <w:pPr>
              <w:spacing w:after="0"/>
              <w:rPr>
                <w:sz w:val="18"/>
                <w:szCs w:val="18"/>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364,000</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six months ended June 30, 2024.</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0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80" w:type="dxa"/>
            <w:vAlign w:val="bottom"/>
          </w:tcPr>
          <w:p>
            <w:pPr>
              <w:spacing w:after="0"/>
              <w:rPr>
                <w:sz w:val="18"/>
                <w:szCs w:val="18"/>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3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June 30, 2024 and December 31, 2023, and the amounts reclassified from AOCI into earnings for the six months ended June 30, 2024 and 2023 (dollars in thousands):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left="38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Derivatives</w:t>
      </w:r>
    </w:p>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8890</wp:posOffset>
            </wp:positionV>
            <wp:extent cx="1748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48" w:lineRule="exact"/>
        <w:rPr>
          <w:sz w:val="20"/>
          <w:szCs w:val="20"/>
          <w:color w:val="auto"/>
        </w:rPr>
      </w:pPr>
    </w:p>
    <w:tbl>
      <w:tblPr>
        <w:tblLayout w:type="fixed"/>
        <w:tblInd w:w="256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c>
          <w:tcPr>
            <w:tcW w:w="1380" w:type="dxa"/>
            <w:vAlign w:val="bottom"/>
            <w:vMerge w:val="continue"/>
          </w:tcPr>
          <w:p>
            <w:pPr>
              <w:spacing w:after="0"/>
              <w:rPr>
                <w:sz w:val="14"/>
                <w:szCs w:val="14"/>
                <w:color w:val="auto"/>
              </w:rPr>
            </w:pPr>
          </w:p>
        </w:tc>
        <w:tc>
          <w:tcPr>
            <w:tcW w:w="2000" w:type="dxa"/>
            <w:vAlign w:val="bottom"/>
          </w:tcPr>
          <w:p>
            <w:pPr>
              <w:jc w:val="center"/>
              <w:ind w:left="99"/>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w:t>
            </w:r>
          </w:p>
        </w:tc>
        <w:tc>
          <w:tcPr>
            <w:tcW w:w="0" w:type="dxa"/>
            <w:vAlign w:val="bottom"/>
          </w:tcPr>
          <w:p>
            <w:pPr>
              <w:spacing w:after="0"/>
              <w:rPr>
                <w:sz w:val="1"/>
                <w:szCs w:val="1"/>
                <w:color w:val="auto"/>
              </w:rPr>
            </w:pPr>
          </w:p>
        </w:tc>
      </w:tr>
      <w:tr>
        <w:trPr>
          <w:trHeight w:val="162"/>
        </w:trPr>
        <w:tc>
          <w:tcPr>
            <w:tcW w:w="1200" w:type="dxa"/>
            <w:vAlign w:val="bottom"/>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into Earnings (Effective</w:t>
            </w:r>
          </w:p>
        </w:tc>
        <w:tc>
          <w:tcPr>
            <w:tcW w:w="0" w:type="dxa"/>
            <w:vAlign w:val="bottom"/>
          </w:tcPr>
          <w:p>
            <w:pPr>
              <w:spacing w:after="0"/>
              <w:rPr>
                <w:sz w:val="1"/>
                <w:szCs w:val="1"/>
                <w:color w:val="auto"/>
              </w:rPr>
            </w:pPr>
          </w:p>
        </w:tc>
      </w:tr>
      <w:tr>
        <w:trPr>
          <w:trHeight w:val="212"/>
        </w:trPr>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p>
      <w:pPr>
        <w:jc w:val="center"/>
        <w:spacing w:after="0"/>
        <w:rPr>
          <w:sz w:val="20"/>
          <w:szCs w:val="20"/>
          <w:color w:val="auto"/>
        </w:rPr>
      </w:pPr>
      <w:r>
        <w:rPr>
          <w:rFonts w:ascii="Times New Roman" w:cs="Times New Roman" w:eastAsia="Times New Roman" w:hAnsi="Times New Roman"/>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2477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40" w:type="dxa"/>
            <w:vAlign w:val="bottom"/>
          </w:tcPr>
          <w:p>
            <w:pPr>
              <w:spacing w:after="0"/>
              <w:rPr>
                <w:sz w:val="18"/>
                <w:szCs w:val="18"/>
                <w:color w:val="auto"/>
              </w:rPr>
            </w:pPr>
          </w:p>
        </w:tc>
        <w:tc>
          <w:tcPr>
            <w:tcW w:w="136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8"/>
                <w:szCs w:val="18"/>
                <w:color w:val="auto"/>
              </w:rPr>
            </w:pPr>
          </w:p>
        </w:tc>
        <w:tc>
          <w:tcPr>
            <w:tcW w:w="126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8"/>
        </w:trPr>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2">
            <w:col w:w="7140" w:space="200"/>
            <w:col w:w="3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184"/>
        </w:trPr>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13,260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the Company was party to foreign currency exchange forward contracts to economically hedge changes in foreign currency rates with notional amounts of $139.5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September 2024.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3"/>
                <w:szCs w:val="13"/>
                <w:color w:val="auto"/>
              </w:rPr>
            </w:pPr>
          </w:p>
        </w:tc>
        <w:tc>
          <w:tcPr>
            <w:tcW w:w="1900" w:type="dxa"/>
            <w:vAlign w:val="bottom"/>
            <w:gridSpan w:val="4"/>
          </w:tcPr>
          <w:p>
            <w:pPr>
              <w:jc w:val="center"/>
              <w:ind w:right="153"/>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38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 (Loss) Recognized in Earnings on</w:t>
            </w:r>
          </w:p>
        </w:tc>
        <w:tc>
          <w:tcPr>
            <w:tcW w:w="220" w:type="dxa"/>
            <w:vAlign w:val="bottom"/>
          </w:tcPr>
          <w:p>
            <w:pPr>
              <w:spacing w:after="0"/>
              <w:rPr>
                <w:sz w:val="12"/>
                <w:szCs w:val="12"/>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0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3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3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2024 and December 31, 2023 are shown below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6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$0.3 million and $0.2 million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20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Operating lease cost</w:t>
            </w:r>
          </w:p>
        </w:tc>
        <w:tc>
          <w:tcPr>
            <w:tcW w:w="30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Short-term, variable and other lease</w:t>
            </w:r>
          </w:p>
        </w:tc>
        <w:tc>
          <w:tcPr>
            <w:tcW w:w="3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9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12,830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47,660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(5,610)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42,050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7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5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June 30, 2024 is 6.1 years and 3.1 years, respectively. The weighted-average discount rate for the operating leases and finance leases as of June 30, 2024 is 4.1% and 2.6%,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Company was a party to 474 pending cases involving an aggregate of 4,892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Six Months Ended June 30, 2024</w:t>
      </w:r>
    </w:p>
    <w:p>
      <w:pPr>
        <w:spacing w:after="0" w:line="10" w:lineRule="exact"/>
        <w:rPr>
          <w:sz w:val="20"/>
          <w:szCs w:val="20"/>
          <w:color w:val="auto"/>
        </w:rPr>
      </w:pPr>
    </w:p>
    <w:p>
      <w:pPr>
        <w:ind w:left="60" w:right="580"/>
        <w:spacing w:after="0" w:line="263" w:lineRule="auto"/>
        <w:rPr>
          <w:sz w:val="20"/>
          <w:szCs w:val="20"/>
          <w:color w:val="auto"/>
        </w:rPr>
      </w:pPr>
      <w:r>
        <w:rPr>
          <w:rFonts w:ascii="Times New Roman" w:cs="Times New Roman" w:eastAsia="Times New Roman" w:hAnsi="Times New Roman"/>
          <w:sz w:val="17"/>
          <w:szCs w:val="17"/>
          <w:color w:val="auto"/>
        </w:rPr>
        <w:t>Fiscal Year Ended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400"/>
        </w:trPr>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14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4,892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886,000</w:t>
            </w:r>
          </w:p>
        </w:tc>
        <w:tc>
          <w:tcPr>
            <w:tcW w:w="0" w:type="dxa"/>
            <w:vAlign w:val="bottom"/>
          </w:tcPr>
          <w:p>
            <w:pPr>
              <w:spacing w:after="0"/>
              <w:rPr>
                <w:sz w:val="1"/>
                <w:szCs w:val="1"/>
                <w:color w:val="auto"/>
              </w:rPr>
            </w:pPr>
          </w:p>
        </w:tc>
      </w:tr>
      <w:tr>
        <w:trPr>
          <w:trHeight w:val="418"/>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-530860</wp:posOffset>
            </wp:positionV>
            <wp:extent cx="709803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26606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2040" w:space="200"/>
            <w:col w:w="9000"/>
          </w:cols>
          <w:pgMar w:left="320" w:top="121" w:right="339" w:bottom="1440" w:gutter="0" w:footer="0" w:header="0"/>
          <w:type w:val="continuous"/>
        </w:sectPr>
      </w:pPr>
    </w:p>
    <w:p>
      <w:pPr>
        <w:spacing w:after="0" w:line="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4,892 claims pending at June 30, 2024, 36 set forth specific amounts of damages (other than those stating the statutory minimum or maximum). At June 30, 2024, of the 36 claims that set forth specific amounts, there were no claims seeking more than $5 million for punitive damages. Below is a breakdown of the compensatory damages sought for those claims seeking specific amounts: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32</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$13.5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fourth quarter of 2022, the Company commissioned its actuary to update the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increased the liability estimate to $29.6 million, at the low-end of the range. As of June 30, 2024 and December 31, 2023, the Company’s total asbestos-related liability was $25.2 million and $26.6 million, respectively, and is included in accrued liabilities and other long-term liabilities, respectively, in the accompanying consolidated balance sheet.</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Affaba &amp; Ferrari, Taplast, Rapak, Plastic Srl, Aarts Packaging, Intertech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Omega brands. TriMas Packaging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 Allfast Fastening Systems, Mac Fasteners, TFI Aerospace,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RSA Engineered Products, Martinic Engineering and Weldmac Manufacturing Company brands, develops, qualifies and manufactures highly-engineered, precision fasteners, tubular products and assemblies for fluid conveyance, and machined products and assemblies to serve the aerospace and defense market.</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and Arrow 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for use within industrial and aerospace markets, natural gas-fired engines for remote power generation applications and compression systems for use within the North American industrial oil and gas and power generation end-markets.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448,650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Operating Profit (Loss) and Income Before Income Tax</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Aerospace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profit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8" w:lineRule="exact"/>
        <w:rPr>
          <w:sz w:val="20"/>
          <w:szCs w:val="20"/>
          <w:color w:val="auto"/>
        </w:rPr>
      </w:pPr>
    </w:p>
    <w:p>
      <w:pPr>
        <w:ind w:left="340" w:hanging="332"/>
        <w:spacing w:after="0" w:line="221" w:lineRule="auto"/>
        <w:tabs>
          <w:tab w:leader="none" w:pos="29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consists of the corporate office and related corporate activities. Corporate expenses primarily include compensation, benefits, professional services, information technology and other administrative costs. Corporate expenses reconcile reportable segment information to the consolidated totals.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six months ended June 30, 2024:</w:t>
      </w:r>
    </w:p>
    <w:p>
      <w:pPr>
        <w:spacing w:after="0" w:line="15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281,405 RSUs to certain employees, which are subject only to a service condition and vest ratably over three years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32,544 RSUs to its non-employee independent directors, which fully vest one year from date of grant so long as the director and/or Company does not terminate the director's service prior to the vesting date;</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55 RSUs to certain employees related to dividend equivalent rights on existing equity awards;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2,267 RSUs related to director fee deferrals as certain of the Company's directors elected to defer all or a portion of their director fees and to receive the amount in Company common stock at a future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also awarded 109,640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2024 and ending December 31, 2026.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4.50% and annualized volatility of 31.4%. Depending on the performance achieved for these two metrics, the amount of shares earned, if any, can vary for each metric from 0% of the target award to a maximum of 250% of the target.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June 30, 2024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850,882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21,748,544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there was $8.0 million of unrecognized compensation cost related to unvested RSUs that is expected to be recorded over a weighted average period of 2.2 years.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RSUs granted to employees who are eligible for retirement on the date of the grant are expensed immediately, and RSUs granted to employees who will become retirement-eligible prior to the end of the vesting term are expensed over the period through which the employee will become retirement-eligible since these awards vest upon retirement from the Company. Compensation expense for RSUs granted to employees who will not become retirement-eligible prior to the end of the vesting term is recognized on a straight-line basis over the vesting period. The Company recognized stock-based compensation expense related to RSUs of $1.9 million and $3.2 million during the three months ended June 30, 2024 and 2023, respectively, and $6.4 million and $6.2 million during the six months ended June 30, 2024 and 2023, respectively. The stock-based compensation expense is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on common stock for the three and six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40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300" w:type="dxa"/>
            <w:vAlign w:val="bottom"/>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4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40,699,287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41,462,452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40,858,668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41,503,039</w:t>
            </w: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299,751</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301,858</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40,999,038</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41,645,184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41,160,526</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41,723,611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In the three and six months ended June 30, 2024, the Company purchased 131,900 and 671,937 shares of its outstanding common stock for $3.5 million and $16.9 million, respectively. During the three and six months ended June 30, 2023, the Company purchased 101,020 and 451,882 shares of its outstanding common stock for $2.7 million and $13.1 million, respectively. As of June 30, 2024, the Company had $70.1 million remaining under the repurchase authorization.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and six months ended June 30, 2024, the Company's cash dividends declared were $0.04 per share of common stock and total dividends declared and paid on common shares were $1.7 million and $3.3 million, respectively. In the three and six months ended June 30, 2023, the Company's cash dividends declared were $0.04 per share of common stock and total dividends declared and paid on common shares were $1.7 million and $3.3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Benefit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(income)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and curtailment losses</w:t>
            </w:r>
          </w:p>
        </w:tc>
        <w:tc>
          <w:tcPr>
            <w:tcW w:w="10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recognized a one-time, pre-tax settlement charge of $1.0 million related to the purchase of an annuity contract to transfer the Company's Canadian defined benefit obligations to an insurance company.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$0.3 million and $0.5 million to its defined benefit pension plans during the three and six months ended June 30, 2024, respectively. The Company expects to contribute $1.2 million to its defined benefit pension plans for the full year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six months ended June 30, 2024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$0.4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six months ended June 30, 2023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$0.9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92"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$0.3 million. See Note 17,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2024 and 2023 was 13.7% and 32.2%, respectively. The Company recorded income tax expense of $1.7 million and $5.2 million for the three months ended June 30, 2024 and 2023, respectively. The effective tax rate for the three months ended June 30, 2024 was lower than in the prior year period primarily due to the recognition of approximately $1.4 million of tax benefit related to foreign tax loss carryforwards and a decrease in losses in jurisdictions where no tax benefit could be recorded.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2024 and 2023 was 19.0% and 29.1%, respectively. The Company recorded income tax expense of $3.8 million and $6.5 million for the six months ended June 30, 2024 and 2023, respectively. The effective tax rate for the six months ended June 30, 2024 was lower than in the prior year period primarily due to the recognition of approximately $1.4 million of tax benefit related to foreign tax loss carryforwards and a decrease in losses in jurisdictions where no tax benefit could be recorded.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23, 2024, the Company announced that its Board of Directors had declared a cash dividend of $0.04 per share of TriMas Corporation common stock, which will be payable on August 13, 2024 to shareholders of record as of the close of business on August 6,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first by the onset and proliferation of the coronavirus pandemic ("pandemic"), then further from increased energy costs and supply chain disruptions from the Russia-Ukraine conflict, and more recently by cost inflation (raw materials, wage rates and freight) and a lack of material and in certain regions skilled labor availability.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beginning mid-2022 and continuing through most of 2023, as a result of some of our larger customers' choices to rebalance on-hand inventory levels and caution in purchasing behaviors given the current inflationary macro-economic environment. Sales of certain of our aerospace-related products were significantly depressed from historical levels following the onset of the pandemic, but demand has significantly increased in recent quarters as air travel has picked-up and new aircraft build rates improve. Certain of our products for industrial applications, for example steel cylinders for packaged gas applications, and engines and compressors for oil &amp; gas extraction, have experienced volatility in demand related to a number of channel and economic factors in more recent periods. Altogether, this significant level of volatility in demand levels, input and transportation costs, and material and labor availability, have pressured our ability to operate efficiently in recent periods. While some areas of demand volatility remain, such as in our Specialty Products segment, we are beginning to see more steady and consistent demand in our Packaging and Aerospace end markets.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our second quarter 2024 net sales increased $7.3 million, or 3.1%, compared to second quarter 2023. We experienced organic growth of 13.0% and 27.6% within our Packaging and Aerospace segments, respectively, as well as growth from acquisitions of 2.4% within our Aerospace segment for our second quarter 2024 compared to second quarter 2023. These increases were partially offset by significant decreases in demand in our Specialty Products segment, resulting in 45.0% lower sales in our Specialty Products segment as compared to the prior year quarter.</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second quarter 2024 compared with second quarter 2023, other than as directly impacted by sales changes, were the impact of our recent acquisitions and increased input costs, including expedited freight within our Packaging segment, improved material availability within our Aerospace segment, and a decrease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we acquired Weldmac Manufacturing Company ("Weldmac"), a designer and manufacturer of complex metal fabricated components and assemblies predominantly for the aerospace, defense and space launch end markets for a purchase price of $34.0 million, with additional consideration of $5.5 million paid in July 2023 and remaining contingent consideration ranging from zero to $4.5 million based on achievement of 2023 earnings targets, as defined in the purchase agreement. We expect to resolve the remaining contingent consideration matter in third quarter 2024. Weldmac, which is reported in our Aerospace segment, is located in El Cajon, California. Weldmac contributed $1.4 million of acquisition-related net sales growth during second quarter 2024.</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first quarter 2024, one of our customers in our Packaging segment abruptly increased their orders, requiring us to incur certain incremental input costs to timely fulfill certain of the customer's orders, for which some of these costs carried into second quarter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second quarter 2024 was 13.7% as compared to 32.2% for second quarter 2023. The effective tax rate for second quarter 2024 was lower than in the prior year primarily due to the recognition of approximately $1.4 million of tax benefit related to foreign tax loss carryforwards and a decrease in losses in jurisdictions where no tax benefit could be recorded.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superalloys (such as titanium, A286 stainless steel and Inconel) and other oil and metal-based purchased components, the costs for each of which are subject to volatility. There has also been some volatility over the past two years as a direct and indirect result of foreign trade policy, where tariffs on certain of our commodity-based products sourced from Asia have been instituted, the conflict in Eastern Europe, creating certain input material shortages, and labor shortages at certain of our raw material suppliers. We will continue to take actions to mitigate such increases, including implementing commercial pricing adjustments, holding extra inventories and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or natural gas often is a precursor to rising input polymeric raw material costs, for which we may experience a contractual commercial recovery lag. Separately, our Arrow Engine business in our Specialty Products segment is sensitive to the demand for natural gas and crude oil predominantly in the United States. For example, demand for engine, pump jack and compressor products are impacted by active oil and gas rig counts and wellhead investment activities.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second quarter 2024, we purchased 131,900 shares of our outstanding common stock for an aggregate purchase price of $3.5 million. As of June 30, 2024, we had $70.1 million remaining under the repurchase authorization.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second quarter 2024,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June 30, 2024 and 2023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three months ended June 30, 2024 as compared to the three months ended June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Second Quarter 2024 vs. Second Quarter 2023</w:t>
            </w:r>
          </w:p>
        </w:tc>
        <w:tc>
          <w:tcPr>
            <w:tcW w:w="160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six months ended June 30, 2024 and 2023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448,650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six months ended June 30, 2024 as compared to the six months ended June 30,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6880" w:type="dxa"/>
            <w:vAlign w:val="bottom"/>
            <w:tcBorders>
              <w:bottom w:val="single" w:sz="8" w:color="auto"/>
            </w:tcBorders>
            <w:gridSpan w:val="7"/>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Year to Date Second Quarter 2024 vs. Year to Date Second Quarter 2023</w:t>
            </w:r>
          </w:p>
        </w:tc>
      </w:tr>
      <w:tr>
        <w:trPr>
          <w:trHeight w:val="211"/>
        </w:trPr>
        <w:tc>
          <w:tcPr>
            <w:tcW w:w="436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June 30, 2024, compared with the three months ended June 30, 2023, were:</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and Aerospace segments;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 decrease in our Specialty Products segment;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material availability and resulting production efficiencies in our Aerospace segment;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effective tax rate in second quarter 2024 compared with second quarter 2023;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acquisitions, primarily Weldmac.</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with Three Months Ended June 30,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net sales increased $7.3 million, or 3.1%, to $240.5 million for the three months ended June 30, 2024, as compared with $233.2 million in the three months ended June 30, 2023. Acquisition-related sales growth was $1.4 million from our April 2023 acquisition of Weldmac. Organic sales, excluding the impact of currency exchange and acquisitions, increased $6.5 million, or 2.8%, as organic sales increases of 13.0% and 27.6% within our Packaging and Aerospace segments, respectively, were partially offset by a 45.0% sales decrease in our Specialty Products segment. In addition, net sales decreased by $0.6 million due to currency exchange, as our reported results in U.S. dollars were unfavorably impacted as a result of the strengthening of the U.S. dollar relative to foreign currencies.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22.5% and 23.4% for the three months ended June 30, 2024 and 2023, respectively. Gross profit margin decreased primarily due to lower sales compared to second quarter of 2023 and related less favorable leveraging of fixed costs within our Specialty Products segment and increased input costs, including expedited freight, in our Packaging segment. In addition, the prior year quarter benefited from a successful $2.6 million commercial settlement in our Packaging segment. These decreases were partially offset by higher sales levels and the impact of purchase accounting inventory step-up amortization in the second quarter of 2023 that did not repeat within our Packaging and Aerospace segments. Additionally, gross profit increased due to improved fixed cost absorption, reduced material availability constraints, and a more favorable product sales mix within our Aerospace segment. Gross profit further increased due to the impact of structural cost reduction efforts as well as the impact of realignment costs in the second quarter of 2023 that did not repeat within our Packaging segment.</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7.4% and 8.6% for the three months ended June 30, 2024 and 2023, respectively. Operating profit decreased $2.2 million to $17.9 million in the three months ended June 30, 2024, from $20.1 million for the three months ended June 30, 2023, primarily due to lower sales levels and less favorable leveraging of fixed costs within our Specialty Products segment. Additionally, operating profit decreased due predominantly to increased input costs, including expedited freight, production inefficiencies, as well as the year-over-year impact of a successful $2.6 million commercial settlement in the second quarter of 2023 in our Packaging segment which did not repeat, and higher technology costs in preparation for upgrades in certain of our information technology applications. The decreases were partially offset by higher sales levels and the impact of purchase accounting inventory step-up amortization in the second quarter of 2023 that did not repeat within our Packaging and Aerospace segments. Operating profit also increased due to improved fixed cost absorption, reduced material availability constraints and a more favorable product sales mix within our Aerospace segment. Operating profit further increased due to the impact of realignment costs in the second quarter of 2023 that did not repeat and the favorable impact of structural cost reduction efforts within our Packaging segment.</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$1.3 million, to $5.2 million for the three months ended June 30, 2024, compared to $4.0 million for the three months ended June 30, 2023, due to an increase in our weighted average borrowings and a higher effective interest rate as a result of increased borrowings from our revolving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decreased $0.1 million to $0.1 million of income for the three months ended June 30, 2024, as compared to $0.2 million for the three months ended June 30, 2023, primarily due to a decrease in foreign currency transaction gains, partially offset by a non-cash settlement charge for our Canadian defined benefit obligations and miscellaneous other income in second quarter of 2023 that did not repeat.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2024 and 2023 was 13.7% and 32.2%, respectively. We recorded income tax expense of $1.7 million and $5.2 million for the three months ended June 30, 2024 and 2023, respectively. The effective tax rate for the three months ended June 30, 2024 was lower than in the prior year primarily due to the recognition of approximately $1.4 million of tax benefit related to foreign tax loss carryforwards and a decrease in losses in jurisdictions where we do not recognize a tax benefit.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decreased $0.1 million, to $10.9 million for the three months ended June 30, 2024, as compared to $11.0 million for the three months ended June 30, 2023. The decrease was primarily the result of a decrease in operating profit of $2.2 million, an increase in interest expense of $1.3 million, and a decrease in other income of $0.1 million, partially offset by a decrease in income tax expense of $3.5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$14.6 million, or 12.5% (of which 13.0% was organic and (0.5)% was foreign currency exchange), to $131.9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2024, as compared to $117.3 million in the three months ended June 30, 2023. Sales of dispensing products used primarily for personal care and home care applications increased by $9.6 million. Sales of products used for Packaging's industrial applications increased by $3.9 million. These increases were partially offset by a decrease, as compared to prior year quarter, in sales of products used in food and beverage applications, primarily due to reduced demand for dairy applications in North America and certain closure applications in Europe as a large customer begins to cut over to a new product design from our Packaging group. Net sales decreased by $0.6 million due to currency exchange, as our reported results in U.S. dollars were unfavorably impacted as a result of the strengthening of the U.S. dollar relative to foreign currencies, as compared to second quarter 2023.</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increased $3.0 million to $32.1 million, or 24.3% of sales, in the three months ended June 30, 2024, as compared to $29.1 million, or 24.8% of sales, in the three months ended June 30, 2023, primarily due to higher sales levels, the favorable impact of prior year cost reduction efforts, and the impact of $3.3 million of realignment costs and $0.4 million of purchase accounting inventory step-up amortization in the second quarter of 2023 that did not repeat in the second quarter of 2024. Gross profit margin decreased due to a successful $2.6 million commercial settlement in the second quarter of 2023 that did not repeat, increased input costs, including expedited freight, production inefficiencies, and higher costs related to high demand for certain product lines.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$2.3 million to $14.1 million, or 10.7% of sales, in the three months ended June 30, 2024, as compared to $11.8 million, or 10.1% of sales, in the three months ended June 30, 2023, primarily due to $1.1 million higher information technology costs allocated from Corporate and higher employee-related costs.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increased $0.7 million to $18.0 million, or 13.7% of sales, in the three months ended June 30, 2024, as compared to $17.3 million, or 14.7% of sales, in the three months ended June 30, 2023, primarily due to higher sales volume and the impact of realignment costs and purchase accounting inventory step-up amortization in the second quarter of 2023 that did not repeat. Operating profit as a percentage of net sales decreased primarily as a result of a successful commercial settlement in the second quarter of 2023 that did not repeat, increased input costs, including expedited freight, production inefficiencies, and higher selling, general and administrative expenses.</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June 30, 2024 increased $17.9 million, or 30.0% (of which 27.6% was organic and 2.4%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to $77.7 million, as compared to $59.8 million in the three months ended June 30, 2023. Acquisition-related sales growth from our April 2023 acquisition of Weldmac was $1.4 million. Sales of our fasteners products increased by $10.0 million due to to improved production yield and commercial recoveries for fasteners used in new aircraft builds. Sales of our engineered components products increased by $6.5 million due to improved throughput. Demand continued to remain strong in second quarter 2024, resulting in an increase in the Aerospace segment's order backlog.</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$8.4 million to $19.3 million, or 24.8% of sales, in the three months ended June 30, 2024, from $10.9 million, or 18.3% of sales, in the three months ended June 30, 2023. Gross profit increased primarily due to higher sales levels and resulting improved fixed cost absorption, reduced material availability constraints, a more favorable product sales mix, favorable commercial recoveries and purchase accounting inventory step-up amortization of $0.8 million in the second quarter of 2023 that did not repeat.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$0.6 million to $8.9 million, or 11.4% of sales, in the three months ended June 30, 2024, as compared to $8.3 million, or 13.9% of sales, in the three months ended June 30, 2023, primarily due to higher employee-related costs and higher information technology costs as $0.6 million of information technology costs were allocated from Corporate in second quarter 2024, partially offset by lower legal costs and lower intangible asset amortization expense due to certain assets becoming fully amortized.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$7.8 million to $10.4 million, or 13.4% of sales, in the three months ended June 30, 2024, as compared to $2.6 million, or 4.4% of sales, in the three months ended June 30, 2023, primarily due to the impact of higher sales levels, improved fixed cost absorption, reduced material availability production constraints, a more favorable product sales mix, commercial recoveries and purchase accounting inventory step-up amortization in the second quarter of 2023 that did not repeat, partially offset by higher selling, general and administrative expenses.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June 30, 2024 decreased $25.2 million, or 45.0%, to $30.9 million, as compared to $56.1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three months ended June 30, 2023. Sales of our cylinder products decreased $17.6 million, or 41.0%, due predominantly to lower sales of cylinders for heating, ventilation, and air conditioning ("HVAC") applications as compared to the prior year quarter where a high rate of orders were placed by customers concerned with global supply of cylinders for HVAC applications. We believe that customers are currently in an overstocked position of cylinders for HVAC applications, which should subside by the end of 2024. Sales of natural gas fired engines, compressors and related parts used in remote power generation and assistance applications for natural gas and crude oil extraction decreased by $7.6 million, or 58.2%, primarily as a result of lower compression package sales from a customer that has reduced their ordering rate significantly as compared to prior year quarter.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$11.9 million to $2.6 million, or 8.5% of sales, in the three months ended June 30, 2024, as compared to $14.5 million, or 25.8% of sales, in the three months ended June 30, 2023, primarily due to lower sales levels and significantly less favorable absorption of fixed costs.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$0.4 million to $2.0 million, or 6.6% of sales, in the three months ended June 30, 2024, as compared to $2.4 million, or 4.3% of sales, in the three months ended June 30, 2023, as $0.4 million of information technology costs allocated from Corporate was more than offset by reduced spending levels in second quarter of 2024, consistent with current lower demand levels.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$11.5 million to $0.6 million, or 1.9% of sales, in the three months ended June 30, 2024, as compared to $12.1 million, or 21.6% of sales, in the three months ended June 30, 2023, primarily due to lower sales levels, which resulted in significantly less favorable absorption of fixed costs.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decreased $0.8 million to $11.2 million for the three months ended June 30, 2024, from $12.0 million for the three months ended June 30, 2023, primarily due to a $1.5 million decrease in non-cash stock compensation due to timing and estimated attainment of existing awards, as well as a $0.2 million decrease in technology costs, as $2.1 million of technology costs allocated to our segments in the second quarter of 2024 was partially offset by $1.9 million of higher costs in preparation for upgrades in certain of our information technology applications, and by other general increases in technology costs. We largely centralized our information technology costs in the first quarter of 2023. These decreases were partially offset by higher expenses primarily due to a $0.7 million environment settlement related to a legacy TriMas operation.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with Six Months Ended June 30,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$19.0 million, or 4.2%, to $467.6 million for the six months ended June 30, 2024, as compared with $448.7 million in the six months ended June 30, 2023. Acquisition-related sales growth was $15.7 million, comprised of $2.8 million from our February 2023 acquisition of Aarts, and $12.9 million from our April 2023 acquisition of Weldmac. Organic sales, excluding the impact of currency exchange and acquisitions, increased $3.0 million, or 0.7%, as organic sales increases of 9.6% and 20.4% within our Packaging and Aerospace segments, respectively, driven by end market demand improvements were partially offset by a 39.6% sales decrease in our Specialty Products segment due to lower market demand. In addition, net sales increased by $0.3 million due to currency exchange, as our reported results in U.S. dollars were favorably impacted as a result of a weakening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22.8% for the six months ended June 30, 2024 and 2023. Gross profit margin increased primarily due to higher sales levels and related improved fixed cost absorption and the impact of purchase accounting inventory step-up amortization in the first half of 2023 that did not repeat within our Packaging and Aerospace segments. Additionally, gross margin increased due to reduced material availability constraints and a more favorable product sales mix within our Aerospace segment, and the year-over-year impact of realignment costs in the first half of 2023 within our Packaging segment. These improvements were offset by decreased sales and significantly less favorable absorption of fixed costs within our Specialty Products segment, and increased input costs, including expedited freight, in our Packaging segment. In addition, the prior year period benefited from a successful $2.6 million commercial settlement in our Packaging segment.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6.5% and 6.7% for the six months ended June 30, 2024 and 2023, respectively. Operating profit increased $0.2 million, to $30.3 million, for the six months ended June 30, 2024, compared to $30.1 million for the six months ended June 30, 2023, primarily due to higher sales levels and related improved fixed cost absorption and the impact of purchase accounting inventory step-up amortization in the first half of 2023 that did not repeat within our Packaging and Aerospace segments. Additionally, operating profit margin increased due to reduced material availability constraints and a more favorable product sales mix within our Aerospace segment, and the year-over-year impact of realignment costs in the first half of 2023 within our Packaging segment. These improvements were partially offset by decreased sales and significantly less favorable absorption of fixed costs within our Specialty Products segment, and increased input costs, including expedited freight, and the year-over-year impact of a successful $2.6 million commercial settlement in the first half of 2023 in our Packaging segment which did not repeat. Operating profit further decreased as we incurred higher technology costs in preparation for upgrades in certain of our information technology applications.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$2.5 million, to $10.2 million, for the six months ended June 30, 2024, as compared to $7.7 million for the six months ended June 30, 2023, due to an increase in our weighted average borrowings and a higher effective interest rate as a result of increased borrowings from our revolving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decreased $0.4 million to $0.3 million of expense for the six months ended June 30, 2024, as compared to $0.1 million of income for the six months ended June 30, 2023, primarily due to a decrease in foreign currency transaction gains, partially offset by a non-cash settlement charge for our Canadian defined benefit obligations and miscellaneous other income in the first half of 2023 that did not repeat.</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2024 and 2023 was 19.0% and 29.1%, respectively. We recorded tax expense of $3.8 million for the six months ended June 30, 2024, as compared to $6.5 million for the six months ended June 30, 2023. The effective tax rate for the six months ended June 30, 2024 was lower than in the prior year primarily due to the recognition of approximately $1.4 million of tax benefit related to foreign tax loss carryforwards and a decrease in losses in jurisdictions where we do not recognize a tax benefit.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by $0.2 million, to $16.1 million for the six months ended June 30, 2024, compared to $15.9 million for the six months ended June 30, 2023. The increase was primarily the result of an increase in operating profit of $0.2 million and a $2.8 million decrease in income tax expense, partially offset by an increase in interest expense of $2.5 million and an increase in other expense of $0.4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$25.4 million, or 10.9% (of which 9.6% was organic, 1.2% related to acquisitions, and 0.1% was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to $259.0 million in the six months ended June 30, 2024, as compared to $233.5 million in the six months ended June 30, 2023. Acquisition-related sales growth was $2.8 million resulting from the January 2024 sales of our February 2023 acquisition of Aarts. Sales of dispensing products used primarily for personal care and home care applications increased by $17.3 million. Sales of products used for our Packaging segment's industrial applications increased by $6.2 million. These increases were partially offset by the decrease in sales of products used in food and beverage applications of $3.5 million, primarily due to reduced demand for dairy applications in North America and certain closure applications in Europe as a large customer begins to cut over to a new product design from our Packaging group. Net sales increased by $0.3 million due to currency exchange, as our reported results in U.S. dollars were favorably impacted as a result of the weakening U.S. dollar relative to foreign currencies, as compared to first half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increased $8.0 million to $64.4 million, or 24.9% of sales, in the six months ended June 30, 2024, as compared to $56.4 million, or 24.1% of sales, in the six months ended June 30, 2023, primarily due to higher sales levels and resulting improved fixed cost absorption, the favorable impact of prior year cost reduction efforts, and the impact of $3.3 million of realignment costs and $0.8 million of purchase accounting inventory step-up amortization in the first half of 2023 that did not repeat in the first half of 2024. The increase in gross profit was partially offset by a successful $2.6 million commercial settlement in the first half of 2023 that did not repeat, increased input costs, including expedited freight and labor, required to timely fulfill an abrupt increase in a customer's orders in the first half of 2024, and higher costs related to high demand for certain product lines.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$4.6 million to $29.2 million, or 11.3% of sales, in the six months ended June 30, 2024, as compared to $24.7 million, or 10.6% of sales, in the six months ended June 30, 2023, primarily due to $2.2 million higher information technology costs allocated from Corporate and higher employee-related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$3.5 million to $35.1 million, or 13.6% of sales, in the six months ended June 30, 2024, as compared to $31.7 million, or 13.6% of sales, in the six months ended June 30, 2023, primarily due to higher sales levels, improved fixed cost absorption, and the favorable impact of prior realignment actions, partially offset by higher selling, general and administrative expenses, the impact of a successful commercial settlement in first half of 2023 that did not repeat, and increased input costs, including expedited freight to timely fulfill an abrupt increase in a customer's orders.</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six months ended June 30, 2024 increased $35.3 million, or 32.1% (of which 20.4% was organic and 11.7%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to $145.1 million, as compared to $109.8 million in the six months ended June 30, 2023. Acquisition-related sales growth from our April 2023 acquisition of Weldmac was $12.9 million. Sales of our fasteners products increased by $15.8 million due to increases in aircraft build rates, improved production yield and commercial recoveries. Sales of our engineered components products increased by $6.6 million due to improved throughput.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$15.4 million to $34.9 million, or 24.0% of sales, in the six months ended June 30, 2024, from $19.5 million, or 17.8% of sales, in the six months ended June 30, 2023. Gross profit increased primarily due to higher sales levels and resulting improved fixed cost absorption, reduced material availability constraints, a more favorable product sales mix, favorable commercial recoveries, and purchase accounting inventory step-up amortization of $0.8 million in the first half of 2023 that did not repeat.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$1.9 million to $17.3 million, or 11.9% of sales, in the six months ended June 30, 2024, as compared to $15.4 million, or 14.1% of sales, in the six months ended June 30, 2023, primarily due to higher employee-related costs, $1.3 million higher information technology costs allocated from Corporate, and higher ongoing selling, general and administrative costs associated with our acquisition of Weldmac. These increases were partially offset by lower legal costs and lower intangible asset amortization expense due to certain assets becoming fully amortized.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$13.5 million to $17.6 million, or 12.1% of sales, in the six months ended June 30, 2024, as compared to $4.1 million, or 3.7% of sales, in the six months ended June 30, 2023, primarily due to the impact of higher sales levels, improved fixed cost absorption, reduced material availability production constraints, a more favorable product sales mix, commercial recoveries, and purchase accounting inventory step-up amortization in the first half of 2023 that did not repeat, partially offset by higher selling, general and administrative expenses.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six months ended June 30, 2024 decreased $41.7 million, or 39.6%, to $63.6 million, as compared to $105.3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six months ended June 30, 2023. Sales of our cylinder products decreased $27.0 million, or 33.7%, due predominantly to lower sales of cylinders for HVAC applications as compared to the prior year where a high rate of orders were placed by customers concerned with global supply of cylinders for HVAC applications. We believe that customers are currently in an overstocked position of cylinders for HVAC applications, which should subside by the end of 2024. Sales of natural gas fired engines, compressors and related parts used in remote power generation and assistance applications for natural gas and crude oil extraction decreased by $14.7 million, or 58.5%, primarily as a result of lower compression package sales from a customer that has reduced their ordering rate significantly as compared to the prior year.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$18.9 million to $7.5 million, or 11.8% of sales, in the six months ended June 30, 2024, as compared to $26.4 million, or 25.0% of sales, in the six months ended June 30, 2023, primarily due to lower sales levels, which resulted in significantly less favorable absorption of fixed costs.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$0.2 million to $4.3 million, or 6.8% of sales, in the six months ended June 30, 2024, as compared to $4.5 million, or 4.3% of sales, in the six months ended June 30, 2023, as $0.9 million of higher information technology costs allocated from Corporate was more than offset by reduced spending levels in the first half of 2024, consistent with current lower demand levels.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profit decreased $18.7 million to $3.2 million, or 5.0% of sales, in the six months ended June 30, 2024, as compared to $21.9 million, or 20.7% of sales, in the six months ended June 30, 2023, primarily due to lower sales levels, which resulted in significantly less favorable absorption of fixed costs.</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net consist of the following (dollars in millions):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Corporate expenses decreased $1.9 million to $25.6 million for the six months ended June 30, 2024, from $27.5 million for the six months ended June 30, 2023, primarily due to $3.3 million lower professional fees as we incurred costs for business strategy and other consulting services in 2023 that did not repeat. Additionally, technology costs decreased $0.3 million as $4.4 million of technology costs allocated to our segments in the first six months of 2024 was mostly offset by $4.1 million of higher costs in preparation for upgrades in certain of our information technology applications, and by other general increases in technology costs. We largely centralized our information technology costs in the first quarter of 2023. These decreases were partially offset by a $0.9 million increase in employee related costs, a $0.2 million increase in non-cash stock compensation, and higher expenses primarily due to a $0.7 million environment settlement related to a legacy TriMas operation.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were $14.7 million for the six months ended June 30, 2024, as compared to cash provided of $26.2 million for the six months ended June 30, 2023. Significant changes in cash flows provided by operating activities and the reasons for such changes were as follows:</w:t>
      </w:r>
    </w:p>
    <w:p>
      <w:pPr>
        <w:spacing w:after="0" w:line="94" w:lineRule="exact"/>
        <w:rPr>
          <w:sz w:val="20"/>
          <w:szCs w:val="20"/>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we generated $59.2 million in cash flows, based on net income of $16.1 million and after considering the effects of non-cash items related to depreciation, amortization, loss on dispositions of assets, changes in deferred income taxes, stock-based compensation, provision for losses on accounts receivables, and other operating activities. For the six months ended June 30, 2023, we generated $56.6 million in cash flows based on net income of $15.9 million and after considering the effects of similar non-cash items, except for changes in provision for losses on accounts receivables.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$24.7 million and $20.1 million for the six months ended June 30, 2024 and 2023, respectively. The increased use of cash for each of the six month periods is due primarily to the timing of sales and collection of cash related thereto within the periods. Days sales outstanding of receivables decreased one day through the six months ended June 30, 2024, and increased by four days through the six months ended June 30, 2023.</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$18.3 million for the six months ended June 30, 2024, while we decreased our investment in inventory by $2.5 million for the six months ended June 30, 2023. Our days sales in inventory decreased by five days through the six months ended June 30, 2024, as we continued to manage inventory levels, considering our supply needs, and balanced with sales growth within our Packaging and Aerospace segments. Our days sales in inventory decreased by two days through the six months ended June 30, 2023, primarily a result of moderating inventory levels with sales level.</w:t>
      </w:r>
    </w:p>
    <w:p>
      <w:pPr>
        <w:spacing w:after="0" w:line="1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$0.4 million for the six months ended June 30, 2024, and decreases in prepaid expenses and other assets resulted a source of cash of $1.2 million for the six months ended June 30, 2023.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$1.2 million and $14.1 million for the six months ended June 30, 2024 and 2023, respectively. Days accounts payable on hand decreased by seven days through the six months ended June 30, 2024 and 2023. Our days accounts payable on hand fluctuate primarily as a result of the timing of payments made to suppliers and the mix of vendors and related terms.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six months ended June 30, 2024 and 2023 was $23.9 million and $96.5 million, respectively. During the first six months of 2024, we invested $24.1 million in capital expenditures, as we continued our investment in growth, capacity and productivity-related capital projects. We also received net proceeds of $0.2 million from disposition of property and equipment. During the first six months of 2023, we invested $24.9 million in capital expenditures and paid $71.8 million, net of cash acquired, to acquire Aarts and Weldmac.</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$9.3 million and $0.1 million for the six months ended June 30, 2024 and 2023, respectively. During the six months ended June 30, 2024, we received net proceeds of $31.3 million from borrowings on our revolving credit facilities, purchased $16.9 million of outstanding common stock, used a net cash amount of $1.6 million related to our stock compensation arrangements, paid dividends of $3.3 million, and paid $0.2 million related to other financing activities. Our reported net proceeds from borrowings on our revolving credit facilities considers the impact of foreign currency translation. During the six months ended June 30, 2023, we received net proceeds of $22.2 million from borrowings on our revolving credit facilities, purchased $13.1 million of outstanding common stock, used a net cash amount of $2.6 million related to our stock compensation arrangements, paid dividends of $3.3 million, and paid $3.1 million related to liabilities assumed in our acquisition of Aarts.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our consolidated subsidiaries that do not guarantee the Senior Notes represented 30% of the total of guarantor and non-guarantor net sales, treating each as a consolidated group and excluding intercompany transactions between guarantor and non-guarantor subsidiaries. In addition, our non-guarantor subsidiaries represented 37% and 14% of the total guarantor and non-guarantor assets and liabilities, respectively, as of June 30, 2024, treating the guarantor and non-guarantor subsidiaries each as a consolidated group.</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and Euro borrowings to the Euro InterBank Offered Rate (“EURIBOR”), both plus a spread of 1.625%, and U.S. dollar borrowings subject to the Secured Overnight Financing Rate ("SOFR") plus a spread of 1.725%. The interest rate spread is based upon the leverage ratio, as defined, as of the most recent determination date. Our revolving credit facility allows for the issuance of letters of credit, not to exceed $40.0 million in aggregate.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2024. If we were to complete an acquisition which qualifies for a Covenant Holiday Period, as defined in our Credit Agreement, then our permitted total net leverage ratio cannot exceed 4.50 to 1.00 during that period. Our actual total net leverage ratio was 2.71 to 1.00 at June 30, 2024. Our permitted interest expense coverage ratio under the Credit Agreement is 3.00 to 1.00 as of June 30, 2024. Our actual interest expense coverage ratio was 8.92 to 1.00 at June 30, 2024. At June 30, 2024,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June 30, 2024 (dollars in thousands). We present Consolidated Bank EBITDA to show our performance under our financial covenants.</w:t>
      </w:r>
    </w:p>
    <w:p>
      <w:pPr>
        <w:spacing w:after="0" w:line="230" w:lineRule="exact"/>
        <w:rPr>
          <w:sz w:val="20"/>
          <w:szCs w:val="20"/>
          <w:color w:val="auto"/>
        </w:rPr>
      </w:pPr>
    </w:p>
    <w:p>
      <w:pPr>
        <w:jc w:val="center"/>
        <w:ind w:left="9580"/>
        <w:spacing w:after="0"/>
        <w:rPr>
          <w:sz w:val="20"/>
          <w:szCs w:val="20"/>
          <w:color w:val="auto"/>
        </w:rPr>
      </w:pPr>
      <w:r>
        <w:rPr>
          <w:rFonts w:ascii="Times New Roman" w:cs="Times New Roman" w:eastAsia="Times New Roman" w:hAnsi="Times New Roman"/>
          <w:sz w:val="16"/>
          <w:szCs w:val="16"/>
          <w:b w:val="1"/>
          <w:bCs w:val="1"/>
          <w:color w:val="auto"/>
        </w:rPr>
        <w:t>Twelve Months</w:t>
      </w:r>
    </w:p>
    <w:p>
      <w:pPr>
        <w:jc w:val="center"/>
        <w:ind w:left="9620"/>
        <w:spacing w:after="0" w:line="211" w:lineRule="auto"/>
        <w:rPr>
          <w:sz w:val="20"/>
          <w:szCs w:val="20"/>
          <w:color w:val="auto"/>
        </w:rPr>
      </w:pPr>
      <w:r>
        <w:rPr>
          <w:rFonts w:ascii="Times New Roman" w:cs="Times New Roman" w:eastAsia="Times New Roman" w:hAnsi="Times New Roman"/>
          <w:sz w:val="16"/>
          <w:szCs w:val="16"/>
          <w:b w:val="1"/>
          <w:bCs w:val="1"/>
          <w:color w:val="auto"/>
        </w:rPr>
        <w:t>Ended</w:t>
      </w:r>
    </w:p>
    <w:p>
      <w:pPr>
        <w:jc w:val="center"/>
        <w:ind w:left="96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p>
      <w:pPr>
        <w:ind w:left="220"/>
        <w:spacing w:after="0" w:line="228" w:lineRule="auto"/>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056" w:hanging="1056"/>
        <w:spacing w:after="0"/>
        <w:tabs>
          <w:tab w:leader="none" w:pos="10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40,510</w:t>
      </w:r>
    </w:p>
    <w:p>
      <w:pPr>
        <w:spacing w:after="0" w:line="263" w:lineRule="exact"/>
        <w:rPr>
          <w:rFonts w:ascii="Times New Roman" w:cs="Times New Roman" w:eastAsia="Times New Roman" w:hAnsi="Times New Roman"/>
          <w:sz w:val="17"/>
          <w:szCs w:val="17"/>
          <w:color w:val="auto"/>
        </w:rPr>
      </w:pPr>
    </w:p>
    <w:p>
      <w:pPr>
        <w:ind w:left="105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18,400</w:t>
      </w:r>
    </w:p>
    <w:p>
      <w:pPr>
        <w:spacing w:after="0" w:line="38" w:lineRule="exact"/>
        <w:rPr>
          <w:rFonts w:ascii="Times New Roman" w:cs="Times New Roman" w:eastAsia="Times New Roman" w:hAnsi="Times New Roman"/>
          <w:sz w:val="17"/>
          <w:szCs w:val="17"/>
          <w:color w:val="auto"/>
        </w:rPr>
      </w:pPr>
    </w:p>
    <w:p>
      <w:pPr>
        <w:ind w:left="113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7,470</w:t>
      </w:r>
    </w:p>
    <w:p>
      <w:pPr>
        <w:spacing w:after="0" w:line="34" w:lineRule="exact"/>
        <w:rPr>
          <w:rFonts w:ascii="Times New Roman" w:cs="Times New Roman" w:eastAsia="Times New Roman" w:hAnsi="Times New Roman"/>
          <w:sz w:val="17"/>
          <w:szCs w:val="17"/>
          <w:color w:val="auto"/>
        </w:rPr>
      </w:pPr>
    </w:p>
    <w:p>
      <w:pPr>
        <w:ind w:left="105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56,280</w:t>
      </w:r>
    </w:p>
    <w:p>
      <w:pPr>
        <w:spacing w:after="0" w:line="34" w:lineRule="exact"/>
        <w:rPr>
          <w:rFonts w:ascii="Times New Roman" w:cs="Times New Roman" w:eastAsia="Times New Roman" w:hAnsi="Times New Roman"/>
          <w:sz w:val="17"/>
          <w:szCs w:val="17"/>
          <w:color w:val="auto"/>
        </w:rPr>
      </w:pPr>
    </w:p>
    <w:p>
      <w:pPr>
        <w:ind w:left="113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9,910</w:t>
      </w:r>
    </w:p>
    <w:p>
      <w:pPr>
        <w:spacing w:after="0" w:line="34" w:lineRule="exact"/>
        <w:rPr>
          <w:rFonts w:ascii="Times New Roman" w:cs="Times New Roman" w:eastAsia="Times New Roman" w:hAnsi="Times New Roman"/>
          <w:sz w:val="17"/>
          <w:szCs w:val="17"/>
          <w:color w:val="auto"/>
        </w:rPr>
      </w:pPr>
    </w:p>
    <w:p>
      <w:pPr>
        <w:ind w:left="127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w:t>
      </w:r>
    </w:p>
    <w:p>
      <w:pPr>
        <w:spacing w:after="0" w:line="34" w:lineRule="exact"/>
        <w:rPr>
          <w:rFonts w:ascii="Times New Roman" w:cs="Times New Roman" w:eastAsia="Times New Roman" w:hAnsi="Times New Roman"/>
          <w:sz w:val="17"/>
          <w:szCs w:val="17"/>
          <w:color w:val="auto"/>
        </w:rPr>
      </w:pPr>
    </w:p>
    <w:p>
      <w:pPr>
        <w:ind w:left="105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16,760</w:t>
      </w:r>
    </w:p>
    <w:p>
      <w:pPr>
        <w:spacing w:after="0" w:line="34" w:lineRule="exact"/>
        <w:rPr>
          <w:rFonts w:ascii="Times New Roman" w:cs="Times New Roman" w:eastAsia="Times New Roman" w:hAnsi="Times New Roman"/>
          <w:sz w:val="17"/>
          <w:szCs w:val="17"/>
          <w:color w:val="auto"/>
        </w:rPr>
      </w:pPr>
    </w:p>
    <w:p>
      <w:pPr>
        <w:ind w:left="113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1,590</w:t>
      </w:r>
    </w:p>
    <w:p>
      <w:pPr>
        <w:spacing w:after="0" w:line="34" w:lineRule="exact"/>
        <w:rPr>
          <w:rFonts w:ascii="Times New Roman" w:cs="Times New Roman" w:eastAsia="Times New Roman" w:hAnsi="Times New Roman"/>
          <w:sz w:val="17"/>
          <w:szCs w:val="17"/>
          <w:color w:val="auto"/>
        </w:rPr>
      </w:pPr>
    </w:p>
    <w:p>
      <w:pPr>
        <w:ind w:left="127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320</w:t>
      </w:r>
    </w:p>
    <w:p>
      <w:pPr>
        <w:spacing w:after="0" w:line="34" w:lineRule="exact"/>
        <w:rPr>
          <w:rFonts w:ascii="Times New Roman" w:cs="Times New Roman" w:eastAsia="Times New Roman" w:hAnsi="Times New Roman"/>
          <w:sz w:val="17"/>
          <w:szCs w:val="17"/>
          <w:color w:val="auto"/>
        </w:rPr>
      </w:pPr>
    </w:p>
    <w:p>
      <w:pPr>
        <w:ind w:left="113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36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 w:lineRule="exact"/>
        <w:rPr>
          <w:sz w:val="20"/>
          <w:szCs w:val="20"/>
          <w:color w:val="auto"/>
        </w:rPr>
      </w:pPr>
    </w:p>
    <w:p>
      <w:pPr>
        <w:ind w:left="956" w:hanging="956"/>
        <w:spacing w:after="0"/>
        <w:tabs>
          <w:tab w:leader="none" w:pos="9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152,540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36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036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04" w:space="720"/>
            <w:col w:w="1616"/>
          </w:cols>
          <w:pgMar w:left="320" w:top="121" w:right="339" w:bottom="1440" w:gutter="0" w:footer="0" w:header="0"/>
          <w:type w:val="continuous"/>
        </w:sectPr>
      </w:pP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CCEEFF"/>
            </w:tcBorders>
          </w:tcPr>
          <w:p>
            <w:pPr>
              <w:spacing w:after="0"/>
              <w:rPr>
                <w:sz w:val="18"/>
                <w:szCs w:val="18"/>
                <w:color w:val="auto"/>
              </w:rPr>
            </w:pPr>
          </w:p>
        </w:tc>
      </w:tr>
      <w:tr>
        <w:trPr>
          <w:trHeight w:val="226"/>
        </w:trPr>
        <w:tc>
          <w:tcPr>
            <w:tcW w:w="89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412,650</w:t>
            </w:r>
          </w:p>
        </w:tc>
        <w:tc>
          <w:tcPr>
            <w:tcW w:w="200" w:type="dxa"/>
            <w:vAlign w:val="bottom"/>
            <w:shd w:val="clear" w:color="auto" w:fill="CCEEFF"/>
          </w:tcPr>
          <w:p>
            <w:pPr>
              <w:spacing w:after="0"/>
              <w:rPr>
                <w:sz w:val="19"/>
                <w:szCs w:val="19"/>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5"/>
        </w:trPr>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00" w:type="dxa"/>
            <w:vAlign w:val="bottom"/>
          </w:tcPr>
          <w:p>
            <w:pPr>
              <w:spacing w:after="0"/>
              <w:rPr>
                <w:sz w:val="24"/>
                <w:szCs w:val="24"/>
                <w:color w:val="auto"/>
              </w:rPr>
            </w:pPr>
          </w:p>
        </w:tc>
      </w:tr>
      <w:tr>
        <w:trPr>
          <w:trHeight w:val="162"/>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c>
          <w:tcPr>
            <w:tcW w:w="200" w:type="dxa"/>
            <w:vAlign w:val="bottom"/>
          </w:tcPr>
          <w:p>
            <w:pPr>
              <w:spacing w:after="0"/>
              <w:rPr>
                <w:sz w:val="14"/>
                <w:szCs w:val="14"/>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CCEEFF"/>
            </w:tcBorders>
          </w:tcPr>
          <w:p>
            <w:pPr>
              <w:spacing w:after="0"/>
              <w:rPr>
                <w:sz w:val="24"/>
                <w:szCs w:val="24"/>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152,540</w:t>
            </w:r>
          </w:p>
        </w:tc>
        <w:tc>
          <w:tcPr>
            <w:tcW w:w="200" w:type="dxa"/>
            <w:vAlign w:val="bottom"/>
            <w:shd w:val="clear" w:color="auto" w:fill="CCEEFF"/>
          </w:tcPr>
          <w:p>
            <w:pPr>
              <w:spacing w:after="0"/>
              <w:rPr>
                <w:sz w:val="19"/>
                <w:szCs w:val="19"/>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$4.5 million of acquisition-related contingent consideration and $1.9 million of finance leases as of June 30, 2024.</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2024, we had $31.2 million outstanding under our revolving credit facility and had $262.8 million potentially available after giving effect to $6.0 million of letters of credit issued and outstanding. At December 31, 2023, we had no amounts outstanding under our revolving credit facility and had $294.0 million potentially available after giving effect to $6.0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June 30, 2024 and December 31, 2023, we had $197.5 million and $256.9 million, respectively, of borrowing capacity available for general corporate purposes.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six months of 2024 approximated $452.9 million, compared to $432.0 million during the first six months of 2023, primarily due to borrowings made on our revolving credit facility.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$4.0 million. The facility is guaranteed by TriMas Corporation. There were no borrowings on this loan facility as of June 30, 2024.</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majority of our cash on hand as of June 30, 2024 is located outside of the U.S., given available funding under our revolving credit facility of $197.5 million at June 30, 2024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June 30, 2024, the 1-Month SOFR approximated 5.3%, the 1-Month EURIBOR approximated 3.6%, the SONIA approximated 5.2%, and the Prime rate approximated 8.5%. Based on our variable rate-based borrowings outstanding at June 30, 2024, a 1% increase in the per annum interest rate would increase our interest expense by $0.3 million annually.</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related thereto approximated $14.9 million in 2023. We expect leasing will continue to be an available financing option to fund future capital expenditure requirements.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first quarter 2023 acquisition of Aarts, we assumed a $2.9 million liability to a bank related to the advance funding of certain accounts receivable invoices. We terminated this arrangement, and repaid the outstanding balance, in March 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In the six months ended June 30, 2024, we purchased 671,937 shares of our outstanding common stock for an aggregate purchase price of $16.9 million. Since the initial authorization through June 30, 2024, we have purchased 6,467,434 shares of our outstanding common stock for an aggregate purchase price of $179.9 million. We will continue to evaluate opportunities to return capital to shareholders through the purchase of our common stock and the payment of dividends, depending on market conditions, and other factors.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2024, we were party to foreign exchange forward and swap contracts to hedge changes in foreign currency exchange rates with notional amounts of $139.5 million. We also use cross-currency swap agreements to mitigate currency risks associated with the net investment in certain of our foreign subsidiaries.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March 19, 2024, Moody's affirmed a Ba3 rating to our Senior Notes.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June 28, 2024,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2023, we proactively managed through demand weakness in certain of our packaging businesses and an imbalance of high demand against a lack of material and skilled labor availability in our aerospace businesses. While we believe supply-related production challenges are largely behind us in the Aerospace segment, we have further opportunity to improve our production throughput, and hence conversion, within our Packaging segment as we progress through 2024. Within our Specialty Products segment, we currently are working through a significant demand trough as compared to the prior year period where we enjoyed exceptional sales rates and commercial strength. Within Specialty Products, we believe sales rates are firming up, and therefore, we anticipate sequential improvement in operating profit as we move through the year based on structural costs saving actions we are implementing. We will continue to monitor trends in demand changes and adjust costs and investments accordingly.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a continued modest demand recovery in certain of our consumer products and industrial markets and continued strength in our aerospace &amp; defense market, we remain cautious of the impact of global market uncertainty in 2024. However,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2024,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2023 Annual Report on Form 10-K, which could materially affect our business, financial condition or future results. There have been no significant changes in our risk factors as disclosed in our 2023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during the three months ended June 30, 2024:</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4"/>
                <w:szCs w:val="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Program (in millions)</w:t>
            </w: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172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to April 30, 2024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tabs>
          <w:tab w:leader="none" w:pos="309"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June 30, 2024, the Company repurchased 131,900 shares of its common stock at a cost of $3.5 million. The share repurchase program is effective and has no expiration date.</w:t>
      </w:r>
    </w:p>
    <w:p>
      <w:pPr>
        <w:spacing w:after="0" w:line="29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18"/>
                <w:szCs w:val="18"/>
                <w:color w:val="auto"/>
              </w:rPr>
            </w:pPr>
          </w:p>
        </w:tc>
        <w:tc>
          <w:tcPr>
            <w:tcW w:w="9500" w:type="dxa"/>
            <w:vAlign w:val="bottom"/>
            <w:gridSpan w:val="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00" w:type="dxa"/>
            <w:vAlign w:val="bottom"/>
            <w:gridSpan w:val="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Corporation's Current Report on Form 8-K filed on December 18, 2015 (File No. 001-10716)).</w:t>
              </w:r>
            </w:hyperlink>
          </w:p>
        </w:tc>
        <w:tc>
          <w:tcPr>
            <w:tcW w:w="700" w:type="dxa"/>
            <w:vAlign w:val="bottom"/>
            <w:gridSpan w:val="2"/>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2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0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June 30, 2024, formatted</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in Inline XBRL (eXtensible Business Reporting Language): (i) the Consolidated Balance Sheet, (ii) the Consolidated Statement of</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Income, (iii) the Consolidated Statement of Comprehensive Income, (iv) the Consolidated Statement of Cash Flows, (v) the</w:t>
            </w:r>
          </w:p>
        </w:tc>
      </w:tr>
      <w:tr>
        <w:trPr>
          <w:trHeight w:val="184"/>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Consolidated Statement of Shareholders' Equity, (vi) Notes to Consolidated Financial Statements, and (vii) document and entity</w:t>
            </w:r>
          </w:p>
        </w:tc>
      </w:tr>
      <w:tr>
        <w:trPr>
          <w:trHeight w:val="229"/>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information.</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41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 SCOTT A. MELL</w:t>
            </w:r>
          </w:p>
        </w:tc>
      </w:tr>
      <w:tr>
        <w:trPr>
          <w:trHeight w:val="54"/>
        </w:trPr>
        <w:tc>
          <w:tcPr>
            <w:tcW w:w="25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Scott A. Mell</w:t>
            </w:r>
          </w:p>
        </w:tc>
      </w:tr>
      <w:tr>
        <w:trPr>
          <w:trHeight w:val="23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4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June 30, 2024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June 30, 2024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3" Type="http://schemas.openxmlformats.org/officeDocument/2006/relationships/hyperlink" Target="https://www.sec.gov/Archives/edgar/data/842633/000110465907058776/a07-19157_1ex3d1.htm" TargetMode="External"/><Relationship Id="rId64" Type="http://schemas.openxmlformats.org/officeDocument/2006/relationships/hyperlink" Target="https://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2024-07-30T12:11:06Z</dcterms:created>
  <dcterms:modified xsi:type="dcterms:W3CDTF">2024-07-30T12:11:06Z</dcterms:modified>
</cp:coreProperties>
</file>