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5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(Mark One)</w:t>
      </w:r>
    </w:p>
    <w:p>
      <w:pPr>
        <w:ind w:left="1820" w:hanging="995"/>
        <w:spacing w:after="0" w:line="227" w:lineRule="auto"/>
        <w:tabs>
          <w:tab w:leader="none" w:pos="1820" w:val="left"/>
        </w:tabs>
        <w:numPr>
          <w:ilvl w:val="0"/>
          <w:numId w:val="1"/>
        </w:numPr>
        <w:rPr>
          <w:rFonts w:ascii="MS PGothic" w:cs="MS PGothic" w:eastAsia="MS PGothic" w:hAnsi="MS PGothic"/>
          <w:sz w:val="58"/>
          <w:szCs w:val="58"/>
          <w:color w:val="auto"/>
          <w:vertAlign w:val="superscript"/>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19"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7"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Or</w:t>
      </w:r>
    </w:p>
    <w:p>
      <w:pPr>
        <w:ind w:left="1820" w:hanging="995"/>
        <w:spacing w:after="0" w:line="224" w:lineRule="auto"/>
        <w:tabs>
          <w:tab w:leader="none" w:pos="1820" w:val="left"/>
        </w:tabs>
        <w:numPr>
          <w:ilvl w:val="0"/>
          <w:numId w:val="2"/>
        </w:numPr>
        <w:rPr>
          <w:rFonts w:ascii="MS PGothic" w:cs="MS PGothic" w:eastAsia="MS PGothic" w:hAnsi="MS PGothic"/>
          <w:sz w:val="58"/>
          <w:szCs w:val="58"/>
          <w:color w:val="auto"/>
          <w:vertAlign w:val="superscript"/>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17" w:lineRule="exact"/>
        <w:rPr>
          <w:sz w:val="24"/>
          <w:szCs w:val="24"/>
          <w:color w:val="auto"/>
        </w:rPr>
      </w:pPr>
    </w:p>
    <w:p>
      <w:pPr>
        <w:ind w:left="3520"/>
        <w:spacing w:after="0"/>
        <w:tabs>
          <w:tab w:leader="none" w:pos="6700" w:val="left"/>
          <w:tab w:leader="none" w:pos="7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3751580</wp:posOffset>
            </wp:positionH>
            <wp:positionV relativeFrom="paragraph">
              <wp:posOffset>-20320</wp:posOffset>
            </wp:positionV>
            <wp:extent cx="11233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001-10716</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TRIMAS CORPORATION</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0" w:lineRule="exact"/>
        <w:rPr>
          <w:sz w:val="24"/>
          <w:szCs w:val="24"/>
          <w:color w:val="auto"/>
        </w:rPr>
      </w:pPr>
    </w:p>
    <w:tbl>
      <w:tblPr>
        <w:tblLayout w:type="fixed"/>
        <w:tblInd w:w="3100" w:type="dxa"/>
        <w:tblCellMar>
          <w:top w:w="0" w:type="dxa"/>
          <w:left w:w="0" w:type="dxa"/>
          <w:bottom w:w="0" w:type="dxa"/>
          <w:right w:w="0" w:type="dxa"/>
        </w:tblCellMar>
      </w:tblPr>
      <w:tr>
        <w:trPr>
          <w:trHeight w:val="233"/>
        </w:trPr>
        <w:tc>
          <w:tcPr>
            <w:tcW w:w="27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0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38-2687639</w:t>
            </w:r>
          </w:p>
        </w:tc>
      </w:tr>
      <w:tr>
        <w:trPr>
          <w:trHeight w:val="180"/>
        </w:trPr>
        <w:tc>
          <w:tcPr>
            <w:tcW w:w="2720" w:type="dxa"/>
            <w:vAlign w:val="bottom"/>
          </w:tcPr>
          <w:p>
            <w:pPr>
              <w:jc w:val="center"/>
              <w:ind w:right="450"/>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900" w:type="dxa"/>
            <w:vAlign w:val="bottom"/>
          </w:tcPr>
          <w:p>
            <w:pPr>
              <w:jc w:val="center"/>
              <w:ind w:left="47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7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9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38505 Woodward Avenue, Suite 200</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Bloomfield Hills, Michigan 48304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(248) 631-5450</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128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6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50"/>
        </w:trPr>
        <w:tc>
          <w:tcPr>
            <w:tcW w:w="372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TRS</w:t>
            </w:r>
          </w:p>
        </w:tc>
        <w:tc>
          <w:tcPr>
            <w:tcW w:w="1020" w:type="dxa"/>
            <w:vAlign w:val="bottom"/>
          </w:tcPr>
          <w:p>
            <w:pPr>
              <w:spacing w:after="0"/>
              <w:rPr>
                <w:sz w:val="21"/>
                <w:szCs w:val="21"/>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57" w:lineRule="exact"/>
        <w:rPr>
          <w:sz w:val="24"/>
          <w:szCs w:val="24"/>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w:t>
      </w:r>
    </w:p>
    <w:p>
      <w:pPr>
        <w:spacing w:after="0" w:line="35" w:lineRule="exact"/>
        <w:rPr>
          <w:sz w:val="24"/>
          <w:szCs w:val="24"/>
          <w:color w:val="auto"/>
        </w:rPr>
      </w:pPr>
    </w:p>
    <w:p>
      <w:pPr>
        <w:jc w:val="both"/>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w:t>
      </w:r>
    </w:p>
    <w:p>
      <w:pPr>
        <w:spacing w:after="0" w:line="3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9" w:lineRule="exact"/>
        <w:rPr>
          <w:sz w:val="24"/>
          <w:szCs w:val="24"/>
          <w:color w:val="auto"/>
        </w:rPr>
      </w:pPr>
    </w:p>
    <w:tbl>
      <w:tblPr>
        <w:tblLayout w:type="fixed"/>
        <w:tblInd w:w="1600" w:type="dxa"/>
        <w:tblCellMar>
          <w:top w:w="0" w:type="dxa"/>
          <w:left w:w="0" w:type="dxa"/>
          <w:bottom w:w="0" w:type="dxa"/>
          <w:right w:w="0" w:type="dxa"/>
        </w:tblCellMar>
      </w:tblPr>
      <w:tr>
        <w:trPr>
          <w:trHeight w:val="362"/>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4"/>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5"/>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4"/>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5"/>
        </w:trPr>
        <w:tc>
          <w:tcPr>
            <w:tcW w:w="2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4"/>
        </w:trPr>
        <w:tc>
          <w:tcPr>
            <w:tcW w:w="23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jc w:val="both"/>
        <w:ind w:right="1840"/>
        <w:spacing w:after="0" w:line="30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April 22, 2025, the number of outstanding shares of the Registrant's common stock, $0.01 par value, was 40,651,688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0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gridSpan w:val="13"/>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8"/>
              </w:rPr>
              <w:t>TriMas Corporation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60" w:type="dxa"/>
            <w:vAlign w:val="bottom"/>
            <w:gridSpan w:val="11"/>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77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Forward-Looking Statements</w:t>
            </w:r>
          </w:p>
        </w:tc>
        <w:tc>
          <w:tcPr>
            <w:tcW w:w="4560" w:type="dxa"/>
            <w:vAlign w:val="bottom"/>
            <w:gridSpan w:val="11"/>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Financial Statements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Balance Sheet as of March 31, 2025 and December 31, 2024</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 of Income for the Three Months Ended March 31, 2025 and 2024</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 of Comprehensive Income for the Three Months Ended March</w:t>
            </w:r>
          </w:p>
        </w:tc>
        <w:tc>
          <w:tcPr>
            <w:tcW w:w="240" w:type="dxa"/>
            <w:vAlign w:val="bottom"/>
          </w:tcPr>
          <w:p>
            <w:pPr>
              <w:spacing w:after="0"/>
              <w:rPr>
                <w:sz w:val="24"/>
                <w:szCs w:val="24"/>
                <w:color w:val="auto"/>
              </w:rPr>
            </w:pPr>
          </w:p>
        </w:tc>
        <w:tc>
          <w:tcPr>
            <w:tcW w:w="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w w:val="93"/>
              </w:rPr>
              <w:t>31, 2025 and 2024</w:t>
            </w:r>
          </w:p>
        </w:tc>
        <w:tc>
          <w:tcPr>
            <w:tcW w:w="4960" w:type="dxa"/>
            <w:vAlign w:val="bottom"/>
            <w:tcBorders>
              <w:top w:val="single" w:sz="8" w:color="0000FF"/>
            </w:tcBorders>
            <w:gridSpan w:val="9"/>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 of Cash Flows for the Three Months Ended March 31, 2025 and</w:t>
            </w:r>
          </w:p>
        </w:tc>
        <w:tc>
          <w:tcPr>
            <w:tcW w:w="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top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88"/>
              </w:rPr>
              <w:t>2024</w:t>
            </w:r>
          </w:p>
        </w:tc>
        <w:tc>
          <w:tcPr>
            <w:tcW w:w="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 of Shareholders' Equity for the Three Months Ended March 31,</w:t>
            </w:r>
          </w:p>
        </w:tc>
        <w:tc>
          <w:tcPr>
            <w:tcW w:w="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7"/>
              </w:rPr>
              <w:t>2025 and 2024</w:t>
            </w:r>
          </w:p>
        </w:tc>
        <w:tc>
          <w:tcPr>
            <w:tcW w:w="3240" w:type="dxa"/>
            <w:vAlign w:val="bottom"/>
            <w:tcBorders>
              <w:top w:val="single" w:sz="8" w:color="0000FF"/>
            </w:tcBorders>
            <w:gridSpan w:val="7"/>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960" w:type="dxa"/>
            <w:vAlign w:val="bottom"/>
            <w:tcBorders>
              <w:top w:val="single" w:sz="8" w:color="0000FF"/>
            </w:tcBorders>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520" w:type="dxa"/>
            <w:vAlign w:val="bottom"/>
            <w:gridSpan w:val="8"/>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20" w:type="dxa"/>
            <w:vAlign w:val="bottom"/>
            <w:gridSpan w:val="2"/>
          </w:tcPr>
          <w:p>
            <w:pPr>
              <w:spacing w:after="0"/>
              <w:rPr>
                <w:sz w:val="24"/>
                <w:szCs w:val="24"/>
                <w:color w:val="auto"/>
              </w:rPr>
            </w:pP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420" w:type="dxa"/>
            <w:vAlign w:val="bottom"/>
            <w:gridSpan w:val="2"/>
          </w:tcPr>
          <w:p>
            <w:pPr>
              <w:spacing w:after="0"/>
              <w:rPr>
                <w:sz w:val="24"/>
                <w:szCs w:val="24"/>
                <w:color w:val="auto"/>
              </w:rPr>
            </w:pP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1040" w:type="dxa"/>
            <w:vAlign w:val="bottom"/>
          </w:tcPr>
          <w:p>
            <w:pPr>
              <w:spacing w:after="0"/>
              <w:rPr>
                <w:sz w:val="24"/>
                <w:szCs w:val="24"/>
                <w:color w:val="auto"/>
              </w:rPr>
            </w:pPr>
          </w:p>
        </w:tc>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500" w:type="dxa"/>
            <w:vAlign w:val="bottom"/>
          </w:tcPr>
          <w:p>
            <w:pPr>
              <w:spacing w:after="0"/>
              <w:rPr>
                <w:sz w:val="24"/>
                <w:szCs w:val="24"/>
                <w:color w:val="auto"/>
              </w:rPr>
            </w:pPr>
          </w:p>
        </w:tc>
        <w:tc>
          <w:tcPr>
            <w:tcW w:w="14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6280" w:type="dxa"/>
            <w:vAlign w:val="bottom"/>
            <w:gridSpan w:val="17"/>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1A.</w:t>
            </w:r>
          </w:p>
        </w:tc>
        <w:tc>
          <w:tcPr>
            <w:tcW w:w="420" w:type="dxa"/>
            <w:vAlign w:val="bottom"/>
            <w:gridSpan w:val="2"/>
          </w:tcPr>
          <w:p>
            <w:pPr>
              <w:spacing w:after="0"/>
              <w:rPr>
                <w:sz w:val="24"/>
                <w:szCs w:val="24"/>
                <w:color w:val="auto"/>
              </w:rPr>
            </w:pP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20" w:type="dxa"/>
            <w:vAlign w:val="bottom"/>
            <w:gridSpan w:val="2"/>
          </w:tcPr>
          <w:p>
            <w:pPr>
              <w:spacing w:after="0"/>
              <w:rPr>
                <w:sz w:val="24"/>
                <w:szCs w:val="24"/>
                <w:color w:val="auto"/>
              </w:rPr>
            </w:pP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20" w:type="dxa"/>
            <w:vAlign w:val="bottom"/>
            <w:gridSpan w:val="2"/>
          </w:tcPr>
          <w:p>
            <w:pPr>
              <w:spacing w:after="0"/>
              <w:rPr>
                <w:sz w:val="24"/>
                <w:szCs w:val="24"/>
                <w:color w:val="auto"/>
              </w:rPr>
            </w:pP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4360" w:type="dxa"/>
            <w:vAlign w:val="bottom"/>
            <w:gridSpan w:val="1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420" w:type="dxa"/>
            <w:vAlign w:val="bottom"/>
            <w:gridSpan w:val="2"/>
          </w:tcPr>
          <w:p>
            <w:pPr>
              <w:spacing w:after="0"/>
              <w:rPr>
                <w:sz w:val="24"/>
                <w:szCs w:val="24"/>
                <w:color w:val="auto"/>
              </w:rPr>
            </w:pP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90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5360" w:type="dxa"/>
            <w:vAlign w:val="bottom"/>
            <w:gridSpan w:val="1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w:t>
            </w:r>
            <w:r>
              <w:rPr>
                <w:rFonts w:ascii="Times New Roman" w:cs="Times New Roman" w:eastAsia="Times New Roman" w:hAnsi="Times New Roman"/>
                <w:sz w:val="18"/>
                <w:szCs w:val="18"/>
                <w:color w:val="0033CC"/>
              </w:rPr>
              <w:t>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33CC"/>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08" w:right="1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subject to numerous assumptions, risks and uncertainties which could materially affect our business, financial condition or future results including, but not limited to: general economic and currency conditions; competitive factors; market demand; our ability to realize our business strategies; government and regulatory actions, including, without limitation, the impact of current and future tariffs and reciprocal tariffs, quotas and surcharges, as well as climate change legislation and other environmental regulations; our ability to identify attractive acquisition candidates, successfully integrate acquired operations or realize the intended benefits of such acquisitions; pressures on our supply chain, including availability of raw materials and inflationary pressures on raw material and energy costs, and customers; the performance of our subcontractors and suppliers; risks and uncertainties associated with intangible assets, including goodwill or other intangible asset impairment charges; risks associated with a concentrated customer base; information technology and other cyber-related risks; risks related to our international operations, including, but not limited to, risks relating to tensions between the United States and China; changes to fiscal and tax policies; intellectual property factors; uncertainties associated with our ability to meet customers’ and suppliers’ sustainability and environmental, social and governance ("ESG") goals and achieve our sustainability and ESG goals in alignment with our own announced targets; litigation; contingent liabilities relating to acquisition activities; interest rate volatility; our leverage; liabilities imposed by our debt instruments; labor disputes and shortages; the disruption of operations from catastrophic or extraordinary events, including, but not limited to, natural disasters, geopolitical conflicts and public health crises; the amount and timing of future dividends and/or share repurchases, which remain subject to Board approval and depend on market and other conditions; our future prospects; and other risks that are discussed in Part I, Item 1A, "Risk Factors," in our Annual Report on Form 10-K for the year ended December 31, 2024 and elsewhere in this report.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disclose important factors that could cause our actual results to differ materially from our expectations implied by our forward-looking statements under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 our Annual Report on Form 10-K for the year ended December 31, 2024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Consolidated Financial Statements</w:t>
      </w:r>
    </w:p>
    <w:p>
      <w:pPr>
        <w:spacing w:after="0" w:line="34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6"/>
                <w:szCs w:val="16"/>
                <w:color w:val="auto"/>
              </w:rPr>
            </w:pPr>
          </w:p>
        </w:tc>
        <w:tc>
          <w:tcPr>
            <w:tcW w:w="142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7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780" w:type="dxa"/>
            <w:vAlign w:val="bottom"/>
            <w:shd w:val="clear" w:color="auto" w:fill="CCEEFF"/>
          </w:tcPr>
          <w:p>
            <w:pPr>
              <w:ind w:left="35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23,070</w:t>
            </w:r>
          </w:p>
        </w:tc>
      </w:tr>
      <w:tr>
        <w:trPr>
          <w:trHeight w:val="176"/>
        </w:trPr>
        <w:tc>
          <w:tcPr>
            <w:tcW w:w="77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Receivables, net of reserves of $2.4 million and $3.2 million as of March 31, 2025 and December 31,</w:t>
            </w: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 respectively</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164,820</w:t>
            </w:r>
          </w:p>
        </w:tc>
      </w:tr>
      <w:tr>
        <w:trPr>
          <w:trHeight w:val="230"/>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209,190</w:t>
            </w:r>
          </w:p>
        </w:tc>
      </w:tr>
      <w:tr>
        <w:trPr>
          <w:trHeight w:val="229"/>
        </w:trPr>
        <w:tc>
          <w:tcPr>
            <w:tcW w:w="7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29,560</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426,640</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318,650</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40,480</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356,360</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161,080</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10,210</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1,393,750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1,324,180</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7780" w:type="dxa"/>
            <w:vAlign w:val="bottom"/>
            <w:shd w:val="clear" w:color="auto" w:fill="CCEEFF"/>
          </w:tcPr>
          <w:p>
            <w:pPr>
              <w:ind w:left="24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91,050</w:t>
            </w:r>
          </w:p>
        </w:tc>
      </w:tr>
      <w:tr>
        <w:trPr>
          <w:trHeight w:val="230"/>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60,340</w:t>
            </w:r>
          </w:p>
        </w:tc>
      </w:tr>
      <w:tr>
        <w:trPr>
          <w:trHeight w:val="229"/>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159,430</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398,120</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20,110</w:t>
            </w: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42,540</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656,880</w:t>
            </w:r>
          </w:p>
        </w:tc>
      </w:tr>
      <w:tr>
        <w:trPr>
          <w:trHeight w:val="155"/>
        </w:trPr>
        <w:tc>
          <w:tcPr>
            <w:tcW w:w="77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Preferred stock, $0.01 par: Authorized 100,000,000 shares;</w:t>
            </w: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4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None</w:t>
            </w:r>
          </w:p>
        </w:tc>
        <w:tc>
          <w:tcPr>
            <w:tcW w:w="24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Common stock, $0.01 par: Authorized 400,000,000 shares;</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5"/>
        </w:trPr>
        <w:tc>
          <w:tcPr>
            <w:tcW w:w="7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Issued and outstanding: 40,712,054 shares at March 31, 2025 and 40,574,847 shares at December 31,</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Paid-in capital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663,770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w:t>
            </w: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(18,550)</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667,300</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1,393,750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1,324,180</w:t>
            </w: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(Unaudited—dollars in thousands, except for per share amounts)</w:t>
      </w:r>
    </w:p>
    <w:p>
      <w:pPr>
        <w:spacing w:after="0" w:line="12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227,100</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(174,390)</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52,710</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(40,330)</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dispositions of assets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8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tcPr>
          <w:p>
            <w:pPr>
              <w:ind w:left="480"/>
              <w:spacing w:after="0" w:line="203" w:lineRule="exact"/>
              <w:rPr>
                <w:sz w:val="20"/>
                <w:szCs w:val="20"/>
                <w:color w:val="auto"/>
              </w:rPr>
            </w:pPr>
            <w:r>
              <w:rPr>
                <w:rFonts w:ascii="Times New Roman" w:cs="Times New Roman" w:eastAsia="Times New Roman" w:hAnsi="Times New Roman"/>
                <w:sz w:val="18"/>
                <w:szCs w:val="18"/>
                <w:color w:val="auto"/>
              </w:rPr>
              <w:t>Weighted average common shares—basic</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40,605,288</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41,018,049</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40,969,299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41,322,014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2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w:t>
            </w:r>
          </w:p>
        </w:tc>
      </w:tr>
      <w:tr>
        <w:trPr>
          <w:trHeight w:val="21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Defined benefit plans (Note 17)</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 (Note 10)</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23"/>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0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for) operating activities, net of acquisition impact: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dispositions of assets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9,980</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issue costs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w:t>
            </w: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compensation expense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losses on accounts receivable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in receivables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in inventories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Decrease in prepaid expenses and other assets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(decrease) in accounts payable and accrued liabilities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23"/>
        </w:trPr>
        <w:tc>
          <w:tcPr>
            <w:tcW w:w="8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(used for) operating activities, net of acquisition impact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w:t>
            </w:r>
          </w:p>
        </w:tc>
      </w:tr>
      <w:tr>
        <w:trPr>
          <w:trHeight w:val="19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w:t>
            </w: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proceeds from disposition of business, property and equipment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(13,140)</w:t>
            </w:r>
          </w:p>
        </w:tc>
      </w:tr>
      <w:tr>
        <w:trPr>
          <w:trHeight w:val="194"/>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borrowings on revolving credit facilities</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98,200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68,890</w:t>
            </w: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of borrowings on revolving credit facilities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Debt financing fees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to purchase common stock</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w:t>
            </w: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surrendered upon exercise and vesting of equity awards to cover taxes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8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12,410</w:t>
            </w:r>
          </w:p>
        </w:tc>
      </w:tr>
      <w:tr>
        <w:trPr>
          <w:trHeight w:val="19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(decrease) for the period</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34,890</w:t>
            </w:r>
          </w:p>
        </w:tc>
      </w:tr>
      <w:tr>
        <w:trPr>
          <w:trHeight w:val="223"/>
        </w:trPr>
        <w:tc>
          <w:tcPr>
            <w:tcW w:w="8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At end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30,470</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0"/>
        </w:trPr>
        <w:tc>
          <w:tcPr>
            <w:tcW w:w="8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80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paid for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March 31,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240" w:type="dxa"/>
            <w:vAlign w:val="bottom"/>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2024</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667,300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March 31, 2025</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664,550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686,570</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240" w:type="dxa"/>
            <w:vAlign w:val="bottom"/>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2023</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682,950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March 31, 2024</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667,430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673,220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TriMas Corporation ("TriMas" or the "Company"), and its consolidated subsidiaries, designs, engineers and manufactures innovative products under leading brand names for customers primarily in the consumer products, aerospace &amp; defense, and industrial markets.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The preparation of financial statements requires management of the Company to make estimates and assumptions that affect the reported amounts of assets and liabilities. Actual results may differ from such estimates and assumptions due to risks and uncertainties, including uncertainty and volatility in the current economic environment due to input cost inflation, supply chain disruptions, and shortages in global markets for commodities, logistics and labor. To the extent there are differences between these estimates and actual results, the Company's consolidated financial statements may be materially affected.</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Results of operations for interim periods are not necessarily indicative of results for the full year. The accompanying consolidated financial statements and notes thereto should be read in conjunction with the Company's 2024 Annual Report on Form 10-K.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New Accounting Pronouncements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2024-03, "Income Statement— Reporting Comprehensive Income—Expense Disaggregation Disclosures (Subtopic 220-40): Disaggregation of Income Statement Expenses" ("ASU 2024-03"), which requires disclosures, in the notes to the financial statements, about the types of expenses included in certain expense captions presented on the income statement. ASU 2024-03 is effective for fiscal years beginning after December 15, 2026, and interim periods within fiscal years beginning after December 15, 2027, with early adoption permitted. The Company is in the process of assessing the impact of adoption on its consolidated financial statements.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enhanced jurisdictional disclosures for income taxes paid and requires the use of specific categories in the effective tax rate reconciliation as well as additional information for reconciling items that meet a quantitative threshold. ASU 2023-09 is effective for fiscal years beginning after December 15, 2024, with early adoption permitted. The Company will provide the incremental disclosures in its Annual Report on Form 10-K for the year ended December 31, 2025.</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disaggregated net sales by primary market served (dollars in thousands):</w:t>
      </w:r>
    </w:p>
    <w:p>
      <w:pPr>
        <w:spacing w:after="0" w:line="282" w:lineRule="exact"/>
        <w:rPr>
          <w:sz w:val="20"/>
          <w:szCs w:val="20"/>
          <w:color w:val="auto"/>
        </w:rPr>
      </w:pPr>
    </w:p>
    <w:tbl>
      <w:tblPr>
        <w:tblLayout w:type="fixed"/>
        <w:tblInd w:w="240" w:type="dxa"/>
        <w:tblCellMar>
          <w:top w:w="0" w:type="dxa"/>
          <w:left w:w="0" w:type="dxa"/>
          <w:bottom w:w="0" w:type="dxa"/>
          <w:right w:w="0" w:type="dxa"/>
        </w:tblCellMar>
      </w:tblPr>
      <w:tr>
        <w:trPr>
          <w:trHeight w:val="212"/>
        </w:trPr>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Customer Markets</w:t>
            </w:r>
          </w:p>
        </w:tc>
        <w:tc>
          <w:tcPr>
            <w:tcW w:w="300" w:type="dxa"/>
            <w:vAlign w:val="bottom"/>
          </w:tcPr>
          <w:p>
            <w:pPr>
              <w:spacing w:after="0"/>
              <w:rPr>
                <w:sz w:val="18"/>
                <w:szCs w:val="18"/>
                <w:color w:val="auto"/>
              </w:rPr>
            </w:pPr>
          </w:p>
        </w:tc>
        <w:tc>
          <w:tcPr>
            <w:tcW w:w="1240" w:type="dxa"/>
            <w:vAlign w:val="bottom"/>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103,580</w:t>
            </w:r>
          </w:p>
        </w:tc>
      </w:tr>
      <w:tr>
        <w:trPr>
          <w:trHeight w:val="229"/>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67,340</w:t>
            </w:r>
          </w:p>
        </w:tc>
      </w:tr>
      <w:tr>
        <w:trPr>
          <w:trHeight w:val="230"/>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56,180</w:t>
            </w:r>
          </w:p>
        </w:tc>
      </w:tr>
      <w:tr>
        <w:trPr>
          <w:trHeight w:val="223"/>
        </w:trPr>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227,100</w:t>
            </w:r>
          </w:p>
        </w:tc>
      </w:tr>
      <w:tr>
        <w:trPr>
          <w:trHeight w:val="21"/>
        </w:trPr>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Packaging segment earns revenues from the consumer products (comprised of the beauty and personal care, food and beverage, home care, pharmaceutical, nutraceutical and medical submarkets) and industrial markets. The Aerospace segment earns revenues from the aerospace &amp; defense market (comprised of commercial, regional and business jet, and military submarkets). The Specialty Products segment earns revenues from a variety of submarkets within the industrial market.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Realignment Actions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Realignment Actions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recorded $3.8 million of realignment costs related to actions to reorganize its corporate office, primarily for severance and consulting costs, including $1.5 million of non-cash compensation expense. These charges were included in selling, general and administrative expenses in the accompanying consolidated statement of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Acquisitions and Sale of Business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Acquisitions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17, 2025, the Company acquired the aerospace business of GMT Gummi-Metall-Technik GmbH (“GMT”) for a purchase price of $37.2 million. Based on a preliminary purchase price allocation, the fair value of assets acquired and liabilities assumed included $15.3 million of goodwill, $4.6 million of intangible assets, $0.2 million of property and equipment, and $17.1 million of net working capital. The final purchase price remains subject to an adjustment for net working capital as defined in the purchase agreement. Based in Germany, GMT’s aerospace division (“GMT Aerospace”) develops and manufactures a wide range of tie-rods and rubber-metal anti-vibration systems for commercial and military aerospace applications with annual net sales of approximately €22.0 million. GMT Aerospace is part of the Aerospace reportable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Business</w:t>
      </w:r>
    </w:p>
    <w:p>
      <w:pPr>
        <w:spacing w:after="0" w:line="14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31, 2025, the Company completed the sale of its Arrow Engine business within the Specialty Products segment for net cash proceeds of $20.5 million, with the final sale price remaining subject to a working capital adjustment, if any, which is expected to be completed by mid-2025. As a result, the Company recorded a pre-tax gain of $5.3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three months ended March 31, 2025 are summarized as follows (dollars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22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Aerospace</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Specialty Products</w:t>
            </w:r>
          </w:p>
        </w:tc>
        <w:tc>
          <w:tcPr>
            <w:tcW w:w="320" w:type="dxa"/>
            <w:vAlign w:val="bottom"/>
          </w:tcPr>
          <w:p>
            <w:pPr>
              <w:spacing w:after="0"/>
              <w:rPr>
                <w:sz w:val="18"/>
                <w:szCs w:val="18"/>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356,360</w:t>
            </w: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from acquisitions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15,340</w:t>
            </w: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285,120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85,290</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376,970</w:t>
            </w: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amortizes its other intangible assets over periods ranging from one to 30 years. The gross carrying amounts and accumulated amortization of the Company's other intangibles are summarized below (dollars in thousands):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220" w:type="dxa"/>
            <w:vAlign w:val="bottom"/>
          </w:tcPr>
          <w:p>
            <w:pPr>
              <w:spacing w:after="0"/>
              <w:rPr>
                <w:sz w:val="18"/>
                <w:szCs w:val="18"/>
                <w:color w:val="auto"/>
              </w:rPr>
            </w:pPr>
          </w:p>
        </w:tc>
        <w:tc>
          <w:tcPr>
            <w:tcW w:w="3300" w:type="dxa"/>
            <w:vAlign w:val="bottom"/>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0" w:type="dxa"/>
            <w:vAlign w:val="bottom"/>
          </w:tcPr>
          <w:p>
            <w:pPr>
              <w:spacing w:after="0"/>
              <w:rPr>
                <w:sz w:val="1"/>
                <w:szCs w:val="1"/>
                <w:color w:val="auto"/>
              </w:rPr>
            </w:pPr>
          </w:p>
        </w:tc>
      </w:tr>
      <w:tr>
        <w:trPr>
          <w:trHeight w:val="158"/>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Category by Useful Life</w:t>
            </w: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214"/>
        </w:trPr>
        <w:tc>
          <w:tcPr>
            <w:tcW w:w="4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14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25"/>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Customer relationships, 5 – 12 years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144,200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(97,690)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138,840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(95,360)</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 15 – 25 years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129,230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129,230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(86,690)</w:t>
            </w:r>
          </w:p>
        </w:tc>
        <w:tc>
          <w:tcPr>
            <w:tcW w:w="0" w:type="dxa"/>
            <w:vAlign w:val="bottom"/>
          </w:tcPr>
          <w:p>
            <w:pPr>
              <w:spacing w:after="0"/>
              <w:rPr>
                <w:sz w:val="1"/>
                <w:szCs w:val="1"/>
                <w:color w:val="auto"/>
              </w:rPr>
            </w:pPr>
          </w:p>
        </w:tc>
      </w:tr>
      <w:tr>
        <w:trPr>
          <w:trHeight w:val="223"/>
        </w:trPr>
        <w:tc>
          <w:tcPr>
            <w:tcW w:w="4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(182,050)</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other, 1 – 15 years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(44,590)</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Technology and other, 17 – 30 years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(41,080)</w:t>
            </w:r>
          </w:p>
        </w:tc>
        <w:tc>
          <w:tcPr>
            <w:tcW w:w="0" w:type="dxa"/>
            <w:vAlign w:val="bottom"/>
          </w:tcPr>
          <w:p>
            <w:pPr>
              <w:spacing w:after="0"/>
              <w:rPr>
                <w:sz w:val="1"/>
                <w:szCs w:val="1"/>
                <w:color w:val="auto"/>
              </w:rPr>
            </w:pPr>
          </w:p>
        </w:tc>
      </w:tr>
      <w:tr>
        <w:trPr>
          <w:trHeight w:val="223"/>
        </w:trPr>
        <w:tc>
          <w:tcPr>
            <w:tcW w:w="4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technology and other</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(85,670)</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Trademark/Trade names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433,920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(270,590)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428,800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(267,720)</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as included in the accompanying consolidated statement of income is summarized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7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other, included in cost of sales</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 included in selling, general and administrative expenses</w:t>
            </w:r>
          </w:p>
        </w:tc>
        <w:tc>
          <w:tcPr>
            <w:tcW w:w="7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Inventories</w:t>
            </w: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3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 of the following components (dollars in thousands):</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360" w:type="dxa"/>
            <w:vAlign w:val="bottom"/>
            <w:tcBorders>
              <w:bottom w:val="single" w:sz="8" w:color="CCEEFF"/>
            </w:tcBorders>
          </w:tcPr>
          <w:p>
            <w:pPr>
              <w:spacing w:after="0"/>
              <w:rPr>
                <w:sz w:val="24"/>
                <w:szCs w:val="24"/>
                <w:color w:val="auto"/>
              </w:rPr>
            </w:pPr>
          </w:p>
        </w:tc>
        <w:tc>
          <w:tcPr>
            <w:tcW w:w="188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86,430</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7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60,380</w:t>
            </w:r>
          </w:p>
        </w:tc>
        <w:tc>
          <w:tcPr>
            <w:tcW w:w="0" w:type="dxa"/>
            <w:vAlign w:val="bottom"/>
          </w:tcPr>
          <w:p>
            <w:pPr>
              <w:spacing w:after="0"/>
              <w:rPr>
                <w:sz w:val="1"/>
                <w:szCs w:val="1"/>
                <w:color w:val="auto"/>
              </w:rPr>
            </w:pP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inventories</w:t>
            </w:r>
          </w:p>
        </w:tc>
        <w:tc>
          <w:tcPr>
            <w:tcW w:w="7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209,190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components (dollars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Pr>
          <w:p>
            <w:pPr>
              <w:spacing w:after="0"/>
              <w:rPr>
                <w:sz w:val="18"/>
                <w:szCs w:val="18"/>
                <w:color w:val="auto"/>
              </w:rPr>
            </w:pPr>
          </w:p>
        </w:tc>
        <w:tc>
          <w:tcPr>
            <w:tcW w:w="170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30,810</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93,780</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524,390</w:t>
            </w:r>
          </w:p>
        </w:tc>
      </w:tr>
      <w:tr>
        <w:trPr>
          <w:trHeight w:val="223"/>
        </w:trPr>
        <w:tc>
          <w:tcPr>
            <w:tcW w:w="7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648,980</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330,330</w:t>
            </w: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321,940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318,650</w:t>
            </w:r>
          </w:p>
        </w:tc>
      </w:tr>
      <w:tr>
        <w:trPr>
          <w:trHeight w:val="21"/>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as included in the accompanying consolidated statement of income is as follows (dollars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7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included in cost of sales</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expense, included in selling, general and administrative expenses</w:t>
            </w:r>
          </w:p>
        </w:tc>
        <w:tc>
          <w:tcPr>
            <w:tcW w:w="7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Long-term Debt</w:t>
            </w: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3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long-term debt consists of the following (dollars in thousands):</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7360" w:type="dxa"/>
            <w:vAlign w:val="bottom"/>
            <w:tcBorders>
              <w:bottom w:val="single" w:sz="8" w:color="CCEEFF"/>
            </w:tcBorders>
          </w:tcPr>
          <w:p>
            <w:pPr>
              <w:spacing w:after="0"/>
              <w:rPr>
                <w:sz w:val="24"/>
                <w:szCs w:val="24"/>
                <w:color w:val="auto"/>
              </w:rPr>
            </w:pPr>
          </w:p>
        </w:tc>
        <w:tc>
          <w:tcPr>
            <w:tcW w:w="188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Senior Notes due April 2029</w:t>
            </w: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7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0" w:type="dxa"/>
            <w:vAlign w:val="bottom"/>
          </w:tcPr>
          <w:p>
            <w:pPr>
              <w:spacing w:after="0"/>
              <w:rPr>
                <w:sz w:val="1"/>
                <w:szCs w:val="1"/>
                <w:color w:val="auto"/>
              </w:rPr>
            </w:pP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7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398,120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2021, the Company issued $400.0 million aggregate principal amount of 4.125% senior notes due April 15, 2029 ("Senior Notes") at par value in a private placement under Rule 144A of the Securities Act of 1933, as amended ("Securities Act"). The Senior Notes accrue interest at a rate of 4.125% per annum, payable semi-annually in arrears on April 15 and October 15. The payment of principal and interest is jointly and severally guaranteed, on a senior unsecured basis, by certain subsidiaries of the Company. The Senior Notes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and effectively subordinated to all existing and future secured indebtedness to the extent of the value of the assets securing such indebtedness.</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redeem all or part of the Senior Notes at the redemption prices (expressed as percentages of principal amount) set forth below, plus accrued and unpaid interest, if any, to the redemption date, if redeemed during the twelve-month period beginning on April 15 of the years indicated below:</w:t>
      </w:r>
    </w:p>
    <w:p>
      <w:pPr>
        <w:spacing w:after="0" w:line="232" w:lineRule="exact"/>
        <w:rPr>
          <w:sz w:val="20"/>
          <w:szCs w:val="20"/>
          <w:color w:val="auto"/>
        </w:rPr>
      </w:pPr>
    </w:p>
    <w:tbl>
      <w:tblPr>
        <w:tblLayout w:type="fixed"/>
        <w:tblInd w:w="2620" w:type="dxa"/>
        <w:tblCellMar>
          <w:top w:w="0" w:type="dxa"/>
          <w:left w:w="0" w:type="dxa"/>
          <w:bottom w:w="0" w:type="dxa"/>
          <w:right w:w="0" w:type="dxa"/>
        </w:tblCellMar>
      </w:tblPr>
      <w:tr>
        <w:trPr>
          <w:trHeight w:val="21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14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6"/>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102.063 %</w:t>
            </w: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101.031 %</w:t>
            </w:r>
          </w:p>
        </w:tc>
      </w:tr>
      <w:tr>
        <w:trPr>
          <w:trHeight w:val="22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2025, the Company amended its existing credit agreement ("Credit Agreement") to extend the maturity date. The Company incurred fees and expenses of $1.3 million related to the amendment, all of which was capitalized as debt issuance costs. The Company also recorded $0.1 million of non-cash expense related to the write-off of previously capitalized deferred financing fees.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Below is a summary of key terms under the Credit Agreement as of March 31, 2025, compared to the key terms prior to the amendment (showing gross availability):</w:t>
      </w:r>
    </w:p>
    <w:p>
      <w:pPr>
        <w:spacing w:after="0" w:line="158" w:lineRule="exact"/>
        <w:rPr>
          <w:sz w:val="20"/>
          <w:szCs w:val="20"/>
          <w:color w:val="auto"/>
        </w:rPr>
      </w:pPr>
    </w:p>
    <w:tbl>
      <w:tblPr>
        <w:tblLayout w:type="fixed"/>
        <w:tblInd w:w="1160" w:type="dxa"/>
        <w:tblCellMar>
          <w:top w:w="0" w:type="dxa"/>
          <w:left w:w="0" w:type="dxa"/>
          <w:bottom w:w="0" w:type="dxa"/>
          <w:right w:w="0" w:type="dxa"/>
        </w:tblCellMar>
      </w:tblPr>
      <w:tr>
        <w:trPr>
          <w:trHeight w:val="238"/>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2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 ($ in millions)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 Agreement (as amended)</w:t>
            </w:r>
          </w:p>
        </w:tc>
        <w:tc>
          <w:tcPr>
            <w:tcW w:w="30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19"/>
                <w:szCs w:val="19"/>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w:t>
            </w:r>
          </w:p>
        </w:tc>
        <w:tc>
          <w:tcPr>
            <w:tcW w:w="24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3/31/2030</w:t>
            </w:r>
          </w:p>
        </w:tc>
      </w:tr>
      <w:tr>
        <w:trPr>
          <w:trHeight w:val="149"/>
        </w:trPr>
        <w:tc>
          <w:tcPr>
            <w:tcW w:w="3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Credit Agreement (prior to amending)</w:t>
            </w:r>
          </w:p>
        </w:tc>
        <w:tc>
          <w:tcPr>
            <w:tcW w:w="2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3/29/2026</w:t>
            </w: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is subject to benchmark interest rates determined based on the currency denomination of borrowings, with British pound sterling borrowings subject to the Sterling Overnight Index Average, Euro borrowings to the Euro InterBank Offered Rate and U.S. dollar borrowings subject to the Secured Overnight Financing Rate, each plus a spread that ranges from 1.375% to 2.00% based upon the leverage ratio, as defined, as of the most recent determination date. The Company's revolving credit facility allows for the issuance of letters of credit, not to exceed $40.0 million in aggregate.</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2025, the Company had $38.5 million outstanding under its revolving credit facility and had $205.2 million potentially available after giving effect to $6.3 million of letters of credit issued and outstanding. At December 31, 2024, the Company had $1.5 million outstanding under its revolving credit facility and had $292.2 million potentially available after giving effect to $6.3 million of letters of credit issued and outstanding. After consideration of leverage restrictions contained in the Credit Agreement, as of March 31, 2025 and December 31, 2024, the Company had $207.4 million and $216.7 million, respectively, of borrowing capacity available for general corporate purposes.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debt under the Credit Agreement is an obligation of the Company and certain of its domestic subsidiaries and is secured by substantially all of the assets of such parties. Borrowings under the $125.0 million (equivalent) foreign currency sub limit of the $250.0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subject to certain exceptions and limitations, to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any accounts receivable securitization facility,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March 31, 2025, the Company was in compliance with its financial covenants contained in the Credit Agreement.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Revolving Loan Facility</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May 2021, the Company, through one of its non-U.S. subsidiaries, entered into a revolving loan facility with a borrowing capacity of $4 million. The facility is guaranteed by TriMas Corporation. There were no borrowings outstanding on this loan facility as of March 31, 2025 or December 31, 2024.</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Debt</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valuations of the Senior Notes and revolving credit facility were determined based on Level 2 inputs under the fair value hierarchy, as defined. The carrying amounts and fair values were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right"/>
              <w:ind w:right="109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500" w:type="dxa"/>
            <w:vAlign w:val="bottom"/>
          </w:tcPr>
          <w:p>
            <w:pPr>
              <w:spacing w:after="0"/>
              <w:rPr>
                <w:sz w:val="18"/>
                <w:szCs w:val="18"/>
                <w:color w:val="auto"/>
              </w:rPr>
            </w:pP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320" w:type="dxa"/>
            <w:vAlign w:val="bottom"/>
          </w:tcPr>
          <w:p>
            <w:pPr>
              <w:spacing w:after="0"/>
              <w:rPr>
                <w:sz w:val="18"/>
                <w:szCs w:val="18"/>
                <w:color w:val="auto"/>
              </w:rPr>
            </w:pP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5"/>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Senior Notes due April 2029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365,000</w:t>
            </w:r>
          </w:p>
        </w:tc>
      </w:tr>
      <w:tr>
        <w:trPr>
          <w:trHeight w:val="234"/>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 Instruments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Designated as Hedging Instruments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cross-currency swap contracts to hedge its net investment in Euro-denominated assets against future volatility in the exchange rate between the U.S. dollar and the Euro. By doing so, the Company synthetically converts a portion of its U.S. dollar-based long-term debt into Euro-denominated long-term debt.</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 cross-currency swap agreement effective as of June 27, 2024, with a notional amount of $75.0 million and a contract period end date of October 15, 2027. Under the terms of the agreement, the Company is to receive net interest payments at a fixed rate of approximately 1.43% of the notional amount. At inception, the cross-currency swap was designated as a net investment hedge.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2024, the Company entered into a cross-currency swap agreement effective as of April 15, 2024, with a notional amount of $75.0 million and a contract period end date of April 15, 2029. Under the terms of the agreement, the Company is to receive net interest payments at a fixed rate of approximately 1.06% of the notional amount. At inception, the cross-currency swap was designated as a net investment hedge. At designation, the cross currency swap had an inception date non-zero fair value equal to a $4.9 million liability, which offset the inception date non-zero fair value of a $75.0 million foreign currency exchange forward contract entered into on the same date. The non-zero fair value of the cross currency swap was recognized in other income (expense), net in the consolidated statement of income during the three months ended March 31, 2024.</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2024, immediately prior to entering into the new cross-currency swap agreement, the Company voluntarily discontinued hedge accounting for its existing cross-currency swap agreement, de-designating the swap as a net investment hedge. The de-designated agreement had a notional amount of $75.0 million and a contract period end date of April 15, 2024. Under the terms of the agreement, the Company received net interest payments at a fixed rate of approximately 2.4% of the notional amount. At contract settlement, the cross currency swap agreement had a fair value equal to a $3.8 million liability, which was offset by the settlement of the $75.0 million foreign currency exchange forward contract that ended on the same date, both of which were classified as an investing activity in the accompanying consolidated statement of cash flows.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fair value carrying amount of the Company's derivatives designated as hedging instruments are recorded as follows (dollars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4"/>
          </w:tcPr>
          <w:p>
            <w:pPr>
              <w:jc w:val="right"/>
              <w:ind w:right="775"/>
              <w:spacing w:after="0"/>
              <w:rPr>
                <w:sz w:val="20"/>
                <w:szCs w:val="20"/>
                <w:color w:val="auto"/>
              </w:rPr>
            </w:pPr>
            <w:r>
              <w:rPr>
                <w:rFonts w:ascii="Times New Roman" w:cs="Times New Roman" w:eastAsia="Times New Roman" w:hAnsi="Times New Roman"/>
                <w:sz w:val="16"/>
                <w:szCs w:val="16"/>
                <w:b w:val="1"/>
                <w:bCs w:val="1"/>
                <w:color w:val="auto"/>
              </w:rPr>
              <w:t>Asset / (Liability) Derivatives</w:t>
            </w:r>
          </w:p>
        </w:tc>
      </w:tr>
      <w:tr>
        <w:trPr>
          <w:trHeight w:val="214"/>
        </w:trPr>
        <w:tc>
          <w:tcPr>
            <w:tcW w:w="448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302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Balance Sheet Caption</w:t>
            </w:r>
          </w:p>
        </w:tc>
        <w:tc>
          <w:tcPr>
            <w:tcW w:w="2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0" w:type="dxa"/>
            <w:vAlign w:val="bottom"/>
          </w:tcPr>
          <w:p>
            <w:pPr>
              <w:spacing w:after="0"/>
              <w:rPr>
                <w:sz w:val="18"/>
                <w:szCs w:val="18"/>
                <w:color w:val="auto"/>
              </w:rPr>
            </w:pPr>
          </w:p>
        </w:tc>
        <w:tc>
          <w:tcPr>
            <w:tcW w:w="164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5"/>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160" w:type="dxa"/>
            <w:vAlign w:val="bottom"/>
            <w:tcBorders>
              <w:top w:val="single" w:sz="8" w:color="CCEEFF"/>
            </w:tcBorders>
            <w:shd w:val="clear" w:color="auto" w:fill="CCEEFF"/>
          </w:tcPr>
          <w:p>
            <w:pPr>
              <w:spacing w:after="0"/>
              <w:rPr>
                <w:sz w:val="19"/>
                <w:szCs w:val="19"/>
                <w:color w:val="auto"/>
              </w:rPr>
            </w:pPr>
          </w:p>
        </w:tc>
        <w:tc>
          <w:tcPr>
            <w:tcW w:w="2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34"/>
        </w:trPr>
        <w:tc>
          <w:tcPr>
            <w:tcW w:w="4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income recognized in accumulated other comprehensive income (loss) ("AOCI") on derivative contracts designated as hedging instruments as of March 31, 2025 and December 31, 2024, and the amounts reclassified from AOCI into earnings for the three months ended March 31, 2025 and 2024 (dollars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Amount of Income Recognized</w:t>
            </w: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4"/>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Amount of Income (Loss)</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5"/>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in AOCI on Derivatives</w:t>
            </w: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jc w:val="center"/>
              <w:ind w:left="378"/>
              <w:spacing w:after="0" w:line="162" w:lineRule="exact"/>
              <w:rPr>
                <w:sz w:val="20"/>
                <w:szCs w:val="20"/>
                <w:color w:val="auto"/>
              </w:rPr>
            </w:pPr>
            <w:r>
              <w:rPr>
                <w:rFonts w:ascii="Times New Roman" w:cs="Times New Roman" w:eastAsia="Times New Roman" w:hAnsi="Times New Roman"/>
                <w:sz w:val="16"/>
                <w:szCs w:val="16"/>
                <w:b w:val="1"/>
                <w:bCs w:val="1"/>
                <w:color w:val="auto"/>
              </w:rPr>
              <w:t>Reclassified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rPr>
              <w:t>(Effective Portion, net of tax)</w:t>
            </w: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rPr>
              <w:t>from AOCI into Earnings</w:t>
            </w:r>
          </w:p>
        </w:tc>
        <w:tc>
          <w:tcPr>
            <w:tcW w:w="0" w:type="dxa"/>
            <w:vAlign w:val="bottom"/>
          </w:tcPr>
          <w:p>
            <w:pPr>
              <w:spacing w:after="0"/>
              <w:rPr>
                <w:sz w:val="1"/>
                <w:szCs w:val="1"/>
                <w:color w:val="auto"/>
              </w:rPr>
            </w:pPr>
          </w:p>
        </w:tc>
      </w:tr>
      <w:tr>
        <w:trPr>
          <w:trHeight w:val="157"/>
        </w:trPr>
        <w:tc>
          <w:tcPr>
            <w:tcW w:w="2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2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Location of Income (Loss) Reclassified</w:t>
            </w:r>
          </w:p>
        </w:tc>
        <w:tc>
          <w:tcPr>
            <w:tcW w:w="200" w:type="dxa"/>
            <w:vAlign w:val="bottom"/>
          </w:tcPr>
          <w:p>
            <w:pPr>
              <w:spacing w:after="0"/>
              <w:rPr>
                <w:sz w:val="13"/>
                <w:szCs w:val="13"/>
                <w:color w:val="auto"/>
              </w:rPr>
            </w:pPr>
          </w:p>
        </w:tc>
        <w:tc>
          <w:tcPr>
            <w:tcW w:w="2260" w:type="dxa"/>
            <w:vAlign w:val="bottom"/>
            <w:gridSpan w:val="4"/>
          </w:tcPr>
          <w:p>
            <w:pPr>
              <w:jc w:val="center"/>
              <w:ind w:right="115"/>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68"/>
        </w:trPr>
        <w:tc>
          <w:tcPr>
            <w:tcW w:w="2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9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40" w:type="dxa"/>
            <w:vAlign w:val="bottom"/>
            <w:gridSpan w:val="3"/>
            <w:vMerge w:val="restart"/>
          </w:tcPr>
          <w:p>
            <w:pPr>
              <w:jc w:val="center"/>
              <w:ind w:left="538"/>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As of March 31,</w:t>
            </w: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9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6"/>
                <w:szCs w:val="16"/>
                <w:b w:val="1"/>
                <w:bCs w:val="1"/>
                <w:color w:val="auto"/>
              </w:rPr>
              <w:t>from AOCI into Earnings (Effective</w:t>
            </w: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vMerge w:val="continue"/>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Portion)</w:t>
            </w:r>
          </w:p>
        </w:tc>
        <w:tc>
          <w:tcPr>
            <w:tcW w:w="200" w:type="dxa"/>
            <w:vAlign w:val="bottom"/>
          </w:tcPr>
          <w:p>
            <w:pPr>
              <w:spacing w:after="0"/>
              <w:rPr>
                <w:sz w:val="18"/>
                <w:szCs w:val="18"/>
                <w:color w:val="auto"/>
              </w:rPr>
            </w:pPr>
          </w:p>
        </w:tc>
        <w:tc>
          <w:tcPr>
            <w:tcW w:w="98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100" w:type="dxa"/>
            <w:vAlign w:val="bottom"/>
          </w:tcPr>
          <w:p>
            <w:pPr>
              <w:spacing w:after="0"/>
              <w:rPr>
                <w:sz w:val="20"/>
                <w:szCs w:val="20"/>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center"/>
              <w:ind w:left="398"/>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next 12 months, the Company does not expect to reclassify any pre-tax deferred amounts from AOCI into earnings.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2025, the Company was party to foreign currency exchange forward contracts to economically hedge changes in foreign currency rates with notional amounts of $121.1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Canadian dollar, Chinese yuan, and the Mexican peso, as well as between the Euro and British pound, and have various settlement dates through September 2025. These contracts are not designated as hedge instruments; therefore, gains and losses on these contracts are recognized each period directly into the consolidated statement of income.</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of derivatives not designated as hedging instruments on the Company's consolidated statement of income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8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Amount of Income (Loss) Recognized in</w:t>
            </w:r>
          </w:p>
        </w:tc>
        <w:tc>
          <w:tcPr>
            <w:tcW w:w="0" w:type="dxa"/>
            <w:vAlign w:val="bottom"/>
          </w:tcPr>
          <w:p>
            <w:pPr>
              <w:spacing w:after="0"/>
              <w:rPr>
                <w:sz w:val="1"/>
                <w:szCs w:val="1"/>
                <w:color w:val="auto"/>
              </w:rPr>
            </w:pPr>
          </w:p>
        </w:tc>
      </w:tr>
      <w:tr>
        <w:trPr>
          <w:trHeight w:val="214"/>
        </w:trPr>
        <w:tc>
          <w:tcPr>
            <w:tcW w:w="50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Earnings on Derivatives</w:t>
            </w:r>
          </w:p>
        </w:tc>
        <w:tc>
          <w:tcPr>
            <w:tcW w:w="0" w:type="dxa"/>
            <w:vAlign w:val="bottom"/>
          </w:tcPr>
          <w:p>
            <w:pPr>
              <w:spacing w:after="0"/>
              <w:rPr>
                <w:sz w:val="1"/>
                <w:szCs w:val="1"/>
                <w:color w:val="auto"/>
              </w:rPr>
            </w:pPr>
          </w:p>
        </w:tc>
      </w:tr>
      <w:tr>
        <w:trPr>
          <w:trHeight w:val="157"/>
        </w:trPr>
        <w:tc>
          <w:tcPr>
            <w:tcW w:w="50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4"/>
          </w:tcPr>
          <w:p>
            <w:pPr>
              <w:jc w:val="center"/>
              <w:ind w:right="193"/>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50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536"/>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5080" w:type="dxa"/>
            <w:vAlign w:val="bottom"/>
          </w:tcPr>
          <w:p>
            <w:pPr>
              <w:spacing w:after="0"/>
              <w:rPr>
                <w:sz w:val="12"/>
                <w:szCs w:val="12"/>
                <w:color w:val="auto"/>
              </w:rPr>
            </w:pPr>
          </w:p>
        </w:tc>
        <w:tc>
          <w:tcPr>
            <w:tcW w:w="3360" w:type="dxa"/>
            <w:vAlign w:val="bottom"/>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Location of Income (Loss) Recognized in</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4"/>
        </w:trPr>
        <w:tc>
          <w:tcPr>
            <w:tcW w:w="5080" w:type="dxa"/>
            <w:vAlign w:val="bottom"/>
            <w:tcBorders>
              <w:bottom w:val="single" w:sz="8" w:color="CCEEFF"/>
            </w:tcBorders>
          </w:tcPr>
          <w:p>
            <w:pPr>
              <w:spacing w:after="0"/>
              <w:rPr>
                <w:sz w:val="18"/>
                <w:szCs w:val="18"/>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Earnings on Derivatives</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Derivatives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derivatives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March 31, 2025 and December 31, 2024 are shown below (dollars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40" w:type="dxa"/>
            <w:vAlign w:val="bottom"/>
          </w:tcPr>
          <w:p>
            <w:pPr>
              <w:spacing w:after="0"/>
              <w:rPr>
                <w:sz w:val="16"/>
                <w:szCs w:val="16"/>
                <w:color w:val="auto"/>
              </w:rPr>
            </w:pPr>
          </w:p>
        </w:tc>
        <w:tc>
          <w:tcPr>
            <w:tcW w:w="1180" w:type="dxa"/>
            <w:vAlign w:val="bottom"/>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w:t>
            </w:r>
          </w:p>
        </w:tc>
        <w:tc>
          <w:tcPr>
            <w:tcW w:w="1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for Identical</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Observable</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Frequency</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 (Liability)</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14"/>
        </w:trPr>
        <w:tc>
          <w:tcPr>
            <w:tcW w:w="43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40" w:type="dxa"/>
            <w:vAlign w:val="bottom"/>
          </w:tcPr>
          <w:p>
            <w:pPr>
              <w:spacing w:after="0"/>
              <w:rPr>
                <w:sz w:val="18"/>
                <w:szCs w:val="18"/>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25"/>
        </w:trPr>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Cross-currency swaps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Cross-currency swaps</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the Company's lease obligations are non-cancelable operating leases for certain equipment and facilities. The Company's finance leases are for certain equipment as part of the Company's acquisition of Aarts. Leases with an initial term of 12 months or less are not recorded on the balance sheet; expense related to these leases is recognized on a straight-line basis over the lease term.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leases are shown below (dollars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2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340" w:type="dxa"/>
            <w:vAlign w:val="bottom"/>
          </w:tcPr>
          <w:p>
            <w:pPr>
              <w:spacing w:after="0"/>
              <w:rPr>
                <w:sz w:val="18"/>
                <w:szCs w:val="18"/>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80" w:type="dxa"/>
            <w:vAlign w:val="bottom"/>
          </w:tcPr>
          <w:p>
            <w:pPr>
              <w:spacing w:after="0"/>
              <w:rPr>
                <w:sz w:val="18"/>
                <w:szCs w:val="18"/>
                <w:color w:val="auto"/>
              </w:rPr>
            </w:pPr>
          </w:p>
        </w:tc>
        <w:tc>
          <w:tcPr>
            <w:tcW w:w="19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40,480</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Property and equipment, net </w:t>
            </w:r>
            <w:r>
              <w:rPr>
                <w:rFonts w:ascii="Times New Roman" w:cs="Times New Roman" w:eastAsia="Times New Roman" w:hAnsi="Times New Roman"/>
                <w:sz w:val="23"/>
                <w:szCs w:val="23"/>
                <w:color w:val="auto"/>
                <w:vertAlign w:val="superscript"/>
              </w:rPr>
              <w:t>(a)</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223"/>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assets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47,440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42,590</w:t>
            </w: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97"/>
        </w:trPr>
        <w:tc>
          <w:tcPr>
            <w:tcW w:w="2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w:t>
            </w:r>
          </w:p>
        </w:tc>
      </w:tr>
      <w:tr>
        <w:trPr>
          <w:trHeight w:val="230"/>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35,520</w:t>
            </w:r>
          </w:p>
        </w:tc>
      </w:tr>
      <w:tr>
        <w:trPr>
          <w:trHeight w:val="23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44,720</w:t>
            </w:r>
          </w:p>
        </w:tc>
      </w:tr>
      <w:tr>
        <w:trPr>
          <w:trHeight w:val="21"/>
        </w:trPr>
        <w:tc>
          <w:tcPr>
            <w:tcW w:w="2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04"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Finance leases were recorded net of accumulated depreciation of $0.5 million and $0.4 million as of March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 (dollars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 of Income Location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8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Operating lease cost</w:t>
            </w:r>
          </w:p>
        </w:tc>
        <w:tc>
          <w:tcPr>
            <w:tcW w:w="3960" w:type="dxa"/>
            <w:vAlign w:val="bottom"/>
            <w:tcBorders>
              <w:top w:val="single" w:sz="8" w:color="auto"/>
            </w:tcBorders>
            <w:gridSpan w:val="3"/>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Cost of sales and Selling, general and administrative</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80" w:type="dxa"/>
            <w:vAlign w:val="bottom"/>
            <w:shd w:val="clear" w:color="auto" w:fill="CCEEFF"/>
          </w:tcPr>
          <w:p>
            <w:pPr>
              <w:spacing w:after="0"/>
              <w:rPr>
                <w:sz w:val="21"/>
                <w:szCs w:val="21"/>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9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2,580</w:t>
            </w:r>
          </w:p>
        </w:tc>
        <w:tc>
          <w:tcPr>
            <w:tcW w:w="118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of lease assets</w:t>
            </w: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Short-term, variable and other lease costs</w:t>
            </w:r>
          </w:p>
        </w:tc>
        <w:tc>
          <w:tcPr>
            <w:tcW w:w="406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sales and Selling, general and administrative</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80" w:type="dxa"/>
            <w:vAlign w:val="bottom"/>
            <w:shd w:val="clear" w:color="auto" w:fill="CCEEFF"/>
          </w:tcPr>
          <w:p>
            <w:pPr>
              <w:spacing w:after="0"/>
              <w:rPr>
                <w:sz w:val="21"/>
                <w:szCs w:val="21"/>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1,090</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cost</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3,740</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Maturities of lease liabilities are as follows (dollars in thousands):</w:t>
            </w: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6960" w:type="dxa"/>
            <w:vAlign w:val="bottom"/>
            <w:gridSpan w:val="4"/>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3"/>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Operating Leases</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Finance Leases</w:t>
            </w:r>
            <w:r>
              <w:rPr>
                <w:rFonts w:ascii="Times New Roman" w:cs="Times New Roman" w:eastAsia="Times New Roman" w:hAnsi="Times New Roman"/>
                <w:sz w:val="23"/>
                <w:szCs w:val="23"/>
                <w:color w:val="auto"/>
                <w:vertAlign w:val="superscript"/>
              </w:rPr>
              <w:t>(a)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(excluding the three months ended March 31, 2025)</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2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ind w:left="340" w:hanging="332"/>
        <w:spacing w:after="0" w:line="230" w:lineRule="auto"/>
        <w:tabs>
          <w:tab w:leader="none" w:pos="304"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the Company's leases are as follows (dollars in thousands):</w:t>
      </w:r>
    </w:p>
    <w:p>
      <w:pPr>
        <w:spacing w:after="0" w:line="199"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5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4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140" w:type="dxa"/>
            <w:vAlign w:val="bottom"/>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r>
      <w:tr>
        <w:trPr>
          <w:trHeight w:val="23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lease liabilities:</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4"/>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r>
    </w:tbl>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of the Company's operating leases and finance leases as of March 31, 2025 is 6.1 years and 2.3 years, respectively. The weighted-average discount rate for the operating leases and finance leases as of March 31, 2025 is 4.4% and 2.6%, respectively.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Long-term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consist of the following components (dollars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Pr>
          <w:p>
            <w:pPr>
              <w:spacing w:after="0"/>
              <w:rPr>
                <w:sz w:val="18"/>
                <w:szCs w:val="18"/>
                <w:color w:val="auto"/>
              </w:rPr>
            </w:pPr>
          </w:p>
        </w:tc>
        <w:tc>
          <w:tcPr>
            <w:tcW w:w="16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asbestos-related liabilities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27,200</w:t>
            </w:r>
          </w:p>
        </w:tc>
      </w:tr>
      <w:tr>
        <w:trPr>
          <w:trHeight w:val="229"/>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15,340</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2025, the Company was a party to 539 pending cases involving an aggregate of 4,990 claimants primarily alleging personal injury from exposure to asbestos containing materials formerly used in gaskets (both encapsulated and otherwise) manufactured or distributed by its former Lamons division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at the applicable date and for the applicable periods: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Claims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Claims</w:t>
            </w:r>
          </w:p>
        </w:tc>
        <w:tc>
          <w:tcPr>
            <w:tcW w:w="12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2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Claims filed</w:t>
            </w:r>
          </w:p>
        </w:tc>
        <w:tc>
          <w:tcPr>
            <w:tcW w:w="12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settlement</w:t>
            </w:r>
          </w:p>
        </w:tc>
        <w:tc>
          <w:tcPr>
            <w:tcW w:w="140" w:type="dxa"/>
            <w:vAlign w:val="bottom"/>
          </w:tcPr>
          <w:p>
            <w:pPr>
              <w:spacing w:after="0"/>
              <w:rPr>
                <w:sz w:val="14"/>
                <w:szCs w:val="14"/>
                <w:color w:val="auto"/>
              </w:rPr>
            </w:pPr>
          </w:p>
        </w:tc>
        <w:tc>
          <w:tcPr>
            <w:tcW w:w="1120" w:type="dxa"/>
            <w:vAlign w:val="bottom"/>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8"/>
              </w:rPr>
              <w:t>Total defense</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pending at</w:t>
            </w:r>
          </w:p>
        </w:tc>
        <w:tc>
          <w:tcPr>
            <w:tcW w:w="1260" w:type="dxa"/>
            <w:vAlign w:val="bottom"/>
            <w:gridSpan w:val="2"/>
            <w:vMerge w:val="continue"/>
          </w:tcPr>
          <w:p>
            <w:pPr>
              <w:spacing w:after="0"/>
              <w:rPr>
                <w:sz w:val="14"/>
                <w:szCs w:val="14"/>
                <w:color w:val="auto"/>
              </w:rPr>
            </w:pP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dismissed</w:t>
            </w:r>
          </w:p>
        </w:tc>
        <w:tc>
          <w:tcPr>
            <w:tcW w:w="1260" w:type="dxa"/>
            <w:vAlign w:val="bottom"/>
            <w:gridSpan w:val="2"/>
          </w:tcPr>
          <w:p>
            <w:pPr>
              <w:ind w:left="360"/>
              <w:spacing w:after="0" w:line="162" w:lineRule="exact"/>
              <w:rPr>
                <w:sz w:val="20"/>
                <w:szCs w:val="20"/>
                <w:color w:val="auto"/>
              </w:rPr>
            </w:pPr>
            <w:r>
              <w:rPr>
                <w:rFonts w:ascii="Times New Roman" w:cs="Times New Roman" w:eastAsia="Times New Roman" w:hAnsi="Times New Roman"/>
                <w:sz w:val="16"/>
                <w:szCs w:val="16"/>
                <w:b w:val="1"/>
                <w:bCs w:val="1"/>
                <w:color w:val="auto"/>
              </w:rPr>
              <w:t>settled</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pending at</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amount per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1260" w:type="dxa"/>
            <w:vAlign w:val="bottom"/>
            <w:gridSpan w:val="2"/>
          </w:tcPr>
          <w:p>
            <w:pPr>
              <w:ind w:left="340"/>
              <w:spacing w:after="0" w:line="162" w:lineRule="exact"/>
              <w:rPr>
                <w:sz w:val="20"/>
                <w:szCs w:val="20"/>
                <w:color w:val="auto"/>
              </w:rPr>
            </w:pPr>
            <w:r>
              <w:rPr>
                <w:rFonts w:ascii="Times New Roman" w:cs="Times New Roman" w:eastAsia="Times New Roman" w:hAnsi="Times New Roman"/>
                <w:sz w:val="16"/>
                <w:szCs w:val="16"/>
                <w:b w:val="1"/>
                <w:bCs w:val="1"/>
                <w:color w:val="auto"/>
              </w:rPr>
              <w:t>during</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end of</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claim during</w:t>
            </w:r>
          </w:p>
        </w:tc>
        <w:tc>
          <w:tcPr>
            <w:tcW w:w="140" w:type="dxa"/>
            <w:vAlign w:val="bottom"/>
          </w:tcPr>
          <w:p>
            <w:pPr>
              <w:spacing w:after="0"/>
              <w:rPr>
                <w:sz w:val="14"/>
                <w:szCs w:val="14"/>
                <w:color w:val="auto"/>
              </w:rPr>
            </w:pPr>
          </w:p>
        </w:tc>
        <w:tc>
          <w:tcPr>
            <w:tcW w:w="112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costs during</w:t>
            </w:r>
          </w:p>
        </w:tc>
        <w:tc>
          <w:tcPr>
            <w:tcW w:w="0" w:type="dxa"/>
            <w:vAlign w:val="bottom"/>
          </w:tcPr>
          <w:p>
            <w:pPr>
              <w:spacing w:after="0"/>
              <w:rPr>
                <w:sz w:val="1"/>
                <w:szCs w:val="1"/>
                <w:color w:val="auto"/>
              </w:rPr>
            </w:pPr>
          </w:p>
        </w:tc>
      </w:tr>
      <w:tr>
        <w:trPr>
          <w:trHeight w:val="214"/>
        </w:trPr>
        <w:tc>
          <w:tcPr>
            <w:tcW w:w="22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40" w:type="dxa"/>
            <w:vAlign w:val="bottom"/>
          </w:tcPr>
          <w:p>
            <w:pPr>
              <w:spacing w:after="0"/>
              <w:rPr>
                <w:sz w:val="18"/>
                <w:szCs w:val="18"/>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157"/>
        </w:trPr>
        <w:tc>
          <w:tcPr>
            <w:tcW w:w="220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Three Months Ended March</w:t>
            </w: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4,990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510,000</w:t>
            </w:r>
          </w:p>
        </w:tc>
        <w:tc>
          <w:tcPr>
            <w:tcW w:w="0" w:type="dxa"/>
            <w:vAlign w:val="bottom"/>
          </w:tcPr>
          <w:p>
            <w:pPr>
              <w:spacing w:after="0"/>
              <w:rPr>
                <w:sz w:val="1"/>
                <w:szCs w:val="1"/>
                <w:color w:val="auto"/>
              </w:rPr>
            </w:pPr>
          </w:p>
        </w:tc>
      </w:tr>
      <w:tr>
        <w:trPr>
          <w:trHeight w:val="175"/>
        </w:trPr>
        <w:tc>
          <w:tcPr>
            <w:tcW w:w="2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Fiscal Year Ended</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4,968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be subjected to significant additional asbestos-related claims in the future, and will aggressively defend or reasonably resolve, as appropriate. The cost of settling cases in which product identification can be made may increase, and the Company may be subjected to further claims in respect of the former activities of its acquired gasket distributors. The cost of claims varies as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4,990 claims pending at March 31, 2025, 27 set forth specific amounts of damages (other than those stating the statutory minimum or maximum). At March 31, 2025, of the 27 claims that set forth specific amounts, there were no claims seeking more than $5 million for punitive damages. Below is a breakdown of the compensatory damages sought for those claims seeking specific amounts:</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Compensatory</w:t>
            </w:r>
          </w:p>
        </w:tc>
        <w:tc>
          <w:tcPr>
            <w:tcW w:w="1320" w:type="dxa"/>
            <w:vAlign w:val="bottom"/>
            <w:tcBorders>
              <w:bottom w:val="single" w:sz="8" w:color="auto"/>
            </w:tcBorders>
          </w:tcPr>
          <w:p>
            <w:pPr>
              <w:spacing w:after="0"/>
              <w:rPr>
                <w:sz w:val="18"/>
                <w:szCs w:val="18"/>
                <w:color w:val="auto"/>
              </w:rPr>
            </w:pPr>
          </w:p>
        </w:tc>
      </w:tr>
      <w:tr>
        <w:trPr>
          <w:trHeight w:val="215"/>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Range of damages sought (dollars in millions)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$0.0 to $0.6</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$0.6 to $5.0</w:t>
            </w:r>
          </w:p>
        </w:tc>
        <w:tc>
          <w:tcPr>
            <w:tcW w:w="132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$5.0+</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claims</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22</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Relatively few claims have reached the discovery stage and even fewer claims have gone past the discovery stage. Total settlement costs (exclusive of defense costs) for all such cases, some of which were filed over 30 years ago, have been $13.8 million. All relief sought in the asbestos cases is monetary in nature. Based on the settlements made to date and the number of claims dismissed or withdrawn for lack of product identification, the Company believes that the relief sought (when specified) does not bear a reasonable relationship to its potential liability.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records a liability for asbestos-related claims, which includes both known and unknown claims, based on a study from the Company’s third-party actuary, the Company's review of the study, as well as the Company’s own review of asbestos claims and claim resolution activity.</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third quarter of 2024, the Company commissioned its actuary to update the study, based on data as of May 31, 2024, which yielded a range of possible future liability of $31.0 million to $39.8 million, before consideration of any potential insurance recoveries. The Company did not believe any amount within the range of potential outcomes represented a better estimate than another given the many factors and assumptions inherent in the projections, and therefore recorded a pre-tax charge of $5.5 million to increase the liability estimate to $31.0 million, at the low-end of the range. As of March 31, 2025 and December 31, 2024, the Company’s total asbestos-related liability was $28.9 million and $29.7 million, respectively, and is included in accrued liabilities and other long-term liabilities in the accompanying consolidated balance sheet.</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primary insurance, which covered approximately 40% of historical costs related to settlement and defense of asbestos litigation, expired in November 2018, upon which the Company became solely responsible for defense costs and indemnity payments. The Company is party to a coverage-in-place agreement (entered into in 2006) with its first level excess carriers regarding the coverage to be provided to the Company for asbestos-related claims. The coverage-in-place agreement makes asbestos defense costs and indemnity insurance coverage available to the Company that might otherwise be disputed by the carriers and provides a methodology for the administration of such expenses. The Company will continue to be solely responsible for defense costs and indemnity payments prior to the commencement of coverage under this agreement, the duration of which would be subject to the scope of damage awards and settlements paid. Based upon the Company’s review of the most recent actuarial study, the Company believes it will reach the threshold of qualified future settlements required to commence excess carrier insurance coverage under the coverage-in-place agreement in 2025. As of March 31, 2025, the Company has not recognized an asbestos-related insurance recovery asset corresponding to its asbestos-related liability. The Company will continue to reassess its estimate of insurance recoveries and corresponding accounting for any such recoveries as the facts and circumstances change.</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results of operations, or cash flows.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and Litigation</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responsible for environmental remediation at currently or previously owned facilities and waste sites, including sites defined under the Comprehensive Environmental Response, Compensation, and Liability Act, commonly referred to as “Superfund” for which the Company has been named a potential responsible party. During the three months ended March 31, 2025 and 2024, the Company recorded no charges related to environmental remediation costs. As of March 31, 2025 and December 31, 2024, the Company’s total environmental remediation obligation was $3.3 million. The accrual is primarily based on environmental cost estimates provided by third parties and represents the best estimate of the Company’s proportionate share of costs to be incurred for site remediation efforts. Actual costs incurred resulting from the ultimate resolution of these uncertainties could exceed the amount accrued.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defines its segments consistent with how internally reported financial information is regularly reviewed by TriMas' President and Chief Executive Officer (chief operating decision maker) to analyze financial performance, make decisions, and allocate resources. TriMas reports its operations in three segments: Packaging, Aerospace and Specialty Products. Each of these segments has discrete financial information that is regularly evaluated by the chief operating decision maker. The chief operating decision maker uses segment adjusted operating profit when assessing segment performance, determining resource and capital allocation and developing overall strategic direction of the Company. The chief operating decision maker analyzes segment adjusted operating profit on a monthly basis by comparing actual results to forecasted and budgeted expectations to assess performance. Segment adjusted operating profit is also used in compensation related decision-making under certain employee incentive programs. Segment adjusted operating profit is defined as operating profit excluding Special Items. Special Items include: realignment and severance costs and purchase accounting charges related to the step-up of inventory to fair value.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each of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Packaging – </w:t>
      </w:r>
      <w:r>
        <w:rPr>
          <w:rFonts w:ascii="Times New Roman" w:cs="Times New Roman" w:eastAsia="Times New Roman" w:hAnsi="Times New Roman"/>
          <w:sz w:val="18"/>
          <w:szCs w:val="18"/>
          <w:color w:val="auto"/>
        </w:rPr>
        <w:t>TriMas' Packaging segment consists primarily of the Rieke, Affaba &amp; Ferrari, Taplast, Rapak, Plastic Srl, and Aarts Packaging brands,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also marketed under the TriMas Packaging brand, as well as the Intertech and Omega brands, which are also marketed under the TriMas Life Sciences brand. TriMas' Packaging business develops and manufactures a broad array of dispensing products (such as foaming pumps, lotion, hand soap and sanitizer pumps, beverage dispensers, perfume sprayers, nasal sprayers and trigger sprayers), polymeric and steel caps and closures (such as food lids, flip-top closures, child resistant caps, beverage closures, fragrance and cosmetic caps, drum and pail closures, and flexible spouts), polymeric jar products, fully integrated dispensers for fill-ready bag-in-box applications, and consumable vascular delivery and diagnostic test components, all for a variety of consumer products submarkets including, but not limited to, beauty and personal care, food and beverage, home care, and life sciences, including, but not limited to, pharmaceutical, nutraceutical, and medical, as well as industrial markets (including agricultural).</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Aerospace – </w:t>
      </w:r>
      <w:r>
        <w:rPr>
          <w:rFonts w:ascii="Times New Roman" w:cs="Times New Roman" w:eastAsia="Times New Roman" w:hAnsi="Times New Roman"/>
          <w:sz w:val="18"/>
          <w:szCs w:val="18"/>
          <w:color w:val="auto"/>
        </w:rPr>
        <w:t>TriMas' Aerospace segment includes the Monogram Aerospace Fasteners, Allfast Fastening Systems, Mac Fasteners, TFI Aerospace, RSA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Engineered Products, Martinic Engineering, and Weldmac Manufacturing Company brands, which are also marketed under the TriMas Aerospace brand. TriMas' Aerospace business develops, qualifies and manufactures highly-engineered, precision fasteners, tubular products and assemblies for fluid conveyance, and machined products and assemblies to serve the aerospace and defense market. TriMas' Aerospace segment also includes GMT Aerospace, acquired on February 17, 2025, which the Company has renamed TriMas Aerospace Germany.</w:t>
      </w:r>
    </w:p>
    <w:p>
      <w:pPr>
        <w:spacing w:after="0" w:line="1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Specialty Products – </w:t>
      </w:r>
      <w:r>
        <w:rPr>
          <w:rFonts w:ascii="Times New Roman" w:cs="Times New Roman" w:eastAsia="Times New Roman" w:hAnsi="Times New Roman"/>
          <w:sz w:val="18"/>
          <w:szCs w:val="18"/>
          <w:color w:val="auto"/>
        </w:rPr>
        <w:t>TriMas' Specialty Products segment, which includes the Norris Cylinder brand, designs, manufactures and distributes highly-engineered steel cylinders for use within industrial and aerospace markets. On January 31, 2025, the Company completed the divestiture of its Arrow Engine business within its Specialty Products segment. The Arrow Engine business manufactured and distributed natural gas-fired engines for remote power generation applications and compression systems for use within the North American industrial oil and gas markets.</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consists of our corporate office and related corporate activities. Corporate expenses primarily include compensation, benefits, professional services, information technology and other administrative costs. Corporate assets consist primarily of cash and cash equivalents, unallocated deferred tax assets and prepaid assets. Corporate expenses and assets reconcile reportable segment information to the consolidated totals.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Segment activity is as follows (dollars in thousands):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Packaging</w:t>
            </w:r>
          </w:p>
        </w:tc>
        <w:tc>
          <w:tcPr>
            <w:tcW w:w="180" w:type="dxa"/>
            <w:vAlign w:val="bottom"/>
          </w:tcPr>
          <w:p>
            <w:pPr>
              <w:spacing w:after="0"/>
              <w:rPr>
                <w:sz w:val="24"/>
                <w:szCs w:val="24"/>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Aerospace</w:t>
            </w:r>
          </w:p>
        </w:tc>
        <w:tc>
          <w:tcPr>
            <w:tcW w:w="220" w:type="dxa"/>
            <w:vAlign w:val="bottom"/>
          </w:tcPr>
          <w:p>
            <w:pPr>
              <w:spacing w:after="0"/>
              <w:rPr>
                <w:sz w:val="24"/>
                <w:szCs w:val="2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Specialty</w:t>
            </w:r>
          </w:p>
        </w:tc>
        <w:tc>
          <w:tcPr>
            <w:tcW w:w="300" w:type="dxa"/>
            <w:vAlign w:val="bottom"/>
          </w:tcPr>
          <w:p>
            <w:pPr>
              <w:spacing w:after="0"/>
              <w:rPr>
                <w:sz w:val="24"/>
                <w:szCs w:val="24"/>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3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241,670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Adjusted selling, general and administrative expenses </w:t>
            </w:r>
            <w:r>
              <w:rPr>
                <w:rFonts w:ascii="Times New Roman" w:cs="Times New Roman" w:eastAsia="Times New Roman" w:hAnsi="Times New Roman"/>
                <w:sz w:val="23"/>
                <w:szCs w:val="23"/>
                <w:color w:val="auto"/>
                <w:vertAlign w:val="superscript"/>
              </w:rPr>
              <w:t>(b)</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(c)</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adjusted operating profit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33,140</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7"/>
                <w:szCs w:val="17"/>
                <w:color w:val="auto"/>
              </w:rPr>
              <w:t xml:space="preserve">Corporate </w:t>
            </w:r>
            <w:r>
              <w:rPr>
                <w:rFonts w:ascii="Times New Roman" w:cs="Times New Roman" w:eastAsia="Times New Roman" w:hAnsi="Times New Roman"/>
                <w:sz w:val="22"/>
                <w:szCs w:val="22"/>
                <w:color w:val="auto"/>
                <w:vertAlign w:val="superscript"/>
              </w:rPr>
              <w:t>(d)</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(9,380)</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realignment and severance costs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accounting costs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17,160</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6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227,100</w:t>
            </w:r>
          </w:p>
        </w:tc>
        <w:tc>
          <w:tcPr>
            <w:tcW w:w="0" w:type="dxa"/>
            <w:vAlign w:val="bottom"/>
          </w:tcPr>
          <w:p>
            <w:pPr>
              <w:spacing w:after="0"/>
              <w:rPr>
                <w:sz w:val="1"/>
                <w:szCs w:val="1"/>
                <w:color w:val="auto"/>
              </w:rPr>
            </w:pPr>
          </w:p>
        </w:tc>
      </w:tr>
      <w:tr>
        <w:trPr>
          <w:trHeight w:val="229"/>
        </w:trPr>
        <w:tc>
          <w:tcPr>
            <w:tcW w:w="56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Adjusted selling, general and administrative expenses </w:t>
            </w:r>
            <w:r>
              <w:rPr>
                <w:rFonts w:ascii="Times New Roman" w:cs="Times New Roman" w:eastAsia="Times New Roman" w:hAnsi="Times New Roman"/>
                <w:sz w:val="23"/>
                <w:szCs w:val="23"/>
                <w:color w:val="auto"/>
                <w:vertAlign w:val="superscript"/>
              </w:rPr>
              <w:t>(b)</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(c)</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adjusted operating profit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23"/>
                <w:szCs w:val="23"/>
                <w:color w:val="auto"/>
                <w:vertAlign w:val="superscript"/>
              </w:rPr>
              <w:t>(e)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(14,410)</w:t>
            </w:r>
          </w:p>
        </w:tc>
        <w:tc>
          <w:tcPr>
            <w:tcW w:w="0" w:type="dxa"/>
            <w:vAlign w:val="bottom"/>
          </w:tcPr>
          <w:p>
            <w:pPr>
              <w:spacing w:after="0" w:line="20" w:lineRule="exact"/>
              <w:rPr>
                <w:sz w:val="1"/>
                <w:szCs w:val="1"/>
                <w:color w:val="auto"/>
              </w:rPr>
            </w:pPr>
          </w:p>
        </w:tc>
      </w:tr>
      <w:tr>
        <w:trPr>
          <w:trHeight w:val="176"/>
        </w:trPr>
        <w:tc>
          <w:tcPr>
            <w:tcW w:w="56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realignment and severance costs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46" w:lineRule="exact"/>
        <w:rPr>
          <w:sz w:val="20"/>
          <w:szCs w:val="20"/>
          <w:color w:val="auto"/>
        </w:rPr>
      </w:pPr>
    </w:p>
    <w:p>
      <w:pPr>
        <w:ind w:left="140" w:hanging="132"/>
        <w:spacing w:after="0"/>
        <w:tabs>
          <w:tab w:leader="none" w:pos="14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Adjusted cost of sales is defined as cost of sales excluding Special Items.</w:t>
      </w:r>
    </w:p>
    <w:p>
      <w:pPr>
        <w:spacing w:after="0" w:line="92" w:lineRule="exact"/>
        <w:rPr>
          <w:rFonts w:ascii="Times New Roman" w:cs="Times New Roman" w:eastAsia="Times New Roman" w:hAnsi="Times New Roman"/>
          <w:sz w:val="17"/>
          <w:szCs w:val="17"/>
          <w:color w:val="auto"/>
          <w:vertAlign w:val="superscript"/>
        </w:rPr>
      </w:pPr>
    </w:p>
    <w:p>
      <w:pPr>
        <w:ind w:left="160" w:hanging="152"/>
        <w:spacing w:after="0"/>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Adjusted selling, general and administrative expenses is defined as selling, general and administrative expenses excluding Special Items.</w:t>
      </w:r>
    </w:p>
    <w:p>
      <w:pPr>
        <w:spacing w:after="0" w:line="128" w:lineRule="exact"/>
        <w:rPr>
          <w:rFonts w:ascii="Times New Roman" w:cs="Times New Roman" w:eastAsia="Times New Roman" w:hAnsi="Times New Roman"/>
          <w:sz w:val="19"/>
          <w:szCs w:val="19"/>
          <w:color w:val="auto"/>
          <w:vertAlign w:val="superscript"/>
        </w:rPr>
      </w:pPr>
    </w:p>
    <w:p>
      <w:pPr>
        <w:ind w:left="140" w:hanging="132"/>
        <w:spacing w:after="0"/>
        <w:tabs>
          <w:tab w:leader="none" w:pos="14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segment items for each reportable segment includes net gain (loss) on dispositions of assets excluding Special Items.</w:t>
      </w:r>
    </w:p>
    <w:p>
      <w:pPr>
        <w:spacing w:after="0" w:line="122" w:lineRule="exact"/>
        <w:rPr>
          <w:rFonts w:ascii="Times New Roman" w:cs="Times New Roman" w:eastAsia="Times New Roman" w:hAnsi="Times New Roman"/>
          <w:sz w:val="17"/>
          <w:szCs w:val="17"/>
          <w:color w:val="auto"/>
          <w:vertAlign w:val="superscript"/>
        </w:rPr>
      </w:pPr>
    </w:p>
    <w:p>
      <w:pPr>
        <w:ind w:left="180" w:hanging="172"/>
        <w:spacing w:after="0" w:line="230" w:lineRule="auto"/>
        <w:tabs>
          <w:tab w:leader="none" w:pos="166"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$5.3 million gain on the sale of Arrow Engine, $4.7 million of realignment, severance and consulting costs, $0.9 million of system implementation costs, and $0.3 million of mergers, acquisition, diligence and transaction costs.</w:t>
      </w:r>
    </w:p>
    <w:p>
      <w:pPr>
        <w:spacing w:after="0" w:line="122" w:lineRule="exact"/>
        <w:rPr>
          <w:rFonts w:ascii="Times New Roman" w:cs="Times New Roman" w:eastAsia="Times New Roman" w:hAnsi="Times New Roman"/>
          <w:sz w:val="19"/>
          <w:szCs w:val="19"/>
          <w:color w:val="auto"/>
          <w:vertAlign w:val="superscript"/>
        </w:rPr>
      </w:pPr>
    </w:p>
    <w:p>
      <w:pPr>
        <w:ind w:left="140" w:hanging="132"/>
        <w:spacing w:after="0"/>
        <w:tabs>
          <w:tab w:leader="none" w:pos="14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$1.2 million of mergers, acquisition, diligence and transaction costs, and $1.0 million of system implementation costs, and $0.7 million of consulting costs.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5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20" w:type="dxa"/>
            <w:vAlign w:val="bottom"/>
            <w:tcBorders>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Packaging</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8,480</w:t>
            </w:r>
          </w:p>
        </w:tc>
      </w:tr>
      <w:tr>
        <w:trPr>
          <w:trHeight w:val="229"/>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Aerospace</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30"/>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Specialty Products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29"/>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13,250</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15"/>
        </w:trPr>
        <w:tc>
          <w:tcPr>
            <w:tcW w:w="77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Packaging</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8,570</w:t>
            </w:r>
          </w:p>
        </w:tc>
      </w:tr>
      <w:tr>
        <w:trPr>
          <w:trHeight w:val="229"/>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Aerospace</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r>
      <w:tr>
        <w:trPr>
          <w:trHeight w:val="230"/>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Specialty Products</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29"/>
        </w:trPr>
        <w:tc>
          <w:tcPr>
            <w:tcW w:w="7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0"/>
                <w:szCs w:val="20"/>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Packaging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840,550</w:t>
            </w:r>
          </w:p>
        </w:tc>
        <w:tc>
          <w:tcPr>
            <w:tcW w:w="2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811,190</w:t>
            </w:r>
          </w:p>
        </w:tc>
      </w:tr>
      <w:tr>
        <w:trPr>
          <w:trHeight w:val="22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Aerospace</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445,050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390,980</w:t>
            </w: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Specialty Products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89,210</w:t>
            </w:r>
          </w:p>
        </w:tc>
      </w:tr>
      <w:tr>
        <w:trPr>
          <w:trHeight w:val="230"/>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33,240</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32,800</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1,393,750</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1,324,180</w:t>
            </w:r>
          </w:p>
        </w:tc>
      </w:tr>
      <w:tr>
        <w:trPr>
          <w:trHeight w:val="20"/>
        </w:trPr>
        <w:tc>
          <w:tcPr>
            <w:tcW w:w="4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Equity Awards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awarded the following restricted stock units ("RSUs") during the three months ended March 31, 2025:</w:t>
      </w:r>
    </w:p>
    <w:p>
      <w:pPr>
        <w:spacing w:after="0" w:line="158" w:lineRule="exact"/>
        <w:rPr>
          <w:sz w:val="20"/>
          <w:szCs w:val="20"/>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283,786 RSUs to certain employees, which are subject only to a service condition and vest ratably over one, two, or three years so long as the employee remains with the Company;</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33,120 RSUs to its non-employee independent directors, which fully vest one year from date of grant so long as the director and/or Company does not terminate the director's service prior to the vesting date;</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37 RSUs to certain employees related to dividend equivalent rights on existing equity awards; and</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1,242 RSUs related to director fee deferrals as certain of the Company's directors elected to defer all or a portion of their director fees and to receive the amount in Company common stock at a future date.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2025, the Company also awarded 95,023 performance-based RSUs to certain Company key employees which vest three years from the grant date as long as the employee remains with the Company. These awards are initially earned 50% based upon the Company's achievement of an earnings per share compound annual growth rate ("EPS CAGR") metric and 50% based upon the Company's cash return on net assets ("Cash RONA") metric over a period beginning January 1, 2025 and ending December 31, 2027. The total EPS CAGR and Cash RONA performance-based RSUs initially earned shall be subject to modification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4.00% and annualized volatility of 30.8%. Depending on the performance achieved for these two metrics, the amount of shares earned, if any, can vary for each metric from 0% of the target award to a maximum of 250% of the target.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RSUs at March 31, 2025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 Unvested</w:t>
            </w:r>
          </w:p>
        </w:tc>
        <w:tc>
          <w:tcPr>
            <w:tcW w:w="14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 Remaining</w:t>
            </w:r>
          </w:p>
        </w:tc>
        <w:tc>
          <w:tcPr>
            <w:tcW w:w="120" w:type="dxa"/>
            <w:vAlign w:val="bottom"/>
          </w:tcPr>
          <w:p>
            <w:pPr>
              <w:spacing w:after="0"/>
              <w:rPr>
                <w:sz w:val="16"/>
                <w:szCs w:val="16"/>
                <w:color w:val="auto"/>
              </w:rPr>
            </w:pPr>
          </w:p>
        </w:tc>
        <w:tc>
          <w:tcPr>
            <w:tcW w:w="1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17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4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RSUs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4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560" w:type="dxa"/>
            <w:vAlign w:val="bottom"/>
            <w:tcBorders>
              <w:top w:val="single" w:sz="8" w:color="auto"/>
            </w:tcBorders>
            <w:shd w:val="clear" w:color="auto" w:fill="CCEEFF"/>
          </w:tcPr>
          <w:p>
            <w:pPr>
              <w:jc w:val="center"/>
              <w:ind w:left="773"/>
              <w:spacing w:after="0"/>
              <w:rPr>
                <w:sz w:val="20"/>
                <w:szCs w:val="20"/>
                <w:color w:val="auto"/>
              </w:rPr>
            </w:pPr>
            <w:r>
              <w:rPr>
                <w:rFonts w:ascii="Times New Roman" w:cs="Times New Roman" w:eastAsia="Times New Roman" w:hAnsi="Times New Roman"/>
                <w:sz w:val="18"/>
                <w:szCs w:val="18"/>
                <w:color w:val="auto"/>
                <w:w w:val="99"/>
              </w:rPr>
              <w:t>823,943</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w w:val="99"/>
              </w:rPr>
              <w:t>413,208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center"/>
              <w:ind w:left="733"/>
              <w:spacing w:after="0"/>
              <w:rPr>
                <w:sz w:val="20"/>
                <w:szCs w:val="20"/>
                <w:color w:val="auto"/>
              </w:rPr>
            </w:pPr>
            <w:r>
              <w:rPr>
                <w:rFonts w:ascii="Times New Roman" w:cs="Times New Roman" w:eastAsia="Times New Roman" w:hAnsi="Times New Roman"/>
                <w:sz w:val="18"/>
                <w:szCs w:val="18"/>
                <w:color w:val="auto"/>
                <w:w w:val="99"/>
              </w:rPr>
              <w:t>(232,404)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560" w:type="dxa"/>
            <w:vAlign w:val="bottom"/>
            <w:tcBorders>
              <w:bottom w:val="single" w:sz="8" w:color="auto"/>
            </w:tcBorders>
          </w:tcPr>
          <w:p>
            <w:pPr>
              <w:jc w:val="center"/>
              <w:ind w:left="733"/>
              <w:spacing w:after="0"/>
              <w:rPr>
                <w:sz w:val="20"/>
                <w:szCs w:val="20"/>
                <w:color w:val="auto"/>
              </w:rPr>
            </w:pPr>
            <w:r>
              <w:rPr>
                <w:rFonts w:ascii="Times New Roman" w:cs="Times New Roman" w:eastAsia="Times New Roman" w:hAnsi="Times New Roman"/>
                <w:sz w:val="18"/>
                <w:szCs w:val="18"/>
                <w:color w:val="auto"/>
                <w:w w:val="99"/>
              </w:rPr>
              <w:t>(123,277)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560" w:type="dxa"/>
            <w:vAlign w:val="bottom"/>
            <w:tcBorders>
              <w:bottom w:val="single" w:sz="8" w:color="auto"/>
            </w:tcBorders>
            <w:shd w:val="clear" w:color="auto" w:fill="CCEEFF"/>
          </w:tcPr>
          <w:p>
            <w:pPr>
              <w:jc w:val="center"/>
              <w:ind w:left="773"/>
              <w:spacing w:after="0"/>
              <w:rPr>
                <w:sz w:val="20"/>
                <w:szCs w:val="20"/>
                <w:color w:val="auto"/>
              </w:rPr>
            </w:pPr>
            <w:r>
              <w:rPr>
                <w:rFonts w:ascii="Times New Roman" w:cs="Times New Roman" w:eastAsia="Times New Roman" w:hAnsi="Times New Roman"/>
                <w:sz w:val="18"/>
                <w:szCs w:val="18"/>
                <w:color w:val="auto"/>
                <w:w w:val="99"/>
              </w:rPr>
              <w:t>881,470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20,652,842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there was $10.6 million of unrecognized compensation cost related to unvested RSUs that is expected to be recorded over a weighted average period of 2.3 years.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RSUs of $3.0 million and $4.6 million during the three months ended March 31, 2025 and 2024, respectively. The stock-based compensation expense is included in selling, general and administrative expenses in the accompanying consolidated statement of income.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Earnings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is divided by the weighted average number of common shares outstanding during the period to calculate basic earnings per share. Diluted earnings per share is calculated to give effect to RSUs. The following table summarizes the dilutive effect of RSUs on common stock for the three months ended March 31, 2025 and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Pr>
          <w:p>
            <w:pPr>
              <w:spacing w:after="0"/>
              <w:rPr>
                <w:sz w:val="18"/>
                <w:szCs w:val="18"/>
                <w:color w:val="auto"/>
              </w:rPr>
            </w:pPr>
          </w:p>
        </w:tc>
        <w:tc>
          <w:tcPr>
            <w:tcW w:w="3300" w:type="dxa"/>
            <w:vAlign w:val="bottom"/>
            <w:tcBorders>
              <w:bottom w:val="single" w:sz="8" w:color="auto"/>
            </w:tcBorders>
            <w:gridSpan w:val="3"/>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94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40,605,288</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41,018,049</w:t>
            </w:r>
          </w:p>
        </w:tc>
      </w:tr>
      <w:tr>
        <w:trPr>
          <w:trHeight w:val="230"/>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364,011</w:t>
            </w:r>
          </w:p>
        </w:tc>
        <w:tc>
          <w:tcPr>
            <w:tcW w:w="14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303,965</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40,969,299</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41,322,014</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Company announced its Board of Directors had authorized the Company to increase the purchase of its common stock up to $250 million in the aggregate. In the three months ended March 31, 2025, the Company purchased 20,491 shares of its outstanding common stock for $0.5 million. During the three months ended March 31, 2024, the Company purchased 540,037 shares of its outstanding common stock for $13.3 million. As of March 31, 2025, the Company had $67.2 million remaining under the repurchase authorization.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dividends at the discretion of the Company's Board of Directors. In 2021, the Company's Board of Directors declared the first dividend since the Company's initial public offering in 2007. During the three months ended March 31, 2025, the Company's cash dividends declared were $0.04 per share of common stock and total dividends declared and paid on common shares were $1.6 million. In the three months ended March 31, 2024, the Company's cash dividends declared were $0.04 per share of common stock and total dividends declared and paid on common shares were $1.7 million.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Defined Benefit Plans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periodic pension benefit costs for the Company's defined benefit pension plans cover certain foreign employees, union hourly employees and salaried employees. The components of net periodic benefit cost are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Pr>
          <w:p>
            <w:pPr>
              <w:spacing w:after="0"/>
              <w:rPr>
                <w:sz w:val="18"/>
                <w:szCs w:val="18"/>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80" w:type="dxa"/>
            <w:vAlign w:val="bottom"/>
            <w:tcBorders>
              <w:bottom w:val="single" w:sz="8" w:color="auto"/>
            </w:tcBorders>
          </w:tcPr>
          <w:p>
            <w:pPr>
              <w:spacing w:after="0"/>
              <w:rPr>
                <w:sz w:val="18"/>
                <w:szCs w:val="18"/>
                <w:color w:val="auto"/>
              </w:rPr>
            </w:pPr>
          </w:p>
        </w:tc>
      </w:tr>
      <w:tr>
        <w:trPr>
          <w:trHeight w:val="211"/>
        </w:trPr>
        <w:tc>
          <w:tcPr>
            <w:tcW w:w="79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r>
      <w:tr>
        <w:trPr>
          <w:trHeight w:val="22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costs</w:t>
            </w:r>
          </w:p>
        </w:tc>
        <w:tc>
          <w:tcPr>
            <w:tcW w:w="106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costs</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06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service cost component of net periodic benefit cost is recorded in cost of goods sold and selling, general and administrative expenses, while non-service cost components are recorded in other income (expense), net in the accompanying consolidated statement of income.</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contributed $0.3 million to its defined benefit pension plans during the three months ended March 31, 2025, respectively. The Company expects to contribute $1.2 million to its defined benefit pension plans for the full year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Other Comprehensive Income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three months ended March 31, 2025 are summarized as follows, net of tax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3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60" w:type="dxa"/>
            <w:vAlign w:val="bottom"/>
          </w:tcPr>
          <w:p>
            <w:pPr>
              <w:spacing w:after="0"/>
              <w:rPr>
                <w:sz w:val="16"/>
                <w:szCs w:val="16"/>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Pr>
          <w:p>
            <w:pPr>
              <w:spacing w:after="0"/>
              <w:rPr>
                <w:sz w:val="14"/>
                <w:szCs w:val="14"/>
                <w:color w:val="auto"/>
              </w:rPr>
            </w:pPr>
          </w:p>
        </w:tc>
        <w:tc>
          <w:tcPr>
            <w:tcW w:w="96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Translation</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realized losses reclassified to net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0" w:type="dxa"/>
            <w:vAlign w:val="bottom"/>
          </w:tcPr>
          <w:p>
            <w:pPr>
              <w:spacing w:after="0"/>
              <w:rPr>
                <w:sz w:val="1"/>
                <w:szCs w:val="1"/>
                <w:color w:val="auto"/>
              </w:rPr>
            </w:pPr>
          </w:p>
        </w:tc>
      </w:tr>
      <w:tr>
        <w:trPr>
          <w:trHeight w:val="248"/>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3"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Derivative instruments, net of income tax of $1.0 million. See Note 10,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three months ended March 31, 2024 are summarized as follows, net of tax (dollars in thousands):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13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0" w:type="dxa"/>
            <w:vAlign w:val="bottom"/>
          </w:tcPr>
          <w:p>
            <w:pPr>
              <w:spacing w:after="0"/>
              <w:rPr>
                <w:sz w:val="16"/>
                <w:szCs w:val="16"/>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Pr>
          <w:p>
            <w:pPr>
              <w:spacing w:after="0"/>
              <w:rPr>
                <w:sz w:val="14"/>
                <w:szCs w:val="14"/>
                <w:color w:val="auto"/>
              </w:rPr>
            </w:pPr>
          </w:p>
        </w:tc>
        <w:tc>
          <w:tcPr>
            <w:tcW w:w="94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9"/>
        </w:trPr>
        <w:tc>
          <w:tcPr>
            <w:tcW w:w="58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realized losses reclassified to net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18" w:lineRule="exact"/>
        <w:rPr>
          <w:sz w:val="20"/>
          <w:szCs w:val="20"/>
          <w:color w:val="auto"/>
        </w:rPr>
      </w:pPr>
    </w:p>
    <w:p>
      <w:pPr>
        <w:ind w:left="220" w:hanging="212"/>
        <w:spacing w:after="0"/>
        <w:tabs>
          <w:tab w:leader="none" w:pos="22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Derivative instruments, net of income tax of $0.2 million. See Note 10,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Income Taxes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the three months ended March 31, 2025 and 2024 was 27.6% and 28.5%, respectively. The Company recorded income tax expense of $4.7 million and $2.1 million for the three months ended March 31, 2025 and 2024, respectively. The effective tax rate for the three months ended March 31, 2025 is lower primarily due to a year over year reduction in losses incurred in certain foreign subsidiaries for which no tax benefit is recognized. The sale of the Arrow Engine business resulted in a taxable capital gain and related income tax expense of approximately $1.4 million in the first quarter of 2025.</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22, 2025, the Company announced that its Board of Directors had declared a cash dividend of $0.04 per share of TriMas Corporation common stock, which will be payable on May 13, 2025, to shareholders of record as of the close of business on May 6, 2025.</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2024.</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TriMas designs, develops and manufactures a diverse set of products primarily for the consumer products, aerospace &amp; defense and industrial markets through its TriMas Packaging, TriMas Aerospace and Specialty Products groups. Our wide range of innovative products are designed and engineered to solve application-specific challenges that our customers face. We believe our businesses share important and distinguishing characteristics, including: well-recognized and leading brand names in the markets we serve; innovative product technologies and features; a high-degree of customer approved processes and qualifications; established distribution networks; modest capital investment requirements; strong cash flow conversion and long-term growth opportunities. While the majority of our revenue is in the United States, we manufacture and supply products globally to a wide range of companies. We report our business activity in three segments: Packaging, Aerospace and Specialty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Factors Affecting Our Reported Results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Demand for the products our businesses produce and results of operations depend upon general economic conditions. We serve customers in industries that are highly competitive, and that may be significantly impacted by changes in economic or geopolitical conditions.</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results of operations have been materially impacted over the past few years by macro-economic factors, most recently by cost inflation (raw materials, wage rates and freight) and a lack of material, and in certain regions, skilled labor availability. Additionally, the U.S. government recently altered its approach to international trade policy and announced baseline tariffs on products from all countries and additional individualized reciprocal tariffs on the countries with which the United States has the largest trade deficits, including China. This change in international trade policy has also created uncertainty with respect to future tariffs, including any retaliatory tariffs imposed by other countries, or other potential governmental actions. These factors have significantly affected each of our businesses and how we operate, albeit in different ways and magnitudes. The current tariffs, predominately those imposed on China-based imports, have increased the costs of certain products sourced from non-U.S. countries. Sales of certain of our products for industrial applications, for example steel cylinders for packaged gas applications, have experienced volatility in demand related to customers securing a high order rates in prior periods, only to enter a period of destocking in more recent periods. This significant level of volatility in demand levels, input and transportation costs, and material and labor availability, have pressured our ability to operate efficiently in recent periods. While some areas of demand volatility and softness remain, such as in our Specialty Products segment, and more specifically our Norris Cylinder business, we have experienced more steady and consistent demand in our Packaging and Aerospace segments.</w:t>
      </w:r>
    </w:p>
    <w:p>
      <w:pPr>
        <w:spacing w:after="0" w:line="1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Overall, our first quarter 2025 net sales increased $14.6 million, or 6.4%, compared to first quarter 2024. We experienced organic growth of 27.8% and 3.3% within our Aerospace and Packaging segments, respectively, compared to first quarter 2024. We also experienced growth from acquisitions of 4.9% in our Aerospace segment. These increases were partially offset by lower sales of 24.0% in our Specialty Products segment as compared to the prior year quarter, as we recognized lower sales due to the divestiture of our Arrow Engine business in January 2025 and as we work through a cyclical demand trough and destocking related to our cylinder products. Our sales increases were also partially offset by $3.8 million of currency exchange, as our reported results in U.S. dollars were unfavorably impacted as a result of a strengthening U.S. dollar relative to foreign currencies.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significant drivers affecting our financial results in first quarter 2025 compared with first quarter 2024, other than as directly impacted by sales changes, were the divestiture of our Arrow Engine business, the impact of our recent acquisition, realignment costs related to actions to reorganize our corporate office, and the refinancing of our existing credit agreement.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31, 2025, we completed the divestiture of our Arrow Engine business within our Specialty Products segment for net cash proceeds of $20.5 million, with the final sale price remaining subject to a working capital adjustment, if any. We recognized a pre-tax gain of $5.3 million on the sale of Arrow Engine.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2025, we acquired the aerospace business of GMT Gummi-Metall-Technik GmbH (“GMT”) for a purchase price of $37.2 million. GMT’s aerospace division (“GMT Aerospace”), which is reported in our Aerospace segment, is located in Germany and contributed $3.3 million of acquisition-related sales growth during first quarter 2025.</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first quarter 2025, we incurred pre-tax realignment costs of $3.8 million related to actions to reorganize our corporate office, primarily for severance and consulting costs, including $1.5 million of non-cash compensation expense.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2025, we amended our existing credit agreement ("Credit Agreement") to extend the maturity date through March 31, 2030. We incurred fees and expenses of $1.3 million related to the amendment, all of which was capitalized as debt issuance costs. We also recorded $0.1 million of non-cash expense related to the write-off of previously capitalized deferred financing fees.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Key Risks that May Affect Our Reported Results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executed meaningful realignment actions over the past few years to address variable and structural costs where demand has fallen. We will continue to assess and take further actions if required. However, as a result of the current period of macroeconomic inflation and uncertainty, including uncertainty regarding the scope and duration of current and future tariffs and trade actions, and the potential impact of such factors to our future results of operations, as well as if there is an impact to TriMas' overall performance and market capitalization, we may record additional cash and non-cash charges related to further realignment actions, asset impairments, including impairments to our goodwill, intangible assets, fixed assets, inventory or customer receivable account balances.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 potential for declines in future demand levels and results of operations, at present, we believe our capital structure is in a strong position. We have sufficient cash and available liquidity under our revolving credit facility to meet our debt service obligations, capital expenditure requirements and other short-term and long-term obligations for the foreseeable future.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Critical factors affecting our ability to succeed include: our ability to generate organic growth through product development, cross-selling and extending product-line offerings, and our ability to quickly and cost-effectively introduce and successfully launch new products; our ability to acquire and integrate companies or products that supplement existing product lines, add adjacent distribution channels and new customers, or expand our geographic coverage; our ability to manage our cost structure more efficiently via supply chain management, internal sourcing and/or purchasing of materials, selective outsourcing and/or purchasing of support functions, working capital management, and greater leverage of our administrative functions; and our ability to absorb, or recover via commercial actions, inflationary or other cost increases, including tariffs and duties.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A growing amount of our sales is derived from international sources, which exposes us to certain risks, including currency risks.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sensitive to price movements and availability of our raw materials supply. Our largest raw material purchases are for polypropylene, polyethylene, steel, aluminum, superalloys (such as titanium, A286 stainless steel and Inconel) and other oil and metal-based purchased components, the costs for each of which are subject to volatility. There has also been volatility in certain of our input costs as a direct and indirect result of foreign trade policy, where tariffs on certain of our commodity-based products sourced from Asia have been instituted. In addition, the U.S. government recently announced baseline tariffs on products from all countries and additional individualized reciprocal tariffs on the countries with which the United States has the largest trade deficits, including China. We will continue to take actions to mitigate such increases, including implementing commercial pricing adjustments, holding extra inventories, resourcing to alternate suppliers and insourcing of previously sourced products. Although we believe we are generally able to mitigate the impact of higher commodity costs over time, we may experience additional material costs and disruptions in supply in the future and may not be able to pass along higher costs to our customers in the form of price increases or otherwise mitigate the impacts to our operating results.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have escalator/de-escalator clauses in commercial contracts with certain of our customers to address fluctuations in input costs, or can modify prices based on market conditions to recover higher costs, our price increases generally lag the underlying input cost increase, and we cannot be assured of full cost recovery in the open market. If input costs increase at rapid rates, our ability to recover cost increases on a timely basis is made more difficult by the lag nature of these contracts.</w:t>
      </w:r>
    </w:p>
    <w:p>
      <w:pPr>
        <w:spacing w:after="0" w:line="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Oil-based commodity costs are a significant driver of raw materials and purchased components used within our Packaging segment. As such, an increase in crude oil often is a precursor to rising polymeric raw material costs, for which we may experience a contractual commercial recovery lag.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year, as a core tenet of the TriMas Business Model, our businesses target cost savings from Kaizen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evaluate alternatives to redeploy the cash generated by our businesses, one of which includes returning capital to our shareholders. In 2020, our Board of Directors increased the authorization of share repurchases to a cumulative amount of $250 million. During first quarter 2025, we purchased 20,491 shares of our outstanding common stock for an aggregate purchase price of $0.5 million. As of March 31, 2025, we had $67.2 million remaining under the repurchase authorization.</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first quarter 2025, we declared dividends of $0.04 per share of common stock and paid dividends of $1.6 million. We will continue to evaluate opportunities to return capital to shareholders through the purchase of our common stock, as well as dividends,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financial information for our reportable segments for the three months ended March 31, 2025 and 2024 (dollars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3"/>
                <w:szCs w:val="13"/>
                <w:color w:val="auto"/>
              </w:rPr>
            </w:pPr>
          </w:p>
        </w:tc>
        <w:tc>
          <w:tcPr>
            <w:tcW w:w="170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360" w:type="dxa"/>
            <w:vAlign w:val="bottom"/>
          </w:tcPr>
          <w:p>
            <w:pPr>
              <w:spacing w:after="0"/>
              <w:rPr>
                <w:sz w:val="13"/>
                <w:szCs w:val="13"/>
                <w:color w:val="auto"/>
              </w:rPr>
            </w:pPr>
          </w:p>
        </w:tc>
        <w:tc>
          <w:tcPr>
            <w:tcW w:w="1220" w:type="dxa"/>
            <w:vAlign w:val="bottom"/>
            <w:vMerge w:val="restart"/>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3"/>
                <w:szCs w:val="13"/>
                <w:color w:val="auto"/>
              </w:rPr>
            </w:pPr>
          </w:p>
        </w:tc>
        <w:tc>
          <w:tcPr>
            <w:tcW w:w="1460" w:type="dxa"/>
            <w:vAlign w:val="bottom"/>
          </w:tcPr>
          <w:p>
            <w:pPr>
              <w:jc w:val="right"/>
              <w:ind w:right="91"/>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0" w:type="dxa"/>
            <w:vAlign w:val="bottom"/>
          </w:tcPr>
          <w:p>
            <w:pPr>
              <w:spacing w:after="0"/>
              <w:rPr>
                <w:sz w:val="1"/>
                <w:szCs w:val="1"/>
                <w:color w:val="auto"/>
              </w:rPr>
            </w:pPr>
          </w:p>
        </w:tc>
      </w:tr>
      <w:tr>
        <w:trPr>
          <w:trHeight w:val="211"/>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127,570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24,890</w:t>
            </w:r>
          </w:p>
        </w:tc>
        <w:tc>
          <w:tcPr>
            <w:tcW w:w="2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241,670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227,100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57,030</w:t>
            </w:r>
          </w:p>
        </w:tc>
        <w:tc>
          <w:tcPr>
            <w:tcW w:w="26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Profit (Loss)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detail on the year-over-year sales growth percentages for our reportable segments for the three months ended March 31, 2025 as compared to the three months ended March 31,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Year to Date First Quarter 2025 vs. Year to Date First Quarter 2024</w:t>
            </w:r>
          </w:p>
        </w:tc>
        <w:tc>
          <w:tcPr>
            <w:tcW w:w="1460" w:type="dxa"/>
            <w:vAlign w:val="bottom"/>
            <w:tcBorders>
              <w:bottom w:val="single" w:sz="8" w:color="auto"/>
            </w:tcBorders>
          </w:tcPr>
          <w:p>
            <w:pPr>
              <w:spacing w:after="0"/>
              <w:rPr>
                <w:sz w:val="18"/>
                <w:szCs w:val="18"/>
                <w:color w:val="auto"/>
              </w:rPr>
            </w:pPr>
          </w:p>
        </w:tc>
      </w:tr>
      <w:tr>
        <w:trPr>
          <w:trHeight w:val="211"/>
        </w:trPr>
        <w:tc>
          <w:tcPr>
            <w:tcW w:w="3240" w:type="dxa"/>
            <w:vAlign w:val="bottom"/>
          </w:tcPr>
          <w:p>
            <w:pPr>
              <w:spacing w:after="0"/>
              <w:rPr>
                <w:sz w:val="18"/>
                <w:szCs w:val="18"/>
                <w:color w:val="auto"/>
              </w:rPr>
            </w:pPr>
          </w:p>
        </w:tc>
        <w:tc>
          <w:tcPr>
            <w:tcW w:w="160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Organic</w:t>
            </w:r>
          </w:p>
        </w:tc>
        <w:tc>
          <w:tcPr>
            <w:tcW w:w="16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Acquisitions</w:t>
            </w: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Divestitures</w:t>
            </w: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Foreign Exchange</w:t>
            </w:r>
          </w:p>
        </w:tc>
        <w:tc>
          <w:tcPr>
            <w:tcW w:w="146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TriMas Corporation</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6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6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r>
      <w:tr>
        <w:trPr>
          <w:trHeight w:val="234"/>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20"/>
                <w:szCs w:val="20"/>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factors impacting us during the three months ended March 31, 2025, compared with the three months ended March 31, 2024, were:</w:t>
      </w:r>
    </w:p>
    <w:p>
      <w:pPr>
        <w:spacing w:after="0" w:line="14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demand for products within our Aerospace and Packaging segments;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demand for our cylinder products within our Specialty Products segment;</w:t>
      </w:r>
    </w:p>
    <w:p>
      <w:pPr>
        <w:spacing w:after="0" w:line="15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The divestiture of our Arrow Engine business;</w:t>
      </w:r>
    </w:p>
    <w:p>
      <w:pPr>
        <w:spacing w:after="0" w:line="144" w:lineRule="exact"/>
        <w:rPr>
          <w:rFonts w:ascii="Times New Roman" w:cs="Times New Roman" w:eastAsia="Times New Roman" w:hAnsi="Times New Roman"/>
          <w:sz w:val="16"/>
          <w:szCs w:val="16"/>
          <w:b w:val="1"/>
          <w:bCs w:val="1"/>
          <w:i w:val="1"/>
          <w:i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recent acquisition of GMT Aerospace;</w:t>
      </w:r>
    </w:p>
    <w:p>
      <w:pPr>
        <w:spacing w:after="0" w:line="15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Increased costs, primarily related to severance and consulting costs, associated with actions to reorganize the corporate office; and</w:t>
      </w:r>
    </w:p>
    <w:p>
      <w:pPr>
        <w:spacing w:after="0" w:line="157" w:lineRule="exact"/>
        <w:rPr>
          <w:rFonts w:ascii="Times New Roman" w:cs="Times New Roman" w:eastAsia="Times New Roman" w:hAnsi="Times New Roman"/>
          <w:sz w:val="16"/>
          <w:szCs w:val="16"/>
          <w:b w:val="1"/>
          <w:bCs w:val="1"/>
          <w:i w:val="1"/>
          <w:i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debt refinancing activities.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 Compared with Three Months Ended March 31, 2024</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Overall, net sales increased $14.6 million, or 6.4%, to $241.7 million for the three months ended March 31, 2025, as compared with $227.1 million in the three months ended March 31, 2024. Acquisition-related sales growth was $3.3 million from our February 2025 acquisition of GMT Aerospace. Organic sales, excluding the impact of currency exchange and acquisitions, increased $18.7 million, or 8.2%, as organic sales increases of 3.3% and 27.8% within our Packaging and Aerospace segments, respectively, driven by end market demand improvements, were partially offset by a 24.0% sales decrease in our Specialty Products segment due to lower market demand and the divestiture of our Arrow Engine business. In addition, net sales decreased by $3.8 million due to currency exchange, as our reported results in U.S. dollars were unfavorably impacted as a result of a strengthening U.S. dollar relative to foreign currencies.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margin (gross profit as a percentage of sales) approximated 23.6% for the three months ended March 31, 2025 and 23.2% for the three months ended March 31, 2024. Gross profit margin increased primarily due to higher sales levels and related improved fixed cost absorption, a more favorable product sales mix, and favorable commercial actions within our Aerospace segment, as well as due to the favorable impact of prior year operational improvement actions within our Packaging segment. The increase in gross profit was partially offset by reduced sales of steel cylinders and related reduction in absorption of fixed costs, and the loss of sales related to the divestiture of our Arrow Engine business within our Specialty Products segment, and increased input costs in our Packaging segment.</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profit margin (operating profit as a percentage of sales) approximated 9.0% and 5.5% for the three months ended March 31, 2025 and 2024, respectively. Operating profit increased $9.3 million, to $21.8 million, for the three months ended March 31, 2025, compared to $12.4 million for the three months ended March 31, 2024, primarily due to higher sales levels and related improved fixed cost absorption, a more favorable product sales mix, and favorable commercial actions within our Aerospace segment. Additionally, operating profit increased due to a $5.3 million gain on the sale of Arrow Engine and the favorable impact of prior year operational improvement actions within our Packaging segment. The increase in operating profit was partially offset by reduced sales of steel cylinders and related reduction in absorption of fixed costs, and the loss of sales related to the divestiture of Arrow Engine within our Specialty Products segment. In addition, operating profit decreased due to increased tariff related input costs in our Packaging segment. We also recorded $3.8 million of realignment costs, primarily for severance and consulting costs, including $1.5 million of non-cash compensation expense, to reorganize our corporate office.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decreased $0.4 million, to $4.5 million, for the three months ended March 31, 2025, as compared to $4.9 million for the three months ended March 31, 2024, due to a lower effective interest rate in our weighted average borrowings.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decreased $0.2 million, to $0.1 million of expense, for the three months ended March 31, 2025, as compared to $0.3 million of expense for the three months ended March 31, 2024, primarily due to mark-to-market losses on our de-designated cross currency swap in first quarter 2024 that did not repeat in first quarter 2025.</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the three months ended March 31, 2025 and 2024 was 27.6% and 28.5%, respectively. We recorded tax expense of $4.7 million for the three months ended March 31, 2025, as compared to $2.1 million for the three months ended March 31, 2024. The effective tax rate for the three months ended March 31, 2025 is lower than in the prior year primarily due to a year over year reduction in losses incurred in certain foreign subsidiaries for which no tax benefit is recognized. The sale of the Arrow Engine business resulted in a taxable capital gain and related income tax expense of approximately $1.4 million in the first quarter of 2025.</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increased by $7.3 million, to $12.4 million, for the three months ended March 31, 2025, compared to $5.1 million for the three months ended March 31, 2024. The increase was primarily the result of an increase in operating profit of $9.3 million, a decrease in interest expense of $0.4 million, and a decrease in other expense of $0.2 million, partially offset by a $2.7 million increase in income tax expense.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a discussion of operating results by segment.</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Packaging. </w:t>
      </w:r>
      <w:r>
        <w:rPr>
          <w:rFonts w:ascii="Times New Roman" w:cs="Times New Roman" w:eastAsia="Times New Roman" w:hAnsi="Times New Roman"/>
          <w:sz w:val="18"/>
          <w:szCs w:val="18"/>
          <w:color w:val="auto"/>
        </w:rPr>
        <w:t>Net sales increased $0.6 million, or 0.4% (of which 3.3% was organic and (2.9)% was foreign currency exchange), to $127.6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March 31, 2025, as compared to $127.0 million in the three months ended March 31, 2024. Sales of dispensing products used primarily for beauty, personal care and home care applications increased by $6.8 million. Sales of products used for industrial applications increased by $1.9 million and sales of other consumer goods products increased by $2.3 million. These increases were partially offset by the decrease in sales of products used in food and beverage applications of $6.7 million, primarily due to reduced demand for certain dairy applications in North America and beverage closure applications in Europe as certain customers bring inventories into better balance. Net sales decreased by $3.7 million due to currency exchange, as our reported results in U.S. dollars were unfavorably impacted as a result of the strengthening U.S. dollar relative to foreign currencies, as compared to 2024.</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decreased $0.8 million to $31.5 million, or 24.7% of sales, in the three months ended March 31, 2025, as compared to $32.3 million, or 25.4% of sales, in the three months ended March 31, 2024, primarily due to increased input costs, including freight and tariffs, partially offset by the favorable impact of prior year operational improvement actions.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$1.0 million to $14.2 million, or 11.1% of sales, in the three months ended March 31, 2025, as compared to $15.2 million, or 12.0% of sales, in the three months ended March 31, 2024, primarily due to lower charges for the provision for losses on accounts receivable and a decrease in certain employee-related costs.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Operating profit increased $0.1 million to $17.2 million, or 13.5% of sales, in the three months ended March 31, 2025, as compared to $17.1 million, or 13.5% of sales, in the three months ended March 31, 2024, primarily due to higher sales levels and lower selling, general and administrative expenses, partially offset by increased input costs, including freight and tariffs, and the unfavorable impact of foreign currency exchange.</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Aerospace. </w:t>
      </w:r>
      <w:r>
        <w:rPr>
          <w:rFonts w:ascii="Times New Roman" w:cs="Times New Roman" w:eastAsia="Times New Roman" w:hAnsi="Times New Roman"/>
          <w:sz w:val="18"/>
          <w:szCs w:val="18"/>
          <w:color w:val="auto"/>
        </w:rPr>
        <w:t>Net sales for the three months ended March 31, 2025 increased $21.9 million, or 32.5% (of which 27.8% was organic, 4.9%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acquisitions, and (0.2)% was foreign currency exchange), to $89.2 million, as compared to $67.3 million in the three months ended March 31, 2024. Acquisition-related sales growth from our February 2025 acquisition of GMT Aerospace was $3.3 million. Sales of our fasteners products increased by $12.1 million due to increases in aircraft build rates, improved production yield and commercial actions. Sales of our engineered components products increased by $6.6 million due to improved production throughput.</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$8.6 million to $24.2 million, or 27.1% of sales, in the three months ended March 31, 2025, from $15.6 million, or 23.1% of sales, in the three months ended March 31, 2024. Gross profit increased primarily due to higher sales levels and resulting improved fixed cost absorption, a more favorable product sales mix, and favorable commercial actions.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$0.7 million to $9.1 million, or 10.2% of sales, in the three months ended March 31, 2025, as compared to $8.5 million, or 12.5% of sales, in the three months ended March 31, 2024, primarily due to higher employee-related costs, higher ongoing selling, general and administrative costs associated with our acquisition of GMT Aerospace, and higher information technology costs. These increases were partially offset by lower charges for the provision for losses on accounts receivable and lower professional fees.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increased $7.9 million to $15.1 million, or 16.9% of sales, in the three months ended March 31, 2025, as compared to $7.1 million, or 10.6% of sales, in the three months ended March 31, 2024, primarily due to the impact of higher sales levels, improved fixed cost absorption, a more favorable product sales mix, and commercial actions.</w:t>
      </w:r>
    </w:p>
    <w:p>
      <w:pPr>
        <w:spacing w:after="0" w:line="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Specialty Products. </w:t>
      </w:r>
      <w:r>
        <w:rPr>
          <w:rFonts w:ascii="Times New Roman" w:cs="Times New Roman" w:eastAsia="Times New Roman" w:hAnsi="Times New Roman"/>
          <w:sz w:val="18"/>
          <w:szCs w:val="18"/>
          <w:color w:val="auto"/>
        </w:rPr>
        <w:t>Net sales for the three months ended March 31, 2025 decreased $7.9 million, or 24.0% (of which (13.1)% was organic and (10.9)%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due to the divestiture of Arrow Engine), to $24.9 million, as compared to $32.7 million in the three months ended March 31, 2024. Sales of steel cylinders decreased $4.3 million, or 15.4%, to $23.5 million, as compared to $27.8 million, due predominantly to lower demand for industrial applications as customers continue to work through high prior period inventory balances. Arrow Engine contributed $1.4 million of sales in first quarter 2025, as compared to $5.0 million in first quarter 2024. See Note 5, "</w:t>
      </w:r>
      <w:r>
        <w:rPr>
          <w:rFonts w:ascii="Times New Roman" w:cs="Times New Roman" w:eastAsia="Times New Roman" w:hAnsi="Times New Roman"/>
          <w:sz w:val="18"/>
          <w:szCs w:val="18"/>
          <w:i w:val="1"/>
          <w:iCs w:val="1"/>
          <w:color w:val="auto"/>
        </w:rPr>
        <w:t>Acquisitions and Sale of Business,</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within this quarterly report on Form 10-Q for more information.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decreased $3.5 million to $1.4 million, or 5.5% of sales, in the three months ended March 31, 2025, as compared to $4.9 million, or 14.9% of sales, in the three months ended March 31, 2024, primarily due to reduced sales of our steel cylinders and resulting less favorable absorption of fixed costs, as well as the loss of sales related to the divestiture of our Arrow Engine business.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$0.3 million to $2.5 million, or 10.1% of sales, in the three months ended March 31, 2025, as compared to $2.3 million, or 6.9% of sales, in the three months ended March 31, 2024, as $0.9 million of transaction-related costs associated with the divestiture of our Arrow Engine business more than offset the year-over-year impact from the divestiture of our Arrow Engine business.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profit (loss) decreased $3.8 million to an operating loss of $1.2 million, or 4.6% of sales, in the three months ended March 31, 2025, as compared to operating profit of $2.6 million, or 8.0% of sales, in the three months ended March 31, 2024, primarily due to lower sales levels, which resulted in less favorable absorption of fixed costs, the impact of our divestiture of our Arrow Engine business, and higher selling, general and administrative expenses.</w:t>
      </w:r>
    </w:p>
    <w:p>
      <w:pPr>
        <w:spacing w:after="0" w:line="10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i w:val="1"/>
          <w:iCs w:val="1"/>
          <w:color w:val="auto"/>
        </w:rPr>
        <w:t>Corporate.</w:t>
      </w:r>
      <w:r>
        <w:rPr>
          <w:sz w:val="20"/>
          <w:szCs w:val="20"/>
          <w:color w:val="auto"/>
        </w:rPr>
        <w:tab/>
      </w:r>
      <w:r>
        <w:rPr>
          <w:rFonts w:ascii="Times New Roman" w:cs="Times New Roman" w:eastAsia="Times New Roman" w:hAnsi="Times New Roman"/>
          <w:sz w:val="17"/>
          <w:szCs w:val="17"/>
          <w:color w:val="auto"/>
        </w:rPr>
        <w:t>Corporate expenses, net consist of the following (dollars in millions):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920" w:type="dxa"/>
            <w:vAlign w:val="bottom"/>
          </w:tcPr>
          <w:p>
            <w:pPr>
              <w:spacing w:after="0"/>
              <w:rPr>
                <w:sz w:val="18"/>
                <w:szCs w:val="18"/>
                <w:color w:val="auto"/>
              </w:rPr>
            </w:pPr>
          </w:p>
        </w:tc>
        <w:tc>
          <w:tcPr>
            <w:tcW w:w="282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60" w:type="dxa"/>
            <w:vAlign w:val="bottom"/>
            <w:tcBorders>
              <w:bottom w:val="single" w:sz="8" w:color="auto"/>
            </w:tcBorders>
          </w:tcPr>
          <w:p>
            <w:pPr>
              <w:spacing w:after="0"/>
              <w:rPr>
                <w:sz w:val="18"/>
                <w:szCs w:val="18"/>
                <w:color w:val="auto"/>
              </w:rPr>
            </w:pPr>
          </w:p>
        </w:tc>
      </w:tr>
      <w:tr>
        <w:trPr>
          <w:trHeight w:val="211"/>
        </w:trPr>
        <w:tc>
          <w:tcPr>
            <w:tcW w:w="79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expenses</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expenses</w:t>
            </w:r>
          </w:p>
        </w:tc>
        <w:tc>
          <w:tcPr>
            <w:tcW w:w="1080" w:type="dxa"/>
            <w:vAlign w:val="bottom"/>
            <w:tcBorders>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Corporate expenses decreased $5.0 million to $9.4 million for the three months ended March 31, 2025, from $14.4 million for the three months ended March 31, 2024, primarily due to a $5.3 million pre-tax gain on the sale of the Arrow Engine business and a $1.6 million decrease in non-cash stock compensation due to timing and estimated attainment of existing awards. Additionally, expenses decreased $0.9 million due to lower professional costs associated with business acquisition, diligence and transaction-related activity. These decreases were partially offset by increased costs, primarily related to severance and consulting costs, of $2.3 million associated with actions to reorganize the corporate office.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flows provided by operating activities were $9.2 million for the three months ended March 31, 2025, as compared to cash used of $3.7 million for the three months ended March 31, 2024. Significant changes in cash flows provided by operating activities and the reasons for such changes were as follows:</w:t>
      </w:r>
    </w:p>
    <w:p>
      <w:pPr>
        <w:spacing w:after="0" w:line="94" w:lineRule="exact"/>
        <w:rPr>
          <w:sz w:val="20"/>
          <w:szCs w:val="20"/>
          <w:color w:val="auto"/>
        </w:rPr>
      </w:pPr>
    </w:p>
    <w:p>
      <w:pPr>
        <w:jc w:val="both"/>
        <w:ind w:left="980" w:hanging="324"/>
        <w:spacing w:after="0" w:line="258"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2025, we generated $23.5 million in cash flows, based on net income of $12.4 million and after considering the effects of non-cash items related to depreciation, amortization, and gain on dispositions of assets, amortization of debt issuance costs, changes in deferred income taxes, stock-based compensation, provision for losses on accounts receivable, and other operating activities. For the three months ended March 31, 2024, we generated $29.9 million in cash flows based on net income of $5.1 million and after considering the effects of similar non-cash items.</w:t>
      </w:r>
    </w:p>
    <w:p>
      <w:pPr>
        <w:spacing w:after="0" w:line="10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accounts receivable resulted in a use of cash of $14.7 million and $16.2 million for the three months ended March 31, 2025 and 2024, respectively. The decreased use of cash for each of the three month periods is due primarily to the timing of sales and collection of cash related thereto within the periods. Days sales outstanding of receivables increased three days through the three months ended March 31, 2025, and remained consistent through the three months ended March 31, 2024.</w:t>
      </w:r>
    </w:p>
    <w:p>
      <w:pPr>
        <w:spacing w:after="0" w:line="112"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increased our investment in inventory by $4.6 million for the three months ended March 31, 2025 and by $14.3 million for the three months ended March 31, 2024. Our days sales in inventory increased by five days through the three months ended March 31, 2025, as we continued to manage inventory levels, considering our supply needs, and balanced with sales growth within our Packaging and Aerospace segments. Our days sales in inventory increased by one day through the three months ended March 31, 2024, primarily as a result of moderating inventory levels with sales level.</w:t>
      </w:r>
    </w:p>
    <w:p>
      <w:pPr>
        <w:spacing w:after="0" w:line="11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prepaid expenses and other assets resulted in a source of cash of $3.9 million and $0.5 million for the three months ended March 31, 2025, and 2024, respectively. These changes were primarily a result of the timing of payments made for income taxes and certain operating expenses.</w:t>
      </w:r>
    </w:p>
    <w:p>
      <w:pPr>
        <w:spacing w:after="0" w:line="94"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accounts payable and accrued liabilities resulted in a source of cash of $1.1 million for the three months ended March 31, 2025, while decrease in accounts payable and accrued liabilities resulted in a use of cash of $3.7 million for the three months ended March 31, 2024. Days accounts payable on hand decreased by two days through the three months ended March 31, 2025, and decreased by eight days for the three months ended March 31, 2024. Our days accounts payable on hand fluctuate primarily as a result of the timing of payments made to suppliers and the mix of vendors and related terms.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for investing activities for the three months ended March 31, 2025 and 2024 was $29.6 million and $13.1 million, respectively. During the first three months of 2025, we invested $12.9 million in capital expenditures, as we continued our investment in growth, capacity and productivity-related capital projects. We paid $37.2 million, net of cash acquired, to acquire GMT Aerospace. We also received net proceeds of $20.5 million from the sale of our Arrow Engine business and disposition of property and equipment. During the first three months of 2024, we invested $13.3 million in capital expenditures and received net proceeds of $0.1 million from disposition of property and equipment.</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was $30.1 million and $12.4 million for the three months ended March 31, 2025 and 2024, respectively. During the three months ended March 31, 2025, we received net proceeds of $35.3 million from borrowings on our revolving credit facilities, paid $1.3 million for debt financing fees, purchased $0.5 million of our outstanding common stock, used a net cash amount of $1.8 million related to our stock compensation arrangements, paid dividends of $1.6 million, and paid $0.1 million related to other financing activities. Our reported net proceeds from borrowings on our revolving credit facilities considers the impact of foreign currency translation. During the three months ended March 31, 2024, we received net proceeds of $29.1 million from borrowings on our revolving credit facilities, purchased $13.3 million of outstanding common stock, used a net cash amount of $1.6 million related to our stock compensation arrangements, paid dividends of $1.7 million, and paid $0.1 million related to other financing liabilities.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Debt and Other Commitments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2021, we issued $400.0 million aggregate principal amount of 4.125% senior notes due April 15, 2029 ("Senior Notes") at par value in a private placement under Rule 144A of the Securities Act of 1933, as amended ("Securities Act"). The Senior Notes accrue interest at a rate of 4.125% per annum, payable semi-annually in arrears on April 15 and October 15. The payment of principal and interest is jointly and severally guaranteed, on a senior unsecured basis, by certain subsidiaries of the Company. The Senior Notes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and effectively subordinated to all existing and future secured indebtedness to the extent of the value of the assets securing such indebtedness.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redeem all or part of the Senior Notes at the redemption prices (expressed as percentages of principal amount) set forth below, plus accrued and unpaid interest, if any, to the redemption date, if redeemed during the twelve-month period beginning on April 15 of the years indicated below:</w:t>
      </w:r>
    </w:p>
    <w:p>
      <w:pPr>
        <w:spacing w:after="0" w:line="218" w:lineRule="exact"/>
        <w:rPr>
          <w:sz w:val="20"/>
          <w:szCs w:val="20"/>
          <w:color w:val="auto"/>
        </w:rPr>
      </w:pPr>
    </w:p>
    <w:tbl>
      <w:tblPr>
        <w:tblLayout w:type="fixed"/>
        <w:tblInd w:w="2620" w:type="dxa"/>
        <w:tblCellMar>
          <w:top w:w="0" w:type="dxa"/>
          <w:left w:w="0" w:type="dxa"/>
          <w:bottom w:w="0" w:type="dxa"/>
          <w:right w:w="0" w:type="dxa"/>
        </w:tblCellMar>
      </w:tblPr>
      <w:tr>
        <w:trPr>
          <w:trHeight w:val="21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14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6"/>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102.063 %</w:t>
            </w: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101.031 %</w:t>
            </w:r>
          </w:p>
        </w:tc>
      </w:tr>
      <w:tr>
        <w:trPr>
          <w:trHeight w:val="22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our consolidated subsidiaries that do not guarantee the Senior Notes represented 31% of the total of guarantor and non-guarantor net sales, treating each as a consolidated group and excluding intercompany transactions between guarantor and non-guarantor subsidiaries. In addition, our non-guarantor subsidiaries represented 38% and 19% of the total guarantor and non-guarantor assets and liabilities, respectively, as of March 31, 2025, treating the guarantor and non-guarantor subsidiaries each as a consolidated group.</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2025, we amended our Credit Agreement to extend the maturity date. We incurred fees and expenses of $1.3 million related to the amendment, all of which was capitalized as debt issuance costs. We also recorded $0.1 million of non-cash expense related to the write-off of previously capitalized deferred financing fees.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Below is a summary of key terms under the Credit Agreement as of March 31, 2025, compared to the key terms prior to the amendment (showing gross availability):</w:t>
      </w:r>
    </w:p>
    <w:p>
      <w:pPr>
        <w:spacing w:after="0" w:line="158" w:lineRule="exact"/>
        <w:rPr>
          <w:sz w:val="20"/>
          <w:szCs w:val="20"/>
          <w:color w:val="auto"/>
        </w:rPr>
      </w:pPr>
    </w:p>
    <w:tbl>
      <w:tblPr>
        <w:tblLayout w:type="fixed"/>
        <w:tblInd w:w="1240" w:type="dxa"/>
        <w:tblCellMar>
          <w:top w:w="0" w:type="dxa"/>
          <w:left w:w="0" w:type="dxa"/>
          <w:bottom w:w="0" w:type="dxa"/>
          <w:right w:w="0" w:type="dxa"/>
        </w:tblCellMar>
      </w:tblPr>
      <w:tr>
        <w:trPr>
          <w:trHeight w:val="238"/>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2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 ($ in millions)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r>
      <w:tr>
        <w:trPr>
          <w:trHeight w:val="223"/>
        </w:trPr>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 Agreement (as amended)</w:t>
            </w:r>
          </w:p>
        </w:tc>
        <w:tc>
          <w:tcPr>
            <w:tcW w:w="30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19"/>
                <w:szCs w:val="19"/>
                <w:color w:val="auto"/>
              </w:rPr>
            </w:pPr>
          </w:p>
        </w:tc>
      </w:tr>
      <w:tr>
        <w:trPr>
          <w:trHeight w:val="230"/>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w:t>
            </w:r>
          </w:p>
        </w:tc>
        <w:tc>
          <w:tcPr>
            <w:tcW w:w="24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3/31/2030</w:t>
            </w:r>
          </w:p>
        </w:tc>
      </w:tr>
      <w:tr>
        <w:trPr>
          <w:trHeight w:val="148"/>
        </w:trPr>
        <w:tc>
          <w:tcPr>
            <w:tcW w:w="3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r>
      <w:tr>
        <w:trPr>
          <w:trHeight w:val="230"/>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Credit Agreement (prior to amending)</w:t>
            </w:r>
          </w:p>
        </w:tc>
        <w:tc>
          <w:tcPr>
            <w:tcW w:w="2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3/29/2026</w:t>
            </w: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is subject to benchmark interest rates determined based on the currency denomination of borrowings, with British pound sterling borrowings subject to the Sterling Overnight Index Average, Euro borrowings to the Euro InterBank Offered Rate and U.S. dollar borrowings subject to the Secured Overnight Financing Rate, each plus a spread that ranges from 1.375% to 2.00% based upon the leverage ratio, as defined, as of the most recent determination date. Our revolving credit facility allows for the issuance of letters of credit, not to exceed $40.0 million in aggregate.</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permits borrowings denominated in specific foreign currencies, subject to a $125.0 million sub limit. The Credit Agreement also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March 31, 2025. If we were to complete an acquisition which qualifies for a Covenant Holiday Period, as defined in our Credit Agreement, then our permitted total net leverage ratio cannot exceed 4.50 to 1.00 during that period. Our actual total net leverage ratio was 2.67 to 1.00 at March 31, 2025. Our permitted interest expense coverage ratio under the Credit Agreement is 3.00 to 1.00 as of March 31, 2025. Our actual interest expense coverage ratio was 8.72 to 1.00 at March 31, 2025. At March 31, 2025, we were in compliance with our financial covenants.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net income, as reported, which is a GAAP measure of our operating results, to Consolidated Bank EBITDA, as defined in our Credit Agreement, for the twelve months ended March 31, 2025 (dollars in thousands). We present Consolidated Bank EBITDA to show our performance under our financial covenants.</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2"/>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214"/>
        </w:trPr>
        <w:tc>
          <w:tcPr>
            <w:tcW w:w="89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5"/>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w:t>
            </w:r>
          </w:p>
        </w:tc>
      </w:tr>
      <w:tr>
        <w:trPr>
          <w:trHeight w:val="230"/>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8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19,150</w:t>
            </w:r>
          </w:p>
        </w:tc>
      </w:tr>
      <w:tr>
        <w:trPr>
          <w:trHeight w:val="230"/>
        </w:trPr>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8,480</w:t>
            </w:r>
          </w:p>
        </w:tc>
      </w:tr>
      <w:tr>
        <w:trPr>
          <w:trHeight w:val="229"/>
        </w:trPr>
        <w:tc>
          <w:tcPr>
            <w:tcW w:w="8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64,560</w:t>
            </w:r>
          </w:p>
        </w:tc>
      </w:tr>
      <w:tr>
        <w:trPr>
          <w:trHeight w:val="230"/>
        </w:trPr>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charges and asset write-offs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9"/>
        </w:trPr>
        <w:tc>
          <w:tcPr>
            <w:tcW w:w="89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Non-cash compensation expense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r>
      <w:tr>
        <w:trPr>
          <w:trHeight w:val="230"/>
        </w:trPr>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non-cash expenses or losses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30"/>
        </w:trPr>
        <w:tc>
          <w:tcPr>
            <w:tcW w:w="89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Non-recurring expenses or costs</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22,440</w:t>
            </w:r>
          </w:p>
        </w:tc>
      </w:tr>
      <w:tr>
        <w:trPr>
          <w:trHeight w:val="230"/>
        </w:trPr>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Extraordinary, non-recurring or unusual gains or losses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8,530</w:t>
            </w:r>
          </w:p>
        </w:tc>
      </w:tr>
      <w:tr>
        <w:trPr>
          <w:trHeight w:val="229"/>
        </w:trPr>
        <w:tc>
          <w:tcPr>
            <w:tcW w:w="8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Effects of purchase accounting adjustments</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Business and asset dispositions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(6,290)</w:t>
            </w:r>
          </w:p>
        </w:tc>
      </w:tr>
      <w:tr>
        <w:trPr>
          <w:trHeight w:val="230"/>
        </w:trPr>
        <w:tc>
          <w:tcPr>
            <w:tcW w:w="8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Permitted acquisitions</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r>
      <w:tr>
        <w:trPr>
          <w:trHeight w:val="230"/>
        </w:trPr>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Permitted dispositions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(2,420)</w:t>
            </w:r>
          </w:p>
        </w:tc>
      </w:tr>
      <w:tr>
        <w:trPr>
          <w:trHeight w:val="230"/>
        </w:trPr>
        <w:tc>
          <w:tcPr>
            <w:tcW w:w="8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Currency gains and losses</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23"/>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156,430</w:t>
            </w:r>
          </w:p>
        </w:tc>
      </w:tr>
      <w:tr>
        <w:trPr>
          <w:trHeight w:val="20"/>
        </w:trPr>
        <w:tc>
          <w:tcPr>
            <w:tcW w:w="8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463"/>
        </w:trPr>
        <w:tc>
          <w:tcPr>
            <w:tcW w:w="8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6"/>
        </w:trPr>
        <w:tc>
          <w:tcPr>
            <w:tcW w:w="8960" w:type="dxa"/>
            <w:vAlign w:val="bottom"/>
            <w:tcBorders>
              <w:top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Total Indebtedness, as defined</w:t>
            </w:r>
            <w:r>
              <w:rPr>
                <w:rFonts w:ascii="Times New Roman" w:cs="Times New Roman" w:eastAsia="Times New Roman" w:hAnsi="Times New Roman"/>
                <w:sz w:val="23"/>
                <w:szCs w:val="23"/>
                <w:color w:val="auto"/>
                <w:vertAlign w:val="superscript"/>
              </w:rPr>
              <w:t>(3)</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418,290</w:t>
            </w:r>
          </w:p>
        </w:tc>
        <w:tc>
          <w:tcPr>
            <w:tcW w:w="200" w:type="dxa"/>
            <w:vAlign w:val="bottom"/>
            <w:tcBorders>
              <w:top w:val="single" w:sz="8" w:color="CCEEFF"/>
            </w:tcBorders>
            <w:shd w:val="clear" w:color="auto" w:fill="CCEEFF"/>
          </w:tcPr>
          <w:p>
            <w:pPr>
              <w:spacing w:after="0"/>
              <w:rPr>
                <w:sz w:val="19"/>
                <w:szCs w:val="19"/>
                <w:color w:val="auto"/>
              </w:rPr>
            </w:pPr>
          </w:p>
        </w:tc>
      </w:tr>
      <w:tr>
        <w:trPr>
          <w:trHeight w:val="230"/>
        </w:trPr>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156,430</w:t>
            </w:r>
          </w:p>
        </w:tc>
        <w:tc>
          <w:tcPr>
            <w:tcW w:w="200" w:type="dxa"/>
            <w:vAlign w:val="bottom"/>
            <w:tcBorders>
              <w:bottom w:val="single" w:sz="8" w:color="CCEEFF"/>
            </w:tcBorders>
          </w:tcPr>
          <w:p>
            <w:pPr>
              <w:spacing w:after="0"/>
              <w:rPr>
                <w:sz w:val="19"/>
                <w:szCs w:val="19"/>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leverage ratio</w:t>
            </w:r>
          </w:p>
        </w:tc>
        <w:tc>
          <w:tcPr>
            <w:tcW w:w="2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x</w:t>
            </w:r>
          </w:p>
        </w:tc>
      </w:tr>
      <w:tr>
        <w:trPr>
          <w:trHeight w:val="223"/>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x</w:t>
            </w:r>
          </w:p>
        </w:tc>
      </w:tr>
      <w:tr>
        <w:trPr>
          <w:trHeight w:val="21"/>
        </w:trPr>
        <w:tc>
          <w:tcPr>
            <w:tcW w:w="8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200" w:type="dxa"/>
            <w:vAlign w:val="bottom"/>
          </w:tcPr>
          <w:p>
            <w:pPr>
              <w:spacing w:after="0"/>
              <w:rPr>
                <w:sz w:val="16"/>
                <w:szCs w:val="16"/>
                <w:color w:val="auto"/>
              </w:rPr>
            </w:pPr>
          </w:p>
        </w:tc>
      </w:tr>
      <w:tr>
        <w:trPr>
          <w:trHeight w:val="214"/>
        </w:trPr>
        <w:tc>
          <w:tcPr>
            <w:tcW w:w="89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Borders>
              <w:bottom w:val="single" w:sz="8" w:color="auto"/>
            </w:tcBorders>
          </w:tcPr>
          <w:p>
            <w:pPr>
              <w:spacing w:after="0"/>
              <w:rPr>
                <w:sz w:val="18"/>
                <w:szCs w:val="18"/>
                <w:color w:val="auto"/>
              </w:rPr>
            </w:pPr>
          </w:p>
        </w:tc>
      </w:tr>
      <w:tr>
        <w:trPr>
          <w:trHeight w:val="225"/>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19,150</w:t>
            </w: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8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Non-cash amounts attributable to amortization of financing costs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48"/>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17,950</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443"/>
        </w:trPr>
        <w:tc>
          <w:tcPr>
            <w:tcW w:w="8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Borders>
              <w:bottom w:val="single" w:sz="8" w:color="CCEEFF"/>
            </w:tcBorders>
          </w:tcPr>
          <w:p>
            <w:pPr>
              <w:spacing w:after="0"/>
              <w:rPr>
                <w:sz w:val="24"/>
                <w:szCs w:val="24"/>
                <w:color w:val="auto"/>
              </w:rPr>
            </w:pPr>
          </w:p>
        </w:tc>
      </w:tr>
      <w:tr>
        <w:trPr>
          <w:trHeight w:val="226"/>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156,430</w:t>
            </w:r>
          </w:p>
        </w:tc>
        <w:tc>
          <w:tcPr>
            <w:tcW w:w="200" w:type="dxa"/>
            <w:vAlign w:val="bottom"/>
            <w:shd w:val="clear" w:color="auto" w:fill="CCEEFF"/>
          </w:tcPr>
          <w:p>
            <w:pPr>
              <w:spacing w:after="0"/>
              <w:rPr>
                <w:sz w:val="19"/>
                <w:szCs w:val="19"/>
                <w:color w:val="auto"/>
              </w:rPr>
            </w:pPr>
          </w:p>
        </w:tc>
      </w:tr>
      <w:tr>
        <w:trPr>
          <w:trHeight w:val="229"/>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17,950</w:t>
            </w:r>
          </w:p>
        </w:tc>
        <w:tc>
          <w:tcPr>
            <w:tcW w:w="200" w:type="dxa"/>
            <w:vAlign w:val="bottom"/>
            <w:tcBorders>
              <w:bottom w:val="single" w:sz="8" w:color="CCEEFF"/>
            </w:tcBorders>
          </w:tcPr>
          <w:p>
            <w:pPr>
              <w:spacing w:after="0"/>
              <w:rPr>
                <w:sz w:val="19"/>
                <w:szCs w:val="19"/>
                <w:color w:val="auto"/>
              </w:rPr>
            </w:pP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interest expense coverage ratio</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x</w:t>
            </w:r>
          </w:p>
        </w:tc>
      </w:tr>
      <w:tr>
        <w:trPr>
          <w:trHeight w:val="22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x</w:t>
            </w:r>
          </w:p>
        </w:tc>
      </w:tr>
      <w:tr>
        <w:trPr>
          <w:trHeight w:val="21"/>
        </w:trPr>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23"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Non-cash compensation expenses resulting from the grant of equity awards.</w:t>
      </w:r>
    </w:p>
    <w:p>
      <w:pPr>
        <w:spacing w:after="0" w:line="122" w:lineRule="exact"/>
        <w:rPr>
          <w:rFonts w:ascii="Times New Roman" w:cs="Times New Roman" w:eastAsia="Times New Roman" w:hAnsi="Times New Roman"/>
          <w:sz w:val="19"/>
          <w:szCs w:val="19"/>
          <w:color w:val="auto"/>
          <w:vertAlign w:val="superscript"/>
        </w:rPr>
      </w:pPr>
    </w:p>
    <w:p>
      <w:pPr>
        <w:ind w:left="260" w:hanging="252"/>
        <w:spacing w:after="0"/>
        <w:tabs>
          <w:tab w:leader="none" w:pos="26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Non-recurring costs and expenses relating to diligence and transaction costs, strike related costs, severance, relocation, realignment and curtailment expenses.</w:t>
      </w:r>
    </w:p>
    <w:p>
      <w:pPr>
        <w:spacing w:after="0" w:line="132" w:lineRule="exact"/>
        <w:rPr>
          <w:rFonts w:ascii="Times New Roman" w:cs="Times New Roman" w:eastAsia="Times New Roman" w:hAnsi="Times New Roman"/>
          <w:sz w:val="9"/>
          <w:szCs w:val="9"/>
          <w:color w:val="auto"/>
        </w:rPr>
      </w:pPr>
    </w:p>
    <w:p>
      <w:pPr>
        <w:ind w:left="260" w:hanging="252"/>
        <w:spacing w:after="0"/>
        <w:tabs>
          <w:tab w:leader="none" w:pos="2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$0.9 million of derivative liabilities, and $1.6 million of finance leases as of March 31, 2025.</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March 31, 2025, we had $38.5 million outstanding under our revolving credit facility and had $205.2 million potentially available after giving effect to $6.3 million of letters of credit issued and outstanding. At December 31, 2024, we had $1.5 million outstanding under our revolving credit facility and had $292.2 million potentially available after giving effect to $6.3 million of letters of credit issued and outstanding. Our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After consideration of leverage restrictions contained in the Credit Agreement, as of March 31, 2025 and December 31, 2024, we had $207.4 million and $216.7 million, respectively, of borrowing capacity available for general corporate purposes.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have historically used cash on hand from our domestic and foreign subsidiaries to pay down amounts outstanding under our revolving credit facility, as applicable.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weighted average borrowings during the first three months of 2025 approximated $428.8 million, compared to $422.9 million during the first three months of 2024, primarily due to borrowings made on our revolving credit facility.</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2021, we, through one of our non-U.S. subsidiaries, entered into a revolving loan facility with a borrowing capacity of $4.0 million. The facility is guaranteed by TriMas Corporation. At March 31, 2025, we had no amounts outstanding on this loan facility.</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majority of our cash on hand as of March 31, 2025 is located outside of the U.S., given available funding under our revolving credit facility of $207.4 million at March 31, 2025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 as well as dividends and share repurchases.</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variable interest rates on our revolving credit facility, which is subject to a benchmark interest rate determined based on the currency denomination of borrowings. Based on our variable rate-based borrowings outstanding at March 31, 2025, a 1% increase in the per annum interest rate would increase our interest expense by $0.4 million annually.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long-term debt, we have other cash commitments related to leases. The majority of our lease transactions are accounted for as operating leases, and annual rent expense related thereto approximated $13.9 million in 2024. We expect leasing will continue to be an available financing option to fund future capital expenditure requirements.</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we announced our Board of Directors had authorized us to increase the purchase of our common stock up to $250 million in the aggregate. In the three months ended March 31, 2025, we purchased 20,491 shares of our outstanding common stock for an aggregate purchase price of $0.5 million. Since the initial authorization through March 31, 2025, we have purchased 6,587,055 shares of our outstanding common stock for an aggregate purchase price of $182.8 million. We will continue to evaluate opportunities to return capital to shareholders through the purchase of our common stock and the payment of dividends, depending on market conditions, and other factors.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derivative financial instruments to manage currency risks associated with our procurement activities denominated in currencies other than the functional currency of our subsidiaries and the impact of currency rate volatility on our earnings. As of March 31, 2025, we were party to foreign exchange forward and swap contracts to hedge changes in foreign currency exchange rates with notional amounts of $121.1 million. We also use cross-currency swap agreements to mitigate currency risks associated with the net investment in certain of our foreign subsidiaries. See Note 10,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 for additional information.</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also subject to interest risk as it relates to our long-term debt. We have historically used interest rate swap agreements to fix the variable portion of our debt to manage this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TriMas is listed in the NASDAQ Global Select Market. Our stock trades under the symbol "TRS."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and certain of our outstanding debt obligations are rated by Standard &amp; Poor's and Moody's. On January 7, 2025, Moody's affirmed a Ba3 rating to our Senior Notes. See Note 9,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included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xml:space="preserve"> within this quarterly report on Form 10-Q. Moody's also affirmed a Ba2 Corporate Family Rating, and changed its outlook from stable to negative. On June 28, 2024, Standard</w:t>
      </w:r>
    </w:p>
    <w:p>
      <w:pPr>
        <w:spacing w:after="0" w:line="1" w:lineRule="exact"/>
        <w:rPr>
          <w:sz w:val="20"/>
          <w:szCs w:val="20"/>
          <w:color w:val="auto"/>
        </w:rPr>
      </w:pPr>
    </w:p>
    <w:p>
      <w:pPr>
        <w:jc w:val="both"/>
        <w:ind w:firstLine="8"/>
        <w:spacing w:after="0" w:line="255" w:lineRule="auto"/>
        <w:tabs>
          <w:tab w:leader="none" w:pos="1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Poor's affirmed a BB- rating to our Senior Notes. Standard &amp; Poor's also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delivered strong first quarter financial results to begin 2025, driven by recovering demand and successful growth initiatives within our Aerospace and Packaging segments, combined with manufacturing enhancements and commercial actions. During the quarter, we successfully completed our acquisition of GMT Aerospace in our Aerospace segment and divested of our Arrow Engine business, which reflect our continued steps to optimize our portfolio of businesses. Looking forward, we remain optimistic about the long-term growth within our two largest segments, Packaging and Aerospace, and an accelerated recovery of our cylinder business within our Specialty Products segment.</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seen a number of global market uncertainties stemming from the macro-economic environment in the past few years, including significant challenges in inflationary pressures, supply chain disruptions and labor availability, as well as significant volatility in our customers' sentiment and order patterns. While we expect continued strong performance in our two largest segments and recovery in Specialty Products, we remain cautious of both primary and secondary effects from the impact of tariffs on input costs and global market conditions. However, we remain committed to mitigate the impact of the tariff environment, as much as practical, by executing on commercial, procurement, production, and streamlining actions and taking other steps as necessary, to maintain our strong balance sheet and generate cash in support of our capital allocation strategy.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capital structure remains strong and that we have sufficient headroom under our financial covenants, and ample cash and available liquidity under our revolving credit facility, to meet our debt service, capital expenditure and other short-term and long-term obligations for the next 12 months and for the foreseeable future, as well as fund dividends, share repurchases and bolt-on acquisitions consistent with our capital allocation strategy.</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leverage the tenets of our TriMas Business Model to manage our multi-industry businesses on a longer-term basis, achieve our growth plans, execute continuous improvement initiatives to offset inflationary pressures, and seek lower-cost sources for input costs, all while continuously assessing the appropriateness of our manufacturing footprint and fixed-cost structure.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Accounting Standards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2,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accounting policies require the application of significant judgment by management in selecting the appropriate assumptions used in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2025, there were no material changes to the items that we disclosed as our critical accounting policies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the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for details about our primary market risks, and the objectives and strategies used to manage these risks. Also see Note 9,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and Note 10,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included within this quarterly report on Form 10-Q for additional information.</w:t>
      </w:r>
    </w:p>
    <w:p>
      <w:pPr>
        <w:spacing w:after="0" w:line="1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2025,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March 31, 2025, the Company's disclosure controls and procedures are effective to provide reasonable assurance that they would meet their objectives.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quarter ended March 31,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included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w:t>
      </w:r>
    </w:p>
    <w:p>
      <w:pPr>
        <w:spacing w:after="0" w:line="7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1,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2024 Annual Report on Form 10-K, which could materially affect our business, financial condition or future results. Except as set forth below, there are no material changes to our risk factors as disclosed in our 2024 Annual Report on Form 10-K. The risk factor presented below supersedes the corresponding risk factor in our 2024 Annual Report on Form 10-K and should otherwise be read in conjunction with all of the risk factors disclosed in our 2024 Annual Report on Form 10-K.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developments in U.S. trade policies could have a material adverse effect on us and our financial condition and results of operations.</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Free trade laws and regulations provide certain duties and tariffs on qualifying imports and exports, subject to compliance with the applicable classification and other requirements. The United States government has altered its approach to international trade policy and, in some cases, indicated its intent to renegotiate, or potentially terminate, certain existing bilateral or multi-lateral trade agreements and treaties with foreign countries. For example, the U.S. government recently announced baseline tariffs on products from all countries and additional individualized reciprocal tariffs on the countries with which the United States has the largest trade deficits, including China. Current and future tariffs, including any retaliatory tariffs imposed by other countries, or other potential governmental actions, could result in further adverse impacts on our business and results of operations. These tariffs, and other governmental actions relating to international trade agreements or policies, the adoption and expansion of trade restrictions, or the occurrence of trade wars may adversely impact demand for our products, costs, customers, suppliers and/or the U.S. economy or certain sectors thereof and, as a result, adversely impact our business. These tariffs and actions may, directly or indirectly, lead to higher costs and cause us to increase prices to our customers which may reduce demand, or, if we are unable to increase prices, result in lowering our margin on products sold. The degree to which these changes in U.S. trade policies, or the trade policies of other countries, affect our financial condition and results of operations will be influenced by the specific details of the changes in trade policies, their timing and duration, and our effectiveness in deploying tools and strategies to address these issues. During the first quarter of 2025, we have experienced higher input costs as a direct result of tariffs imposed on certain raw materials and components imported from China. In certain cases, we have passed-through these incremental costs to the customer, while in some cases we have not changed pricing to retain or expand volume, and in other cases we continue to work to install capacity in facilities where there currently is no tariff. In addition, certain of our U.S. suppliers raised prices for components in response to an overall increase in demand for domestic sources. There remains uncertainty regarding the scope and duration of these actions by the U.S. or foreign governments with respect to tariffs, international trade agreements and policies on a short-term or long-term basis. Additional changes in laws or policies governing the terms of foreign trade, and in particular increased trade restrictions, tariffs or taxes on imports from countries where we manufacture or purchase products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purchases made by the Company, or on behalf of the Company by an affiliated purchaser, of shares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during the three months ended March 31, 2025:</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c>
          <w:tcPr>
            <w:tcW w:w="0" w:type="dxa"/>
            <w:vAlign w:val="bottom"/>
          </w:tcPr>
          <w:p>
            <w:pPr>
              <w:spacing w:after="0"/>
              <w:rPr>
                <w:sz w:val="1"/>
                <w:szCs w:val="1"/>
                <w:color w:val="auto"/>
              </w:rPr>
            </w:pPr>
          </w:p>
        </w:tc>
      </w:tr>
      <w:tr>
        <w:trPr>
          <w:trHeight w:val="108"/>
        </w:trPr>
        <w:tc>
          <w:tcPr>
            <w:tcW w:w="3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 May</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2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gridSpan w:val="2"/>
            <w:vMerge w:val="restart"/>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4"/>
                <w:szCs w:val="4"/>
                <w:color w:val="auto"/>
              </w:rPr>
            </w:pPr>
          </w:p>
        </w:tc>
        <w:tc>
          <w:tcPr>
            <w:tcW w:w="18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w:t>
            </w:r>
          </w:p>
        </w:tc>
        <w:tc>
          <w:tcPr>
            <w:tcW w:w="12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the Program (in millions)</w:t>
            </w:r>
          </w:p>
        </w:tc>
        <w:tc>
          <w:tcPr>
            <w:tcW w:w="0" w:type="dxa"/>
            <w:vAlign w:val="bottom"/>
          </w:tcPr>
          <w:p>
            <w:pPr>
              <w:spacing w:after="0"/>
              <w:rPr>
                <w:sz w:val="1"/>
                <w:szCs w:val="1"/>
                <w:color w:val="auto"/>
              </w:rPr>
            </w:pPr>
          </w:p>
        </w:tc>
      </w:tr>
      <w:tr>
        <w:trPr>
          <w:trHeight w:val="162"/>
        </w:trPr>
        <w:tc>
          <w:tcPr>
            <w:tcW w:w="3860" w:type="dxa"/>
            <w:vAlign w:val="bottom"/>
            <w:gridSpan w:val="2"/>
            <w:vMerge w:val="continue"/>
          </w:tcPr>
          <w:p>
            <w:pPr>
              <w:spacing w:after="0"/>
              <w:rPr>
                <w:sz w:val="14"/>
                <w:szCs w:val="14"/>
                <w:color w:val="auto"/>
              </w:rPr>
            </w:pPr>
          </w:p>
        </w:tc>
        <w:tc>
          <w:tcPr>
            <w:tcW w:w="1720" w:type="dxa"/>
            <w:vAlign w:val="bottom"/>
          </w:tcPr>
          <w:p>
            <w:pPr>
              <w:jc w:val="right"/>
              <w:ind w:right="413"/>
              <w:spacing w:after="0" w:line="162" w:lineRule="exact"/>
              <w:rPr>
                <w:sz w:val="20"/>
                <w:szCs w:val="20"/>
                <w:color w:val="auto"/>
              </w:rPr>
            </w:pPr>
            <w:r>
              <w:rPr>
                <w:rFonts w:ascii="Times New Roman" w:cs="Times New Roman" w:eastAsia="Times New Roman" w:hAnsi="Times New Roman"/>
                <w:sz w:val="16"/>
                <w:szCs w:val="16"/>
                <w:b w:val="1"/>
                <w:bCs w:val="1"/>
                <w:color w:val="auto"/>
              </w:rPr>
              <w:t>Purchased</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2"/>
          </w:tcPr>
          <w:p>
            <w:pPr>
              <w:jc w:val="center"/>
              <w:ind w:right="5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w:t>
            </w: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w w:val="93"/>
              </w:rPr>
              <w:t>(1)</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2025 to January 31, 2025</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30"/>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2025 to February 28, 2025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2025 to March 31, 2025</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20,491</w:t>
            </w:r>
          </w:p>
        </w:tc>
        <w:tc>
          <w:tcPr>
            <w:tcW w:w="48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20,491</w:t>
            </w: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jc w:val="both"/>
        <w:ind w:left="340" w:hanging="332"/>
        <w:spacing w:after="0"/>
        <w:tabs>
          <w:tab w:leader="none" w:pos="309"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March 2020, the Company announced its Board of Directors had authorized the Company to increase the purchase of its common stock up to $250 million in the aggregate from its previous authorization of $150 million. The increased authorization includes the value of shares already purchased under the previous authorization. Pursuant to this share repurchase program, during the three months ended March 31, 2025, the Company repurchased 20,491 shares of its common stock at a cost of $0.5 million. The share repurchase program is effective and has no expiration date.</w:t>
      </w:r>
    </w:p>
    <w:p>
      <w:pPr>
        <w:spacing w:after="0" w:line="29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5, 2025, Thomas A. Amato, TriMas' President and Chief Executive Officer, adopted a trading plan intended to satisfy the affirmative defense conditions of Rule 10b5-1(c) under the Exchange Act. The trading plan provides that Mr. Amato may sell up to an aggregate of 196,139 shares of the Company's common stock. First trades under Mr. Amato’s trading plan will not occur until June 11, 2025, at the earliest, and the trading plan is scheduled to terminate on December 31, 2025, subject to early termination for certain specified events set forth therein.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60" w:type="dxa"/>
            <w:vAlign w:val="bottom"/>
            <w:gridSpan w:val="20"/>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1"/>
        </w:trPr>
        <w:tc>
          <w:tcPr>
            <w:tcW w:w="112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Exhibits Index:</w:t>
            </w:r>
          </w:p>
        </w:tc>
      </w:tr>
      <w:tr>
        <w:trPr>
          <w:trHeight w:val="236"/>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tcPr>
          <w:p>
            <w:pPr>
              <w:spacing w:after="0"/>
              <w:rPr>
                <w:sz w:val="20"/>
                <w:szCs w:val="20"/>
                <w:color w:val="auto"/>
              </w:rPr>
            </w:pPr>
          </w:p>
        </w:tc>
        <w:tc>
          <w:tcPr>
            <w:tcW w:w="9520" w:type="dxa"/>
            <w:vAlign w:val="bottom"/>
            <w:gridSpan w:val="19"/>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Fourth Amended and Restated Certificate of Incorporation of TriMas Corporation, incorporated by reference to Exhibit 3.1 to the</w:t>
              </w:r>
            </w:hyperlink>
          </w:p>
        </w:tc>
      </w:tr>
      <w:tr>
        <w:trPr>
          <w:trHeight w:val="149"/>
        </w:trPr>
        <w:tc>
          <w:tcPr>
            <w:tcW w:w="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940" w:type="dxa"/>
            <w:vAlign w:val="bottom"/>
            <w:tcBorders>
              <w:top w:val="single" w:sz="8" w:color="0000FF"/>
              <w:bottom w:val="single" w:sz="8" w:color="0000FF"/>
            </w:tcBorders>
            <w:gridSpan w:val="5"/>
          </w:tcPr>
          <w:p>
            <w:pPr>
              <w:spacing w:after="0" w:line="149" w:lineRule="exact"/>
              <w:rPr>
                <w:rFonts w:ascii="Times New Roman" w:cs="Times New Roman" w:eastAsia="Times New Roman" w:hAnsi="Times New Roman"/>
                <w:sz w:val="17"/>
                <w:szCs w:val="17"/>
                <w:color w:val="0000FF"/>
              </w:rPr>
            </w:pPr>
            <w:hyperlink r:id="rId50">
              <w:r>
                <w:rPr>
                  <w:rFonts w:ascii="Times New Roman" w:cs="Times New Roman" w:eastAsia="Times New Roman" w:hAnsi="Times New Roman"/>
                  <w:sz w:val="17"/>
                  <w:szCs w:val="17"/>
                  <w:color w:val="0000FF"/>
                </w:rPr>
                <w:t>Company's Quarterly Report on Form 10-Q filed on August 3, 2007.</w:t>
              </w:r>
            </w:hyperlink>
          </w:p>
        </w:tc>
        <w:tc>
          <w:tcPr>
            <w:tcW w:w="1000" w:type="dxa"/>
            <w:vAlign w:val="bottom"/>
            <w:tcBorders>
              <w:top w:val="single" w:sz="8" w:color="0000FF"/>
            </w:tcBorders>
            <w:gridSpan w:val="2"/>
          </w:tcPr>
          <w:p>
            <w:pPr>
              <w:spacing w:after="0"/>
              <w:rPr>
                <w:sz w:val="12"/>
                <w:szCs w:val="12"/>
                <w:color w:val="auto"/>
              </w:rPr>
            </w:pPr>
          </w:p>
        </w:tc>
        <w:tc>
          <w:tcPr>
            <w:tcW w:w="24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tcPr>
          <w:p>
            <w:pPr>
              <w:spacing w:after="0"/>
              <w:rPr>
                <w:sz w:val="18"/>
                <w:szCs w:val="18"/>
                <w:color w:val="auto"/>
              </w:rPr>
            </w:pPr>
          </w:p>
        </w:tc>
        <w:tc>
          <w:tcPr>
            <w:tcW w:w="9520" w:type="dxa"/>
            <w:vAlign w:val="bottom"/>
            <w:gridSpan w:val="19"/>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Third Amended and Restated By-laws of TriMas Corporation, incorporated by reference to Exhibit 3.1 to the Company's Current</w:t>
              </w:r>
            </w:hyperlink>
          </w:p>
        </w:tc>
      </w:tr>
      <w:tr>
        <w:trPr>
          <w:trHeight w:val="169"/>
        </w:trPr>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5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Report on Form 8-K filed on December 18, 2015.</w:t>
              </w:r>
            </w:hyperlink>
          </w:p>
        </w:tc>
        <w:tc>
          <w:tcPr>
            <w:tcW w:w="13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200" w:type="dxa"/>
            <w:vAlign w:val="bottom"/>
            <w:tcBorders>
              <w:top w:val="single" w:sz="8" w:color="0000FF"/>
            </w:tcBorders>
            <w:gridSpan w:val="2"/>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spacing w:after="0"/>
              <w:rPr>
                <w:sz w:val="18"/>
                <w:szCs w:val="18"/>
                <w:color w:val="auto"/>
              </w:rPr>
            </w:pPr>
          </w:p>
        </w:tc>
        <w:tc>
          <w:tcPr>
            <w:tcW w:w="9520" w:type="dxa"/>
            <w:vAlign w:val="bottom"/>
            <w:gridSpan w:val="19"/>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Eighth Amendment to the Credit Agreement, dated as of March 31, 2025, by and among TriMas Corporation, TriMas Company</w:t>
              </w:r>
            </w:hyperlink>
          </w:p>
        </w:tc>
      </w:tr>
      <w:tr>
        <w:trPr>
          <w:trHeight w:val="169"/>
        </w:trPr>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LLC, certain other subsidiaries of TriMas Corporation party thereto and JPMorgan Chase Bank, N.A., as Administrative Agent,</w:t>
              </w:r>
            </w:hyperlink>
          </w:p>
        </w:tc>
        <w:tc>
          <w:tcPr>
            <w:tcW w:w="320" w:type="dxa"/>
            <w:vAlign w:val="bottom"/>
            <w:gridSpan w:val="6"/>
          </w:tcPr>
          <w:p>
            <w:pPr>
              <w:ind w:left="40"/>
              <w:spacing w:after="0" w:line="169"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and</w:t>
              </w:r>
            </w:hyperlink>
          </w:p>
        </w:tc>
      </w:tr>
      <w:tr>
        <w:trPr>
          <w:trHeight w:val="156"/>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5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the various lenders from time to time thereto, incorporated by reference to Exhibit 10.1 to the Company’s Current Report on Form</w:t>
              </w:r>
            </w:hyperlink>
          </w:p>
        </w:tc>
        <w:tc>
          <w:tcPr>
            <w:tcW w:w="20" w:type="dxa"/>
            <w:vAlign w:val="bottom"/>
          </w:tcPr>
          <w:p>
            <w:pPr>
              <w:spacing w:after="0"/>
              <w:rPr>
                <w:sz w:val="13"/>
                <w:szCs w:val="13"/>
                <w:color w:val="auto"/>
              </w:rPr>
            </w:pPr>
          </w:p>
        </w:tc>
      </w:tr>
      <w:tr>
        <w:trPr>
          <w:trHeight w:val="156"/>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52">
              <w:r>
                <w:rPr>
                  <w:rFonts w:ascii="Times New Roman" w:cs="Times New Roman" w:eastAsia="Times New Roman" w:hAnsi="Times New Roman"/>
                  <w:sz w:val="18"/>
                  <w:szCs w:val="18"/>
                  <w:color w:val="0000FF"/>
                  <w:w w:val="98"/>
                </w:rPr>
                <w:t>8-K filed on April 1, 2025.*</w:t>
              </w:r>
            </w:hyperlink>
          </w:p>
        </w:tc>
        <w:tc>
          <w:tcPr>
            <w:tcW w:w="7360" w:type="dxa"/>
            <w:vAlign w:val="bottom"/>
            <w:tcBorders>
              <w:top w:val="single" w:sz="8" w:color="0000FF"/>
            </w:tcBorders>
            <w:gridSpan w:val="14"/>
          </w:tcPr>
          <w:p>
            <w:pPr>
              <w:spacing w:after="0"/>
              <w:rPr>
                <w:sz w:val="13"/>
                <w:szCs w:val="13"/>
                <w:color w:val="auto"/>
              </w:rPr>
            </w:pPr>
          </w:p>
        </w:tc>
        <w:tc>
          <w:tcPr>
            <w:tcW w:w="140" w:type="dxa"/>
            <w:vAlign w:val="bottom"/>
            <w:gridSpan w:val="2"/>
          </w:tcPr>
          <w:p>
            <w:pPr>
              <w:spacing w:after="0"/>
              <w:rPr>
                <w:sz w:val="13"/>
                <w:szCs w:val="13"/>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40" w:type="dxa"/>
            <w:vAlign w:val="bottom"/>
          </w:tcPr>
          <w:p>
            <w:pPr>
              <w:spacing w:after="0"/>
              <w:rPr>
                <w:sz w:val="18"/>
                <w:szCs w:val="18"/>
                <w:color w:val="auto"/>
              </w:rPr>
            </w:pPr>
          </w:p>
        </w:tc>
        <w:tc>
          <w:tcPr>
            <w:tcW w:w="9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Form of Performance Stock Units Agreement - 2025 LTI - under the 2023 Equity and Incentive Compensation Plan.**</w:t>
            </w:r>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520" w:type="dxa"/>
            <w:vAlign w:val="bottom"/>
            <w:gridSpan w:val="4"/>
            <w:shd w:val="clear" w:color="auto" w:fill="0000FF"/>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40" w:type="dxa"/>
            <w:vAlign w:val="bottom"/>
          </w:tcPr>
          <w:p>
            <w:pPr>
              <w:spacing w:after="0"/>
              <w:rPr>
                <w:sz w:val="18"/>
                <w:szCs w:val="18"/>
                <w:color w:val="auto"/>
              </w:rPr>
            </w:pPr>
          </w:p>
        </w:tc>
        <w:tc>
          <w:tcPr>
            <w:tcW w:w="9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Form of Restricted Stock Units Agreement (Three-Year Ratable Vest) - 2025 LTI - under the 2023 Equity and Incentive</w:t>
            </w:r>
          </w:p>
        </w:tc>
      </w:tr>
      <w:tr>
        <w:trPr>
          <w:trHeight w:val="169"/>
        </w:trPr>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Compensation Plan.**</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4"/>
          </w:tcPr>
          <w:p>
            <w:pPr>
              <w:spacing w:after="0"/>
              <w:rPr>
                <w:sz w:val="14"/>
                <w:szCs w:val="14"/>
                <w:color w:val="auto"/>
              </w:rPr>
            </w:pPr>
          </w:p>
        </w:tc>
        <w:tc>
          <w:tcPr>
            <w:tcW w:w="160" w:type="dxa"/>
            <w:vAlign w:val="bottom"/>
            <w:gridSpan w:val="3"/>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18"/>
                <w:szCs w:val="18"/>
                <w:color w:val="auto"/>
              </w:rPr>
            </w:pPr>
          </w:p>
        </w:tc>
        <w:tc>
          <w:tcPr>
            <w:tcW w:w="9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Form of Restricted Stock Units Agreement (One-Year Cliff Vest) - 2025 LTI - under the 2023 Equity and Incentive Compensation</w:t>
            </w:r>
          </w:p>
        </w:tc>
      </w:tr>
      <w:tr>
        <w:trPr>
          <w:trHeight w:val="169"/>
        </w:trPr>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5"/>
              </w:rPr>
              <w:t>Plan.**</w:t>
            </w:r>
          </w:p>
        </w:tc>
        <w:tc>
          <w:tcPr>
            <w:tcW w:w="8820" w:type="dxa"/>
            <w:vAlign w:val="bottom"/>
            <w:tcBorders>
              <w:top w:val="single" w:sz="8" w:color="0000FF"/>
            </w:tcBorders>
            <w:gridSpan w:val="15"/>
          </w:tcPr>
          <w:p>
            <w:pPr>
              <w:spacing w:after="0"/>
              <w:rPr>
                <w:sz w:val="14"/>
                <w:szCs w:val="14"/>
                <w:color w:val="auto"/>
              </w:rPr>
            </w:pPr>
          </w:p>
        </w:tc>
        <w:tc>
          <w:tcPr>
            <w:tcW w:w="160" w:type="dxa"/>
            <w:vAlign w:val="bottom"/>
            <w:gridSpan w:val="3"/>
          </w:tcPr>
          <w:p>
            <w:pPr>
              <w:spacing w:after="0"/>
              <w:rPr>
                <w:sz w:val="14"/>
                <w:szCs w:val="14"/>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40" w:type="dxa"/>
            <w:vAlign w:val="bottom"/>
          </w:tcPr>
          <w:p>
            <w:pPr>
              <w:spacing w:after="0"/>
              <w:rPr>
                <w:sz w:val="18"/>
                <w:szCs w:val="18"/>
                <w:color w:val="auto"/>
              </w:rPr>
            </w:pPr>
          </w:p>
        </w:tc>
        <w:tc>
          <w:tcPr>
            <w:tcW w:w="9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Form of Restricted Stock Units Agreement (Two-Year Ratable Vest) - 2025 LTI - under the 2023 Equity and Incentive</w:t>
            </w:r>
          </w:p>
        </w:tc>
      </w:tr>
      <w:tr>
        <w:trPr>
          <w:trHeight w:val="169"/>
        </w:trPr>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54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Compensation Plan.**</w:t>
            </w:r>
          </w:p>
        </w:tc>
        <w:tc>
          <w:tcPr>
            <w:tcW w:w="1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7"/>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40" w:type="dxa"/>
            <w:vAlign w:val="bottom"/>
          </w:tcPr>
          <w:p>
            <w:pPr>
              <w:spacing w:after="0"/>
              <w:rPr>
                <w:sz w:val="18"/>
                <w:szCs w:val="18"/>
                <w:color w:val="auto"/>
              </w:rPr>
            </w:pPr>
          </w:p>
        </w:tc>
        <w:tc>
          <w:tcPr>
            <w:tcW w:w="9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Transition and Separation Agreement between TriMas Corporation and Thomas A. Amato dated January 4, 2025.**</w:t>
            </w: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40" w:type="dxa"/>
            <w:vAlign w:val="bottom"/>
          </w:tcPr>
          <w:p>
            <w:pPr>
              <w:spacing w:after="0"/>
              <w:rPr>
                <w:sz w:val="18"/>
                <w:szCs w:val="18"/>
                <w:color w:val="auto"/>
              </w:rPr>
            </w:pPr>
          </w:p>
        </w:tc>
        <w:tc>
          <w:tcPr>
            <w:tcW w:w="51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Form of February 2025 Executive Retention Award letter agreement.**</w:t>
            </w:r>
          </w:p>
        </w:tc>
        <w:tc>
          <w:tcPr>
            <w:tcW w:w="3200" w:type="dxa"/>
            <w:vAlign w:val="bottom"/>
            <w:tcBorders>
              <w:top w:val="single" w:sz="8" w:color="0000FF"/>
            </w:tcBorders>
            <w:gridSpan w:val="2"/>
          </w:tcPr>
          <w:p>
            <w:pPr>
              <w:spacing w:after="0"/>
              <w:rPr>
                <w:sz w:val="18"/>
                <w:szCs w:val="18"/>
                <w:color w:val="auto"/>
              </w:rPr>
            </w:pPr>
          </w:p>
        </w:tc>
        <w:tc>
          <w:tcPr>
            <w:tcW w:w="1180" w:type="dxa"/>
            <w:vAlign w:val="bottom"/>
            <w:gridSpan w:val="11"/>
          </w:tcPr>
          <w:p>
            <w:pPr>
              <w:spacing w:after="0"/>
              <w:rPr>
                <w:sz w:val="18"/>
                <w:szCs w:val="18"/>
                <w:color w:val="auto"/>
              </w:rPr>
            </w:pPr>
          </w:p>
        </w:tc>
      </w:tr>
      <w:tr>
        <w:trPr>
          <w:trHeight w:val="21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40" w:type="dxa"/>
            <w:vAlign w:val="bottom"/>
          </w:tcPr>
          <w:p>
            <w:pPr>
              <w:spacing w:after="0"/>
              <w:rPr>
                <w:sz w:val="18"/>
                <w:szCs w:val="18"/>
                <w:color w:val="auto"/>
              </w:rPr>
            </w:pPr>
          </w:p>
        </w:tc>
        <w:tc>
          <w:tcPr>
            <w:tcW w:w="9520" w:type="dxa"/>
            <w:vAlign w:val="bottom"/>
            <w:gridSpan w:val="19"/>
          </w:tcPr>
          <w:p>
            <w:pPr>
              <w:spacing w:after="0" w:line="207"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302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r>
      <w:tr>
        <w:trPr>
          <w:trHeight w:val="21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40" w:type="dxa"/>
            <w:vAlign w:val="bottom"/>
          </w:tcPr>
          <w:p>
            <w:pPr>
              <w:spacing w:after="0"/>
              <w:rPr>
                <w:sz w:val="18"/>
                <w:szCs w:val="18"/>
                <w:color w:val="auto"/>
              </w:rPr>
            </w:pPr>
          </w:p>
        </w:tc>
        <w:tc>
          <w:tcPr>
            <w:tcW w:w="8740" w:type="dxa"/>
            <w:vAlign w:val="bottom"/>
            <w:tcBorders>
              <w:top w:val="single" w:sz="8" w:color="0000FF"/>
              <w:bottom w:val="single" w:sz="8" w:color="0000FF"/>
            </w:tcBorders>
            <w:gridSpan w:val="12"/>
          </w:tcPr>
          <w:p>
            <w:pPr>
              <w:spacing w:after="0" w:line="207"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302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c>
          <w:tcPr>
            <w:tcW w:w="780" w:type="dxa"/>
            <w:vAlign w:val="bottom"/>
            <w:gridSpan w:val="7"/>
          </w:tcPr>
          <w:p>
            <w:pPr>
              <w:spacing w:after="0"/>
              <w:rPr>
                <w:sz w:val="18"/>
                <w:szCs w:val="18"/>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40" w:type="dxa"/>
            <w:vAlign w:val="bottom"/>
          </w:tcPr>
          <w:p>
            <w:pPr>
              <w:spacing w:after="0"/>
              <w:rPr>
                <w:sz w:val="18"/>
                <w:szCs w:val="18"/>
                <w:color w:val="auto"/>
              </w:rPr>
            </w:pPr>
          </w:p>
        </w:tc>
        <w:tc>
          <w:tcPr>
            <w:tcW w:w="8740" w:type="dxa"/>
            <w:vAlign w:val="bottom"/>
            <w:tcBorders>
              <w:bottom w:val="single" w:sz="8" w:color="0000FF"/>
            </w:tcBorders>
            <w:gridSpan w:val="12"/>
          </w:tcPr>
          <w:p>
            <w:pPr>
              <w:spacing w:after="0" w:line="207"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c>
          <w:tcPr>
            <w:tcW w:w="780" w:type="dxa"/>
            <w:vAlign w:val="bottom"/>
            <w:gridSpan w:val="7"/>
          </w:tcPr>
          <w:p>
            <w:pPr>
              <w:spacing w:after="0"/>
              <w:rPr>
                <w:sz w:val="18"/>
                <w:szCs w:val="18"/>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40" w:type="dxa"/>
            <w:vAlign w:val="bottom"/>
          </w:tcPr>
          <w:p>
            <w:pPr>
              <w:spacing w:after="0"/>
              <w:rPr>
                <w:sz w:val="18"/>
                <w:szCs w:val="18"/>
                <w:color w:val="auto"/>
              </w:rPr>
            </w:pPr>
          </w:p>
        </w:tc>
        <w:tc>
          <w:tcPr>
            <w:tcW w:w="8720" w:type="dxa"/>
            <w:vAlign w:val="bottom"/>
            <w:tcBorders>
              <w:bottom w:val="single" w:sz="8" w:color="0000FF"/>
            </w:tcBorders>
            <w:gridSpan w:val="11"/>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20" w:type="dxa"/>
            <w:vAlign w:val="bottom"/>
          </w:tcPr>
          <w:p>
            <w:pPr>
              <w:spacing w:after="0"/>
              <w:rPr>
                <w:sz w:val="18"/>
                <w:szCs w:val="18"/>
                <w:color w:val="auto"/>
              </w:rPr>
            </w:pPr>
          </w:p>
        </w:tc>
        <w:tc>
          <w:tcPr>
            <w:tcW w:w="780" w:type="dxa"/>
            <w:vAlign w:val="bottom"/>
            <w:gridSpan w:val="7"/>
          </w:tcPr>
          <w:p>
            <w:pPr>
              <w:spacing w:after="0"/>
              <w:rPr>
                <w:sz w:val="18"/>
                <w:szCs w:val="18"/>
                <w:color w:val="auto"/>
              </w:rPr>
            </w:pPr>
          </w:p>
        </w:tc>
      </w:tr>
      <w:tr>
        <w:trPr>
          <w:trHeight w:val="205"/>
        </w:trPr>
        <w:tc>
          <w:tcPr>
            <w:tcW w:w="6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spacing w:after="0"/>
              <w:rPr>
                <w:sz w:val="17"/>
                <w:szCs w:val="17"/>
                <w:color w:val="auto"/>
              </w:rPr>
            </w:pPr>
          </w:p>
        </w:tc>
        <w:tc>
          <w:tcPr>
            <w:tcW w:w="952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auto"/>
              </w:rPr>
              <w:t>The following materials from TriMas Corporation's Quarterly Report on Form 10-Q for the quarter ended March 31, 2025,</w:t>
            </w:r>
          </w:p>
        </w:tc>
      </w:tr>
      <w:tr>
        <w:trPr>
          <w:trHeight w:val="180"/>
        </w:trPr>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520" w:type="dxa"/>
            <w:vAlign w:val="bottom"/>
            <w:gridSpan w:val="19"/>
          </w:tcPr>
          <w:p>
            <w:pPr>
              <w:spacing w:after="0" w:line="181" w:lineRule="exact"/>
              <w:rPr>
                <w:sz w:val="20"/>
                <w:szCs w:val="20"/>
                <w:color w:val="auto"/>
              </w:rPr>
            </w:pPr>
            <w:r>
              <w:rPr>
                <w:rFonts w:ascii="Times New Roman" w:cs="Times New Roman" w:eastAsia="Times New Roman" w:hAnsi="Times New Roman"/>
                <w:sz w:val="18"/>
                <w:szCs w:val="18"/>
                <w:color w:val="auto"/>
              </w:rPr>
              <w:t>formatted in Inline XBRL (eXtensible Business Reporting Language): (i) the Consolidated Balance Sheet, (ii) the Consolidated</w:t>
            </w:r>
          </w:p>
        </w:tc>
      </w:tr>
      <w:tr>
        <w:trPr>
          <w:trHeight w:val="191"/>
        </w:trPr>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520" w:type="dxa"/>
            <w:vAlign w:val="bottom"/>
            <w:gridSpan w:val="19"/>
          </w:tcPr>
          <w:p>
            <w:pPr>
              <w:spacing w:after="0" w:line="191" w:lineRule="exact"/>
              <w:rPr>
                <w:sz w:val="20"/>
                <w:szCs w:val="20"/>
                <w:color w:val="auto"/>
              </w:rPr>
            </w:pPr>
            <w:r>
              <w:rPr>
                <w:rFonts w:ascii="Times New Roman" w:cs="Times New Roman" w:eastAsia="Times New Roman" w:hAnsi="Times New Roman"/>
                <w:sz w:val="18"/>
                <w:szCs w:val="18"/>
                <w:color w:val="auto"/>
              </w:rPr>
              <w:t>Statement of Income, (iii) the Consolidated Statement of Comprehensive Income, (iv) the Consolidated Statement of Cash Flows,</w:t>
            </w:r>
          </w:p>
        </w:tc>
      </w:tr>
    </w:tbl>
    <w:p>
      <w:pPr>
        <w:ind w:left="1680" w:right="60" w:hanging="7"/>
        <w:spacing w:after="0" w:line="233" w:lineRule="auto"/>
        <w:tabs>
          <w:tab w:leader="none" w:pos="195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 of Shareholders' Equity, (vi) Notes to Consolidated Financial Statements, and (vii) document and entity information.</w:t>
      </w:r>
    </w:p>
    <w:p>
      <w:pPr>
        <w:spacing w:after="0" w:line="1" w:lineRule="exact"/>
        <w:rPr>
          <w:sz w:val="20"/>
          <w:szCs w:val="20"/>
          <w:color w:val="auto"/>
        </w:rPr>
      </w:pPr>
    </w:p>
    <w:p>
      <w:pPr>
        <w:ind w:left="20"/>
        <w:spacing w:after="0"/>
        <w:tabs>
          <w:tab w:leader="none" w:pos="1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342" w:lineRule="exact"/>
        <w:rPr>
          <w:sz w:val="20"/>
          <w:szCs w:val="20"/>
          <w:color w:val="auto"/>
        </w:rPr>
      </w:pPr>
    </w:p>
    <w:p>
      <w:pPr>
        <w:ind w:firstLine="8"/>
        <w:spacing w:after="0" w:line="261" w:lineRule="auto"/>
        <w:tabs>
          <w:tab w:leader="none" w:pos="13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have been omitted and the Company agrees to furnish supplementally to the Securities and Exchange Commission a copy of any omitted exhibits and schedules upon request.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contracts and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410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TRIMAS CORPORATION (Registrant)</w:t>
            </w:r>
          </w:p>
        </w:tc>
        <w:tc>
          <w:tcPr>
            <w:tcW w:w="4480" w:type="dxa"/>
            <w:vAlign w:val="bottom"/>
          </w:tcPr>
          <w:p>
            <w:pPr>
              <w:spacing w:after="0"/>
              <w:rPr>
                <w:sz w:val="20"/>
                <w:szCs w:val="20"/>
                <w:color w:val="auto"/>
              </w:rPr>
            </w:pPr>
          </w:p>
        </w:tc>
      </w:tr>
      <w:tr>
        <w:trPr>
          <w:trHeight w:val="486"/>
        </w:trPr>
        <w:tc>
          <w:tcPr>
            <w:tcW w:w="2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480" w:type="dxa"/>
            <w:vAlign w:val="bottom"/>
          </w:tcPr>
          <w:p>
            <w:pPr>
              <w:jc w:val="center"/>
              <w:ind w:right="2450"/>
              <w:spacing w:after="0"/>
              <w:rPr>
                <w:sz w:val="20"/>
                <w:szCs w:val="20"/>
                <w:color w:val="auto"/>
              </w:rPr>
            </w:pPr>
            <w:r>
              <w:rPr>
                <w:rFonts w:ascii="Times New Roman" w:cs="Times New Roman" w:eastAsia="Times New Roman" w:hAnsi="Times New Roman"/>
                <w:sz w:val="18"/>
                <w:szCs w:val="18"/>
                <w:color w:val="auto"/>
                <w:w w:val="99"/>
              </w:rPr>
              <w:t>/s/ TERESA M. FINLEY</w:t>
            </w:r>
          </w:p>
        </w:tc>
      </w:tr>
      <w:tr>
        <w:trPr>
          <w:trHeight w:val="54"/>
        </w:trPr>
        <w:tc>
          <w:tcPr>
            <w:tcW w:w="26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r>
      <w:tr>
        <w:trPr>
          <w:trHeight w:val="176"/>
        </w:trPr>
        <w:tc>
          <w:tcPr>
            <w:tcW w:w="2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4480" w:type="dxa"/>
            <w:vAlign w:val="bottom"/>
          </w:tcPr>
          <w:p>
            <w:pPr>
              <w:jc w:val="center"/>
              <w:ind w:right="2450"/>
              <w:spacing w:after="0" w:line="176" w:lineRule="exact"/>
              <w:rPr>
                <w:sz w:val="20"/>
                <w:szCs w:val="20"/>
                <w:color w:val="auto"/>
              </w:rPr>
            </w:pPr>
            <w:r>
              <w:rPr>
                <w:rFonts w:ascii="Times New Roman" w:cs="Times New Roman" w:eastAsia="Times New Roman" w:hAnsi="Times New Roman"/>
                <w:sz w:val="18"/>
                <w:szCs w:val="18"/>
                <w:color w:val="auto"/>
                <w:w w:val="98"/>
              </w:rPr>
              <w:t>Teresa M. Finley</w:t>
            </w:r>
          </w:p>
        </w:tc>
      </w:tr>
      <w:tr>
        <w:trPr>
          <w:trHeight w:val="23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2025</w:t>
            </w:r>
          </w:p>
        </w:tc>
        <w:tc>
          <w:tcPr>
            <w:tcW w:w="41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jc w:val="center"/>
              <w:ind w:right="245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1/1/25 – 12/31/27 Award</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Performance Stock Units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23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2023 EQUITY AND INCENTIVE COMPENSATION PLAN</w:t>
      </w:r>
    </w:p>
    <w:p>
      <w:pPr>
        <w:spacing w:after="0" w:line="22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b w:val="1"/>
          <w:bCs w:val="1"/>
          <w:color w:val="auto"/>
        </w:rPr>
        <w:t>PERFORMANCE STOCK UNITS AGREEMENT</w:t>
      </w:r>
    </w:p>
    <w:p>
      <w:pPr>
        <w:spacing w:after="0" w:line="2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TriMas Corporation (the “Company”), as permitted by the TriMas Corporation 2023 Equity and Incentive Compensation Plan (“Plan”), and as provided for by the Committee, has granted to the individual listed below (“Grantee”), the opportunity to earn performance-based Restricted Stock Units (“PSUs”) in the amount designated in this Performance Stock Units Agreement (“Agreement”), subject to the terms and conditions of the Plan and this Agreement.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Unless otherwise defined in this Agreement or in one or more Appendices to this Agreement, the terms used in this Agreement have the same meanings as defined in the Plan.</w:t>
      </w:r>
    </w:p>
    <w:p>
      <w:pPr>
        <w:spacing w:after="0" w:line="154"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 OF PSU AWARD</w:t>
      </w:r>
    </w:p>
    <w:p>
      <w:pPr>
        <w:sectPr>
          <w:pgSz w:w="11900" w:h="16838" w:orient="portrait"/>
          <w:cols w:equalWidth="0" w:num="1">
            <w:col w:w="11240"/>
          </w:cols>
          <w:pgMar w:left="320" w:top="338" w:right="339" w:bottom="1440" w:gutter="0" w:footer="0" w:header="0"/>
        </w:sectPr>
      </w:pPr>
    </w:p>
    <w:p>
      <w:pPr>
        <w:spacing w:after="0" w:line="3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jc w:val="center"/>
        <w:ind w:right="4180"/>
        <w:spacing w:after="0"/>
        <w:rPr>
          <w:sz w:val="20"/>
          <w:szCs w:val="20"/>
          <w:color w:val="auto"/>
        </w:rPr>
      </w:pPr>
      <w:r>
        <w:rPr>
          <w:rFonts w:ascii="Times New Roman" w:cs="Times New Roman" w:eastAsia="Times New Roman" w:hAnsi="Times New Roman"/>
          <w:sz w:val="21"/>
          <w:szCs w:val="21"/>
          <w:color w:val="auto"/>
        </w:rPr>
        <w:t>[specify Grantee’s name]</w:t>
      </w:r>
    </w:p>
    <w:p>
      <w:pPr>
        <w:spacing w:after="0" w:line="173" w:lineRule="exact"/>
        <w:rPr>
          <w:sz w:val="20"/>
          <w:szCs w:val="20"/>
          <w:color w:val="auto"/>
        </w:rPr>
      </w:pPr>
    </w:p>
    <w:p>
      <w:pPr>
        <w:sectPr>
          <w:pgSz w:w="11900" w:h="16838" w:orient="portrait"/>
          <w:cols w:equalWidth="0" w:num="2">
            <w:col w:w="4160" w:space="720"/>
            <w:col w:w="6360"/>
          </w:cols>
          <w:pgMar w:left="320" w:top="338"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1"/>
          <w:szCs w:val="21"/>
          <w:b w:val="1"/>
          <w:bCs w:val="1"/>
          <w:color w:val="auto"/>
        </w:rPr>
        <w:t>Date of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As of [enter date]</w:t>
      </w:r>
    </w:p>
    <w:p>
      <w:pPr>
        <w:spacing w:after="0" w:line="173" w:lineRule="exact"/>
        <w:rPr>
          <w:sz w:val="20"/>
          <w:szCs w:val="20"/>
          <w:color w:val="auto"/>
        </w:rPr>
      </w:pPr>
    </w:p>
    <w:p>
      <w:pPr>
        <w:sectPr>
          <w:pgSz w:w="11900" w:h="16838" w:orient="portrait"/>
          <w:cols w:equalWidth="0" w:num="2">
            <w:col w:w="4160" w:space="720"/>
            <w:col w:w="6360"/>
          </w:cols>
          <w:pgMar w:left="320" w:top="338"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1"/>
          <w:szCs w:val="21"/>
          <w:b w:val="1"/>
          <w:bCs w:val="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[grant date]</w:t>
      </w:r>
    </w:p>
    <w:p>
      <w:pPr>
        <w:spacing w:after="0" w:line="173" w:lineRule="exact"/>
        <w:rPr>
          <w:sz w:val="20"/>
          <w:szCs w:val="20"/>
          <w:color w:val="auto"/>
        </w:rPr>
      </w:pPr>
    </w:p>
    <w:p>
      <w:pPr>
        <w:sectPr>
          <w:pgSz w:w="11900" w:h="16838" w:orient="portrait"/>
          <w:cols w:equalWidth="0" w:num="2">
            <w:col w:w="4160" w:space="720"/>
            <w:col w:w="6360"/>
          </w:cols>
          <w:pgMar w:left="320" w:top="338"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1"/>
          <w:szCs w:val="21"/>
          <w:b w:val="1"/>
          <w:bCs w:val="1"/>
          <w:color w:val="auto"/>
        </w:rPr>
        <w:t>Number of PSUs in Award:</w:t>
      </w:r>
    </w:p>
    <w:p>
      <w:pPr>
        <w:spacing w:after="0" w:line="20" w:lineRule="exact"/>
        <w:rPr>
          <w:sz w:val="20"/>
          <w:szCs w:val="20"/>
          <w:color w:val="auto"/>
        </w:rPr>
      </w:pPr>
      <w:r>
        <w:rPr>
          <w:sz w:val="20"/>
          <w:szCs w:val="20"/>
          <w:color w:val="auto"/>
        </w:rPr>
        <w:br w:type="column"/>
      </w:r>
    </w:p>
    <w:p>
      <w:pPr>
        <w:ind w:right="900"/>
        <w:spacing w:after="0" w:line="263" w:lineRule="auto"/>
        <w:rPr>
          <w:sz w:val="20"/>
          <w:szCs w:val="20"/>
          <w:color w:val="auto"/>
        </w:rPr>
      </w:pPr>
      <w:r>
        <w:rPr>
          <w:rFonts w:ascii="Times New Roman" w:cs="Times New Roman" w:eastAsia="Times New Roman" w:hAnsi="Times New Roman"/>
          <w:sz w:val="22"/>
          <w:szCs w:val="22"/>
          <w:color w:val="auto"/>
        </w:rPr>
        <w:t>[number of PSUs] (“Target”), subject to addition or subtraction as set forth on Appendix A depending on achievement of applicable Management Objectives</w:t>
      </w:r>
    </w:p>
    <w:p>
      <w:pPr>
        <w:spacing w:after="0" w:line="109" w:lineRule="exact"/>
        <w:rPr>
          <w:sz w:val="20"/>
          <w:szCs w:val="20"/>
          <w:color w:val="auto"/>
        </w:rPr>
      </w:pPr>
    </w:p>
    <w:p>
      <w:pPr>
        <w:sectPr>
          <w:pgSz w:w="11900" w:h="16838" w:orient="portrait"/>
          <w:cols w:equalWidth="0" w:num="2">
            <w:col w:w="4160" w:space="720"/>
            <w:col w:w="6360"/>
          </w:cols>
          <w:pgMar w:left="320" w:top="338"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1"/>
          <w:szCs w:val="21"/>
          <w:b w:val="1"/>
          <w:bCs w:val="1"/>
          <w:color w:val="auto"/>
        </w:rPr>
        <w:t>Performance Period:</w:t>
      </w:r>
    </w:p>
    <w:p>
      <w:pPr>
        <w:spacing w:after="0" w:line="20" w:lineRule="exact"/>
        <w:rPr>
          <w:sz w:val="20"/>
          <w:szCs w:val="20"/>
          <w:color w:val="auto"/>
        </w:rPr>
      </w:pPr>
      <w:r>
        <w:rPr>
          <w:sz w:val="20"/>
          <w:szCs w:val="20"/>
          <w:color w:val="auto"/>
        </w:rPr>
        <w:br w:type="column"/>
      </w:r>
    </w:p>
    <w:p>
      <w:pPr>
        <w:ind w:right="1640"/>
        <w:spacing w:after="0" w:line="271" w:lineRule="auto"/>
        <w:rPr>
          <w:sz w:val="20"/>
          <w:szCs w:val="20"/>
          <w:color w:val="auto"/>
        </w:rPr>
      </w:pPr>
      <w:r>
        <w:rPr>
          <w:rFonts w:ascii="Times New Roman" w:cs="Times New Roman" w:eastAsia="Times New Roman" w:hAnsi="Times New Roman"/>
          <w:sz w:val="22"/>
          <w:szCs w:val="22"/>
          <w:color w:val="auto"/>
        </w:rPr>
        <w:t>Beginning on January 1, 2025, and continuing through December 31, 2027</w:t>
      </w:r>
    </w:p>
    <w:p>
      <w:pPr>
        <w:spacing w:after="0" w:line="100" w:lineRule="exact"/>
        <w:rPr>
          <w:sz w:val="20"/>
          <w:szCs w:val="20"/>
          <w:color w:val="auto"/>
        </w:rPr>
      </w:pPr>
    </w:p>
    <w:p>
      <w:pPr>
        <w:sectPr>
          <w:pgSz w:w="11900" w:h="16838" w:orient="portrait"/>
          <w:cols w:equalWidth="0" w:num="2">
            <w:col w:w="4160" w:space="720"/>
            <w:col w:w="6360"/>
          </w:cols>
          <w:pgMar w:left="320" w:top="338"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1"/>
          <w:szCs w:val="21"/>
          <w:b w:val="1"/>
          <w:bCs w:val="1"/>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March 14, 2028</w:t>
      </w:r>
    </w:p>
    <w:p>
      <w:pPr>
        <w:spacing w:after="0" w:line="173" w:lineRule="exact"/>
        <w:rPr>
          <w:sz w:val="20"/>
          <w:szCs w:val="20"/>
          <w:color w:val="auto"/>
        </w:rPr>
      </w:pPr>
    </w:p>
    <w:p>
      <w:pPr>
        <w:sectPr>
          <w:pgSz w:w="11900" w:h="16838" w:orient="portrait"/>
          <w:cols w:equalWidth="0" w:num="2">
            <w:col w:w="4160" w:space="720"/>
            <w:col w:w="6360"/>
          </w:cols>
          <w:pgMar w:left="320" w:top="338"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1"/>
          <w:szCs w:val="21"/>
          <w:b w:val="1"/>
          <w:bCs w:val="1"/>
          <w:color w:val="auto"/>
        </w:rPr>
        <w:t>Settlement Method:</w:t>
      </w:r>
    </w:p>
    <w:p>
      <w:pPr>
        <w:spacing w:after="0" w:line="20" w:lineRule="exact"/>
        <w:rPr>
          <w:sz w:val="20"/>
          <w:szCs w:val="20"/>
          <w:color w:val="auto"/>
        </w:rPr>
      </w:pPr>
      <w:r>
        <w:rPr>
          <w:sz w:val="20"/>
          <w:szCs w:val="20"/>
          <w:color w:val="auto"/>
        </w:rPr>
        <w:br w:type="column"/>
      </w:r>
    </w:p>
    <w:p>
      <w:pPr>
        <w:ind w:right="840"/>
        <w:spacing w:after="0" w:line="271" w:lineRule="auto"/>
        <w:rPr>
          <w:sz w:val="20"/>
          <w:szCs w:val="20"/>
          <w:color w:val="auto"/>
        </w:rPr>
      </w:pPr>
      <w:r>
        <w:rPr>
          <w:rFonts w:ascii="Times New Roman" w:cs="Times New Roman" w:eastAsia="Times New Roman" w:hAnsi="Times New Roman"/>
          <w:sz w:val="22"/>
          <w:szCs w:val="22"/>
          <w:color w:val="auto"/>
        </w:rPr>
        <w:t>Earned and vested PSUs will be settled by delivery of one share of Common Stock for each PSU being settled</w:t>
      </w:r>
    </w:p>
    <w:p>
      <w:pPr>
        <w:spacing w:after="0" w:line="200" w:lineRule="exact"/>
        <w:rPr>
          <w:sz w:val="20"/>
          <w:szCs w:val="20"/>
          <w:color w:val="auto"/>
        </w:rPr>
      </w:pPr>
    </w:p>
    <w:p>
      <w:pPr>
        <w:sectPr>
          <w:pgSz w:w="11900" w:h="16838" w:orient="portrait"/>
          <w:cols w:equalWidth="0" w:num="2">
            <w:col w:w="4160" w:space="720"/>
            <w:col w:w="6360"/>
          </w:cols>
          <w:pgMar w:left="320" w:top="338" w:right="339" w:bottom="1440" w:gutter="0" w:footer="0" w:header="0"/>
          <w:type w:val="continuous"/>
        </w:sectPr>
      </w:pPr>
    </w:p>
    <w:p>
      <w:pPr>
        <w:spacing w:after="0" w:line="156" w:lineRule="exact"/>
        <w:rPr>
          <w:sz w:val="20"/>
          <w:szCs w:val="20"/>
          <w:color w:val="auto"/>
        </w:rPr>
      </w:pPr>
    </w:p>
    <w:p>
      <w:pPr>
        <w:ind w:left="420" w:hanging="412"/>
        <w:spacing w:after="0"/>
        <w:tabs>
          <w:tab w:leader="none" w:pos="4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AGREEMENT</w:t>
      </w:r>
    </w:p>
    <w:p>
      <w:pPr>
        <w:spacing w:after="0" w:line="206" w:lineRule="exact"/>
        <w:rPr>
          <w:rFonts w:ascii="Times New Roman" w:cs="Times New Roman" w:eastAsia="Times New Roman" w:hAnsi="Times New Roman"/>
          <w:sz w:val="22"/>
          <w:szCs w:val="22"/>
          <w:color w:val="auto"/>
        </w:rPr>
      </w:pPr>
    </w:p>
    <w:p>
      <w:pPr>
        <w:jc w:val="both"/>
        <w:ind w:firstLine="299"/>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b w:val="1"/>
          <w:bCs w:val="1"/>
          <w:u w:val="single" w:color="auto"/>
          <w:color w:val="auto"/>
        </w:rPr>
        <w:t>Grant of PSUs.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granted to Grantee (who, pursuant to this award is a Participant in the Plan)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to earn the number of PSUs described above, subject to the terms of this Agreement (this “Award”). The PSUs evidenced by this Agreement are payable only in shares of Common Stock as described in this Agreement. Notwithstanding anything to the contrary anywhere else in this Agreement, the PSUs subject to this Award are</w:t>
      </w:r>
    </w:p>
    <w:p>
      <w:pPr>
        <w:sectPr>
          <w:pgSz w:w="11900" w:h="16838" w:orient="portrait"/>
          <w:cols w:equalWidth="0" w:num="1">
            <w:col w:w="11240"/>
          </w:cols>
          <w:pgMar w:left="320" w:top="338"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2"/>
          <w:szCs w:val="22"/>
          <w:color w:val="auto"/>
        </w:rPr>
        <w:t>subject to the terms and provisions of the Plan, which are incorporated by reference into this Agreement.</w:t>
      </w:r>
    </w:p>
    <w:p>
      <w:pPr>
        <w:spacing w:after="0" w:line="216" w:lineRule="exact"/>
        <w:rPr>
          <w:sz w:val="20"/>
          <w:szCs w:val="20"/>
          <w:color w:val="auto"/>
        </w:rPr>
      </w:pPr>
    </w:p>
    <w:p>
      <w:pPr>
        <w:jc w:val="both"/>
        <w:ind w:firstLine="476"/>
        <w:spacing w:after="0" w:line="274" w:lineRule="auto"/>
        <w:tabs>
          <w:tab w:leader="none" w:pos="864" w:val="left"/>
        </w:tabs>
        <w:numPr>
          <w:ilvl w:val="1"/>
          <w:numId w:val="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Vesting</w:t>
      </w:r>
      <w:r>
        <w:rPr>
          <w:rFonts w:ascii="Times New Roman" w:cs="Times New Roman" w:eastAsia="Times New Roman" w:hAnsi="Times New Roman"/>
          <w:sz w:val="21"/>
          <w:szCs w:val="21"/>
          <w:color w:val="auto"/>
        </w:rPr>
        <w:t>. Except as otherwise designated in this Agreement, Grantee must be a Service Provider on the Settlement 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such term is defined in Section II.A.7 below) to be eligible to earn and receive payment for any PSUs, and any PSUs subject to this Award will be canceled and forfeited if Grantee terminates as a Service Provider prior to the Settlement Date. Any PSUs that remain unearned after the “Determination Date” (as such term is defined in Appendix A) will be cancelled and forfeited.</w:t>
      </w:r>
    </w:p>
    <w:p>
      <w:pPr>
        <w:spacing w:after="0" w:line="152" w:lineRule="exact"/>
        <w:rPr>
          <w:rFonts w:ascii="Times New Roman" w:cs="Times New Roman" w:eastAsia="Times New Roman" w:hAnsi="Times New Roman"/>
          <w:sz w:val="21"/>
          <w:szCs w:val="21"/>
          <w:b w:val="1"/>
          <w:bCs w:val="1"/>
          <w:color w:val="auto"/>
        </w:rPr>
      </w:pPr>
    </w:p>
    <w:p>
      <w:pPr>
        <w:jc w:val="both"/>
        <w:ind w:firstLine="440"/>
        <w:spacing w:after="0" w:line="265" w:lineRule="auto"/>
        <w:tabs>
          <w:tab w:leader="none" w:pos="81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Performance Goals to Earn PSUs</w:t>
      </w:r>
      <w:r>
        <w:rPr>
          <w:rFonts w:ascii="Times New Roman" w:cs="Times New Roman" w:eastAsia="Times New Roman" w:hAnsi="Times New Roman"/>
          <w:sz w:val="22"/>
          <w:szCs w:val="22"/>
          <w:color w:val="auto"/>
        </w:rPr>
        <w:t>. Grantee will only receive shares of Common Stock related to, and to the extent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shares are earned pursuant to, the Management Objectives and goals specified in Appendix A to this Agreement (“Performance Goals”).</w:t>
      </w:r>
    </w:p>
    <w:p>
      <w:pPr>
        <w:spacing w:after="0" w:line="161" w:lineRule="exact"/>
        <w:rPr>
          <w:rFonts w:ascii="Times New Roman" w:cs="Times New Roman" w:eastAsia="Times New Roman" w:hAnsi="Times New Roman"/>
          <w:sz w:val="22"/>
          <w:szCs w:val="22"/>
          <w:b w:val="1"/>
          <w:bCs w:val="1"/>
          <w:color w:val="auto"/>
        </w:rPr>
      </w:pPr>
    </w:p>
    <w:p>
      <w:pPr>
        <w:jc w:val="both"/>
        <w:ind w:firstLine="503"/>
        <w:spacing w:after="0" w:line="248" w:lineRule="auto"/>
        <w:tabs>
          <w:tab w:leader="none" w:pos="904" w:val="left"/>
        </w:tabs>
        <w:numPr>
          <w:ilvl w:val="2"/>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Equivalent Rights</w:t>
      </w:r>
      <w:r>
        <w:rPr>
          <w:rFonts w:ascii="Times New Roman" w:cs="Times New Roman" w:eastAsia="Times New Roman" w:hAnsi="Times New Roman"/>
          <w:sz w:val="22"/>
          <w:szCs w:val="22"/>
          <w:color w:val="auto"/>
        </w:rPr>
        <w:t>. Grantee shall be credited with cash per PSU equal to the amount of each cash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paid by the Company (if any) to holders of Common Stock generally with a record date occurring on or after the Date of Grant and prior to the time when the PSUs are earned and/or vest and are settled in accordance with Section II.A.7 hereof. Any amounts credited pursuant to the immediately preceding sentence shall be subject to the same applicable terms and conditions (including earning, vesting, payment, and forfeitability) as apply to the PSUs based on which the dividend equivalents were credited, and such amounts shall be paid in either cash or Common Stock, as determined by the Committee in its sole discretion, at the same time as the PSUs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85" w:lineRule="exact"/>
        <w:rPr>
          <w:rFonts w:ascii="Times New Roman" w:cs="Times New Roman" w:eastAsia="Times New Roman" w:hAnsi="Times New Roman"/>
          <w:sz w:val="22"/>
          <w:szCs w:val="22"/>
          <w:b w:val="1"/>
          <w:bCs w:val="1"/>
          <w:color w:val="auto"/>
        </w:rPr>
      </w:pPr>
    </w:p>
    <w:p>
      <w:pPr>
        <w:jc w:val="both"/>
        <w:ind w:firstLine="642"/>
        <w:spacing w:after="0" w:line="252" w:lineRule="auto"/>
        <w:tabs>
          <w:tab w:leader="none" w:pos="1120" w:val="left"/>
        </w:tabs>
        <w:numPr>
          <w:ilvl w:val="3"/>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as a Stockholder</w:t>
      </w:r>
      <w:r>
        <w:rPr>
          <w:rFonts w:ascii="Times New Roman" w:cs="Times New Roman" w:eastAsia="Times New Roman" w:hAnsi="Times New Roman"/>
          <w:sz w:val="22"/>
          <w:szCs w:val="22"/>
          <w:color w:val="auto"/>
        </w:rPr>
        <w:t>. This Award does not entitle Grantee to any ownership interest in any actual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unless and until such shares of Common Stock are issued to Grantee pursuant to the terms of the Plan. Except as otherwise provided in Section II.A.3 hereof, until shares of Common Stock are issued to Grantee in settlement of earned PSUs under this Award, Grantee will have none of the rights of a stockholder of the Company with respect to the shares of Common Stock issuable in settlement of the PSUs, including the right to vote the shares of Common Stock. Shares of Common Stock issuable in settlement of PSUs will be delivered to Grantee on the Settlement Date in book entry form or in such other manner as the Committee may determine.</w:t>
      </w:r>
    </w:p>
    <w:p>
      <w:pPr>
        <w:spacing w:after="0" w:line="179" w:lineRule="exact"/>
        <w:rPr>
          <w:sz w:val="20"/>
          <w:szCs w:val="20"/>
          <w:color w:val="auto"/>
        </w:rPr>
      </w:pPr>
    </w:p>
    <w:p>
      <w:pPr>
        <w:ind w:left="820" w:hanging="380"/>
        <w:spacing w:after="0"/>
        <w:tabs>
          <w:tab w:leader="none" w:pos="82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PSUs covered by this Award will be subject to adjustment as provided in Section 11 of the Plan.</w:t>
      </w:r>
    </w:p>
    <w:p>
      <w:pPr>
        <w:spacing w:after="0" w:line="219" w:lineRule="exact"/>
        <w:rPr>
          <w:rFonts w:ascii="Times New Roman" w:cs="Times New Roman" w:eastAsia="Times New Roman" w:hAnsi="Times New Roman"/>
          <w:sz w:val="22"/>
          <w:szCs w:val="22"/>
          <w:b w:val="1"/>
          <w:bCs w:val="1"/>
          <w:color w:val="auto"/>
        </w:rPr>
      </w:pPr>
    </w:p>
    <w:p>
      <w:pPr>
        <w:ind w:left="820" w:hanging="380"/>
        <w:spacing w:after="0"/>
        <w:tabs>
          <w:tab w:leader="none" w:pos="82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of Service; Forfeiture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60" w:hanging="220"/>
        <w:spacing w:after="0" w:line="259" w:lineRule="auto"/>
        <w:tabs>
          <w:tab w:leader="none" w:pos="95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Voluntary Termination; Termination by Company; Breach of Other Obligations</w:t>
      </w:r>
      <w:r>
        <w:rPr>
          <w:rFonts w:ascii="Times New Roman" w:cs="Times New Roman" w:eastAsia="Times New Roman" w:hAnsi="Times New Roman"/>
          <w:sz w:val="22"/>
          <w:szCs w:val="22"/>
          <w:color w:val="auto"/>
        </w:rPr>
        <w:t>. Any PSUs subject to this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canceled and forfeited if, prior to the Settlement Date, Grantee voluntarily terminates as a Service Provider (other than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8" w:right="339" w:bottom="1440" w:gutter="0" w:footer="0" w:header="0"/>
        </w:sectPr>
      </w:pPr>
    </w:p>
    <w:bookmarkStart w:id="45" w:name="page46"/>
    <w:bookmarkEnd w:id="45"/>
    <w:p>
      <w:pPr>
        <w:jc w:val="both"/>
        <w:ind w:left="480"/>
        <w:spacing w:after="0" w:line="257" w:lineRule="auto"/>
        <w:rPr>
          <w:sz w:val="20"/>
          <w:szCs w:val="20"/>
          <w:color w:val="auto"/>
        </w:rPr>
      </w:pPr>
      <w:r>
        <w:rPr>
          <w:rFonts w:ascii="Times New Roman" w:cs="Times New Roman" w:eastAsia="Times New Roman" w:hAnsi="Times New Roman"/>
          <w:sz w:val="22"/>
          <w:szCs w:val="22"/>
          <w:color w:val="auto"/>
        </w:rPr>
        <w:t>Good Reason or as a result of Retirement as provided below), if Grantee’s status as a Service Provider is terminated by the Company or a Subsidiary for any reason (other than death, Disability, or Retirement), or if Grantee violates the provisions of Section II.B.3 below.</w:t>
      </w:r>
    </w:p>
    <w:p>
      <w:pPr>
        <w:spacing w:after="0" w:line="182" w:lineRule="exact"/>
        <w:rPr>
          <w:sz w:val="20"/>
          <w:szCs w:val="20"/>
          <w:color w:val="auto"/>
        </w:rPr>
      </w:pPr>
    </w:p>
    <w:p>
      <w:pPr>
        <w:jc w:val="both"/>
        <w:ind w:left="480" w:hanging="120"/>
        <w:spacing w:after="0" w:line="248" w:lineRule="auto"/>
        <w:tabs>
          <w:tab w:leader="none" w:pos="948"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Qualifying Termination Prior to a Change in Control</w:t>
      </w:r>
      <w:r>
        <w:rPr>
          <w:rFonts w:ascii="Times New Roman" w:cs="Times New Roman" w:eastAsia="Times New Roman" w:hAnsi="Times New Roman"/>
          <w:sz w:val="22"/>
          <w:szCs w:val="22"/>
          <w:color w:val="auto"/>
        </w:rPr>
        <w:t>. Notwithstanding the foregoing, and except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subsection (f) of this Section II.A.6, if Grantee ceases to be a Service Provider prior to the Settlement Date as a result of Grantee’s Qualifying Termination, Grantee shall become vested on the Determination Date in a pro-rata portion of the number of PSUs, if any, that are earned under Section II.A.2 due to the achievement of the performance measures specified in Appendix A during the performance period specified in the table above (the “Performance Period”). The pro-rata percentage of the number of PSUs to be earned and settled under Section II.A.7 shall be equal to (x) the amount determined under Section II.A.2 above at the end of the Performance Period, multiplied by (y) a fraction (not greater than 1), the numerator of which is the number of whole calendar months Grantee was employed or rendering services from the beginning of the Performance Period through the date of Grantee’s Qualifying Termination, and the denominator of which is 36.</w:t>
      </w:r>
    </w:p>
    <w:p>
      <w:pPr>
        <w:spacing w:after="0" w:line="180" w:lineRule="exact"/>
        <w:rPr>
          <w:rFonts w:ascii="Times New Roman" w:cs="Times New Roman" w:eastAsia="Times New Roman" w:hAnsi="Times New Roman"/>
          <w:sz w:val="22"/>
          <w:szCs w:val="22"/>
          <w:color w:val="auto"/>
        </w:rPr>
      </w:pPr>
    </w:p>
    <w:p>
      <w:pPr>
        <w:jc w:val="both"/>
        <w:ind w:left="480" w:hanging="130"/>
        <w:spacing w:after="0" w:line="254" w:lineRule="auto"/>
        <w:tabs>
          <w:tab w:leader="none" w:pos="855"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Notwithstanding the foregoing, and except as set forth in subsection (f) of this Section II.A.6, if Grantee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ceases to be a Service Provider prior to the Settlement Date as a result of Grantee’s Disability, Grantee shall become vested at the end of the Performance Period in the number of PSUs that would have been actually earned due to the achievement of the performance measures specified in Appendix A, assuming Grantee had continued to be a Service Provider through the Settlement Date.</w:t>
      </w:r>
    </w:p>
    <w:p>
      <w:pPr>
        <w:spacing w:after="0" w:line="173" w:lineRule="exact"/>
        <w:rPr>
          <w:rFonts w:ascii="Times New Roman" w:cs="Times New Roman" w:eastAsia="Times New Roman" w:hAnsi="Times New Roman"/>
          <w:sz w:val="22"/>
          <w:szCs w:val="22"/>
          <w:color w:val="auto"/>
        </w:rPr>
      </w:pPr>
    </w:p>
    <w:p>
      <w:pPr>
        <w:jc w:val="both"/>
        <w:ind w:left="480" w:hanging="103"/>
        <w:spacing w:after="0" w:line="265" w:lineRule="auto"/>
        <w:tabs>
          <w:tab w:leader="none" w:pos="907"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w:t>
      </w:r>
      <w:r>
        <w:rPr>
          <w:rFonts w:ascii="Times New Roman" w:cs="Times New Roman" w:eastAsia="Times New Roman" w:hAnsi="Times New Roman"/>
          <w:sz w:val="22"/>
          <w:szCs w:val="22"/>
          <w:color w:val="auto"/>
        </w:rPr>
        <w:t>. Notwithstanding the foregoing, if Grantee ceases to be a Service Provider prior to the Settlement Date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 of Grantee’s death, Grantee’s PSUs shall immediately become fully vested based on the Target number set forth in “Number of PSUs in Award” in Section I.</w:t>
      </w:r>
    </w:p>
    <w:p>
      <w:pPr>
        <w:spacing w:after="0" w:line="161" w:lineRule="exact"/>
        <w:rPr>
          <w:rFonts w:ascii="Times New Roman" w:cs="Times New Roman" w:eastAsia="Times New Roman" w:hAnsi="Times New Roman"/>
          <w:sz w:val="22"/>
          <w:szCs w:val="22"/>
          <w:color w:val="auto"/>
        </w:rPr>
      </w:pPr>
    </w:p>
    <w:p>
      <w:pPr>
        <w:jc w:val="both"/>
        <w:ind w:left="480" w:hanging="79"/>
        <w:spacing w:after="0" w:line="274" w:lineRule="auto"/>
        <w:tabs>
          <w:tab w:leader="none" w:pos="1003" w:val="left"/>
        </w:tabs>
        <w:numPr>
          <w:ilvl w:val="3"/>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Retirement</w:t>
      </w:r>
      <w:r>
        <w:rPr>
          <w:rFonts w:ascii="Times New Roman" w:cs="Times New Roman" w:eastAsia="Times New Roman" w:hAnsi="Times New Roman"/>
          <w:sz w:val="21"/>
          <w:szCs w:val="21"/>
          <w:color w:val="auto"/>
        </w:rPr>
        <w:t>. If Grantee ceases to be a Service Provider prior to the Settlement Date due to Grantee’s Retirement,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set forth in subsection (f) of this Section II.A.6, Grantee shall become vested at the end of the Performance Period in the number of PSUs that would have been actually earned due to the achievement of the performance measures specified in Appendix A, assuming Grantee had continued to be a Service Provider through the Settlement Date.</w:t>
      </w:r>
    </w:p>
    <w:p>
      <w:pPr>
        <w:spacing w:after="0" w:line="152" w:lineRule="exact"/>
        <w:rPr>
          <w:rFonts w:ascii="Times New Roman" w:cs="Times New Roman" w:eastAsia="Times New Roman" w:hAnsi="Times New Roman"/>
          <w:sz w:val="21"/>
          <w:szCs w:val="21"/>
          <w:color w:val="auto"/>
        </w:rPr>
      </w:pPr>
    </w:p>
    <w:p>
      <w:pPr>
        <w:ind w:left="480" w:hanging="193"/>
        <w:spacing w:after="0" w:line="275" w:lineRule="auto"/>
        <w:tabs>
          <w:tab w:leader="none" w:pos="73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In the event of a Change in Control that occurs prior to the Settlement Date, the PSUs will vest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this Section II.A.6(f).</w:t>
      </w:r>
    </w:p>
    <w:p>
      <w:pPr>
        <w:spacing w:after="0" w:line="153" w:lineRule="exact"/>
        <w:rPr>
          <w:rFonts w:ascii="Times New Roman" w:cs="Times New Roman" w:eastAsia="Times New Roman" w:hAnsi="Times New Roman"/>
          <w:sz w:val="22"/>
          <w:szCs w:val="22"/>
          <w:color w:val="auto"/>
        </w:rPr>
      </w:pPr>
    </w:p>
    <w:p>
      <w:pPr>
        <w:jc w:val="both"/>
        <w:ind w:left="1120" w:firstLine="652"/>
        <w:spacing w:after="0" w:line="256" w:lineRule="auto"/>
        <w:tabs>
          <w:tab w:leader="none" w:pos="2207" w:val="left"/>
        </w:tabs>
        <w:numPr>
          <w:ilvl w:val="4"/>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set forth herein to the contrary, if at any time before the Settlement Date or forfeiture of the PSUs, and while Grantee is continuously a Service Provider, a Change in Control occurs, then the PSUs will vest (except to the extent that a Replacement Award is provided to Grantee in accordance with Section II.A.6(f)(ii) to continue, replace or assume the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500" w:top="1422" w:right="339" w:bottom="1440" w:gutter="0" w:footer="0" w:header="0"/>
        </w:sectPr>
      </w:pPr>
    </w:p>
    <w:bookmarkStart w:id="46" w:name="page47"/>
    <w:bookmarkEnd w:id="46"/>
    <w:p>
      <w:pPr>
        <w:jc w:val="both"/>
        <w:ind w:left="1120"/>
        <w:spacing w:after="0" w:line="250" w:lineRule="auto"/>
        <w:rPr>
          <w:sz w:val="20"/>
          <w:szCs w:val="20"/>
          <w:color w:val="auto"/>
        </w:rPr>
      </w:pPr>
      <w:r>
        <w:rPr>
          <w:rFonts w:ascii="Times New Roman" w:cs="Times New Roman" w:eastAsia="Times New Roman" w:hAnsi="Times New Roman"/>
          <w:sz w:val="22"/>
          <w:szCs w:val="22"/>
          <w:color w:val="auto"/>
        </w:rPr>
        <w:t>covered by this Agreement (the “Replaced Award”)) as follows: the number of PSUs under this Award that shall become vested and non-forfeitable (the “Change in Control Payout Level”) shall equal the greater of (A) the Target number set forth in “Number of PSUs in Award” in Section I, and (B) the number of PSUs that would have been actually earned due to the achievement of the performance measures specified in Appendix A if the date of the Change in Control had been the last day of the Performance Period (as determined by the Committee as constituted immediately prior to the Change in Control), less the number of PSUs that had already become vested as of the date of such Change in Control, but in no event may negative discretion be exercised with respect to the number of PSUs vested. Any PSUs that are not earned and do not vest in accordance with the foregoing sentence shall terminate and be forfeited.</w:t>
      </w:r>
    </w:p>
    <w:p>
      <w:pPr>
        <w:spacing w:after="0" w:line="180" w:lineRule="exact"/>
        <w:rPr>
          <w:sz w:val="20"/>
          <w:szCs w:val="20"/>
          <w:color w:val="auto"/>
        </w:rPr>
      </w:pPr>
    </w:p>
    <w:p>
      <w:pPr>
        <w:jc w:val="both"/>
        <w:ind w:left="1120" w:firstLine="652"/>
        <w:spacing w:after="0" w:line="262" w:lineRule="auto"/>
        <w:tabs>
          <w:tab w:leader="none" w:pos="2248"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a “Replacement Award” means an award: (A) consisting of an award of time-based restricted stock units that is not subject to performance conditions; (B) that has a value at least equal to the value of the Replaced Award, which shall be the value of the PSUs at the Change in Control Payout Level;</w:t>
      </w:r>
    </w:p>
    <w:p>
      <w:pPr>
        <w:spacing w:after="0" w:line="2" w:lineRule="exact"/>
        <w:rPr>
          <w:rFonts w:ascii="Times New Roman" w:cs="Times New Roman" w:eastAsia="Times New Roman" w:hAnsi="Times New Roman"/>
          <w:sz w:val="21"/>
          <w:szCs w:val="21"/>
          <w:color w:val="auto"/>
        </w:rPr>
      </w:pPr>
    </w:p>
    <w:p>
      <w:pPr>
        <w:jc w:val="both"/>
        <w:ind w:left="1120" w:firstLine="4"/>
        <w:spacing w:after="0" w:line="246" w:lineRule="auto"/>
        <w:tabs>
          <w:tab w:leader="none" w:pos="148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relates to publicly traded equity securities of the Company or its successor in the Change in Control or another entity that is affiliated with the Company or its successor following the Change in Control; (D) if Grantee holding the Replaced Award is subject to U.S. federal income tax under the Code, the tax consequences of which to such Grantee under the Code are not less favorable to such Grantee than the tax consequences of the Replaced Award; and (E) the other terms and conditions of which are not less favorable to Grantee holding the Replaced Award than the terms and conditions of the Replaced Award, specifically taking into account the Change in Control Payout Level for any subsequent vesting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II.A.6(f)(ii) are satisfied will be made by the Committee, as constituted immediately before the Change in Control, in its sole discretion.</w:t>
      </w:r>
    </w:p>
    <w:p>
      <w:pPr>
        <w:spacing w:after="0" w:line="196" w:lineRule="exact"/>
        <w:rPr>
          <w:rFonts w:ascii="Times New Roman" w:cs="Times New Roman" w:eastAsia="Times New Roman" w:hAnsi="Times New Roman"/>
          <w:sz w:val="22"/>
          <w:szCs w:val="22"/>
          <w:color w:val="auto"/>
        </w:rPr>
      </w:pPr>
    </w:p>
    <w:p>
      <w:pPr>
        <w:jc w:val="both"/>
        <w:ind w:left="1120" w:firstLine="652"/>
        <w:spacing w:after="0" w:line="251" w:lineRule="auto"/>
        <w:tabs>
          <w:tab w:leader="none" w:pos="2324"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receiving a Replacement Award, (A) Grantee experiences a Qualifying Termination with the Company or a Subsidiary (or any of their successors) (as applicable, the “Successor”) or (B) Grantee ceases to be a Service Provider as a result of Grantee’s Retirement or Disability, in each case within a period of two years after the Change in Control and prior to the Settlement Date, the Replacement Award shall become vested and non-forfeitable in full, specifically taking into account the Change in Control Payout Level for the Replaced Award, less the portion of the award that had already become vested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500" w:top="1422" w:right="339" w:bottom="1440" w:gutter="0" w:footer="0" w:header="0"/>
        </w:sectPr>
      </w:pPr>
    </w:p>
    <w:bookmarkStart w:id="47" w:name="page48"/>
    <w:bookmarkEnd w:id="47"/>
    <w:p>
      <w:pPr>
        <w:ind w:left="1300"/>
        <w:spacing w:after="0" w:line="271" w:lineRule="auto"/>
        <w:rPr>
          <w:sz w:val="20"/>
          <w:szCs w:val="20"/>
          <w:color w:val="auto"/>
        </w:rPr>
      </w:pPr>
      <w:r>
        <w:rPr>
          <w:rFonts w:ascii="Times New Roman" w:cs="Times New Roman" w:eastAsia="Times New Roman" w:hAnsi="Times New Roman"/>
          <w:sz w:val="22"/>
          <w:szCs w:val="22"/>
          <w:color w:val="auto"/>
        </w:rPr>
        <w:t>of the date of such termination or cessation of service. Any portion of the Replacement Award that does not vest in accordance with the foregoing sentence shall terminate and be forfeited.</w:t>
      </w:r>
    </w:p>
    <w:p>
      <w:pPr>
        <w:spacing w:after="0" w:line="158" w:lineRule="exact"/>
        <w:rPr>
          <w:sz w:val="20"/>
          <w:szCs w:val="20"/>
          <w:color w:val="auto"/>
        </w:rPr>
      </w:pPr>
    </w:p>
    <w:p>
      <w:pPr>
        <w:jc w:val="both"/>
        <w:ind w:left="1300" w:firstLine="652"/>
        <w:spacing w:after="0" w:line="256" w:lineRule="auto"/>
        <w:tabs>
          <w:tab w:leader="none" w:pos="247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Replacement Award is provided, notwithstanding anything in this Agreement to the contrary, any outstanding PSUs subject to this Award that at the time of the Change in Control are not subject to a “substantial risk of forfeiture” (within the meaning of Section 409A of the Code) will be deemed to be vested and nonforfeitable at the time of such Change in Control.</w:t>
      </w:r>
    </w:p>
    <w:p>
      <w:pPr>
        <w:spacing w:after="0" w:line="17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Any PSUs that are not earned and do not vest in accordance with this Section II.A.6. shall terminate and be forfeited as of the date Grantee ceases to be a Service Provider. However, in particular, this Award is subject to Section 18(c) of the Plan.</w:t>
      </w:r>
    </w:p>
    <w:p>
      <w:pPr>
        <w:spacing w:after="0" w:line="167" w:lineRule="exact"/>
        <w:rPr>
          <w:sz w:val="20"/>
          <w:szCs w:val="20"/>
          <w:color w:val="auto"/>
        </w:rPr>
      </w:pPr>
    </w:p>
    <w:p>
      <w:pPr>
        <w:ind w:left="820" w:hanging="380"/>
        <w:spacing w:after="0"/>
        <w:tabs>
          <w:tab w:leader="none" w:pos="82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Determination of PSUs Earned and Vested; Settlement</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b w:val="1"/>
          <w:bCs w:val="1"/>
          <w:color w:val="auto"/>
        </w:rPr>
      </w:pPr>
    </w:p>
    <w:p>
      <w:pPr>
        <w:jc w:val="both"/>
        <w:ind w:left="640" w:firstLine="644"/>
        <w:spacing w:after="0" w:line="216" w:lineRule="auto"/>
        <w:tabs>
          <w:tab w:leader="none" w:pos="1936"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Subject to Section II.A.7(b), upon the Committee’s certification of achievement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Goals, and Grantee’s satisfaction of the vesting requirements in Section II.A.1 and Section II.A.6 above, as applicable, this Award shall be settled by issuing to Grantee the number of shares of Common Stock determined pursuant to Appendix A (subject to pro-ration as described in Section II.A.6, if applicable), and Grantee’s name shall be entered as the shareholder of record on the books of the Company with respect to such shares. This settlement shall occur on March 14, 2027 (the “Settlement Date”).</w:t>
      </w:r>
    </w:p>
    <w:p>
      <w:pPr>
        <w:spacing w:after="0" w:line="145" w:lineRule="exact"/>
        <w:rPr>
          <w:rFonts w:ascii="Times New Roman" w:cs="Times New Roman" w:eastAsia="Times New Roman" w:hAnsi="Times New Roman"/>
          <w:sz w:val="22"/>
          <w:szCs w:val="22"/>
          <w:color w:val="auto"/>
        </w:rPr>
      </w:pPr>
    </w:p>
    <w:p>
      <w:pPr>
        <w:ind w:left="640" w:firstLine="644"/>
        <w:spacing w:after="0" w:line="238" w:lineRule="auto"/>
        <w:tabs>
          <w:tab w:leader="none" w:pos="1935"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Other Payment Events. </w:t>
      </w:r>
      <w:r>
        <w:rPr>
          <w:rFonts w:ascii="Times New Roman" w:cs="Times New Roman" w:eastAsia="Times New Roman" w:hAnsi="Times New Roman"/>
          <w:sz w:val="22"/>
          <w:szCs w:val="22"/>
          <w:color w:val="auto"/>
        </w:rPr>
        <w:t>Notwithstanding Section II.A.7(a), to the extent that the PSUs are vested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dates set forth below, payment with respect to the PSUs will be made as follows:</w:t>
      </w:r>
    </w:p>
    <w:p>
      <w:pPr>
        <w:spacing w:after="0" w:line="177" w:lineRule="exact"/>
        <w:rPr>
          <w:rFonts w:ascii="Times New Roman" w:cs="Times New Roman" w:eastAsia="Times New Roman" w:hAnsi="Times New Roman"/>
          <w:sz w:val="22"/>
          <w:szCs w:val="22"/>
          <w:color w:val="auto"/>
        </w:rPr>
      </w:pPr>
    </w:p>
    <w:p>
      <w:pPr>
        <w:jc w:val="both"/>
        <w:ind w:left="1280" w:firstLine="642"/>
        <w:spacing w:after="0" w:line="252" w:lineRule="auto"/>
        <w:tabs>
          <w:tab w:leader="none" w:pos="2340"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PSUs are vested as a result of Section II.A.6 (and have not previously been settled) on the date of Grantee’s death, such vested PSUs will be settled by issuing to Grantee one share of Common Stock for each such vested PSU within 30 days of Grantee’s death, and Grantee’s name shall be entered as the shareholder of record on the books of the Company with respect to such shares; and</w:t>
      </w:r>
    </w:p>
    <w:p>
      <w:pPr>
        <w:spacing w:after="0" w:line="206" w:lineRule="exact"/>
        <w:rPr>
          <w:rFonts w:ascii="Times New Roman" w:cs="Times New Roman" w:eastAsia="Times New Roman" w:hAnsi="Times New Roman"/>
          <w:sz w:val="22"/>
          <w:szCs w:val="22"/>
          <w:color w:val="auto"/>
        </w:rPr>
      </w:pPr>
    </w:p>
    <w:p>
      <w:pPr>
        <w:jc w:val="both"/>
        <w:ind w:left="1280" w:firstLine="642"/>
        <w:spacing w:after="0" w:line="250" w:lineRule="auto"/>
        <w:tabs>
          <w:tab w:leader="none" w:pos="2437"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PSUs are vested as a result of Section II.A.6 (and have not previously been settled) on the date of a Change in Control, such vested PSUs will be settled by issuing to Grantee one share of Common Stock for each such vested PSU within 30 days of the Change in Control, and Grantee’s name shall be entered as the shareholder of record on the books of the Company with respect to such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Change in Control would not qualify as a permissible date of distribution under Section 409A(a)(2)(A) of the Code, and the regulations thereunder, and where Section 409A of the Code applies to such distribution, Grantee is entitled to receive the corresponding payment on the date that would have otherwise applied pursuant to this Agreement had such Change in Control not occurred;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22" w:right="339" w:bottom="1440" w:gutter="0" w:footer="0" w:header="0"/>
        </w:sectPr>
      </w:pPr>
    </w:p>
    <w:bookmarkStart w:id="48" w:name="page49"/>
    <w:bookmarkEnd w:id="48"/>
    <w:p>
      <w:pPr>
        <w:jc w:val="both"/>
        <w:ind w:left="1100" w:firstLine="642"/>
        <w:spacing w:after="0" w:line="266" w:lineRule="auto"/>
        <w:tabs>
          <w:tab w:leader="none" w:pos="2365" w:val="left"/>
        </w:tabs>
        <w:numPr>
          <w:ilvl w:val="5"/>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PSUs are vested (and have not previously been settled) on the date of Grantee’s “separation from service” with the Company and its Subsidiaries (determined in accordance with Section 409A(a)</w:t>
      </w:r>
    </w:p>
    <w:p>
      <w:pPr>
        <w:spacing w:after="0" w:line="1" w:lineRule="exact"/>
        <w:rPr>
          <w:rFonts w:ascii="Times New Roman" w:cs="Times New Roman" w:eastAsia="Times New Roman" w:hAnsi="Times New Roman"/>
          <w:sz w:val="21"/>
          <w:szCs w:val="21"/>
          <w:color w:val="auto"/>
        </w:rPr>
      </w:pPr>
    </w:p>
    <w:p>
      <w:pPr>
        <w:jc w:val="both"/>
        <w:ind w:left="1100"/>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(2)(A)(i) of the Code) within two years following the occurrence of a Change in Control that constitutes a “change in control” for purposes of Section 409A(a)(2)(A)(v) of the Code, such vested PSUs will be settled by issuing to Grantee one share of Common Stock for each such vested PSU within 30 days of the date of such separation from service.</w:t>
      </w:r>
    </w:p>
    <w:p>
      <w:pPr>
        <w:spacing w:after="0" w:line="154" w:lineRule="exact"/>
        <w:rPr>
          <w:rFonts w:ascii="Times New Roman" w:cs="Times New Roman" w:eastAsia="Times New Roman" w:hAnsi="Times New Roman"/>
          <w:sz w:val="21"/>
          <w:szCs w:val="21"/>
          <w:color w:val="auto"/>
        </w:rPr>
      </w:pPr>
    </w:p>
    <w:p>
      <w:pPr>
        <w:jc w:val="both"/>
        <w:ind w:left="460" w:firstLine="644"/>
        <w:spacing w:after="0" w:line="225" w:lineRule="auto"/>
        <w:tabs>
          <w:tab w:leader="none" w:pos="1756" w:val="left"/>
        </w:tabs>
        <w:numPr>
          <w:ilvl w:val="4"/>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unearned PSUs at the end of the Performance Period, or if earlier, the time of settlement, will be canceled and forfeited. In all circumstances, the number of PSUs earned or vested will be rounded down to the nearest whole PSU, unless otherwise determined by the Committee.</w:t>
      </w:r>
    </w:p>
    <w:p>
      <w:pPr>
        <w:spacing w:after="0" w:line="175" w:lineRule="exact"/>
        <w:rPr>
          <w:rFonts w:ascii="Times New Roman" w:cs="Times New Roman" w:eastAsia="Times New Roman" w:hAnsi="Times New Roman"/>
          <w:sz w:val="22"/>
          <w:szCs w:val="22"/>
          <w:color w:val="auto"/>
        </w:rPr>
      </w:pPr>
    </w:p>
    <w:p>
      <w:pPr>
        <w:ind w:left="460" w:hanging="416"/>
        <w:spacing w:after="0"/>
        <w:tabs>
          <w:tab w:leader="none" w:pos="46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Terms and Conditions</w:t>
      </w:r>
      <w:r>
        <w:rPr>
          <w:rFonts w:ascii="Times New Roman" w:cs="Times New Roman" w:eastAsia="Times New Roman" w:hAnsi="Times New Roman"/>
          <w:sz w:val="22"/>
          <w:szCs w:val="22"/>
          <w:b w:val="1"/>
          <w:bCs w:val="1"/>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180" w:firstLine="494"/>
        <w:spacing w:after="0" w:line="258" w:lineRule="auto"/>
        <w:tabs>
          <w:tab w:leader="none" w:pos="711" w:val="left"/>
        </w:tabs>
        <w:numPr>
          <w:ilvl w:val="2"/>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Except as described below, and subject to the Plan and Section 409A, this Award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PSUs subject to 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67" w:lineRule="exact"/>
        <w:rPr>
          <w:rFonts w:ascii="Times New Roman" w:cs="Times New Roman" w:eastAsia="Times New Roman" w:hAnsi="Times New Roman"/>
          <w:sz w:val="22"/>
          <w:szCs w:val="22"/>
          <w:b w:val="1"/>
          <w:bCs w:val="1"/>
          <w:color w:val="auto"/>
        </w:rPr>
      </w:pPr>
    </w:p>
    <w:p>
      <w:pPr>
        <w:jc w:val="both"/>
        <w:ind w:left="-180" w:firstLine="593"/>
        <w:spacing w:after="0" w:line="248" w:lineRule="auto"/>
        <w:tabs>
          <w:tab w:leader="none" w:pos="859" w:val="left"/>
        </w:tabs>
        <w:numPr>
          <w:ilvl w:val="3"/>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the Company is required to withhold federal, state, local or foreign taxes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in connection with any payment made or benefit realized by Grantee under this Agreement, and the amounts available to the Company for such withholding are insufficient, it shall be a condition to the receipt of such payment or the realization of such benefit that Grantee make arrangements satisfactory to the Company for payment of the balance of such taxes or other amounts required to be withheld. If Grantee’s benefit is to be received in the form of shares of Common Stock, then (a) if Grantee is subject to Section 16 of the Exchange Act, Grantee agrees that the Company will withhold shares of Common Stock having a value equal to the amount required to be withheld, and (b) if Grantee is not subject to Section 16 of the Exchange Act, Grantee may elect that all or any part of such withholding requirement be satisfied by the retention by the Company of a portion of the Common Stock to be delivered to Grantee, by delivering to the Company other Common Stock held by Grantee, or by tendering sufficient funds in cash or cash equivalent to the Company. The shares of Common Stock used for tax or other withholding will be valued at an amount equal to the fair market value of such shares of Common Stock on the date the benefit is to be included in Grantee’s income. In no event will the fair market value of the shares of Common Stock to be withheld and/or delivered pursuant to this Section II.B.2 to satisfy applicable withholding taxes or other amounts in connection with the benefit exceed (x) the maximum amount that could be required to be withheld or (y) if so determined by the Committee after the date hereof, the minimum amount required to be withheld.</w:t>
      </w:r>
    </w:p>
    <w:p>
      <w:pPr>
        <w:spacing w:after="0" w:line="182" w:lineRule="exact"/>
        <w:rPr>
          <w:rFonts w:ascii="Times New Roman" w:cs="Times New Roman" w:eastAsia="Times New Roman" w:hAnsi="Times New Roman"/>
          <w:sz w:val="22"/>
          <w:szCs w:val="22"/>
          <w:b w:val="1"/>
          <w:bCs w:val="1"/>
          <w:color w:val="auto"/>
        </w:rPr>
      </w:pPr>
    </w:p>
    <w:p>
      <w:pPr>
        <w:ind w:left="640" w:hanging="380"/>
        <w:spacing w:after="0"/>
        <w:tabs>
          <w:tab w:leader="none" w:pos="640" w:val="left"/>
        </w:tabs>
        <w:numPr>
          <w:ilvl w:val="1"/>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b w:val="1"/>
          <w:bCs w:val="1"/>
          <w:color w:val="auto"/>
        </w:rPr>
      </w:pPr>
    </w:p>
    <w:p>
      <w:pPr>
        <w:ind w:left="460" w:firstLine="644"/>
        <w:spacing w:after="0" w:line="238" w:lineRule="auto"/>
        <w:tabs>
          <w:tab w:leader="none" w:pos="1756" w:val="left"/>
        </w:tabs>
        <w:numPr>
          <w:ilvl w:val="4"/>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PSUs or Common Stock to Grantee without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abide by the restrictive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500" w:top="1422" w:right="339" w:bottom="1440" w:gutter="0" w:footer="0" w:header="0"/>
        </w:sectPr>
      </w:pPr>
    </w:p>
    <w:bookmarkStart w:id="49" w:name="page50"/>
    <w:bookmarkEnd w:id="49"/>
    <w:p>
      <w:pPr>
        <w:jc w:val="both"/>
        <w:ind w:left="460"/>
        <w:spacing w:after="0" w:line="213" w:lineRule="auto"/>
        <w:rPr>
          <w:sz w:val="20"/>
          <w:szCs w:val="20"/>
          <w:color w:val="auto"/>
        </w:rPr>
      </w:pPr>
      <w:r>
        <w:rPr>
          <w:rFonts w:ascii="Times New Roman" w:cs="Times New Roman" w:eastAsia="Times New Roman" w:hAnsi="Times New Roman"/>
          <w:sz w:val="22"/>
          <w:szCs w:val="22"/>
          <w:color w:val="auto"/>
        </w:rPr>
        <w:t>described herein. The provisions herein are appropriate in light of the position that Grantee has with the Company and the relationships and confidential and trade secret information that Grantee has been and will be exposed to because of Grantee’s position. Notwithstanding anything herein to the contrary, if Grantee is subject to the restrictive covenants set forth in Section 7 (or any successor provision) of the TriMas Corporation Executive Severance/Change of Control Policy (or any successor policy), then (1) such restrictive covenants, rather than the restrictive covenants in this Section II.B.3, shall apply to Grantee, and (2) Grantee’s violation of such restrictive covenants shall be treated as a violation of the restrictive covenants in this Section II.B.3 for purposes of this Agreement.</w:t>
      </w:r>
    </w:p>
    <w:p>
      <w:pPr>
        <w:spacing w:after="0" w:line="152" w:lineRule="exact"/>
        <w:rPr>
          <w:sz w:val="20"/>
          <w:szCs w:val="20"/>
          <w:color w:val="auto"/>
        </w:rPr>
      </w:pPr>
    </w:p>
    <w:p>
      <w:pPr>
        <w:jc w:val="both"/>
        <w:ind w:left="460" w:firstLine="644"/>
        <w:spacing w:after="0" w:line="216" w:lineRule="auto"/>
        <w:tabs>
          <w:tab w:leader="none" w:pos="1755"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Confidentiality</w:t>
      </w:r>
      <w:r>
        <w:rPr>
          <w:rFonts w:ascii="Times New Roman" w:cs="Times New Roman" w:eastAsia="Times New Roman" w:hAnsi="Times New Roman"/>
          <w:sz w:val="21"/>
          <w:szCs w:val="21"/>
          <w:color w:val="auto"/>
        </w:rPr>
        <w:t>. Recognizing Grantee’s fiduciary duties to the Company, as a condition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II.B.3 shall not result in the forfeiture of PSUs or any clawback or recoupment of the Award for the disclosure of a trade secret if that disclosure (1) is made in confidence to a federal, state or local government official or to an attorney for the sole purpose of reporting or investigating a suspected violation of law or (2)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(or in any other agreement, contract or arrangement with the Company or its subsidiaries or affiliates, or in any policy, procedure or practice of the Company or its subsidiaries or affiliates (collectively, the “Arrangements”)): (x) nothing in the Arrangements or otherwise limits the Grantee’s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(y) nothing in the Arrangements or otherwise prohibits or is intended to restrict or impede Grantee from discussing the terms and conditions of their employment with coworkers or union representatives or exercising protected rights under Section 7 of the National Labor Relations Act, or prevents Grantee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Grantee is not prohibited from providing information (including documents) voluntarily to the Securities and Exchange Commission pursuant to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500" w:top="1395" w:right="339" w:bottom="1440" w:gutter="0" w:footer="0" w:header="0"/>
        </w:sectPr>
      </w:pPr>
    </w:p>
    <w:bookmarkStart w:id="50" w:name="page51"/>
    <w:bookmarkEnd w:id="50"/>
    <w:p>
      <w:pPr>
        <w:ind w:left="460"/>
        <w:spacing w:after="0" w:line="236" w:lineRule="auto"/>
        <w:rPr>
          <w:sz w:val="20"/>
          <w:szCs w:val="20"/>
          <w:color w:val="auto"/>
        </w:rPr>
      </w:pPr>
      <w:r>
        <w:rPr>
          <w:rFonts w:ascii="Times New Roman" w:cs="Times New Roman" w:eastAsia="Times New Roman" w:hAnsi="Times New Roman"/>
          <w:sz w:val="22"/>
          <w:szCs w:val="22"/>
          <w:color w:val="auto"/>
        </w:rPr>
        <w:t>21F of the Exchange Act). The Company nonetheless asserts and does not waive its attorney-client privilege over any information (including documents) appropriately protected by privilege.</w:t>
      </w:r>
    </w:p>
    <w:p>
      <w:pPr>
        <w:spacing w:after="0" w:line="173" w:lineRule="exact"/>
        <w:rPr>
          <w:sz w:val="20"/>
          <w:szCs w:val="20"/>
          <w:color w:val="auto"/>
        </w:rPr>
      </w:pPr>
    </w:p>
    <w:p>
      <w:pPr>
        <w:ind w:left="1560" w:hanging="770"/>
        <w:spacing w:after="0"/>
        <w:tabs>
          <w:tab w:leader="none" w:pos="15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Covenants Against Competition and Solicitation</w:t>
      </w:r>
      <w:r>
        <w:rPr>
          <w:rFonts w:ascii="Times New Roman" w:cs="Times New Roman" w:eastAsia="Times New Roman" w:hAnsi="Times New Roman"/>
          <w:sz w:val="22"/>
          <w:szCs w:val="22"/>
          <w:color w:val="auto"/>
        </w:rPr>
        <w:t>.</w:t>
      </w:r>
    </w:p>
    <w:p>
      <w:pPr>
        <w:spacing w:after="0" w:line="196" w:lineRule="exact"/>
        <w:rPr>
          <w:rFonts w:ascii="Times New Roman" w:cs="Times New Roman" w:eastAsia="Times New Roman" w:hAnsi="Times New Roman"/>
          <w:sz w:val="22"/>
          <w:szCs w:val="22"/>
          <w:color w:val="auto"/>
        </w:rPr>
      </w:pPr>
    </w:p>
    <w:p>
      <w:pPr>
        <w:ind w:left="1100" w:right="200" w:firstLine="642"/>
        <w:spacing w:after="0" w:line="211" w:lineRule="auto"/>
        <w:tabs>
          <w:tab w:leader="none" w:pos="2158"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while Grantee is employed by the Company, and for 12 months thereafter, Grantee shall not engage, either directly or indirectly, as a principal for Grantee’s own account or jointly with others, or as a stockholder in any corporation or joint stock association, or as a partner or member of a general or limited liability entity, or as an employee, officer, director, agent, consultant or in any other advisory capacity in any Competitive Business that designs, develops, manufactures, distributes, sells or markets the type of products or services sold, distributed or provided by the Company, during the one-year period prior to the date of employment termination and with which Grantee was involved and/or oversaw (the “Business”); provided that nothing herein shall prevent Grantee from owning, directly or indirectly, not more than five percent of the outstanding shares of, or any other equity interest in, any entity engaged in the Business and listed or traded on a national securities exchange or in an over-the-counter securities market.</w:t>
      </w:r>
    </w:p>
    <w:p>
      <w:pPr>
        <w:spacing w:after="0" w:line="151" w:lineRule="exact"/>
        <w:rPr>
          <w:rFonts w:ascii="Times New Roman" w:cs="Times New Roman" w:eastAsia="Times New Roman" w:hAnsi="Times New Roman"/>
          <w:sz w:val="22"/>
          <w:szCs w:val="22"/>
          <w:color w:val="auto"/>
        </w:rPr>
      </w:pPr>
    </w:p>
    <w:p>
      <w:pPr>
        <w:ind w:left="1100" w:right="40" w:firstLine="642"/>
        <w:spacing w:after="0" w:line="213" w:lineRule="auto"/>
        <w:tabs>
          <w:tab w:leader="none" w:pos="2218"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solicit business (relating to the Business) from, attempt to entice away from the Company, or interfere with the Company’s relationship with any entity that is a client or customer of the Company at the time of such solicitation, enticement, or interference, or that was identified or solicited as a client or customer of the Company during the time that Grantee performed services for the Company, unless such entity shall have ceased to have been such a customer for a period of at least six months as of the time of such solicitation.</w:t>
      </w:r>
    </w:p>
    <w:p>
      <w:pPr>
        <w:spacing w:after="0" w:line="156" w:lineRule="exact"/>
        <w:rPr>
          <w:rFonts w:ascii="Times New Roman" w:cs="Times New Roman" w:eastAsia="Times New Roman" w:hAnsi="Times New Roman"/>
          <w:sz w:val="22"/>
          <w:szCs w:val="22"/>
          <w:color w:val="auto"/>
        </w:rPr>
      </w:pPr>
    </w:p>
    <w:p>
      <w:pPr>
        <w:ind w:left="1100" w:right="60" w:firstLine="642"/>
        <w:spacing w:after="0" w:line="212" w:lineRule="auto"/>
        <w:tabs>
          <w:tab w:leader="none" w:pos="2278"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w:t>
      </w:r>
    </w:p>
    <w:p>
      <w:pPr>
        <w:spacing w:after="0" w:line="152" w:lineRule="exact"/>
        <w:rPr>
          <w:rFonts w:ascii="Times New Roman" w:cs="Times New Roman" w:eastAsia="Times New Roman" w:hAnsi="Times New Roman"/>
          <w:sz w:val="22"/>
          <w:szCs w:val="22"/>
          <w:color w:val="auto"/>
        </w:rPr>
      </w:pPr>
    </w:p>
    <w:p>
      <w:pPr>
        <w:jc w:val="both"/>
        <w:ind w:left="1100" w:right="340" w:firstLine="4"/>
        <w:spacing w:after="0" w:line="221" w:lineRule="auto"/>
        <w:tabs>
          <w:tab w:leader="none" w:pos="1568"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Determination by the Board. </w:t>
      </w:r>
      <w:r>
        <w:rPr>
          <w:rFonts w:ascii="Times New Roman" w:cs="Times New Roman" w:eastAsia="Times New Roman" w:hAnsi="Times New Roman"/>
          <w:sz w:val="22"/>
          <w:szCs w:val="22"/>
          <w:color w:val="auto"/>
        </w:rPr>
        <w:t>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148" w:lineRule="exact"/>
        <w:rPr>
          <w:rFonts w:ascii="Times New Roman" w:cs="Times New Roman" w:eastAsia="Times New Roman" w:hAnsi="Times New Roman"/>
          <w:sz w:val="22"/>
          <w:szCs w:val="22"/>
          <w:color w:val="auto"/>
        </w:rPr>
      </w:pPr>
    </w:p>
    <w:p>
      <w:pPr>
        <w:ind w:left="1560" w:hanging="456"/>
        <w:spacing w:after="0"/>
        <w:tabs>
          <w:tab w:leader="none" w:pos="156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Certain Definitions. </w:t>
      </w:r>
      <w:r>
        <w:rPr>
          <w:rFonts w:ascii="Times New Roman" w:cs="Times New Roman" w:eastAsia="Times New Roman" w:hAnsi="Times New Roman"/>
          <w:sz w:val="22"/>
          <w:szCs w:val="22"/>
          <w:color w:val="auto"/>
        </w:rPr>
        <w:t>The following definitions shall apply solely with respect to this Section II.B.3: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500" w:top="1395" w:right="339" w:bottom="1440" w:gutter="0" w:footer="0" w:header="0"/>
        </w:sectPr>
      </w:pPr>
    </w:p>
    <w:bookmarkStart w:id="51" w:name="page52"/>
    <w:bookmarkEnd w:id="51"/>
    <w:p>
      <w:pPr>
        <w:ind w:left="1120" w:right="20" w:firstLine="622"/>
        <w:spacing w:after="0" w:line="214" w:lineRule="auto"/>
        <w:tabs>
          <w:tab w:leader="none" w:pos="2158"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48" w:lineRule="exact"/>
        <w:rPr>
          <w:rFonts w:ascii="Times New Roman" w:cs="Times New Roman" w:eastAsia="Times New Roman" w:hAnsi="Times New Roman"/>
          <w:sz w:val="22"/>
          <w:szCs w:val="22"/>
          <w:color w:val="auto"/>
        </w:rPr>
      </w:pPr>
    </w:p>
    <w:p>
      <w:pPr>
        <w:ind w:left="1120" w:right="40" w:firstLine="622"/>
        <w:spacing w:after="0" w:line="221" w:lineRule="auto"/>
        <w:tabs>
          <w:tab w:leader="none" w:pos="2218"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as evidenced on the Company’s website, in the marketing materials of the Company or by the books and records of the Company, and “engages” includes actively planning to engage in the business.</w:t>
      </w:r>
    </w:p>
    <w:p>
      <w:pPr>
        <w:spacing w:after="0" w:line="148" w:lineRule="exact"/>
        <w:rPr>
          <w:rFonts w:ascii="Times New Roman" w:cs="Times New Roman" w:eastAsia="Times New Roman" w:hAnsi="Times New Roman"/>
          <w:sz w:val="22"/>
          <w:szCs w:val="22"/>
          <w:color w:val="auto"/>
        </w:rPr>
      </w:pPr>
    </w:p>
    <w:p>
      <w:pPr>
        <w:ind w:left="1120" w:firstLine="622"/>
        <w:spacing w:after="0" w:line="210" w:lineRule="auto"/>
        <w:tabs>
          <w:tab w:leader="none" w:pos="2278"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46" w:lineRule="exact"/>
        <w:rPr>
          <w:rFonts w:ascii="Times New Roman" w:cs="Times New Roman" w:eastAsia="Times New Roman" w:hAnsi="Times New Roman"/>
          <w:sz w:val="22"/>
          <w:szCs w:val="22"/>
          <w:color w:val="auto"/>
        </w:rPr>
      </w:pPr>
    </w:p>
    <w:p>
      <w:pPr>
        <w:jc w:val="both"/>
        <w:ind w:left="460" w:right="140" w:firstLine="644"/>
        <w:spacing w:after="0" w:line="221" w:lineRule="auto"/>
        <w:tabs>
          <w:tab w:leader="none" w:pos="153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Tolling. </w:t>
      </w:r>
      <w:r>
        <w:rPr>
          <w:rFonts w:ascii="Times New Roman" w:cs="Times New Roman" w:eastAsia="Times New Roman" w:hAnsi="Times New Roman"/>
          <w:sz w:val="22"/>
          <w:szCs w:val="22"/>
          <w:color w:val="auto"/>
        </w:rPr>
        <w:t>The restricted time periods in Section II.B.3 shall be tolled during any time period that Grantee is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violation of such covenants, as determined by a court of competent jurisdiction, so that the Company may realize the full benefit of its bargain. This tolling shall include any time period during which litigation is pending, but during which Grantee has continued to violate such protective covenants.</w:t>
      </w:r>
    </w:p>
    <w:p>
      <w:pPr>
        <w:spacing w:after="0" w:line="148" w:lineRule="exact"/>
        <w:rPr>
          <w:rFonts w:ascii="Times New Roman" w:cs="Times New Roman" w:eastAsia="Times New Roman" w:hAnsi="Times New Roman"/>
          <w:sz w:val="22"/>
          <w:szCs w:val="22"/>
          <w:color w:val="auto"/>
        </w:rPr>
      </w:pPr>
    </w:p>
    <w:p>
      <w:pPr>
        <w:ind w:left="460" w:right="60" w:firstLine="644"/>
        <w:spacing w:after="0" w:line="212" w:lineRule="auto"/>
        <w:tabs>
          <w:tab w:leader="none" w:pos="156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Relief, Remedies, and Enforcement. </w:t>
      </w:r>
      <w:r>
        <w:rPr>
          <w:rFonts w:ascii="Times New Roman" w:cs="Times New Roman" w:eastAsia="Times New Roman" w:hAnsi="Times New Roman"/>
          <w:sz w:val="22"/>
          <w:szCs w:val="22"/>
          <w:color w:val="auto"/>
        </w:rPr>
        <w:t>Grantee acknowledges that the covenants contained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reasonable and necessary to protect the legitimate interests of the Company and that any breach or threatened breach of any such covenants will cause irreparable injury to the Company for which money damages would not provide an adequate remedy. If Grantee breaches, or threatens to commit a breach of, any of the provisions of this Agreement, the Company shall have the right to seek appropriate equitable relief, including a permanent injunction or similar court order enjoining Grantee from violating any of such provisions, and that, pending the hearing and the decision on the application for permanent equitable relief, the Company shall be entitled to a temporary restraining order and a preliminary injunction, without the necessity of showing actual monetary damages or the posting of a bond or other security. No such remedy shall be construed to be the exclusive remedy of the Company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60"/>
          </w:cols>
          <w:pgMar w:left="500" w:top="1391" w:right="339" w:bottom="1440" w:gutter="0" w:footer="0" w:header="0"/>
        </w:sectPr>
      </w:pPr>
    </w:p>
    <w:bookmarkStart w:id="52" w:name="page53"/>
    <w:bookmarkEnd w:id="52"/>
    <w:p>
      <w:pPr>
        <w:ind w:left="460" w:right="40"/>
        <w:spacing w:after="0" w:line="231" w:lineRule="auto"/>
        <w:rPr>
          <w:sz w:val="20"/>
          <w:szCs w:val="20"/>
          <w:color w:val="auto"/>
        </w:rPr>
      </w:pPr>
      <w:r>
        <w:rPr>
          <w:rFonts w:ascii="Times New Roman" w:cs="Times New Roman" w:eastAsia="Times New Roman" w:hAnsi="Times New Roman"/>
          <w:sz w:val="21"/>
          <w:szCs w:val="21"/>
          <w:color w:val="auto"/>
        </w:rPr>
        <w:t>and all such remedies shall be held and construed to be cumulative and not exclusive of any rights or remedies, whether at law or in equity, otherwise available under the terms of this Agreement, at common law or under federal, state or local statutes, rules and regulations. Grantee further agrees to pay any and all legal fees, including without limitation, all attorneys’ fees, court costs, and any other related fees and/or costs incurred by the Company in enforcing this Agreement.</w:t>
      </w:r>
    </w:p>
    <w:p>
      <w:pPr>
        <w:spacing w:after="0" w:line="146" w:lineRule="exact"/>
        <w:rPr>
          <w:sz w:val="20"/>
          <w:szCs w:val="20"/>
          <w:color w:val="auto"/>
        </w:rPr>
      </w:pPr>
    </w:p>
    <w:p>
      <w:pPr>
        <w:ind w:left="460" w:right="760" w:firstLine="644"/>
        <w:spacing w:after="0" w:line="238" w:lineRule="auto"/>
        <w:tabs>
          <w:tab w:leader="none" w:pos="1566" w:val="left"/>
        </w:tabs>
        <w:numPr>
          <w:ilvl w:val="5"/>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Separate Covenants. </w:t>
      </w:r>
      <w:r>
        <w:rPr>
          <w:rFonts w:ascii="Times New Roman" w:cs="Times New Roman" w:eastAsia="Times New Roman" w:hAnsi="Times New Roman"/>
          <w:sz w:val="22"/>
          <w:szCs w:val="22"/>
          <w:color w:val="auto"/>
        </w:rPr>
        <w:t>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73" w:lineRule="exact"/>
        <w:rPr>
          <w:rFonts w:ascii="Times New Roman" w:cs="Times New Roman" w:eastAsia="Times New Roman" w:hAnsi="Times New Roman"/>
          <w:sz w:val="22"/>
          <w:szCs w:val="22"/>
          <w:color w:val="auto"/>
        </w:rPr>
      </w:pPr>
    </w:p>
    <w:p>
      <w:pPr>
        <w:jc w:val="both"/>
        <w:ind w:left="-180" w:firstLine="485"/>
        <w:spacing w:after="0" w:line="252" w:lineRule="auto"/>
        <w:tabs>
          <w:tab w:leader="none" w:pos="697" w:val="left"/>
        </w:tabs>
        <w:numPr>
          <w:ilvl w:val="1"/>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color w:val="auto"/>
        </w:rPr>
        <w:t>. To the extent applicable, it is intended that this Agreement and the Plan comply with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w:t>
      </w:r>
    </w:p>
    <w:p>
      <w:pPr>
        <w:spacing w:after="0" w:line="174" w:lineRule="exact"/>
        <w:rPr>
          <w:rFonts w:ascii="Times New Roman" w:cs="Times New Roman" w:eastAsia="Times New Roman" w:hAnsi="Times New Roman"/>
          <w:sz w:val="22"/>
          <w:szCs w:val="22"/>
          <w:b w:val="1"/>
          <w:bCs w:val="1"/>
          <w:color w:val="auto"/>
        </w:rPr>
      </w:pPr>
    </w:p>
    <w:p>
      <w:pPr>
        <w:jc w:val="both"/>
        <w:ind w:left="-180" w:firstLine="521"/>
        <w:spacing w:after="0" w:line="254" w:lineRule="auto"/>
        <w:tabs>
          <w:tab w:leader="none" w:pos="751" w:val="left"/>
        </w:tabs>
        <w:numPr>
          <w:ilvl w:val="2"/>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Continued Right as Service Provider</w:t>
      </w:r>
      <w:r>
        <w:rPr>
          <w:rFonts w:ascii="Times New Roman" w:cs="Times New Roman" w:eastAsia="Times New Roman" w:hAnsi="Times New Roman"/>
          <w:sz w:val="22"/>
          <w:szCs w:val="22"/>
          <w:color w:val="auto"/>
        </w:rPr>
        <w:t>. Nothing in the Plan or in this Agreement confers on Grantee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as a Service Provider, or interferes with or restricts in any way the rights of the Company or any Subsidiary or affiliate of the Company, which are hereby expressly reserved, to discharge Grantee at any time for any reason whatsoever, with or without Cause, except to the extent expressly provided otherwise in a written employment agreement between Grantee and the Company or any Subsidiary.</w:t>
      </w:r>
    </w:p>
    <w:p>
      <w:pPr>
        <w:spacing w:after="0" w:line="173" w:lineRule="exact"/>
        <w:rPr>
          <w:rFonts w:ascii="Times New Roman" w:cs="Times New Roman" w:eastAsia="Times New Roman" w:hAnsi="Times New Roman"/>
          <w:sz w:val="22"/>
          <w:szCs w:val="22"/>
          <w:b w:val="1"/>
          <w:bCs w:val="1"/>
          <w:color w:val="auto"/>
        </w:rPr>
      </w:pPr>
    </w:p>
    <w:p>
      <w:pPr>
        <w:jc w:val="both"/>
        <w:ind w:left="-180" w:firstLine="449"/>
        <w:spacing w:after="0" w:line="258" w:lineRule="auto"/>
        <w:tabs>
          <w:tab w:leader="none" w:pos="643"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on Other Benefits</w:t>
      </w:r>
      <w:r>
        <w:rPr>
          <w:rFonts w:ascii="Times New Roman" w:cs="Times New Roman" w:eastAsia="Times New Roman" w:hAnsi="Times New Roman"/>
          <w:sz w:val="22"/>
          <w:szCs w:val="22"/>
          <w:color w:val="auto"/>
        </w:rPr>
        <w:t>. In no event will the value, at any time, of the PSUs or any other payment or right to payment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167" w:lineRule="exact"/>
        <w:rPr>
          <w:rFonts w:ascii="Times New Roman" w:cs="Times New Roman" w:eastAsia="Times New Roman" w:hAnsi="Times New Roman"/>
          <w:sz w:val="22"/>
          <w:szCs w:val="22"/>
          <w:b w:val="1"/>
          <w:bCs w:val="1"/>
          <w:color w:val="auto"/>
        </w:rPr>
      </w:pPr>
    </w:p>
    <w:p>
      <w:pPr>
        <w:jc w:val="both"/>
        <w:ind w:left="-180" w:firstLine="566"/>
        <w:spacing w:after="0" w:line="259" w:lineRule="auto"/>
        <w:tabs>
          <w:tab w:leader="none" w:pos="819" w:val="left"/>
        </w:tabs>
        <w:numPr>
          <w:ilvl w:val="3"/>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If Grantee is or was employed by a subsidiary of the Company, then such subsidiary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intended to be a third-party beneficiary of this Agreement and shall have the right to enforce this Agreement, including, but not limited to, the provisions of Section II.B.3.</w:t>
      </w:r>
    </w:p>
    <w:p>
      <w:pPr>
        <w:spacing w:after="0" w:line="166" w:lineRule="exact"/>
        <w:rPr>
          <w:rFonts w:ascii="Times New Roman" w:cs="Times New Roman" w:eastAsia="Times New Roman" w:hAnsi="Times New Roman"/>
          <w:sz w:val="22"/>
          <w:szCs w:val="22"/>
          <w:b w:val="1"/>
          <w:bCs w:val="1"/>
          <w:color w:val="auto"/>
        </w:rPr>
      </w:pPr>
    </w:p>
    <w:p>
      <w:pPr>
        <w:jc w:val="both"/>
        <w:ind w:left="-180" w:firstLine="530"/>
        <w:spacing w:after="0" w:line="265" w:lineRule="auto"/>
        <w:tabs>
          <w:tab w:leader="none" w:pos="765" w:val="left"/>
        </w:tabs>
        <w:numPr>
          <w:ilvl w:val="2"/>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Unfunded and Unsecured General Creditor</w:t>
      </w:r>
      <w:r>
        <w:rPr>
          <w:rFonts w:ascii="Times New Roman" w:cs="Times New Roman" w:eastAsia="Times New Roman" w:hAnsi="Times New Roman"/>
          <w:sz w:val="22"/>
          <w:szCs w:val="22"/>
          <w:color w:val="auto"/>
        </w:rPr>
        <w:t>. Grantee, as a holder of PSUs and rights under this Agreement has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other than those of a general creditor of the Company. The PSUs represent an unfunded and unsecured obligation of the Company, subject to the terms and conditions of this Agreement and the Plan.</w:t>
      </w:r>
    </w:p>
    <w:p>
      <w:pPr>
        <w:spacing w:after="0" w:line="161" w:lineRule="exact"/>
        <w:rPr>
          <w:rFonts w:ascii="Times New Roman" w:cs="Times New Roman" w:eastAsia="Times New Roman" w:hAnsi="Times New Roman"/>
          <w:sz w:val="22"/>
          <w:szCs w:val="22"/>
          <w:b w:val="1"/>
          <w:bCs w:val="1"/>
          <w:color w:val="auto"/>
        </w:rPr>
      </w:pPr>
    </w:p>
    <w:p>
      <w:pPr>
        <w:jc w:val="both"/>
        <w:ind w:left="-180" w:firstLine="746"/>
        <w:spacing w:after="0" w:line="258" w:lineRule="auto"/>
        <w:tabs>
          <w:tab w:leader="none" w:pos="1089" w:val="left"/>
        </w:tabs>
        <w:numPr>
          <w:ilvl w:val="4"/>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or the application of any provision hereof to any person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500" w:top="1395" w:right="339" w:bottom="1440" w:gutter="0" w:footer="0" w:header="0"/>
        </w:sectPr>
      </w:pPr>
    </w:p>
    <w:bookmarkStart w:id="53" w:name="page54"/>
    <w:bookmarkEnd w:id="53"/>
    <w:p>
      <w:pPr>
        <w:jc w:val="both"/>
        <w:ind w:left="-180" w:firstLine="656"/>
        <w:spacing w:after="0" w:line="254" w:lineRule="auto"/>
        <w:tabs>
          <w:tab w:leader="none" w:pos="1062" w:val="left"/>
        </w:tabs>
        <w:numPr>
          <w:ilvl w:val="1"/>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PSUs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3" w:lineRule="exact"/>
        <w:rPr>
          <w:rFonts w:ascii="Times New Roman" w:cs="Times New Roman" w:eastAsia="Times New Roman" w:hAnsi="Times New Roman"/>
          <w:sz w:val="22"/>
          <w:szCs w:val="22"/>
          <w:b w:val="1"/>
          <w:bCs w:val="1"/>
          <w:color w:val="auto"/>
        </w:rPr>
      </w:pPr>
    </w:p>
    <w:p>
      <w:pPr>
        <w:ind w:left="740" w:hanging="480"/>
        <w:spacing w:after="0"/>
        <w:tabs>
          <w:tab w:leader="none" w:pos="74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Nature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accepting this Award, Grantee acknowledges that:</w:t>
      </w:r>
    </w:p>
    <w:p>
      <w:pPr>
        <w:spacing w:after="0" w:line="223" w:lineRule="exact"/>
        <w:rPr>
          <w:rFonts w:ascii="Times New Roman" w:cs="Times New Roman" w:eastAsia="Times New Roman" w:hAnsi="Times New Roman"/>
          <w:sz w:val="22"/>
          <w:szCs w:val="22"/>
          <w:b w:val="1"/>
          <w:bCs w:val="1"/>
          <w:color w:val="auto"/>
        </w:rPr>
      </w:pPr>
    </w:p>
    <w:p>
      <w:pPr>
        <w:ind w:left="480" w:right="20" w:firstLine="227"/>
        <w:spacing w:after="0" w:line="295" w:lineRule="auto"/>
        <w:tabs>
          <w:tab w:leader="none" w:pos="1181" w:val="left"/>
        </w:tabs>
        <w:numPr>
          <w:ilvl w:val="3"/>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it is discretionary in nature and it may be modified, amended, suspended or terminated by the Company at any time unless otherwise provided in the Plan or this Agreement;</w:t>
      </w:r>
    </w:p>
    <w:p>
      <w:pPr>
        <w:spacing w:after="0" w:line="148" w:lineRule="exact"/>
        <w:rPr>
          <w:rFonts w:ascii="Times New Roman" w:cs="Times New Roman" w:eastAsia="Times New Roman" w:hAnsi="Times New Roman"/>
          <w:sz w:val="21"/>
          <w:szCs w:val="21"/>
          <w:color w:val="auto"/>
        </w:rPr>
      </w:pPr>
    </w:p>
    <w:p>
      <w:pPr>
        <w:ind w:left="480" w:firstLine="258"/>
        <w:spacing w:after="0" w:line="271" w:lineRule="auto"/>
        <w:tabs>
          <w:tab w:leader="none" w:pos="1256" w:val="left"/>
        </w:tabs>
        <w:numPr>
          <w:ilvl w:val="4"/>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this Award is voluntary and occasional and does not create any contractual or other right to receive future grants of awards, or benefits in lieu of awards, even if awards have been granted repeatedly in the past,</w:t>
      </w:r>
    </w:p>
    <w:p>
      <w:pPr>
        <w:spacing w:after="0" w:line="157" w:lineRule="exact"/>
        <w:rPr>
          <w:rFonts w:ascii="Times New Roman" w:cs="Times New Roman" w:eastAsia="Times New Roman" w:hAnsi="Times New Roman"/>
          <w:sz w:val="22"/>
          <w:szCs w:val="22"/>
          <w:color w:val="auto"/>
        </w:rPr>
      </w:pPr>
    </w:p>
    <w:p>
      <w:pPr>
        <w:ind w:left="1140" w:hanging="448"/>
        <w:spacing w:after="0"/>
        <w:tabs>
          <w:tab w:leader="none" w:pos="1140"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grants, if any, will be at the sole discretion of the Committee;</w:t>
      </w:r>
    </w:p>
    <w:p>
      <w:pPr>
        <w:spacing w:after="0" w:line="219" w:lineRule="exact"/>
        <w:rPr>
          <w:rFonts w:ascii="Times New Roman" w:cs="Times New Roman" w:eastAsia="Times New Roman" w:hAnsi="Times New Roman"/>
          <w:sz w:val="22"/>
          <w:szCs w:val="22"/>
          <w:color w:val="auto"/>
        </w:rPr>
      </w:pPr>
    </w:p>
    <w:p>
      <w:pPr>
        <w:ind w:left="1160" w:hanging="468"/>
        <w:spacing w:after="0"/>
        <w:tabs>
          <w:tab w:leader="none" w:pos="1160"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is voluntarily participating in the Plan;</w:t>
      </w:r>
    </w:p>
    <w:p>
      <w:pPr>
        <w:spacing w:after="0" w:line="219" w:lineRule="exact"/>
        <w:rPr>
          <w:rFonts w:ascii="Times New Roman" w:cs="Times New Roman" w:eastAsia="Times New Roman" w:hAnsi="Times New Roman"/>
          <w:sz w:val="22"/>
          <w:szCs w:val="22"/>
          <w:color w:val="auto"/>
        </w:rPr>
      </w:pPr>
    </w:p>
    <w:p>
      <w:pPr>
        <w:jc w:val="both"/>
        <w:ind w:left="480" w:firstLine="372"/>
        <w:spacing w:after="0" w:line="263" w:lineRule="auto"/>
        <w:tabs>
          <w:tab w:leader="none" w:pos="1471" w:val="left"/>
        </w:tabs>
        <w:numPr>
          <w:ilvl w:val="6"/>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the Common Stock subject to the PSUs are an extraordinary item that does not constitute compensation of any kind for services of any kind rendered to the Company or Grantee’s employer, and which is outside the scope of Grantee’s employment contract, if any;</w:t>
      </w:r>
    </w:p>
    <w:p>
      <w:pPr>
        <w:spacing w:after="0" w:line="167" w:lineRule="exact"/>
        <w:rPr>
          <w:rFonts w:ascii="Times New Roman" w:cs="Times New Roman" w:eastAsia="Times New Roman" w:hAnsi="Times New Roman"/>
          <w:sz w:val="22"/>
          <w:szCs w:val="22"/>
          <w:color w:val="auto"/>
        </w:rPr>
      </w:pPr>
    </w:p>
    <w:p>
      <w:pPr>
        <w:ind w:left="480" w:firstLine="380"/>
        <w:spacing w:after="0" w:line="271" w:lineRule="auto"/>
        <w:tabs>
          <w:tab w:leader="none" w:pos="1464" w:val="left"/>
        </w:tabs>
        <w:numPr>
          <w:ilvl w:val="6"/>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the Common Stock subject to the PSUs are not intended to replace any pension rights or compensation;</w:t>
      </w:r>
    </w:p>
    <w:p>
      <w:pPr>
        <w:spacing w:after="0" w:line="157" w:lineRule="exact"/>
        <w:rPr>
          <w:rFonts w:ascii="Times New Roman" w:cs="Times New Roman" w:eastAsia="Times New Roman" w:hAnsi="Times New Roman"/>
          <w:sz w:val="22"/>
          <w:szCs w:val="22"/>
          <w:color w:val="auto"/>
        </w:rPr>
      </w:pPr>
    </w:p>
    <w:p>
      <w:pPr>
        <w:ind w:left="1160" w:hanging="468"/>
        <w:spacing w:after="0"/>
        <w:tabs>
          <w:tab w:leader="none" w:pos="1160" w:val="left"/>
        </w:tabs>
        <w:numPr>
          <w:ilvl w:val="3"/>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Common Stock is unknown and cannot be predicted with certainty;</w:t>
      </w:r>
    </w:p>
    <w:p>
      <w:pPr>
        <w:spacing w:after="0" w:line="219" w:lineRule="exact"/>
        <w:rPr>
          <w:rFonts w:ascii="Times New Roman" w:cs="Times New Roman" w:eastAsia="Times New Roman" w:hAnsi="Times New Roman"/>
          <w:sz w:val="22"/>
          <w:szCs w:val="22"/>
          <w:color w:val="auto"/>
        </w:rPr>
      </w:pPr>
    </w:p>
    <w:p>
      <w:pPr>
        <w:jc w:val="both"/>
        <w:ind w:left="480" w:firstLine="305"/>
        <w:spacing w:after="0" w:line="263" w:lineRule="auto"/>
        <w:tabs>
          <w:tab w:leader="none" w:pos="1350" w:val="left"/>
        </w:tabs>
        <w:numPr>
          <w:ilvl w:val="5"/>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67" w:lineRule="exact"/>
        <w:rPr>
          <w:sz w:val="20"/>
          <w:szCs w:val="20"/>
          <w:color w:val="auto"/>
        </w:rPr>
      </w:pPr>
    </w:p>
    <w:p>
      <w:pPr>
        <w:jc w:val="both"/>
        <w:ind w:left="480" w:firstLine="272"/>
        <w:spacing w:after="0" w:line="253" w:lineRule="auto"/>
        <w:tabs>
          <w:tab w:leader="none" w:pos="123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the PSUs, no claim or entitlement to compensation or damages shall arise from forfeiture of the PSUs resulting from termination of Grantee’s employment with the Company or Grantee’s employer (for any reason whatsoever and whether or not in breach of local labor laws) and Grantee irrevocably releases the Company and Grantee’s employer from any such claim that may arise; if, notwithstanding the foregoing, any such claim is found by a court of competent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60"/>
          </w:cols>
          <w:pgMar w:left="500" w:top="1418" w:right="339" w:bottom="1440" w:gutter="0" w:footer="0" w:header="0"/>
        </w:sectPr>
      </w:pPr>
    </w:p>
    <w:bookmarkStart w:id="54" w:name="page55"/>
    <w:bookmarkEnd w:id="54"/>
    <w:p>
      <w:pPr>
        <w:ind w:left="480"/>
        <w:spacing w:after="0"/>
        <w:rPr>
          <w:sz w:val="20"/>
          <w:szCs w:val="20"/>
          <w:color w:val="auto"/>
        </w:rPr>
      </w:pPr>
      <w:r>
        <w:rPr>
          <w:rFonts w:ascii="Times New Roman" w:cs="Times New Roman" w:eastAsia="Times New Roman" w:hAnsi="Times New Roman"/>
          <w:sz w:val="21"/>
          <w:szCs w:val="21"/>
          <w:color w:val="auto"/>
        </w:rPr>
        <w:t>jurisdiction to have arisen, Grantee shall be deemed irrevocably to have waived any entitlement to pursue such claim; and</w:t>
      </w:r>
    </w:p>
    <w:p>
      <w:pPr>
        <w:spacing w:after="0" w:line="231" w:lineRule="exact"/>
        <w:rPr>
          <w:sz w:val="20"/>
          <w:szCs w:val="20"/>
          <w:color w:val="auto"/>
        </w:rPr>
      </w:pPr>
    </w:p>
    <w:p>
      <w:pPr>
        <w:jc w:val="both"/>
        <w:ind w:left="480" w:firstLine="225"/>
        <w:spacing w:after="0" w:line="253" w:lineRule="auto"/>
        <w:tabs>
          <w:tab w:leader="none" w:pos="1143" w:val="left"/>
        </w:tabs>
        <w:numPr>
          <w:ilvl w:val="4"/>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Grantee ceases to be a Service Provider (whether or not in breach of local labor laws), Grantee’s right to vest in the PSUs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PSUs.</w:t>
      </w:r>
    </w:p>
    <w:p>
      <w:pPr>
        <w:spacing w:after="0" w:line="174" w:lineRule="exact"/>
        <w:rPr>
          <w:rFonts w:ascii="Times New Roman" w:cs="Times New Roman" w:eastAsia="Times New Roman" w:hAnsi="Times New Roman"/>
          <w:sz w:val="22"/>
          <w:szCs w:val="22"/>
          <w:color w:val="auto"/>
        </w:rPr>
      </w:pPr>
    </w:p>
    <w:p>
      <w:pPr>
        <w:ind w:left="820" w:hanging="479"/>
        <w:spacing w:after="0"/>
        <w:tabs>
          <w:tab w:leader="none" w:pos="820" w:val="left"/>
        </w:tabs>
        <w:numPr>
          <w:ilvl w:val="3"/>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Addenda for Certain Participants</w:t>
      </w:r>
      <w:r>
        <w:rPr>
          <w:rFonts w:ascii="Times New Roman" w:cs="Times New Roman" w:eastAsia="Times New Roman" w:hAnsi="Times New Roman"/>
          <w:sz w:val="22"/>
          <w:szCs w:val="22"/>
          <w:b w:val="1"/>
          <w:bCs w:val="1"/>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480" w:firstLine="644"/>
        <w:spacing w:after="0" w:line="250" w:lineRule="auto"/>
        <w:tabs>
          <w:tab w:leader="none" w:pos="1597" w:val="left"/>
        </w:tabs>
        <w:numPr>
          <w:ilvl w:val="5"/>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Non-U.S. Participants</w:t>
      </w:r>
      <w:r>
        <w:rPr>
          <w:rFonts w:ascii="Times New Roman" w:cs="Times New Roman" w:eastAsia="Times New Roman" w:hAnsi="Times New Roman"/>
          <w:sz w:val="22"/>
          <w:szCs w:val="22"/>
          <w:color w:val="auto"/>
        </w:rPr>
        <w:t>. Notwithstanding any provisions in this Agreement, the PSUs shall also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special terms and conditions set forth in the Non-U.S. Addendum attached as Appendix C to this Agreement for Grantees who reside in any country covered therein. Moreover, if Grantee relocates to one of the countries included in the Non-U.S. Addendum, the special terms and conditions for such country will apply to Grantee to the extent the Company determines that the application of such terms and conditions are necessary or advisable in order to comply with local law or facilitate the administration of the Plan. The Non-U.S. Addendum attached hereto as Appendix C constitutes part of this Agreement.</w:t>
      </w:r>
    </w:p>
    <w:p>
      <w:pPr>
        <w:spacing w:after="0" w:line="193" w:lineRule="exact"/>
        <w:rPr>
          <w:rFonts w:ascii="Times New Roman" w:cs="Times New Roman" w:eastAsia="Times New Roman" w:hAnsi="Times New Roman"/>
          <w:sz w:val="22"/>
          <w:szCs w:val="22"/>
          <w:color w:val="auto"/>
        </w:rPr>
      </w:pPr>
    </w:p>
    <w:p>
      <w:pPr>
        <w:jc w:val="both"/>
        <w:ind w:left="480" w:firstLine="644"/>
        <w:spacing w:after="0" w:line="251" w:lineRule="auto"/>
        <w:tabs>
          <w:tab w:leader="none" w:pos="1636" w:val="left"/>
        </w:tabs>
        <w:numPr>
          <w:ilvl w:val="5"/>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California Participants</w:t>
      </w:r>
      <w:r>
        <w:rPr>
          <w:rFonts w:ascii="Times New Roman" w:cs="Times New Roman" w:eastAsia="Times New Roman" w:hAnsi="Times New Roman"/>
          <w:sz w:val="22"/>
          <w:szCs w:val="22"/>
          <w:color w:val="auto"/>
        </w:rPr>
        <w:t>. Notwithstanding any provisions in this Agreement, the PSUs shall also be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special terms and conditions set forth in the California Addendum attached as Appendix D to this Agreement if Grantee is employed and/or resides in California or if the Company determines that the application of such terms and conditions is necessary or advisable in order to comply with applicable law. The California Addendum attached hereto as Appendix D constitutes part of this Agreement.</w:t>
      </w:r>
    </w:p>
    <w:p>
      <w:pPr>
        <w:spacing w:after="0" w:line="189" w:lineRule="exact"/>
        <w:rPr>
          <w:rFonts w:ascii="Times New Roman" w:cs="Times New Roman" w:eastAsia="Times New Roman" w:hAnsi="Times New Roman"/>
          <w:sz w:val="22"/>
          <w:szCs w:val="22"/>
          <w:color w:val="auto"/>
        </w:rPr>
      </w:pPr>
    </w:p>
    <w:p>
      <w:pPr>
        <w:jc w:val="both"/>
        <w:ind w:left="-180" w:firstLine="494"/>
        <w:spacing w:after="0" w:line="251" w:lineRule="auto"/>
        <w:tabs>
          <w:tab w:leader="none" w:pos="819" w:val="left"/>
        </w:tabs>
        <w:numPr>
          <w:ilvl w:val="2"/>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amendment to the Plan shall be deemed to be an amendment to this Agreement to the extent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amendment is applicable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89" w:lineRule="exact"/>
        <w:rPr>
          <w:rFonts w:ascii="Times New Roman" w:cs="Times New Roman" w:eastAsia="Times New Roman" w:hAnsi="Times New Roman"/>
          <w:sz w:val="22"/>
          <w:szCs w:val="22"/>
          <w:b w:val="1"/>
          <w:bCs w:val="1"/>
          <w:color w:val="auto"/>
        </w:rPr>
      </w:pPr>
    </w:p>
    <w:p>
      <w:pPr>
        <w:jc w:val="both"/>
        <w:ind w:left="-180" w:firstLine="467"/>
        <w:spacing w:after="0" w:line="253" w:lineRule="auto"/>
        <w:tabs>
          <w:tab w:leader="none" w:pos="778" w:val="left"/>
        </w:tabs>
        <w:numPr>
          <w:ilvl w:val="1"/>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subject to the terms and conditions of the Plan. In the event of any inconsistency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175" w:lineRule="exact"/>
        <w:rPr>
          <w:rFonts w:ascii="Times New Roman" w:cs="Times New Roman" w:eastAsia="Times New Roman" w:hAnsi="Times New Roman"/>
          <w:sz w:val="22"/>
          <w:szCs w:val="22"/>
          <w:b w:val="1"/>
          <w:bCs w:val="1"/>
          <w:color w:val="auto"/>
        </w:rPr>
      </w:pPr>
    </w:p>
    <w:p>
      <w:pPr>
        <w:ind w:left="-180" w:firstLine="449"/>
        <w:spacing w:after="0" w:line="275" w:lineRule="auto"/>
        <w:tabs>
          <w:tab w:leader="none" w:pos="751"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 Choice of Forum; Jury Trial 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governed by and construed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laws of the State of Michigan,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60"/>
          </w:cols>
          <w:pgMar w:left="500" w:top="1422" w:right="339" w:bottom="1440" w:gutter="0" w:footer="0" w:header="0"/>
        </w:sectPr>
      </w:pPr>
    </w:p>
    <w:bookmarkStart w:id="55" w:name="page56"/>
    <w:bookmarkEnd w:id="55"/>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notwithstanding conflict of law provisions. Grantee further agrees that any action by Grantee to challenge the enforceability of this Agreement must be brought or litigated exclusively in the appropriate state or federal court located in the State of Michigan. Grantee also agrees that any action by the Company to enforce this Agreement, as well as any related disputes or litigation related to this Agreement, may be brought in the appropriate state or federal court located in the State of Michigan. Grantee agrees and consents to the personal jurisdiction and venue of the federal or state courts of Michigan for resolution of any disputes or litigation arising under or in connection with this Agreement or any challenge to this Agreement and waives any objections or defenses to personal jurisdiction or venue in any such proceeding before any such court. </w:t>
      </w:r>
      <w:r>
        <w:rPr>
          <w:rFonts w:ascii="Times New Roman" w:cs="Times New Roman" w:eastAsia="Times New Roman" w:hAnsi="Times New Roman"/>
          <w:sz w:val="21"/>
          <w:szCs w:val="21"/>
          <w:b w:val="1"/>
          <w:bCs w:val="1"/>
          <w:color w:val="auto"/>
        </w:rPr>
        <w:t>GRANTEE AGREE THAT, TO THE</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b w:val="1"/>
          <w:bCs w:val="1"/>
          <w:color w:val="auto"/>
        </w:rPr>
        <w:t>FULLEST EXTENT PERMITTED BY LAW, EACH PARTY WAIVES ANY RIGHT TO TRIAL BY JURY WITH RESPECT TO ANY PROCEEDING ARISING OUT OF OR RELATING TO THIS AGREEMENT.</w:t>
      </w:r>
    </w:p>
    <w:p>
      <w:pPr>
        <w:spacing w:after="0" w:line="164" w:lineRule="exact"/>
        <w:rPr>
          <w:sz w:val="20"/>
          <w:szCs w:val="20"/>
          <w:color w:val="auto"/>
        </w:rPr>
      </w:pPr>
    </w:p>
    <w:p>
      <w:pPr>
        <w:ind w:left="920" w:hanging="480"/>
        <w:spacing w:after="0"/>
        <w:tabs>
          <w:tab w:leader="none" w:pos="92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Clawback Policy</w:t>
      </w:r>
      <w:r>
        <w:rPr>
          <w:rFonts w:ascii="Times New Roman" w:cs="Times New Roman" w:eastAsia="Times New Roman" w:hAnsi="Times New Roman"/>
          <w:sz w:val="22"/>
          <w:szCs w:val="22"/>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left="640" w:firstLine="644"/>
        <w:spacing w:after="0" w:line="208" w:lineRule="auto"/>
        <w:tabs>
          <w:tab w:leader="none" w:pos="1936"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Grantee acknowledges and agrees that this Agreement and the award described herein (and any settlement thereof) are subject to the terms and conditions of the Company’s clawback policy or policies as may be in effect from time to time, including specifically to implement Section 10D of the Exchange Act and any applicable rules or regulations promulgated thereunder (including applicable rules and regulations of any national securities exchange on which the Common Stock at any point may be traded) (the “Compensation Recovery Policy”), and that, to the extent the Compensation Recovery Policy, by its terms, is applicable to such award, applicable terms of this Agreement will be (if necessary) deemed superseded by and subject to the terms and conditions of the Compensation Recovery Policy from and after the effective date thereof. Further, by accepting the award covered by this Agreement, Grantee (i) consents to be bound by the terms of the Compensation Recovery Policy, as applicable, (ii) agrees and acknowledges that Grantee is obligated to and will cooperate with, and will provide any and all assistance necessary to, the Company in any effort to recover or recoup any compensation or other amounts subject to clawback or recovery pursuant to the Compensation Recovery Policy and/or applicable laws, rules, regulations, stock exchange listing standards or other Company policy, and (iii) agrees that the Company may enforce its rights under the Compensation Recovery Policy through any and all reasonable means permitted under applicable law as it deems necessary or desirable under the Compensation Recovery Policy, in each case from and after the effective dates thereof. Such cooperation and assistance shall include, but is not limited to, executing, completing and submitting any documentation necessary to facilitate the recovery or recoupment by the Company from Grantee of any such amounts, including from Grantee’s accounts or from any other compensation, to the extent permissible under Section 409A of the Code.</w:t>
      </w:r>
    </w:p>
    <w:p>
      <w:pPr>
        <w:spacing w:after="0" w:line="154" w:lineRule="exact"/>
        <w:rPr>
          <w:rFonts w:ascii="Times New Roman" w:cs="Times New Roman" w:eastAsia="Times New Roman" w:hAnsi="Times New Roman"/>
          <w:sz w:val="22"/>
          <w:szCs w:val="22"/>
          <w:color w:val="auto"/>
        </w:rPr>
      </w:pPr>
    </w:p>
    <w:p>
      <w:pPr>
        <w:jc w:val="both"/>
        <w:ind w:left="640" w:right="20" w:firstLine="644"/>
        <w:spacing w:after="0" w:line="236" w:lineRule="auto"/>
        <w:tabs>
          <w:tab w:leader="none" w:pos="1935"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foregoing, violation of Section II.B.3 of this Agreement prior to the Settlement Date and thereafter, as determined by the Board, shall result in the forfeiture of the PSUs, and clawback and recoupment of any shares of Common Stock issued or transferred to Grantee in settlement of the PSUs (plus dividend equivalent payments).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22" w:right="339" w:bottom="1440" w:gutter="0" w:footer="0" w:header="0"/>
        </w:sectPr>
      </w:pPr>
    </w:p>
    <w:bookmarkStart w:id="56" w:name="page57"/>
    <w:bookmarkEnd w:id="56"/>
    <w:p>
      <w:pPr>
        <w:ind w:firstLine="648"/>
        <w:spacing w:after="0" w:line="271" w:lineRule="auto"/>
        <w:rPr>
          <w:sz w:val="20"/>
          <w:szCs w:val="20"/>
          <w:color w:val="auto"/>
        </w:rPr>
      </w:pPr>
      <w:r>
        <w:rPr>
          <w:rFonts w:ascii="Times New Roman" w:cs="Times New Roman" w:eastAsia="Times New Roman" w:hAnsi="Times New Roman"/>
          <w:sz w:val="22"/>
          <w:szCs w:val="22"/>
          <w:color w:val="auto"/>
        </w:rPr>
        <w:t>This Agreement may be executed in two or more counterparts, each of which is deemed an original and all of which constitute one document.</w:t>
      </w:r>
    </w:p>
    <w:p>
      <w:pPr>
        <w:spacing w:after="0" w:line="1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Dated as of: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Thomas A. Amato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 &amp; CEO</w:t>
      </w:r>
    </w:p>
    <w:p>
      <w:pPr>
        <w:spacing w:after="0" w:line="200" w:lineRule="exact"/>
        <w:rPr>
          <w:sz w:val="20"/>
          <w:szCs w:val="20"/>
          <w:color w:val="auto"/>
        </w:rPr>
      </w:pPr>
    </w:p>
    <w:p>
      <w:pPr>
        <w:sectPr>
          <w:pgSz w:w="11900" w:h="16838" w:orient="portrait"/>
          <w:cols w:equalWidth="0" w:num="2">
            <w:col w:w="4220" w:space="720"/>
            <w:col w:w="6300"/>
          </w:cols>
          <w:pgMar w:left="320" w:top="1422" w:right="3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75"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21"/>
          <w:szCs w:val="21"/>
          <w:b w:val="1"/>
          <w:bCs w:val="1"/>
          <w:color w:val="auto"/>
        </w:rPr>
        <w:t>BY CLICKING THE “ACCEPT” BUTTON, GRANTEE ACKNOWLEDGES RECEIPT OF A COPY OF THE PLAN AND REPRESENTS THAT GRANTEE IS FAMILIAR WITH THE TERMS AND PROVISIONS OF THE PLAN. GRANTEE ACCEPTS THIS PERFORMANCE-BASED RESTRICTED STOCK UNITS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22" w:right="339" w:bottom="1440"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 AGREEMENT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GOALS FOR PSU AWARD</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actual number of PSUs earned by Grantee will be determined by the Committee by March 14, 2028 following the end of the Performance Period (“Determination Date”), using data as of, and including, December 31, 2027 under the rules described below. Any PSUs not earned as of the Determination Date will be canceled and forfeited.</w:t>
      </w:r>
    </w:p>
    <w:p>
      <w:pPr>
        <w:spacing w:after="0" w:line="200" w:lineRule="exact"/>
        <w:rPr>
          <w:sz w:val="20"/>
          <w:szCs w:val="20"/>
          <w:color w:val="auto"/>
        </w:rPr>
      </w:pPr>
    </w:p>
    <w:p>
      <w:pPr>
        <w:ind w:firstLine="8"/>
        <w:spacing w:after="0" w:line="309" w:lineRule="auto"/>
        <w:tabs>
          <w:tab w:leader="none" w:pos="40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actual number of shares of Common Stock delivered to Grantee in settlement of the PSUs earned under this Agreement will be determined based on actual performance results as described below, subject to Section II.A.1 of the Agreement.</w:t>
      </w:r>
    </w:p>
    <w:p>
      <w:pPr>
        <w:spacing w:after="0" w:line="147" w:lineRule="exact"/>
        <w:rPr>
          <w:rFonts w:ascii="Times New Roman" w:cs="Times New Roman" w:eastAsia="Times New Roman" w:hAnsi="Times New Roman"/>
          <w:sz w:val="21"/>
          <w:szCs w:val="21"/>
          <w:color w:val="auto"/>
        </w:rPr>
      </w:pPr>
    </w:p>
    <w:p>
      <w:pPr>
        <w:ind w:firstLine="8"/>
        <w:spacing w:after="0" w:line="271" w:lineRule="auto"/>
        <w:tabs>
          <w:tab w:leader="none" w:pos="37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subject to this Award are earned based on the achievement of specific performance measures over the Performance Period (i.e., January 1, 2025 through December 31, 2027) and determined on the Determination Date.</w:t>
      </w:r>
    </w:p>
    <w:p>
      <w:pPr>
        <w:spacing w:after="0" w:line="178" w:lineRule="exact"/>
        <w:rPr>
          <w:rFonts w:ascii="Times New Roman" w:cs="Times New Roman" w:eastAsia="Times New Roman" w:hAnsi="Times New Roman"/>
          <w:sz w:val="22"/>
          <w:szCs w:val="22"/>
          <w:color w:val="auto"/>
        </w:rPr>
      </w:pPr>
    </w:p>
    <w:p>
      <w:pPr>
        <w:jc w:val="both"/>
        <w:ind w:firstLine="8"/>
        <w:spacing w:after="0" w:line="260" w:lineRule="auto"/>
        <w:tabs>
          <w:tab w:leader="none" w:pos="37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of the Target PSUs will be initially earned based on the achievement of EPS CAGR (the “</w:t>
      </w:r>
      <w:r>
        <w:rPr>
          <w:rFonts w:ascii="Times New Roman" w:cs="Times New Roman" w:eastAsia="Times New Roman" w:hAnsi="Times New Roman"/>
          <w:sz w:val="22"/>
          <w:szCs w:val="22"/>
          <w:b w:val="1"/>
          <w:bCs w:val="1"/>
          <w:i w:val="1"/>
          <w:iCs w:val="1"/>
          <w:color w:val="auto"/>
        </w:rPr>
        <w:t>EPS CAGR PSUs</w:t>
      </w:r>
      <w:r>
        <w:rPr>
          <w:rFonts w:ascii="Times New Roman" w:cs="Times New Roman" w:eastAsia="Times New Roman" w:hAnsi="Times New Roman"/>
          <w:sz w:val="22"/>
          <w:szCs w:val="22"/>
          <w:color w:val="auto"/>
        </w:rPr>
        <w:t>”), and 50% of the Target PSUs will be initially earned based on the achievement of Cash RONA (“</w:t>
      </w:r>
      <w:r>
        <w:rPr>
          <w:rFonts w:ascii="Times New Roman" w:cs="Times New Roman" w:eastAsia="Times New Roman" w:hAnsi="Times New Roman"/>
          <w:sz w:val="22"/>
          <w:szCs w:val="22"/>
          <w:b w:val="1"/>
          <w:bCs w:val="1"/>
          <w:i w:val="1"/>
          <w:iCs w:val="1"/>
          <w:color w:val="auto"/>
        </w:rPr>
        <w:t>Cash RONA PSUs</w:t>
      </w:r>
      <w:r>
        <w:rPr>
          <w:rFonts w:ascii="Times New Roman" w:cs="Times New Roman" w:eastAsia="Times New Roman" w:hAnsi="Times New Roman"/>
          <w:sz w:val="22"/>
          <w:szCs w:val="22"/>
          <w:color w:val="auto"/>
        </w:rPr>
        <w:t>”). The total EPS CAGR PSUs and Cash RONA PSUs initially earned shall be subject to modification based on RTSR Performance.</w:t>
      </w:r>
    </w:p>
    <w:p>
      <w:pPr>
        <w:spacing w:after="0" w:line="20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hereof:</w:t>
      </w:r>
    </w:p>
    <w:p>
      <w:pPr>
        <w:spacing w:after="0" w:line="240" w:lineRule="exact"/>
        <w:rPr>
          <w:rFonts w:ascii="Times New Roman" w:cs="Times New Roman" w:eastAsia="Times New Roman" w:hAnsi="Times New Roman"/>
          <w:sz w:val="22"/>
          <w:szCs w:val="22"/>
          <w:color w:val="auto"/>
        </w:rPr>
      </w:pPr>
    </w:p>
    <w:p>
      <w:pPr>
        <w:jc w:val="both"/>
        <w:ind w:left="1300" w:hanging="644"/>
        <w:spacing w:after="0" w:line="254" w:lineRule="auto"/>
        <w:tabs>
          <w:tab w:leader="none" w:pos="1249"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EPS CAGR</w:t>
      </w:r>
      <w:r>
        <w:rPr>
          <w:rFonts w:ascii="Times New Roman" w:cs="Times New Roman" w:eastAsia="Times New Roman" w:hAnsi="Times New Roman"/>
          <w:sz w:val="22"/>
          <w:szCs w:val="22"/>
          <w:color w:val="auto"/>
        </w:rPr>
        <w:t>” means the cumulative average growth rate during the Performance Period of the adjusted diluted earnings per share from continuing operations as publicly disclosed by the Company, plus or minus special items that may occur from time-to-time that the Committee believes should adjust the as-reported results for measurement of performance.</w:t>
      </w:r>
    </w:p>
    <w:p>
      <w:pPr>
        <w:spacing w:after="0" w:line="211" w:lineRule="exact"/>
        <w:rPr>
          <w:rFonts w:ascii="Times New Roman" w:cs="Times New Roman" w:eastAsia="Times New Roman" w:hAnsi="Times New Roman"/>
          <w:sz w:val="22"/>
          <w:szCs w:val="22"/>
          <w:color w:val="auto"/>
        </w:rPr>
      </w:pPr>
    </w:p>
    <w:p>
      <w:pPr>
        <w:ind w:left="1300" w:hanging="644"/>
        <w:spacing w:after="0" w:line="260" w:lineRule="auto"/>
        <w:tabs>
          <w:tab w:leader="none" w:pos="119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Peer Group</w:t>
      </w:r>
      <w:r>
        <w:rPr>
          <w:rFonts w:ascii="Times New Roman" w:cs="Times New Roman" w:eastAsia="Times New Roman" w:hAnsi="Times New Roman"/>
          <w:sz w:val="22"/>
          <w:szCs w:val="22"/>
          <w:color w:val="auto"/>
        </w:rPr>
        <w:t xml:space="preserve">” means, of a benchmark group of 95 entities currently in the S&amp;P SmallCap 600 Capped Industrials index (the names of which are attached hereto as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those entities that remain in the Peer Group as of the end of the Performance Period after application of the Peer Group Adjustment Protocol.</w:t>
      </w:r>
    </w:p>
    <w:p>
      <w:pPr>
        <w:spacing w:after="0" w:line="190" w:lineRule="exact"/>
        <w:rPr>
          <w:rFonts w:ascii="Times New Roman" w:cs="Times New Roman" w:eastAsia="Times New Roman" w:hAnsi="Times New Roman"/>
          <w:sz w:val="22"/>
          <w:szCs w:val="22"/>
          <w:color w:val="auto"/>
        </w:rPr>
      </w:pPr>
    </w:p>
    <w:p>
      <w:pPr>
        <w:ind w:left="1300" w:hanging="644"/>
        <w:spacing w:after="0" w:line="252" w:lineRule="auto"/>
        <w:tabs>
          <w:tab w:leader="none" w:pos="115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Peer Group Adjustment Protocol</w:t>
      </w:r>
      <w:r>
        <w:rPr>
          <w:rFonts w:ascii="Times New Roman" w:cs="Times New Roman" w:eastAsia="Times New Roman" w:hAnsi="Times New Roman"/>
          <w:sz w:val="22"/>
          <w:szCs w:val="22"/>
          <w:color w:val="auto"/>
        </w:rPr>
        <w:t xml:space="preserve">” means: (i) if an entity listed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files for bankruptcy and/or liquidation, is operating under bankruptcy protection, or is delisted from its primary stock exchange because it fails to meet the exchange listing requirements, then such entity will remain in the Peer Group, but RTSR for the Performance Period will be calculated as if such entity achieved Total Shareholder Return placing it at the bottom (chronologically, if more than one such entity) of the Peer Group; (ii) if, by the last day of the Performance Period, an entity listed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has been acquired and/or is no longer existing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18" w:right="339" w:bottom="1440" w:gutter="0" w:footer="0" w:header="0"/>
        </w:sectPr>
      </w:pPr>
    </w:p>
    <w:bookmarkStart w:id="58" w:name="page59"/>
    <w:bookmarkEnd w:id="58"/>
    <w:p>
      <w:pPr>
        <w:ind w:left="1292"/>
        <w:spacing w:after="0"/>
        <w:rPr>
          <w:sz w:val="20"/>
          <w:szCs w:val="20"/>
          <w:color w:val="auto"/>
        </w:rPr>
      </w:pPr>
      <w:r>
        <w:rPr>
          <w:rFonts w:ascii="Times New Roman" w:cs="Times New Roman" w:eastAsia="Times New Roman" w:hAnsi="Times New Roman"/>
          <w:sz w:val="21"/>
          <w:szCs w:val="21"/>
          <w:color w:val="auto"/>
        </w:rPr>
        <w:t>public company that is traded on its primary stock exchange (other than for the reasons as described in subsection</w:t>
      </w:r>
    </w:p>
    <w:p>
      <w:pPr>
        <w:spacing w:after="0" w:line="39" w:lineRule="exact"/>
        <w:rPr>
          <w:sz w:val="20"/>
          <w:szCs w:val="20"/>
          <w:color w:val="auto"/>
        </w:rPr>
      </w:pPr>
    </w:p>
    <w:p>
      <w:pPr>
        <w:jc w:val="both"/>
        <w:ind w:left="1292" w:firstLine="4"/>
        <w:spacing w:after="0" w:line="247" w:lineRule="auto"/>
        <w:tabs>
          <w:tab w:leader="none" w:pos="1585"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above), then such entity will not remain in the Peer Group and RTSR for the Performance Period will be calculated as if such entity had never been a member of the Peer Group; and (iii) except as otherwise described in subsection (i) and (ii) above, for purposes of this performance goal, for each of the entities listed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such entity shall be deemed to include any successor to all or substantially all of the primary business of such entity at end of the Performance Period.</w:t>
      </w:r>
    </w:p>
    <w:p>
      <w:pPr>
        <w:spacing w:after="0" w:line="207" w:lineRule="exact"/>
        <w:rPr>
          <w:rFonts w:ascii="Times New Roman" w:cs="Times New Roman" w:eastAsia="Times New Roman" w:hAnsi="Times New Roman"/>
          <w:sz w:val="22"/>
          <w:szCs w:val="22"/>
          <w:color w:val="auto"/>
        </w:rPr>
      </w:pPr>
    </w:p>
    <w:p>
      <w:pPr>
        <w:jc w:val="both"/>
        <w:ind w:left="1292" w:hanging="644"/>
        <w:spacing w:after="0" w:line="266" w:lineRule="auto"/>
        <w:tabs>
          <w:tab w:leader="none" w:pos="1227"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Relative Total Shareholder Return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RTSR</w:t>
      </w:r>
      <w:r>
        <w:rPr>
          <w:rFonts w:ascii="Times New Roman" w:cs="Times New Roman" w:eastAsia="Times New Roman" w:hAnsi="Times New Roman"/>
          <w:sz w:val="22"/>
          <w:szCs w:val="22"/>
          <w:color w:val="auto"/>
        </w:rPr>
        <w:t>” means the percentile rank of the Company’s Total Shareholder Return among the Total Shareholder Returns of all members of the Peer Group, ranked in descending order, at the end of the Performance Period.</w:t>
      </w:r>
    </w:p>
    <w:p>
      <w:pPr>
        <w:spacing w:after="0" w:line="184" w:lineRule="exact"/>
        <w:rPr>
          <w:rFonts w:ascii="Times New Roman" w:cs="Times New Roman" w:eastAsia="Times New Roman" w:hAnsi="Times New Roman"/>
          <w:sz w:val="22"/>
          <w:szCs w:val="22"/>
          <w:color w:val="auto"/>
        </w:rPr>
      </w:pPr>
    </w:p>
    <w:p>
      <w:pPr>
        <w:ind w:left="1292" w:hanging="644"/>
        <w:spacing w:after="0" w:line="264" w:lineRule="auto"/>
        <w:tabs>
          <w:tab w:leader="none" w:pos="1217"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Cash Return on Net Assets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i w:val="1"/>
          <w:iCs w:val="1"/>
          <w:color w:val="auto"/>
        </w:rPr>
        <w:t>Cash RONA</w:t>
      </w:r>
      <w:r>
        <w:rPr>
          <w:rFonts w:ascii="Times New Roman" w:cs="Times New Roman" w:eastAsia="Times New Roman" w:hAnsi="Times New Roman"/>
          <w:sz w:val="21"/>
          <w:szCs w:val="21"/>
          <w:color w:val="auto"/>
        </w:rPr>
        <w:t>” means the quotient of (i) the sum of (a) net adjusted operating profit after income taxes (“</w:t>
      </w:r>
      <w:r>
        <w:rPr>
          <w:rFonts w:ascii="Times New Roman" w:cs="Times New Roman" w:eastAsia="Times New Roman" w:hAnsi="Times New Roman"/>
          <w:sz w:val="21"/>
          <w:szCs w:val="21"/>
          <w:b w:val="1"/>
          <w:bCs w:val="1"/>
          <w:i w:val="1"/>
          <w:iCs w:val="1"/>
          <w:color w:val="auto"/>
        </w:rPr>
        <w:t>NOPAT</w:t>
      </w:r>
      <w:r>
        <w:rPr>
          <w:rFonts w:ascii="Times New Roman" w:cs="Times New Roman" w:eastAsia="Times New Roman" w:hAnsi="Times New Roman"/>
          <w:sz w:val="21"/>
          <w:szCs w:val="21"/>
          <w:color w:val="auto"/>
        </w:rPr>
        <w:t>”) plus (b) acquisition-related amortization expense plus (c) non-cash stock compensation expense, divided by (ii) average net assets employed (the sum of (a) net working capital plus (b) property and equipment plus (c) goodwill and other intangible assets). The Company uses its long-term expected effective tax rate of 23% in the calculation of NOPAT for all periods to eliminate potential volatility in year-to-year results from tax planning strategies which may impact the measurement of operating returns. The calculation of achieved Cash RONA is to exclude the impact of any acquisition that closes during the Performance Period.</w:t>
      </w:r>
    </w:p>
    <w:p>
      <w:pPr>
        <w:spacing w:after="0" w:line="192" w:lineRule="exact"/>
        <w:rPr>
          <w:rFonts w:ascii="Times New Roman" w:cs="Times New Roman" w:eastAsia="Times New Roman" w:hAnsi="Times New Roman"/>
          <w:sz w:val="21"/>
          <w:szCs w:val="21"/>
          <w:color w:val="auto"/>
        </w:rPr>
      </w:pPr>
    </w:p>
    <w:p>
      <w:pPr>
        <w:jc w:val="both"/>
        <w:ind w:left="1292" w:hanging="644"/>
        <w:spacing w:after="0" w:line="249" w:lineRule="auto"/>
        <w:tabs>
          <w:tab w:leader="none" w:pos="1245"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Total Shareholder Return</w:t>
      </w:r>
      <w:r>
        <w:rPr>
          <w:rFonts w:ascii="Times New Roman" w:cs="Times New Roman" w:eastAsia="Times New Roman" w:hAnsi="Times New Roman"/>
          <w:sz w:val="22"/>
          <w:szCs w:val="22"/>
          <w:color w:val="auto"/>
        </w:rPr>
        <w:t>” means, with respect to the Common Stock and the common stock of each of the members of the Peer Group, a rate of return reflecting stock price appreciation, plus the reinvestment of dividends in additional shares of stock, from the beginning of the Performance Period through the end of the Performance Period. For purposes of calculating Total Shareholder Return for each of the Company and the members of the Peer Group, the beginning stock price will be based on the average closing stock price for the 20 trading days immediately preceding January 1, 2025 on the principal stock exchange on which the stock is then traded and the ending stock price will be based on the average closing stock price for the 20 trading days immediately preceding January 1, 2028 on the principal stock exchange on which the stock then trades.</w:t>
      </w:r>
    </w:p>
    <w:p>
      <w:pPr>
        <w:spacing w:after="0" w:line="228" w:lineRule="exact"/>
        <w:rPr>
          <w:rFonts w:ascii="Times New Roman" w:cs="Times New Roman" w:eastAsia="Times New Roman" w:hAnsi="Times New Roman"/>
          <w:sz w:val="22"/>
          <w:szCs w:val="22"/>
          <w:color w:val="auto"/>
        </w:rPr>
      </w:pPr>
    </w:p>
    <w:p>
      <w:pPr>
        <w:ind w:left="-8" w:right="20" w:firstLine="8"/>
        <w:spacing w:after="0" w:line="271" w:lineRule="auto"/>
        <w:tabs>
          <w:tab w:leader="none" w:pos="39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EPS CAGR Performance Matrix</w:t>
      </w:r>
      <w:r>
        <w:rPr>
          <w:rFonts w:ascii="Times New Roman" w:cs="Times New Roman" w:eastAsia="Times New Roman" w:hAnsi="Times New Roman"/>
          <w:sz w:val="22"/>
          <w:szCs w:val="22"/>
          <w:color w:val="auto"/>
        </w:rPr>
        <w:t>. From 0% to 200% of the EPS CAGR PSUs will be initially earned based on achievement of the EPS CAGR performance goal during the Performance Period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32"/>
          </w:cols>
          <w:pgMar w:left="328" w:top="1422" w:right="339" w:bottom="1440" w:gutter="0" w:footer="0" w:header="0"/>
        </w:sectPr>
      </w:pPr>
    </w:p>
    <w:bookmarkStart w:id="59" w:name="page60"/>
    <w:bookmarkEnd w:id="59"/>
    <w:p>
      <w:pPr>
        <w:spacing w:after="0" w:line="3" w:lineRule="exact"/>
        <w:rPr>
          <w:sz w:val="20"/>
          <w:szCs w:val="20"/>
          <w:color w:val="auto"/>
        </w:rPr>
      </w:pPr>
    </w:p>
    <w:tbl>
      <w:tblPr>
        <w:tblLayout w:type="fixed"/>
        <w:tblInd w:w="1802" w:type="dxa"/>
        <w:tblCellMar>
          <w:top w:w="0" w:type="dxa"/>
          <w:left w:w="0" w:type="dxa"/>
          <w:bottom w:w="0" w:type="dxa"/>
          <w:right w:w="0" w:type="dxa"/>
        </w:tblCellMar>
      </w:tblPr>
      <w:tr>
        <w:trPr>
          <w:trHeight w:val="318"/>
        </w:trPr>
        <w:tc>
          <w:tcPr>
            <w:tcW w:w="2640" w:type="dxa"/>
            <w:vAlign w:val="bottom"/>
            <w:tcBorders>
              <w:top w:val="single" w:sz="8" w:color="auto"/>
              <w:left w:val="single" w:sz="8" w:color="auto"/>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22"/>
                <w:szCs w:val="22"/>
                <w:b w:val="1"/>
                <w:bCs w:val="1"/>
                <w:color w:val="auto"/>
              </w:rPr>
              <w:t>EPS CAGR %</w:t>
            </w:r>
          </w:p>
        </w:tc>
        <w:tc>
          <w:tcPr>
            <w:tcW w:w="2820" w:type="dxa"/>
            <w:vAlign w:val="bottom"/>
            <w:tcBorders>
              <w:top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2"/>
                <w:szCs w:val="22"/>
                <w:b w:val="1"/>
                <w:bCs w:val="1"/>
                <w:color w:val="auto"/>
              </w:rPr>
              <w:t>EPS CAGR PSUs Earned</w:t>
            </w:r>
          </w:p>
        </w:tc>
      </w:tr>
      <w:tr>
        <w:trPr>
          <w:trHeight w:val="304"/>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40.00%</w:t>
            </w:r>
          </w:p>
        </w:tc>
      </w:tr>
      <w:tr>
        <w:trPr>
          <w:trHeight w:val="304"/>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50.00%</w:t>
            </w:r>
          </w:p>
        </w:tc>
      </w:tr>
      <w:tr>
        <w:trPr>
          <w:trHeight w:val="304"/>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60.00%</w:t>
            </w:r>
          </w:p>
        </w:tc>
      </w:tr>
      <w:tr>
        <w:trPr>
          <w:trHeight w:val="304"/>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70.00%</w:t>
            </w:r>
          </w:p>
        </w:tc>
      </w:tr>
      <w:tr>
        <w:trPr>
          <w:trHeight w:val="304"/>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80.00%</w:t>
            </w:r>
          </w:p>
        </w:tc>
      </w:tr>
      <w:tr>
        <w:trPr>
          <w:trHeight w:val="304"/>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90.00%</w:t>
            </w:r>
          </w:p>
        </w:tc>
      </w:tr>
      <w:tr>
        <w:trPr>
          <w:trHeight w:val="304"/>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100.00%</w:t>
            </w:r>
          </w:p>
        </w:tc>
      </w:tr>
      <w:tr>
        <w:trPr>
          <w:trHeight w:val="304"/>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128.60%</w:t>
            </w:r>
          </w:p>
        </w:tc>
      </w:tr>
      <w:tr>
        <w:trPr>
          <w:trHeight w:val="304"/>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157.10%</w:t>
            </w:r>
          </w:p>
        </w:tc>
      </w:tr>
      <w:tr>
        <w:trPr>
          <w:trHeight w:val="304"/>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185.70%</w:t>
            </w:r>
          </w:p>
        </w:tc>
      </w:tr>
      <w:tr>
        <w:trPr>
          <w:trHeight w:val="304"/>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200.00%</w:t>
            </w:r>
          </w:p>
        </w:tc>
      </w:tr>
    </w:tbl>
    <w:p>
      <w:pPr>
        <w:spacing w:after="0" w:line="200" w:lineRule="exact"/>
        <w:rPr>
          <w:sz w:val="20"/>
          <w:szCs w:val="20"/>
          <w:color w:val="auto"/>
        </w:rPr>
      </w:pPr>
    </w:p>
    <w:p>
      <w:pPr>
        <w:spacing w:after="0" w:line="367" w:lineRule="exact"/>
        <w:rPr>
          <w:sz w:val="20"/>
          <w:szCs w:val="20"/>
          <w:color w:val="auto"/>
        </w:rPr>
      </w:pPr>
    </w:p>
    <w:p>
      <w:pPr>
        <w:jc w:val="both"/>
        <w:ind w:left="-8" w:firstLine="8"/>
        <w:spacing w:after="0" w:line="252" w:lineRule="auto"/>
        <w:tabs>
          <w:tab w:leader="none" w:pos="42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EPS CAGR PSUs Earned</w:t>
      </w:r>
      <w:r>
        <w:rPr>
          <w:rFonts w:ascii="Times New Roman" w:cs="Times New Roman" w:eastAsia="Times New Roman" w:hAnsi="Times New Roman"/>
          <w:sz w:val="22"/>
          <w:szCs w:val="22"/>
          <w:color w:val="auto"/>
        </w:rPr>
        <w:t>. Following the Performance Period, on the Determination Date, the Committee shall determine whether and to what extent the EPS CAGR performance goal has been satisfied for the Performance Period and shall determine the percentage of the EPS CAGR PSUs that shall become initially earned hereunder and under the Agreement (the “</w:t>
      </w:r>
      <w:r>
        <w:rPr>
          <w:rFonts w:ascii="Times New Roman" w:cs="Times New Roman" w:eastAsia="Times New Roman" w:hAnsi="Times New Roman"/>
          <w:sz w:val="22"/>
          <w:szCs w:val="22"/>
          <w:b w:val="1"/>
          <w:bCs w:val="1"/>
          <w:i w:val="1"/>
          <w:iCs w:val="1"/>
          <w:color w:val="auto"/>
        </w:rPr>
        <w:t>Initial EPS CAGR Percentage</w:t>
      </w:r>
      <w:r>
        <w:rPr>
          <w:rFonts w:ascii="Times New Roman" w:cs="Times New Roman" w:eastAsia="Times New Roman" w:hAnsi="Times New Roman"/>
          <w:sz w:val="22"/>
          <w:szCs w:val="22"/>
          <w:color w:val="auto"/>
        </w:rPr>
        <w:t xml:space="preserve">”), subject to modification pursuant to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on the basis of the following:</w:t>
      </w:r>
    </w:p>
    <w:p>
      <w:pPr>
        <w:spacing w:after="0" w:line="206" w:lineRule="exact"/>
        <w:rPr>
          <w:rFonts w:ascii="Times New Roman" w:cs="Times New Roman" w:eastAsia="Times New Roman" w:hAnsi="Times New Roman"/>
          <w:sz w:val="22"/>
          <w:szCs w:val="22"/>
          <w:color w:val="auto"/>
        </w:rPr>
      </w:pPr>
    </w:p>
    <w:p>
      <w:pPr>
        <w:ind w:left="1292" w:right="60" w:hanging="725"/>
        <w:spacing w:after="0" w:line="263" w:lineRule="auto"/>
        <w:tabs>
          <w:tab w:leader="none" w:pos="1079"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Below Threshold</w:t>
      </w:r>
      <w:r>
        <w:rPr>
          <w:rFonts w:ascii="Times New Roman" w:cs="Times New Roman" w:eastAsia="Times New Roman" w:hAnsi="Times New Roman"/>
          <w:sz w:val="22"/>
          <w:szCs w:val="22"/>
          <w:color w:val="auto"/>
        </w:rPr>
        <w:t>. If, upon the conclusion of the Performance Period, EPS CAGR for the Performance Period falls below the lowest EPS CAGR level set forth in the Performance Matrix, the Initial EPS CAGR Percentage shall be 0%.</w:t>
      </w:r>
    </w:p>
    <w:p>
      <w:pPr>
        <w:spacing w:after="0" w:line="194" w:lineRule="exact"/>
        <w:rPr>
          <w:rFonts w:ascii="Times New Roman" w:cs="Times New Roman" w:eastAsia="Times New Roman" w:hAnsi="Times New Roman"/>
          <w:sz w:val="22"/>
          <w:szCs w:val="22"/>
          <w:color w:val="auto"/>
        </w:rPr>
      </w:pPr>
    </w:p>
    <w:p>
      <w:pPr>
        <w:ind w:left="1292" w:hanging="644"/>
        <w:spacing w:after="0" w:line="251" w:lineRule="auto"/>
        <w:tabs>
          <w:tab w:leader="none" w:pos="1175"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Threshold or Above</w:t>
      </w:r>
      <w:r>
        <w:rPr>
          <w:rFonts w:ascii="Times New Roman" w:cs="Times New Roman" w:eastAsia="Times New Roman" w:hAnsi="Times New Roman"/>
          <w:sz w:val="22"/>
          <w:szCs w:val="22"/>
          <w:color w:val="auto"/>
        </w:rPr>
        <w:t>. If, upon the conclusion of the Performance Period, EPS CAGR for the Performance Period is exactly equal to one of the levels set forth in the Performance Matrix, the Initial EPS CAGR Percentage shall be equal to the percentage set forth opposite such level in the Performance Matrix. If, upon the conclusion of the Performance Period, EPS CAGR for the Performance Period falls between two levels set forth in the Performance Matrix, the Initial EPS CAGR Percentage shall be based on straight-line mathematical interpolation between the percentages applicable to such levels.</w:t>
      </w:r>
    </w:p>
    <w:p>
      <w:pPr>
        <w:spacing w:after="0" w:line="208" w:lineRule="exact"/>
        <w:rPr>
          <w:rFonts w:ascii="Times New Roman" w:cs="Times New Roman" w:eastAsia="Times New Roman" w:hAnsi="Times New Roman"/>
          <w:sz w:val="22"/>
          <w:szCs w:val="22"/>
          <w:color w:val="auto"/>
        </w:rPr>
      </w:pPr>
    </w:p>
    <w:p>
      <w:pPr>
        <w:ind w:left="-8" w:firstLine="8"/>
        <w:spacing w:after="0" w:line="271" w:lineRule="auto"/>
        <w:tabs>
          <w:tab w:leader="none" w:pos="37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RONA Performance Matrix</w:t>
      </w:r>
      <w:r>
        <w:rPr>
          <w:rFonts w:ascii="Times New Roman" w:cs="Times New Roman" w:eastAsia="Times New Roman" w:hAnsi="Times New Roman"/>
          <w:sz w:val="22"/>
          <w:szCs w:val="22"/>
          <w:color w:val="auto"/>
        </w:rPr>
        <w:t>. From 0% to 200% of the Cash RONA PSUs will be initially earned based on achievement of the Cash RONA performance goal during the 2027 fiscal year as follows:</w:t>
      </w:r>
    </w:p>
    <w:p>
      <w:pPr>
        <w:spacing w:after="0" w:line="206" w:lineRule="exact"/>
        <w:rPr>
          <w:sz w:val="20"/>
          <w:szCs w:val="20"/>
          <w:color w:val="auto"/>
        </w:rPr>
      </w:pPr>
    </w:p>
    <w:tbl>
      <w:tblPr>
        <w:tblLayout w:type="fixed"/>
        <w:tblInd w:w="1802" w:type="dxa"/>
        <w:tblCellMar>
          <w:top w:w="0" w:type="dxa"/>
          <w:left w:w="0" w:type="dxa"/>
          <w:bottom w:w="0" w:type="dxa"/>
          <w:right w:w="0" w:type="dxa"/>
        </w:tblCellMar>
      </w:tblPr>
      <w:tr>
        <w:trPr>
          <w:trHeight w:val="293"/>
        </w:trPr>
        <w:tc>
          <w:tcPr>
            <w:tcW w:w="26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2027 Fiscal Year Cash</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Initial Cash RONA</w:t>
            </w:r>
          </w:p>
        </w:tc>
      </w:tr>
      <w:tr>
        <w:trPr>
          <w:trHeight w:val="287"/>
        </w:trPr>
        <w:tc>
          <w:tcPr>
            <w:tcW w:w="2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RONA</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Percentage</w:t>
            </w:r>
          </w:p>
        </w:tc>
      </w:tr>
      <w:tr>
        <w:trPr>
          <w:trHeight w:val="298"/>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40.0%</w:t>
            </w:r>
          </w:p>
        </w:tc>
      </w:tr>
      <w:tr>
        <w:trPr>
          <w:trHeight w:val="304"/>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32"/>
          </w:cols>
          <w:pgMar w:left="328" w:top="1440" w:right="339" w:bottom="1440" w:gutter="0" w:footer="0" w:header="0"/>
        </w:sectPr>
      </w:pPr>
    </w:p>
    <w:bookmarkStart w:id="60" w:name="page61"/>
    <w:bookmarkEnd w:id="60"/>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1348105</wp:posOffset>
            </wp:positionH>
            <wp:positionV relativeFrom="page">
              <wp:posOffset>929005</wp:posOffset>
            </wp:positionV>
            <wp:extent cx="3463290" cy="1036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463290" cy="103695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22"/>
          <w:szCs w:val="22"/>
          <w:color w:val="auto"/>
        </w:rPr>
        <w:t>80.0%</w:t>
      </w:r>
    </w:p>
    <w:p>
      <w:pPr>
        <w:spacing w:after="0" w:line="7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100.0%</w:t>
      </w:r>
    </w:p>
    <w:p>
      <w:pPr>
        <w:spacing w:after="0" w:line="7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133.3%</w:t>
      </w:r>
    </w:p>
    <w:p>
      <w:pPr>
        <w:spacing w:after="0" w:line="7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166.7%</w:t>
      </w:r>
    </w:p>
    <w:p>
      <w:pPr>
        <w:spacing w:after="0" w:line="7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200.0%</w:t>
      </w:r>
    </w:p>
    <w:p>
      <w:pPr>
        <w:spacing w:after="0" w:line="382" w:lineRule="exact"/>
        <w:rPr>
          <w:sz w:val="20"/>
          <w:szCs w:val="20"/>
          <w:color w:val="auto"/>
        </w:rPr>
      </w:pPr>
    </w:p>
    <w:p>
      <w:pPr>
        <w:jc w:val="both"/>
        <w:ind w:firstLine="8"/>
        <w:spacing w:after="0" w:line="252" w:lineRule="auto"/>
        <w:tabs>
          <w:tab w:leader="none" w:pos="41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Cash RONA PSUs Earned</w:t>
      </w:r>
      <w:r>
        <w:rPr>
          <w:rFonts w:ascii="Times New Roman" w:cs="Times New Roman" w:eastAsia="Times New Roman" w:hAnsi="Times New Roman"/>
          <w:sz w:val="22"/>
          <w:szCs w:val="22"/>
          <w:color w:val="auto"/>
        </w:rPr>
        <w:t>. Following the Performance Period, on the Determination Date, the Committee shall determine whether and to what extent the Cash RONA performance goal has been satisfied for the 2027 fiscal year and shall determine the percentage of the Cash RONA PSUs that shall become initially earned hereunder and under the Agreement (the “</w:t>
      </w:r>
      <w:r>
        <w:rPr>
          <w:rFonts w:ascii="Times New Roman" w:cs="Times New Roman" w:eastAsia="Times New Roman" w:hAnsi="Times New Roman"/>
          <w:sz w:val="22"/>
          <w:szCs w:val="22"/>
          <w:b w:val="1"/>
          <w:bCs w:val="1"/>
          <w:i w:val="1"/>
          <w:iCs w:val="1"/>
          <w:color w:val="auto"/>
        </w:rPr>
        <w:t>Initial Cash RONA Percentage</w:t>
      </w:r>
      <w:r>
        <w:rPr>
          <w:rFonts w:ascii="Times New Roman" w:cs="Times New Roman" w:eastAsia="Times New Roman" w:hAnsi="Times New Roman"/>
          <w:sz w:val="22"/>
          <w:szCs w:val="22"/>
          <w:color w:val="auto"/>
        </w:rPr>
        <w:t xml:space="preserve">”), subject to modification pursuant to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on the basis of the following:</w:t>
      </w:r>
    </w:p>
    <w:p>
      <w:pPr>
        <w:spacing w:after="0" w:line="206" w:lineRule="exact"/>
        <w:rPr>
          <w:rFonts w:ascii="Times New Roman" w:cs="Times New Roman" w:eastAsia="Times New Roman" w:hAnsi="Times New Roman"/>
          <w:sz w:val="22"/>
          <w:szCs w:val="22"/>
          <w:color w:val="auto"/>
        </w:rPr>
      </w:pPr>
    </w:p>
    <w:p>
      <w:pPr>
        <w:ind w:left="1300" w:hanging="725"/>
        <w:spacing w:after="0" w:line="263" w:lineRule="auto"/>
        <w:tabs>
          <w:tab w:leader="none" w:pos="1181"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Below Threshold</w:t>
      </w:r>
      <w:r>
        <w:rPr>
          <w:rFonts w:ascii="Times New Roman" w:cs="Times New Roman" w:eastAsia="Times New Roman" w:hAnsi="Times New Roman"/>
          <w:sz w:val="22"/>
          <w:szCs w:val="22"/>
          <w:color w:val="auto"/>
        </w:rPr>
        <w:t>. If, upon the conclusion of the Performance Period, Cash RONA for the 2027 fiscal year falls below the lowest Cash RONA level set forth in the Performance Matrix, the Initial Cash RONA Percentage shall be 0%.</w:t>
      </w:r>
    </w:p>
    <w:p>
      <w:pPr>
        <w:spacing w:after="0" w:line="194" w:lineRule="exact"/>
        <w:rPr>
          <w:rFonts w:ascii="Times New Roman" w:cs="Times New Roman" w:eastAsia="Times New Roman" w:hAnsi="Times New Roman"/>
          <w:sz w:val="22"/>
          <w:szCs w:val="22"/>
          <w:color w:val="auto"/>
        </w:rPr>
      </w:pPr>
    </w:p>
    <w:p>
      <w:pPr>
        <w:jc w:val="both"/>
        <w:ind w:left="1300" w:hanging="644"/>
        <w:spacing w:after="0" w:line="251" w:lineRule="auto"/>
        <w:tabs>
          <w:tab w:leader="none" w:pos="1237"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Threshold or Above</w:t>
      </w:r>
      <w:r>
        <w:rPr>
          <w:rFonts w:ascii="Times New Roman" w:cs="Times New Roman" w:eastAsia="Times New Roman" w:hAnsi="Times New Roman"/>
          <w:sz w:val="22"/>
          <w:szCs w:val="22"/>
          <w:color w:val="auto"/>
        </w:rPr>
        <w:t>. If, upon the conclusion of the Performance Period, Cash RONA for the 2027 fiscal year is exactly equal to one of the levels set forth in the Performance Matrix, the Initial Cash RONA Percentage shall be equal to the percentage set forth opposite such level in the Performance Matrix. If, upon the conclusion of the Performance Period, Cash RONA for the 2027 fiscal year falls between two levels set forth in the Performance Matrix, the Initial Cash RONA Percentage shall be based on straight-line mathematical interpolation between the percentages applicable to such levels.</w:t>
      </w:r>
    </w:p>
    <w:p>
      <w:pPr>
        <w:spacing w:after="0" w:line="208" w:lineRule="exact"/>
        <w:rPr>
          <w:rFonts w:ascii="Times New Roman" w:cs="Times New Roman" w:eastAsia="Times New Roman" w:hAnsi="Times New Roman"/>
          <w:sz w:val="22"/>
          <w:szCs w:val="22"/>
          <w:color w:val="auto"/>
        </w:rPr>
      </w:pPr>
    </w:p>
    <w:p>
      <w:pPr>
        <w:jc w:val="both"/>
        <w:ind w:right="20" w:firstLine="8"/>
        <w:spacing w:after="0" w:line="257" w:lineRule="auto"/>
        <w:tabs>
          <w:tab w:leader="none" w:pos="44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RTSR Modifier Performance Matrix</w:t>
      </w:r>
      <w:r>
        <w:rPr>
          <w:rFonts w:ascii="Times New Roman" w:cs="Times New Roman" w:eastAsia="Times New Roman" w:hAnsi="Times New Roman"/>
          <w:sz w:val="22"/>
          <w:szCs w:val="22"/>
          <w:color w:val="auto"/>
        </w:rPr>
        <w:t>. Following the Performance Period, on the Determination Date, the Committee shall determine whether and to what extent the RTSR performance goal has been satisfied for the Performance Period and shall determine a percentage modifier (the “</w:t>
      </w:r>
      <w:r>
        <w:rPr>
          <w:rFonts w:ascii="Times New Roman" w:cs="Times New Roman" w:eastAsia="Times New Roman" w:hAnsi="Times New Roman"/>
          <w:sz w:val="22"/>
          <w:szCs w:val="22"/>
          <w:b w:val="1"/>
          <w:bCs w:val="1"/>
          <w:i w:val="1"/>
          <w:iCs w:val="1"/>
          <w:color w:val="auto"/>
        </w:rPr>
        <w:t>RTSR Percentage Modifier</w:t>
      </w:r>
      <w:r>
        <w:rPr>
          <w:rFonts w:ascii="Times New Roman" w:cs="Times New Roman" w:eastAsia="Times New Roman" w:hAnsi="Times New Roman"/>
          <w:sz w:val="22"/>
          <w:szCs w:val="22"/>
          <w:color w:val="auto"/>
        </w:rPr>
        <w:t>”) in accordance with the following table:</w:t>
      </w:r>
    </w:p>
    <w:p>
      <w:pPr>
        <w:spacing w:after="0" w:line="234" w:lineRule="exact"/>
        <w:rPr>
          <w:sz w:val="20"/>
          <w:szCs w:val="20"/>
          <w:color w:val="auto"/>
        </w:rPr>
      </w:pPr>
    </w:p>
    <w:tbl>
      <w:tblPr>
        <w:tblLayout w:type="fixed"/>
        <w:tblInd w:w="770" w:type="dxa"/>
        <w:tblCellMar>
          <w:top w:w="0" w:type="dxa"/>
          <w:left w:w="0" w:type="dxa"/>
          <w:bottom w:w="0" w:type="dxa"/>
          <w:right w:w="0" w:type="dxa"/>
        </w:tblCellMar>
      </w:tblPr>
      <w:tr>
        <w:trPr>
          <w:trHeight w:val="318"/>
        </w:trPr>
        <w:tc>
          <w:tcPr>
            <w:tcW w:w="474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Relative Total Shareholder Return</w:t>
            </w:r>
          </w:p>
        </w:tc>
        <w:tc>
          <w:tcPr>
            <w:tcW w:w="4820" w:type="dxa"/>
            <w:vAlign w:val="bottom"/>
            <w:tcBorders>
              <w:top w:val="single" w:sz="8" w:color="auto"/>
              <w:bottom w:val="single" w:sz="8" w:color="auto"/>
              <w:right w:val="single" w:sz="8" w:color="auto"/>
            </w:tcBorders>
            <w:shd w:val="clear" w:color="auto" w:fill="BFBFBF"/>
          </w:tcPr>
          <w:p>
            <w:pPr>
              <w:ind w:left="1160"/>
              <w:spacing w:after="0"/>
              <w:rPr>
                <w:sz w:val="20"/>
                <w:szCs w:val="20"/>
                <w:color w:val="auto"/>
              </w:rPr>
            </w:pPr>
            <w:r>
              <w:rPr>
                <w:rFonts w:ascii="Times New Roman" w:cs="Times New Roman" w:eastAsia="Times New Roman" w:hAnsi="Times New Roman"/>
                <w:sz w:val="22"/>
                <w:szCs w:val="22"/>
                <w:b w:val="1"/>
                <w:bCs w:val="1"/>
                <w:color w:val="auto"/>
              </w:rPr>
              <w:t>RTSR Percentage Modifier</w:t>
            </w:r>
          </w:p>
        </w:tc>
      </w:tr>
      <w:tr>
        <w:trPr>
          <w:trHeight w:val="310"/>
        </w:trPr>
        <w:tc>
          <w:tcPr>
            <w:tcW w:w="4740" w:type="dxa"/>
            <w:vAlign w:val="bottom"/>
            <w:tcBorders>
              <w:left w:val="single" w:sz="8" w:color="auto"/>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2"/>
                <w:szCs w:val="22"/>
                <w:color w:val="auto"/>
                <w:w w:val="97"/>
              </w:rPr>
              <w:t>Ranked below or at 25</w:t>
            </w:r>
            <w:r>
              <w:rPr>
                <w:rFonts w:ascii="Times New Roman" w:cs="Times New Roman" w:eastAsia="Times New Roman" w:hAnsi="Times New Roman"/>
                <w:sz w:val="28"/>
                <w:szCs w:val="28"/>
                <w:color w:val="auto"/>
                <w:w w:val="97"/>
                <w:vertAlign w:val="superscript"/>
              </w:rPr>
              <w:t>th</w:t>
            </w:r>
            <w:r>
              <w:rPr>
                <w:rFonts w:ascii="Times New Roman" w:cs="Times New Roman" w:eastAsia="Times New Roman" w:hAnsi="Times New Roman"/>
                <w:sz w:val="22"/>
                <w:szCs w:val="22"/>
                <w:color w:val="auto"/>
                <w:w w:val="97"/>
              </w:rPr>
              <w:t xml:space="preserve"> percentile</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75%</w:t>
            </w:r>
          </w:p>
        </w:tc>
      </w:tr>
      <w:tr>
        <w:trPr>
          <w:trHeight w:val="263"/>
        </w:trPr>
        <w:tc>
          <w:tcPr>
            <w:tcW w:w="47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2"/>
                <w:szCs w:val="22"/>
                <w:color w:val="auto"/>
                <w:w w:val="96"/>
              </w:rPr>
              <w:t>Ranked above 25</w:t>
            </w:r>
            <w:r>
              <w:rPr>
                <w:rFonts w:ascii="Times New Roman" w:cs="Times New Roman" w:eastAsia="Times New Roman" w:hAnsi="Times New Roman"/>
                <w:sz w:val="28"/>
                <w:szCs w:val="28"/>
                <w:color w:val="auto"/>
                <w:w w:val="96"/>
                <w:vertAlign w:val="superscript"/>
              </w:rPr>
              <w:t>th</w:t>
            </w:r>
            <w:r>
              <w:rPr>
                <w:rFonts w:ascii="Times New Roman" w:cs="Times New Roman" w:eastAsia="Times New Roman" w:hAnsi="Times New Roman"/>
                <w:sz w:val="22"/>
                <w:szCs w:val="22"/>
                <w:color w:val="auto"/>
                <w:w w:val="96"/>
              </w:rPr>
              <w:t xml:space="preserve"> percentile but below 75</w:t>
            </w:r>
            <w:r>
              <w:rPr>
                <w:rFonts w:ascii="Times New Roman" w:cs="Times New Roman" w:eastAsia="Times New Roman" w:hAnsi="Times New Roman"/>
                <w:sz w:val="28"/>
                <w:szCs w:val="28"/>
                <w:color w:val="auto"/>
                <w:w w:val="96"/>
                <w:vertAlign w:val="superscript"/>
              </w:rPr>
              <w:t>th</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r>
      <w:tr>
        <w:trPr>
          <w:trHeight w:val="291"/>
        </w:trPr>
        <w:tc>
          <w:tcPr>
            <w:tcW w:w="4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percentile</w:t>
            </w:r>
          </w:p>
        </w:tc>
        <w:tc>
          <w:tcPr>
            <w:tcW w:w="4820" w:type="dxa"/>
            <w:vAlign w:val="bottom"/>
            <w:tcBorders>
              <w:bottom w:val="single" w:sz="8" w:color="auto"/>
              <w:right w:val="single" w:sz="8" w:color="auto"/>
            </w:tcBorders>
          </w:tcPr>
          <w:p>
            <w:pPr>
              <w:spacing w:after="0"/>
              <w:rPr>
                <w:sz w:val="24"/>
                <w:szCs w:val="24"/>
                <w:color w:val="auto"/>
              </w:rPr>
            </w:pPr>
          </w:p>
        </w:tc>
      </w:tr>
      <w:tr>
        <w:trPr>
          <w:trHeight w:val="310"/>
        </w:trPr>
        <w:tc>
          <w:tcPr>
            <w:tcW w:w="4740" w:type="dxa"/>
            <w:vAlign w:val="bottom"/>
            <w:tcBorders>
              <w:left w:val="single" w:sz="8" w:color="auto"/>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2"/>
                <w:szCs w:val="22"/>
                <w:color w:val="auto"/>
                <w:w w:val="96"/>
              </w:rPr>
              <w:t>Ranked at or above 75</w:t>
            </w:r>
            <w:r>
              <w:rPr>
                <w:rFonts w:ascii="Times New Roman" w:cs="Times New Roman" w:eastAsia="Times New Roman" w:hAnsi="Times New Roman"/>
                <w:sz w:val="28"/>
                <w:szCs w:val="28"/>
                <w:color w:val="auto"/>
                <w:w w:val="96"/>
                <w:vertAlign w:val="superscript"/>
              </w:rPr>
              <w:t>th</w:t>
            </w:r>
            <w:r>
              <w:rPr>
                <w:rFonts w:ascii="Times New Roman" w:cs="Times New Roman" w:eastAsia="Times New Roman" w:hAnsi="Times New Roman"/>
                <w:sz w:val="22"/>
                <w:szCs w:val="22"/>
                <w:color w:val="auto"/>
                <w:w w:val="96"/>
              </w:rPr>
              <w:t xml:space="preserve"> percentile</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125%</w:t>
            </w:r>
          </w:p>
        </w:tc>
      </w:tr>
    </w:tbl>
    <w:p>
      <w:pPr>
        <w:spacing w:after="0" w:line="31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2"/>
          <w:szCs w:val="22"/>
          <w:color w:val="auto"/>
        </w:rPr>
        <w:t>If, upon the conclusion of the Performance Period, RTSR performance for the Performance Period falls below the lowest RTSR performance level set forth in the Performance Matrix, the RTSR Percentage Modifier for the Performance Period will be 75%. If, upon the conclusion of the Performance Period, RTSR performance for the Performance Period is exactly equal to one of the levels set forth in the Performance Matrix, the RTSR Percentage Modifier for the Performance Period shall be equal to the percentage set forth opposite such level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40"/>
          </w:cols>
          <w:pgMar w:left="320" w:top="1440" w:right="339" w:bottom="1440" w:gutter="0" w:footer="0" w:header="0"/>
        </w:sectPr>
      </w:pPr>
    </w:p>
    <w:bookmarkStart w:id="61" w:name="page62"/>
    <w:bookmarkEnd w:id="61"/>
    <w:p>
      <w:pPr>
        <w:jc w:val="both"/>
        <w:spacing w:after="0" w:line="257" w:lineRule="auto"/>
        <w:rPr>
          <w:sz w:val="20"/>
          <w:szCs w:val="20"/>
          <w:color w:val="auto"/>
        </w:rPr>
      </w:pPr>
      <w:r>
        <w:rPr>
          <w:rFonts w:ascii="Times New Roman" w:cs="Times New Roman" w:eastAsia="Times New Roman" w:hAnsi="Times New Roman"/>
          <w:sz w:val="22"/>
          <w:szCs w:val="22"/>
          <w:color w:val="auto"/>
        </w:rPr>
        <w:t>Performance Matrix. If, upon the conclusion of the Performance Period, RTSR performance for the Performance Period falls between two levels set forth in the Performance Matrix, the RTSR Percentage Modifier for the Performance Period shall be 100%.</w:t>
      </w:r>
    </w:p>
    <w:p>
      <w:pPr>
        <w:spacing w:after="0" w:line="213" w:lineRule="exact"/>
        <w:rPr>
          <w:sz w:val="20"/>
          <w:szCs w:val="20"/>
          <w:color w:val="auto"/>
        </w:rPr>
      </w:pPr>
    </w:p>
    <w:p>
      <w:pPr>
        <w:jc w:val="both"/>
        <w:ind w:firstLine="8"/>
        <w:spacing w:after="0" w:line="257" w:lineRule="auto"/>
        <w:tabs>
          <w:tab w:leader="none" w:pos="52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Total Number of PSUs Earned</w:t>
      </w:r>
      <w:r>
        <w:rPr>
          <w:rFonts w:ascii="Times New Roman" w:cs="Times New Roman" w:eastAsia="Times New Roman" w:hAnsi="Times New Roman"/>
          <w:sz w:val="22"/>
          <w:szCs w:val="22"/>
          <w:color w:val="auto"/>
        </w:rPr>
        <w:t xml:space="preserve">. The total number of PSUs earned shall be a percentage of the PSUs (rounded down to the nearest whole number of PSUs) equal to the product of (A) 50% of the sum of the Initial EPS CAGR Percentage and the Initial Cash RONA Percentage,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(B) the RTSR Percentage Modifier.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ILLUSTRATIVE EXAMPLE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illustration only, assume that:</w:t>
      </w:r>
    </w:p>
    <w:p>
      <w:pPr>
        <w:spacing w:after="0" w:line="29" w:lineRule="exact"/>
        <w:rPr>
          <w:sz w:val="20"/>
          <w:szCs w:val="20"/>
          <w:color w:val="auto"/>
        </w:rPr>
      </w:pPr>
    </w:p>
    <w:p>
      <w:pPr>
        <w:ind w:left="360" w:hanging="136"/>
        <w:spacing w:after="0"/>
        <w:tabs>
          <w:tab w:leader="none" w:pos="3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EPS CAGR Percentage is 50%;</w:t>
      </w:r>
    </w:p>
    <w:p>
      <w:pPr>
        <w:spacing w:after="0" w:line="15"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Cash RONA Percentage is 100%; and</w:t>
      </w:r>
    </w:p>
    <w:p>
      <w:pPr>
        <w:spacing w:after="0" w:line="3"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RTSR Percentage Modifier is 125%.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In such case, </w:t>
      </w:r>
      <w:r>
        <w:rPr>
          <w:rFonts w:ascii="Times New Roman" w:cs="Times New Roman" w:eastAsia="Times New Roman" w:hAnsi="Times New Roman"/>
          <w:sz w:val="22"/>
          <w:szCs w:val="22"/>
          <w:b w:val="1"/>
          <w:bCs w:val="1"/>
          <w:u w:val="single" w:color="auto"/>
          <w:color w:val="auto"/>
        </w:rPr>
        <w:t>93.75%</w:t>
      </w:r>
      <w:r>
        <w:rPr>
          <w:rFonts w:ascii="Times New Roman" w:cs="Times New Roman" w:eastAsia="Times New Roman" w:hAnsi="Times New Roman"/>
          <w:sz w:val="22"/>
          <w:szCs w:val="22"/>
          <w:color w:val="auto"/>
        </w:rPr>
        <w:t xml:space="preserve"> of the PSUs would be earned, calculated as follows: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(50% + 100%)</w:t>
      </w:r>
    </w:p>
    <w:p>
      <w:pPr>
        <w:spacing w:after="0" w:line="28" w:lineRule="exact"/>
        <w:rPr>
          <w:sz w:val="20"/>
          <w:szCs w:val="20"/>
          <w:color w:val="auto"/>
        </w:rPr>
      </w:pPr>
    </w:p>
    <w:p>
      <w:pPr>
        <w:ind w:left="380" w:hanging="372"/>
        <w:spacing w:after="0"/>
        <w:tabs>
          <w:tab w:leader="none" w:pos="3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125% = 93.75%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240"/>
          </w:cols>
          <w:pgMar w:left="320" w:top="1422" w:right="339" w:bottom="1440" w:gutter="0" w:footer="0" w:header="0"/>
        </w:sectPr>
      </w:pPr>
    </w:p>
    <w:bookmarkStart w:id="62" w:name="page63"/>
    <w:bookmarkEnd w:id="62"/>
    <w:p>
      <w:pPr>
        <w:jc w:val="right"/>
        <w:ind w:right="4019"/>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9959"/>
          </w:cols>
          <w:pgMar w:left="500" w:top="1418" w:right="1440" w:bottom="1440" w:gutter="0" w:footer="0" w:header="0"/>
        </w:sectPr>
      </w:pPr>
    </w:p>
    <w:bookmarkStart w:id="63" w:name="page64"/>
    <w:bookmarkEnd w:id="63"/>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2840" w:type="dxa"/>
            <w:vAlign w:val="bottom"/>
            <w:tcBorders>
              <w:left w:val="single" w:sz="8" w:color="1F497D"/>
              <w:right w:val="single" w:sz="8" w:color="1F497D"/>
            </w:tcBorders>
            <w:shd w:val="clear" w:color="auto" w:fill="1F497D"/>
          </w:tcPr>
          <w:p>
            <w:pPr>
              <w:spacing w:after="0"/>
              <w:rPr>
                <w:sz w:val="22"/>
                <w:szCs w:val="22"/>
                <w:color w:val="auto"/>
              </w:rPr>
            </w:pPr>
          </w:p>
        </w:tc>
        <w:tc>
          <w:tcPr>
            <w:tcW w:w="960" w:type="dxa"/>
            <w:vAlign w:val="bottom"/>
            <w:tcBorders>
              <w:right w:val="single" w:sz="8" w:color="1F497D"/>
            </w:tcBorders>
            <w:shd w:val="clear" w:color="auto" w:fill="1F497D"/>
          </w:tcPr>
          <w:p>
            <w:pPr>
              <w:spacing w:after="0"/>
              <w:rPr>
                <w:sz w:val="22"/>
                <w:szCs w:val="22"/>
                <w:color w:val="auto"/>
              </w:rPr>
            </w:pPr>
          </w:p>
        </w:tc>
        <w:tc>
          <w:tcPr>
            <w:tcW w:w="3740" w:type="dxa"/>
            <w:vAlign w:val="bottom"/>
            <w:tcBorders>
              <w:right w:val="single" w:sz="8" w:color="1F497D"/>
            </w:tcBorders>
            <w:gridSpan w:val="2"/>
            <w:shd w:val="clear" w:color="auto" w:fill="1F497D"/>
          </w:tcPr>
          <w:p>
            <w:pPr>
              <w:spacing w:after="0"/>
              <w:rPr>
                <w:sz w:val="20"/>
                <w:szCs w:val="20"/>
                <w:color w:val="auto"/>
              </w:rPr>
            </w:pPr>
            <w:r>
              <w:rPr>
                <w:rFonts w:ascii="Times New Roman" w:cs="Times New Roman" w:eastAsia="Times New Roman" w:hAnsi="Times New Roman"/>
                <w:sz w:val="18"/>
                <w:szCs w:val="18"/>
                <w:b w:val="1"/>
                <w:bCs w:val="1"/>
                <w:color w:val="FFFFFF"/>
                <w:w w:val="98"/>
              </w:rPr>
              <w:t>S&amp;P SmallCap 600 Industrials (January 1, 2025)</w:t>
            </w:r>
          </w:p>
        </w:tc>
        <w:tc>
          <w:tcPr>
            <w:tcW w:w="2660" w:type="dxa"/>
            <w:vAlign w:val="bottom"/>
            <w:tcBorders>
              <w:right w:val="single" w:sz="8" w:color="1F497D"/>
            </w:tcBorders>
            <w:shd w:val="clear" w:color="auto" w:fill="1F497D"/>
          </w:tcPr>
          <w:p>
            <w:pPr>
              <w:spacing w:after="0"/>
              <w:rPr>
                <w:sz w:val="22"/>
                <w:szCs w:val="22"/>
                <w:color w:val="auto"/>
              </w:rPr>
            </w:pPr>
          </w:p>
        </w:tc>
        <w:tc>
          <w:tcPr>
            <w:tcW w:w="1040" w:type="dxa"/>
            <w:vAlign w:val="bottom"/>
            <w:shd w:val="clear" w:color="auto" w:fill="1F497D"/>
          </w:tcPr>
          <w:p>
            <w:pPr>
              <w:spacing w:after="0"/>
              <w:rPr>
                <w:sz w:val="22"/>
                <w:szCs w:val="22"/>
                <w:color w:val="auto"/>
              </w:rPr>
            </w:pPr>
          </w:p>
        </w:tc>
        <w:tc>
          <w:tcPr>
            <w:tcW w:w="20" w:type="dxa"/>
            <w:vAlign w:val="bottom"/>
          </w:tcPr>
          <w:p>
            <w:pPr>
              <w:spacing w:after="0"/>
              <w:rPr>
                <w:sz w:val="22"/>
                <w:szCs w:val="22"/>
                <w:color w:val="auto"/>
              </w:rPr>
            </w:pPr>
          </w:p>
        </w:tc>
      </w:tr>
      <w:tr>
        <w:trPr>
          <w:trHeight w:val="262"/>
        </w:trPr>
        <w:tc>
          <w:tcPr>
            <w:tcW w:w="2840" w:type="dxa"/>
            <w:vAlign w:val="bottom"/>
            <w:tcBorders>
              <w:left w:val="single" w:sz="8" w:color="1F497D"/>
              <w:bottom w:val="single" w:sz="8" w:color="1F497D"/>
              <w:right w:val="single" w:sz="8" w:color="1F497D"/>
            </w:tcBorders>
            <w:shd w:val="clear" w:color="auto" w:fill="1F497D"/>
          </w:tcPr>
          <w:p>
            <w:pPr>
              <w:ind w:left="80"/>
              <w:spacing w:after="0"/>
              <w:rPr>
                <w:sz w:val="20"/>
                <w:szCs w:val="20"/>
                <w:color w:val="auto"/>
              </w:rPr>
            </w:pPr>
            <w:r>
              <w:rPr>
                <w:rFonts w:ascii="Times New Roman" w:cs="Times New Roman" w:eastAsia="Times New Roman" w:hAnsi="Times New Roman"/>
                <w:sz w:val="18"/>
                <w:szCs w:val="18"/>
                <w:b w:val="1"/>
                <w:bCs w:val="1"/>
                <w:color w:val="FFFFFF"/>
              </w:rPr>
              <w:t>Company Name</w:t>
            </w:r>
          </w:p>
        </w:tc>
        <w:tc>
          <w:tcPr>
            <w:tcW w:w="960" w:type="dxa"/>
            <w:vAlign w:val="bottom"/>
            <w:tcBorders>
              <w:bottom w:val="single" w:sz="8" w:color="1F497D"/>
              <w:right w:val="single" w:sz="8" w:color="1F497D"/>
            </w:tcBorders>
            <w:shd w:val="clear" w:color="auto" w:fill="1F497D"/>
          </w:tcPr>
          <w:p>
            <w:pPr>
              <w:ind w:left="380"/>
              <w:spacing w:after="0"/>
              <w:rPr>
                <w:sz w:val="20"/>
                <w:szCs w:val="20"/>
                <w:color w:val="auto"/>
              </w:rPr>
            </w:pPr>
            <w:r>
              <w:rPr>
                <w:rFonts w:ascii="Times New Roman" w:cs="Times New Roman" w:eastAsia="Times New Roman" w:hAnsi="Times New Roman"/>
                <w:sz w:val="18"/>
                <w:szCs w:val="18"/>
                <w:b w:val="1"/>
                <w:bCs w:val="1"/>
                <w:color w:val="FFFFFF"/>
              </w:rPr>
              <w:t>Ticker</w:t>
            </w:r>
          </w:p>
        </w:tc>
        <w:tc>
          <w:tcPr>
            <w:tcW w:w="2780" w:type="dxa"/>
            <w:vAlign w:val="bottom"/>
            <w:tcBorders>
              <w:bottom w:val="single" w:sz="8" w:color="1F497D"/>
              <w:right w:val="single" w:sz="8" w:color="1F497D"/>
            </w:tcBorders>
            <w:shd w:val="clear" w:color="auto" w:fill="1F497D"/>
          </w:tcPr>
          <w:p>
            <w:pPr>
              <w:ind w:left="420"/>
              <w:spacing w:after="0"/>
              <w:rPr>
                <w:sz w:val="20"/>
                <w:szCs w:val="20"/>
                <w:color w:val="auto"/>
              </w:rPr>
            </w:pPr>
            <w:r>
              <w:rPr>
                <w:rFonts w:ascii="Times New Roman" w:cs="Times New Roman" w:eastAsia="Times New Roman" w:hAnsi="Times New Roman"/>
                <w:sz w:val="18"/>
                <w:szCs w:val="18"/>
                <w:b w:val="1"/>
                <w:bCs w:val="1"/>
                <w:color w:val="FFFFFF"/>
              </w:rPr>
              <w:t>Company Name</w:t>
            </w:r>
          </w:p>
        </w:tc>
        <w:tc>
          <w:tcPr>
            <w:tcW w:w="960" w:type="dxa"/>
            <w:vAlign w:val="bottom"/>
            <w:tcBorders>
              <w:bottom w:val="single" w:sz="8" w:color="1F497D"/>
              <w:right w:val="single" w:sz="8" w:color="1F497D"/>
            </w:tcBorders>
            <w:shd w:val="clear" w:color="auto" w:fill="1F497D"/>
          </w:tcPr>
          <w:p>
            <w:pPr>
              <w:jc w:val="center"/>
              <w:spacing w:after="0"/>
              <w:rPr>
                <w:sz w:val="20"/>
                <w:szCs w:val="20"/>
                <w:color w:val="auto"/>
              </w:rPr>
            </w:pPr>
            <w:r>
              <w:rPr>
                <w:rFonts w:ascii="Times New Roman" w:cs="Times New Roman" w:eastAsia="Times New Roman" w:hAnsi="Times New Roman"/>
                <w:sz w:val="18"/>
                <w:szCs w:val="18"/>
                <w:b w:val="1"/>
                <w:bCs w:val="1"/>
                <w:color w:val="FFFFFF"/>
              </w:rPr>
              <w:t>Ticker</w:t>
            </w:r>
          </w:p>
        </w:tc>
        <w:tc>
          <w:tcPr>
            <w:tcW w:w="2660" w:type="dxa"/>
            <w:vAlign w:val="bottom"/>
            <w:tcBorders>
              <w:bottom w:val="single" w:sz="8" w:color="1F497D"/>
              <w:right w:val="single" w:sz="8" w:color="1F497D"/>
            </w:tcBorders>
            <w:shd w:val="clear" w:color="auto" w:fill="1F497D"/>
          </w:tcPr>
          <w:p>
            <w:pPr>
              <w:ind w:left="60"/>
              <w:spacing w:after="0"/>
              <w:rPr>
                <w:sz w:val="20"/>
                <w:szCs w:val="20"/>
                <w:color w:val="auto"/>
              </w:rPr>
            </w:pPr>
            <w:r>
              <w:rPr>
                <w:rFonts w:ascii="Times New Roman" w:cs="Times New Roman" w:eastAsia="Times New Roman" w:hAnsi="Times New Roman"/>
                <w:sz w:val="18"/>
                <w:szCs w:val="18"/>
                <w:b w:val="1"/>
                <w:bCs w:val="1"/>
                <w:color w:val="FFFFFF"/>
              </w:rPr>
              <w:t>Company Name</w:t>
            </w:r>
          </w:p>
        </w:tc>
        <w:tc>
          <w:tcPr>
            <w:tcW w:w="1040" w:type="dxa"/>
            <w:vAlign w:val="bottom"/>
            <w:tcBorders>
              <w:bottom w:val="single" w:sz="8" w:color="1F497D"/>
            </w:tcBorders>
            <w:shd w:val="clear" w:color="auto" w:fill="1F497D"/>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Ticker</w:t>
            </w:r>
          </w:p>
        </w:tc>
        <w:tc>
          <w:tcPr>
            <w:tcW w:w="20" w:type="dxa"/>
            <w:vAlign w:val="bottom"/>
          </w:tcPr>
          <w:p>
            <w:pPr>
              <w:spacing w:after="0"/>
              <w:rPr>
                <w:sz w:val="22"/>
                <w:szCs w:val="22"/>
                <w:color w:val="auto"/>
              </w:rPr>
            </w:pPr>
          </w:p>
        </w:tc>
      </w:tr>
      <w:tr>
        <w:trPr>
          <w:trHeight w:val="24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AAR Corp.</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AIR</w:t>
            </w:r>
          </w:p>
        </w:tc>
        <w:tc>
          <w:tcPr>
            <w:tcW w:w="2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Forward Air Corporation</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FWRD</w:t>
            </w:r>
          </w:p>
        </w:tc>
        <w:tc>
          <w:tcPr>
            <w:tcW w:w="2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NV5 Global,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NVEE</w:t>
            </w:r>
          </w:p>
        </w:tc>
        <w:tc>
          <w:tcPr>
            <w:tcW w:w="20" w:type="dxa"/>
            <w:vAlign w:val="bottom"/>
            <w:shd w:val="clear" w:color="auto" w:fill="000000"/>
          </w:tcPr>
          <w:p>
            <w:pPr>
              <w:spacing w:after="0"/>
              <w:rPr>
                <w:sz w:val="21"/>
                <w:szCs w:val="21"/>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100"/>
              <w:spacing w:after="0"/>
              <w:rPr>
                <w:sz w:val="20"/>
                <w:szCs w:val="20"/>
                <w:color w:val="auto"/>
              </w:rPr>
            </w:pPr>
            <w:r>
              <w:rPr>
                <w:rFonts w:ascii="Times New Roman" w:cs="Times New Roman" w:eastAsia="Times New Roman" w:hAnsi="Times New Roman"/>
                <w:sz w:val="18"/>
                <w:szCs w:val="18"/>
                <w:color w:val="auto"/>
              </w:rPr>
              <w:t>ABM Industries Incorporated</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rPr>
              <w:t>ABM</w:t>
            </w:r>
          </w:p>
        </w:tc>
        <w:tc>
          <w:tcPr>
            <w:tcW w:w="278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Franklin Electric Co.,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7"/>
              </w:rPr>
              <w:t>FELE</w:t>
            </w:r>
          </w:p>
        </w:tc>
        <w:tc>
          <w:tcPr>
            <w:tcW w:w="266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OPENLANE, 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KAR</w:t>
            </w:r>
          </w:p>
        </w:tc>
        <w:tc>
          <w:tcPr>
            <w:tcW w:w="20" w:type="dxa"/>
            <w:vAlign w:val="bottom"/>
            <w:tcBorders>
              <w:bottom w:val="single" w:sz="8" w:color="auto"/>
            </w:tcBorders>
            <w:shd w:val="clear" w:color="auto" w:fill="000000"/>
          </w:tcPr>
          <w:p>
            <w:pPr>
              <w:spacing w:after="0"/>
              <w:rPr>
                <w:sz w:val="21"/>
                <w:szCs w:val="21"/>
                <w:color w:val="auto"/>
              </w:rPr>
            </w:pPr>
          </w:p>
        </w:tc>
      </w:tr>
      <w:tr>
        <w:trPr>
          <w:trHeight w:val="24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AeroVironment,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AVAV</w:t>
            </w:r>
          </w:p>
        </w:tc>
        <w:tc>
          <w:tcPr>
            <w:tcW w:w="2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Gates Industrial Corporation plc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GTES</w:t>
            </w:r>
          </w:p>
        </w:tc>
        <w:tc>
          <w:tcPr>
            <w:tcW w:w="2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Pitney Bowes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PBI</w:t>
            </w:r>
          </w:p>
        </w:tc>
        <w:tc>
          <w:tcPr>
            <w:tcW w:w="20" w:type="dxa"/>
            <w:vAlign w:val="bottom"/>
            <w:shd w:val="clear" w:color="auto" w:fill="000000"/>
          </w:tcPr>
          <w:p>
            <w:pPr>
              <w:spacing w:after="0"/>
              <w:rPr>
                <w:sz w:val="21"/>
                <w:szCs w:val="21"/>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100"/>
              <w:spacing w:after="0"/>
              <w:rPr>
                <w:sz w:val="20"/>
                <w:szCs w:val="20"/>
                <w:color w:val="auto"/>
              </w:rPr>
            </w:pPr>
            <w:r>
              <w:rPr>
                <w:rFonts w:ascii="Times New Roman" w:cs="Times New Roman" w:eastAsia="Times New Roman" w:hAnsi="Times New Roman"/>
                <w:sz w:val="18"/>
                <w:szCs w:val="18"/>
                <w:color w:val="auto"/>
              </w:rPr>
              <w:t>Air Lease Corporation</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AL</w:t>
            </w:r>
          </w:p>
        </w:tc>
        <w:tc>
          <w:tcPr>
            <w:tcW w:w="278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Gibraltar Industries,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ROCK</w:t>
            </w:r>
          </w:p>
        </w:tc>
        <w:tc>
          <w:tcPr>
            <w:tcW w:w="266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Powell Industries, 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7"/>
              </w:rPr>
              <w:t>POWL</w:t>
            </w:r>
          </w:p>
        </w:tc>
        <w:tc>
          <w:tcPr>
            <w:tcW w:w="20" w:type="dxa"/>
            <w:vAlign w:val="bottom"/>
            <w:tcBorders>
              <w:bottom w:val="single" w:sz="8" w:color="auto"/>
            </w:tcBorders>
            <w:shd w:val="clear" w:color="auto" w:fill="000000"/>
          </w:tcPr>
          <w:p>
            <w:pPr>
              <w:spacing w:after="0"/>
              <w:rPr>
                <w:sz w:val="21"/>
                <w:szCs w:val="21"/>
                <w:color w:val="auto"/>
              </w:rPr>
            </w:pPr>
          </w:p>
        </w:tc>
      </w:tr>
      <w:tr>
        <w:trPr>
          <w:trHeight w:val="24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Alamo Group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ALG</w:t>
            </w:r>
          </w:p>
        </w:tc>
        <w:tc>
          <w:tcPr>
            <w:tcW w:w="2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GMS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GMS</w:t>
            </w:r>
          </w:p>
        </w:tc>
        <w:tc>
          <w:tcPr>
            <w:tcW w:w="2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Proto Labs,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PRLB</w:t>
            </w:r>
          </w:p>
        </w:tc>
        <w:tc>
          <w:tcPr>
            <w:tcW w:w="20" w:type="dxa"/>
            <w:vAlign w:val="bottom"/>
            <w:shd w:val="clear" w:color="auto" w:fill="000000"/>
          </w:tcPr>
          <w:p>
            <w:pPr>
              <w:spacing w:after="0"/>
              <w:rPr>
                <w:sz w:val="21"/>
                <w:szCs w:val="21"/>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25"/>
        </w:trPr>
        <w:tc>
          <w:tcPr>
            <w:tcW w:w="2840" w:type="dxa"/>
            <w:vAlign w:val="bottom"/>
            <w:tcBorders>
              <w:left w:val="single" w:sz="8" w:color="auto"/>
              <w:right w:val="single" w:sz="8" w:color="auto"/>
            </w:tcBorders>
            <w:shd w:val="clear" w:color="auto" w:fill="E8ECF5"/>
          </w:tcPr>
          <w:p>
            <w:pPr>
              <w:spacing w:after="0"/>
              <w:rPr>
                <w:sz w:val="19"/>
                <w:szCs w:val="19"/>
                <w:color w:val="auto"/>
              </w:rPr>
            </w:pPr>
          </w:p>
        </w:tc>
        <w:tc>
          <w:tcPr>
            <w:tcW w:w="960" w:type="dxa"/>
            <w:vAlign w:val="bottom"/>
            <w:tcBorders>
              <w:right w:val="single" w:sz="8" w:color="auto"/>
            </w:tcBorders>
            <w:shd w:val="clear" w:color="auto" w:fill="E8ECF5"/>
          </w:tcPr>
          <w:p>
            <w:pPr>
              <w:spacing w:after="0"/>
              <w:rPr>
                <w:sz w:val="19"/>
                <w:szCs w:val="19"/>
                <w:color w:val="auto"/>
              </w:rPr>
            </w:pPr>
          </w:p>
        </w:tc>
        <w:tc>
          <w:tcPr>
            <w:tcW w:w="2780" w:type="dxa"/>
            <w:vAlign w:val="bottom"/>
            <w:tcBorders>
              <w:right w:val="single" w:sz="8" w:color="auto"/>
            </w:tcBorders>
            <w:shd w:val="clear" w:color="auto" w:fill="E8ECF5"/>
          </w:tcPr>
          <w:p>
            <w:pPr>
              <w:spacing w:after="0"/>
              <w:rPr>
                <w:sz w:val="19"/>
                <w:szCs w:val="19"/>
                <w:color w:val="auto"/>
              </w:rPr>
            </w:pPr>
          </w:p>
        </w:tc>
        <w:tc>
          <w:tcPr>
            <w:tcW w:w="960" w:type="dxa"/>
            <w:vAlign w:val="bottom"/>
            <w:tcBorders>
              <w:right w:val="single" w:sz="8" w:color="auto"/>
            </w:tcBorders>
            <w:shd w:val="clear" w:color="auto" w:fill="E8ECF5"/>
          </w:tcPr>
          <w:p>
            <w:pPr>
              <w:spacing w:after="0"/>
              <w:rPr>
                <w:sz w:val="19"/>
                <w:szCs w:val="19"/>
                <w:color w:val="auto"/>
              </w:rPr>
            </w:pPr>
          </w:p>
        </w:tc>
        <w:tc>
          <w:tcPr>
            <w:tcW w:w="2660" w:type="dxa"/>
            <w:vAlign w:val="bottom"/>
            <w:tcBorders>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Pursuit Attractions and</w:t>
            </w:r>
          </w:p>
        </w:tc>
        <w:tc>
          <w:tcPr>
            <w:tcW w:w="1040" w:type="dxa"/>
            <w:vAlign w:val="bottom"/>
            <w:shd w:val="clear" w:color="auto" w:fill="E8ECF5"/>
          </w:tcPr>
          <w:p>
            <w:pPr>
              <w:spacing w:after="0"/>
              <w:rPr>
                <w:sz w:val="19"/>
                <w:szCs w:val="19"/>
                <w:color w:val="auto"/>
              </w:rPr>
            </w:pPr>
          </w:p>
        </w:tc>
        <w:tc>
          <w:tcPr>
            <w:tcW w:w="20" w:type="dxa"/>
            <w:vAlign w:val="bottom"/>
            <w:shd w:val="clear" w:color="auto" w:fill="000000"/>
          </w:tcPr>
          <w:p>
            <w:pPr>
              <w:spacing w:after="0"/>
              <w:rPr>
                <w:sz w:val="19"/>
                <w:szCs w:val="19"/>
                <w:color w:val="auto"/>
              </w:rPr>
            </w:pPr>
          </w:p>
        </w:tc>
      </w:tr>
      <w:tr>
        <w:trPr>
          <w:trHeight w:val="241"/>
        </w:trPr>
        <w:tc>
          <w:tcPr>
            <w:tcW w:w="2840" w:type="dxa"/>
            <w:vAlign w:val="bottom"/>
            <w:tcBorders>
              <w:left w:val="single" w:sz="8" w:color="auto"/>
              <w:bottom w:val="single" w:sz="8" w:color="E8ECF5"/>
              <w:right w:val="single" w:sz="8" w:color="auto"/>
            </w:tcBorders>
            <w:shd w:val="clear" w:color="auto" w:fill="E8ECF5"/>
          </w:tcPr>
          <w:p>
            <w:pPr>
              <w:ind w:left="100"/>
              <w:spacing w:after="0"/>
              <w:rPr>
                <w:sz w:val="20"/>
                <w:szCs w:val="20"/>
                <w:color w:val="auto"/>
              </w:rPr>
            </w:pPr>
            <w:r>
              <w:rPr>
                <w:rFonts w:ascii="Times New Roman" w:cs="Times New Roman" w:eastAsia="Times New Roman" w:hAnsi="Times New Roman"/>
                <w:sz w:val="18"/>
                <w:szCs w:val="18"/>
                <w:color w:val="auto"/>
              </w:rPr>
              <w:t>Alaska Air Group,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rPr>
              <w:t>ALK</w:t>
            </w:r>
          </w:p>
        </w:tc>
        <w:tc>
          <w:tcPr>
            <w:tcW w:w="278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Granite Construction Incorporated</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7"/>
              </w:rPr>
              <w:t>GVA</w:t>
            </w:r>
          </w:p>
        </w:tc>
        <w:tc>
          <w:tcPr>
            <w:tcW w:w="266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Hospitality, 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rPr>
              <w:t>PRSU</w:t>
            </w:r>
          </w:p>
        </w:tc>
        <w:tc>
          <w:tcPr>
            <w:tcW w:w="20" w:type="dxa"/>
            <w:vAlign w:val="bottom"/>
            <w:tcBorders>
              <w:bottom w:val="single" w:sz="8" w:color="auto"/>
            </w:tcBorders>
            <w:shd w:val="clear" w:color="auto" w:fill="000000"/>
          </w:tcPr>
          <w:p>
            <w:pPr>
              <w:spacing w:after="0"/>
              <w:rPr>
                <w:sz w:val="20"/>
                <w:szCs w:val="20"/>
                <w:color w:val="auto"/>
              </w:rPr>
            </w:pPr>
          </w:p>
        </w:tc>
      </w:tr>
      <w:tr>
        <w:trPr>
          <w:trHeight w:val="225"/>
        </w:trPr>
        <w:tc>
          <w:tcPr>
            <w:tcW w:w="2840" w:type="dxa"/>
            <w:vAlign w:val="bottom"/>
            <w:tcBorders>
              <w:left w:val="single" w:sz="8" w:color="auto"/>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278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Quanex Building Products</w:t>
            </w:r>
          </w:p>
        </w:tc>
        <w:tc>
          <w:tcPr>
            <w:tcW w:w="10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r>
      <w:tr>
        <w:trPr>
          <w:trHeight w:val="234"/>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Albany International Corp.</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AIN</w:t>
            </w:r>
          </w:p>
        </w:tc>
        <w:tc>
          <w:tcPr>
            <w:tcW w:w="2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Griffon Corporation</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GFF</w:t>
            </w:r>
          </w:p>
        </w:tc>
        <w:tc>
          <w:tcPr>
            <w:tcW w:w="2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Corporation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NX</w:t>
            </w:r>
          </w:p>
        </w:tc>
        <w:tc>
          <w:tcPr>
            <w:tcW w:w="20" w:type="dxa"/>
            <w:vAlign w:val="bottom"/>
            <w:shd w:val="clear" w:color="auto" w:fill="000000"/>
          </w:tcPr>
          <w:p>
            <w:pPr>
              <w:spacing w:after="0"/>
              <w:rPr>
                <w:sz w:val="20"/>
                <w:szCs w:val="20"/>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100"/>
              <w:spacing w:after="0"/>
              <w:rPr>
                <w:sz w:val="20"/>
                <w:szCs w:val="20"/>
                <w:color w:val="auto"/>
              </w:rPr>
            </w:pPr>
            <w:r>
              <w:rPr>
                <w:rFonts w:ascii="Times New Roman" w:cs="Times New Roman" w:eastAsia="Times New Roman" w:hAnsi="Times New Roman"/>
                <w:sz w:val="18"/>
                <w:szCs w:val="18"/>
                <w:color w:val="auto"/>
              </w:rPr>
              <w:t>Allegiant Travel Company</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ALGT</w:t>
            </w:r>
          </w:p>
        </w:tc>
        <w:tc>
          <w:tcPr>
            <w:tcW w:w="278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Hayward Holdings,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6"/>
              </w:rPr>
              <w:t>HAYW</w:t>
            </w:r>
          </w:p>
        </w:tc>
        <w:tc>
          <w:tcPr>
            <w:tcW w:w="266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Resideo Technologies, 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REZI</w:t>
            </w:r>
          </w:p>
        </w:tc>
        <w:tc>
          <w:tcPr>
            <w:tcW w:w="20" w:type="dxa"/>
            <w:vAlign w:val="bottom"/>
            <w:tcBorders>
              <w:bottom w:val="single" w:sz="8" w:color="auto"/>
            </w:tcBorders>
            <w:shd w:val="clear" w:color="auto" w:fill="000000"/>
          </w:tcPr>
          <w:p>
            <w:pPr>
              <w:spacing w:after="0"/>
              <w:rPr>
                <w:sz w:val="21"/>
                <w:szCs w:val="21"/>
                <w:color w:val="auto"/>
              </w:rPr>
            </w:pPr>
          </w:p>
        </w:tc>
      </w:tr>
      <w:tr>
        <w:trPr>
          <w:trHeight w:val="24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Amentum Holdings,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AMTM</w:t>
            </w:r>
          </w:p>
        </w:tc>
        <w:tc>
          <w:tcPr>
            <w:tcW w:w="2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Healthcare Services Group,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HCSG</w:t>
            </w:r>
          </w:p>
        </w:tc>
        <w:tc>
          <w:tcPr>
            <w:tcW w:w="2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Robert Half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RHI</w:t>
            </w:r>
          </w:p>
        </w:tc>
        <w:tc>
          <w:tcPr>
            <w:tcW w:w="20" w:type="dxa"/>
            <w:vAlign w:val="bottom"/>
            <w:shd w:val="clear" w:color="auto" w:fill="000000"/>
          </w:tcPr>
          <w:p>
            <w:pPr>
              <w:spacing w:after="0"/>
              <w:rPr>
                <w:sz w:val="21"/>
                <w:szCs w:val="21"/>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100"/>
              <w:spacing w:after="0"/>
              <w:rPr>
                <w:sz w:val="20"/>
                <w:szCs w:val="20"/>
                <w:color w:val="auto"/>
              </w:rPr>
            </w:pPr>
            <w:r>
              <w:rPr>
                <w:rFonts w:ascii="Times New Roman" w:cs="Times New Roman" w:eastAsia="Times New Roman" w:hAnsi="Times New Roman"/>
                <w:sz w:val="18"/>
                <w:szCs w:val="18"/>
                <w:color w:val="auto"/>
              </w:rPr>
              <w:t>American Woodmark Corporation</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8"/>
              </w:rPr>
              <w:t>AMWD</w:t>
            </w:r>
          </w:p>
        </w:tc>
        <w:tc>
          <w:tcPr>
            <w:tcW w:w="278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Heartland Express,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HTLD</w:t>
            </w:r>
          </w:p>
        </w:tc>
        <w:tc>
          <w:tcPr>
            <w:tcW w:w="266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Rush Enterprises, 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rPr>
              <w:t>RUSH.A</w:t>
            </w:r>
          </w:p>
        </w:tc>
        <w:tc>
          <w:tcPr>
            <w:tcW w:w="20" w:type="dxa"/>
            <w:vAlign w:val="bottom"/>
            <w:tcBorders>
              <w:bottom w:val="single" w:sz="8" w:color="auto"/>
            </w:tcBorders>
            <w:shd w:val="clear" w:color="auto" w:fill="000000"/>
          </w:tcPr>
          <w:p>
            <w:pPr>
              <w:spacing w:after="0"/>
              <w:rPr>
                <w:sz w:val="21"/>
                <w:szCs w:val="21"/>
                <w:color w:val="auto"/>
              </w:rPr>
            </w:pPr>
          </w:p>
        </w:tc>
      </w:tr>
      <w:tr>
        <w:trPr>
          <w:trHeight w:val="225"/>
        </w:trPr>
        <w:tc>
          <w:tcPr>
            <w:tcW w:w="2840" w:type="dxa"/>
            <w:vAlign w:val="bottom"/>
            <w:tcBorders>
              <w:left w:val="single" w:sz="8" w:color="auto"/>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2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Heidrick &amp; Struggles International,</w:t>
            </w:r>
          </w:p>
        </w:tc>
        <w:tc>
          <w:tcPr>
            <w:tcW w:w="96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r>
      <w:tr>
        <w:trPr>
          <w:trHeight w:val="234"/>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Apogee Enterprises,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APOG</w:t>
            </w:r>
          </w:p>
        </w:tc>
        <w:tc>
          <w:tcPr>
            <w:tcW w:w="2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HSII</w:t>
            </w:r>
          </w:p>
        </w:tc>
        <w:tc>
          <w:tcPr>
            <w:tcW w:w="2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RXO,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RXO</w:t>
            </w:r>
          </w:p>
        </w:tc>
        <w:tc>
          <w:tcPr>
            <w:tcW w:w="20" w:type="dxa"/>
            <w:vAlign w:val="bottom"/>
            <w:shd w:val="clear" w:color="auto" w:fill="000000"/>
          </w:tcPr>
          <w:p>
            <w:pPr>
              <w:spacing w:after="0"/>
              <w:rPr>
                <w:sz w:val="20"/>
                <w:szCs w:val="20"/>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100"/>
              <w:spacing w:after="0"/>
              <w:rPr>
                <w:sz w:val="20"/>
                <w:szCs w:val="20"/>
                <w:color w:val="auto"/>
              </w:rPr>
            </w:pPr>
            <w:r>
              <w:rPr>
                <w:rFonts w:ascii="Times New Roman" w:cs="Times New Roman" w:eastAsia="Times New Roman" w:hAnsi="Times New Roman"/>
                <w:sz w:val="18"/>
                <w:szCs w:val="18"/>
                <w:color w:val="auto"/>
              </w:rPr>
              <w:t>ArcBest Corporation</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rPr>
              <w:t>ARCB</w:t>
            </w:r>
          </w:p>
        </w:tc>
        <w:tc>
          <w:tcPr>
            <w:tcW w:w="278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Hertz Global Holdings,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7"/>
              </w:rPr>
              <w:t>HTZ</w:t>
            </w:r>
          </w:p>
        </w:tc>
        <w:tc>
          <w:tcPr>
            <w:tcW w:w="266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Schneider National, 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SNDR</w:t>
            </w:r>
          </w:p>
        </w:tc>
        <w:tc>
          <w:tcPr>
            <w:tcW w:w="20" w:type="dxa"/>
            <w:vAlign w:val="bottom"/>
            <w:tcBorders>
              <w:bottom w:val="single" w:sz="8" w:color="auto"/>
            </w:tcBorders>
            <w:shd w:val="clear" w:color="auto" w:fill="000000"/>
          </w:tcPr>
          <w:p>
            <w:pPr>
              <w:spacing w:after="0"/>
              <w:rPr>
                <w:sz w:val="21"/>
                <w:szCs w:val="21"/>
                <w:color w:val="auto"/>
              </w:rPr>
            </w:pPr>
          </w:p>
        </w:tc>
      </w:tr>
      <w:tr>
        <w:trPr>
          <w:trHeight w:val="24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Arcosa,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ACA</w:t>
            </w:r>
          </w:p>
        </w:tc>
        <w:tc>
          <w:tcPr>
            <w:tcW w:w="2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Hillenbrand,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HI</w:t>
            </w:r>
          </w:p>
        </w:tc>
        <w:tc>
          <w:tcPr>
            <w:tcW w:w="2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SkyWest,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SKYW</w:t>
            </w:r>
          </w:p>
        </w:tc>
        <w:tc>
          <w:tcPr>
            <w:tcW w:w="20" w:type="dxa"/>
            <w:vAlign w:val="bottom"/>
            <w:shd w:val="clear" w:color="auto" w:fill="000000"/>
          </w:tcPr>
          <w:p>
            <w:pPr>
              <w:spacing w:after="0"/>
              <w:rPr>
                <w:sz w:val="21"/>
                <w:szCs w:val="21"/>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100"/>
              <w:spacing w:after="0"/>
              <w:rPr>
                <w:sz w:val="20"/>
                <w:szCs w:val="20"/>
                <w:color w:val="auto"/>
              </w:rPr>
            </w:pPr>
            <w:r>
              <w:rPr>
                <w:rFonts w:ascii="Times New Roman" w:cs="Times New Roman" w:eastAsia="Times New Roman" w:hAnsi="Times New Roman"/>
                <w:sz w:val="18"/>
                <w:szCs w:val="18"/>
                <w:color w:val="auto"/>
              </w:rPr>
              <w:t>Armstrong World Industries,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4"/>
              </w:rPr>
              <w:t>AWI</w:t>
            </w:r>
          </w:p>
        </w:tc>
        <w:tc>
          <w:tcPr>
            <w:tcW w:w="278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HNI Corporation</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HNI</w:t>
            </w:r>
          </w:p>
        </w:tc>
        <w:tc>
          <w:tcPr>
            <w:tcW w:w="266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SPX Technologies, 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rPr>
              <w:t>SPXC</w:t>
            </w:r>
          </w:p>
        </w:tc>
        <w:tc>
          <w:tcPr>
            <w:tcW w:w="20" w:type="dxa"/>
            <w:vAlign w:val="bottom"/>
            <w:tcBorders>
              <w:bottom w:val="single" w:sz="8" w:color="auto"/>
            </w:tcBorders>
            <w:shd w:val="clear" w:color="auto" w:fill="000000"/>
          </w:tcPr>
          <w:p>
            <w:pPr>
              <w:spacing w:after="0"/>
              <w:rPr>
                <w:sz w:val="21"/>
                <w:szCs w:val="21"/>
                <w:color w:val="auto"/>
              </w:rPr>
            </w:pPr>
          </w:p>
        </w:tc>
      </w:tr>
      <w:tr>
        <w:trPr>
          <w:trHeight w:val="24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Astec Industries,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ASTE</w:t>
            </w:r>
          </w:p>
        </w:tc>
        <w:tc>
          <w:tcPr>
            <w:tcW w:w="2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Hub Group,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HUBG</w:t>
            </w:r>
          </w:p>
        </w:tc>
        <w:tc>
          <w:tcPr>
            <w:tcW w:w="2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Standex International Corporation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SXI</w:t>
            </w:r>
          </w:p>
        </w:tc>
        <w:tc>
          <w:tcPr>
            <w:tcW w:w="20" w:type="dxa"/>
            <w:vAlign w:val="bottom"/>
            <w:shd w:val="clear" w:color="auto" w:fill="000000"/>
          </w:tcPr>
          <w:p>
            <w:pPr>
              <w:spacing w:after="0"/>
              <w:rPr>
                <w:sz w:val="21"/>
                <w:szCs w:val="21"/>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25"/>
        </w:trPr>
        <w:tc>
          <w:tcPr>
            <w:tcW w:w="2840" w:type="dxa"/>
            <w:vAlign w:val="bottom"/>
            <w:tcBorders>
              <w:left w:val="single" w:sz="8" w:color="auto"/>
              <w:right w:val="single" w:sz="8" w:color="auto"/>
            </w:tcBorders>
            <w:shd w:val="clear" w:color="auto" w:fill="E8ECF5"/>
          </w:tcPr>
          <w:p>
            <w:pPr>
              <w:spacing w:after="0"/>
              <w:rPr>
                <w:sz w:val="19"/>
                <w:szCs w:val="19"/>
                <w:color w:val="auto"/>
              </w:rPr>
            </w:pPr>
          </w:p>
        </w:tc>
        <w:tc>
          <w:tcPr>
            <w:tcW w:w="960" w:type="dxa"/>
            <w:vAlign w:val="bottom"/>
            <w:tcBorders>
              <w:right w:val="single" w:sz="8" w:color="auto"/>
            </w:tcBorders>
            <w:shd w:val="clear" w:color="auto" w:fill="E8ECF5"/>
          </w:tcPr>
          <w:p>
            <w:pPr>
              <w:spacing w:after="0"/>
              <w:rPr>
                <w:sz w:val="19"/>
                <w:szCs w:val="19"/>
                <w:color w:val="auto"/>
              </w:rPr>
            </w:pPr>
          </w:p>
        </w:tc>
        <w:tc>
          <w:tcPr>
            <w:tcW w:w="2780" w:type="dxa"/>
            <w:vAlign w:val="bottom"/>
            <w:tcBorders>
              <w:right w:val="single" w:sz="8" w:color="auto"/>
            </w:tcBorders>
            <w:shd w:val="clear" w:color="auto" w:fill="E8ECF5"/>
          </w:tcPr>
          <w:p>
            <w:pPr>
              <w:spacing w:after="0"/>
              <w:rPr>
                <w:sz w:val="19"/>
                <w:szCs w:val="19"/>
                <w:color w:val="auto"/>
              </w:rPr>
            </w:pPr>
          </w:p>
        </w:tc>
        <w:tc>
          <w:tcPr>
            <w:tcW w:w="960" w:type="dxa"/>
            <w:vAlign w:val="bottom"/>
            <w:tcBorders>
              <w:right w:val="single" w:sz="8" w:color="auto"/>
            </w:tcBorders>
            <w:shd w:val="clear" w:color="auto" w:fill="E8ECF5"/>
          </w:tcPr>
          <w:p>
            <w:pPr>
              <w:spacing w:after="0"/>
              <w:rPr>
                <w:sz w:val="19"/>
                <w:szCs w:val="19"/>
                <w:color w:val="auto"/>
              </w:rPr>
            </w:pPr>
          </w:p>
        </w:tc>
        <w:tc>
          <w:tcPr>
            <w:tcW w:w="2660" w:type="dxa"/>
            <w:vAlign w:val="bottom"/>
            <w:tcBorders>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Sun Country Airlines Holdings,</w:t>
            </w:r>
          </w:p>
        </w:tc>
        <w:tc>
          <w:tcPr>
            <w:tcW w:w="1040" w:type="dxa"/>
            <w:vAlign w:val="bottom"/>
            <w:shd w:val="clear" w:color="auto" w:fill="E8ECF5"/>
          </w:tcPr>
          <w:p>
            <w:pPr>
              <w:spacing w:after="0"/>
              <w:rPr>
                <w:sz w:val="19"/>
                <w:szCs w:val="19"/>
                <w:color w:val="auto"/>
              </w:rPr>
            </w:pPr>
          </w:p>
        </w:tc>
        <w:tc>
          <w:tcPr>
            <w:tcW w:w="20" w:type="dxa"/>
            <w:vAlign w:val="bottom"/>
            <w:shd w:val="clear" w:color="auto" w:fill="000000"/>
          </w:tcPr>
          <w:p>
            <w:pPr>
              <w:spacing w:after="0"/>
              <w:rPr>
                <w:sz w:val="19"/>
                <w:szCs w:val="19"/>
                <w:color w:val="auto"/>
              </w:rPr>
            </w:pPr>
          </w:p>
        </w:tc>
      </w:tr>
      <w:tr>
        <w:trPr>
          <w:trHeight w:val="241"/>
        </w:trPr>
        <w:tc>
          <w:tcPr>
            <w:tcW w:w="2840" w:type="dxa"/>
            <w:vAlign w:val="bottom"/>
            <w:tcBorders>
              <w:left w:val="single" w:sz="8" w:color="auto"/>
              <w:bottom w:val="single" w:sz="8" w:color="E8ECF5"/>
              <w:right w:val="single" w:sz="8" w:color="auto"/>
            </w:tcBorders>
            <w:shd w:val="clear" w:color="auto" w:fill="E8ECF5"/>
          </w:tcPr>
          <w:p>
            <w:pPr>
              <w:ind w:left="100"/>
              <w:spacing w:after="0"/>
              <w:rPr>
                <w:sz w:val="20"/>
                <w:szCs w:val="20"/>
                <w:color w:val="auto"/>
              </w:rPr>
            </w:pPr>
            <w:r>
              <w:rPr>
                <w:rFonts w:ascii="Times New Roman" w:cs="Times New Roman" w:eastAsia="Times New Roman" w:hAnsi="Times New Roman"/>
                <w:sz w:val="18"/>
                <w:szCs w:val="18"/>
                <w:color w:val="auto"/>
              </w:rPr>
              <w:t>AZZ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7"/>
              </w:rPr>
              <w:t>AZZ</w:t>
            </w:r>
          </w:p>
        </w:tc>
        <w:tc>
          <w:tcPr>
            <w:tcW w:w="278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Insteel Industries,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6"/>
              </w:rPr>
              <w:t>IIIN</w:t>
            </w:r>
          </w:p>
        </w:tc>
        <w:tc>
          <w:tcPr>
            <w:tcW w:w="266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SNCY</w:t>
            </w:r>
          </w:p>
        </w:tc>
        <w:tc>
          <w:tcPr>
            <w:tcW w:w="20" w:type="dxa"/>
            <w:vAlign w:val="bottom"/>
            <w:tcBorders>
              <w:bottom w:val="single" w:sz="8" w:color="auto"/>
            </w:tcBorders>
            <w:shd w:val="clear" w:color="auto" w:fill="000000"/>
          </w:tcPr>
          <w:p>
            <w:pPr>
              <w:spacing w:after="0"/>
              <w:rPr>
                <w:sz w:val="20"/>
                <w:szCs w:val="20"/>
                <w:color w:val="auto"/>
              </w:rPr>
            </w:pPr>
          </w:p>
        </w:tc>
      </w:tr>
      <w:tr>
        <w:trPr>
          <w:trHeight w:val="24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Barnes Group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w:t>
            </w:r>
          </w:p>
        </w:tc>
        <w:tc>
          <w:tcPr>
            <w:tcW w:w="2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Interface,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TILE</w:t>
            </w:r>
          </w:p>
        </w:tc>
        <w:tc>
          <w:tcPr>
            <w:tcW w:w="2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Sunrun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RUN</w:t>
            </w:r>
          </w:p>
        </w:tc>
        <w:tc>
          <w:tcPr>
            <w:tcW w:w="20" w:type="dxa"/>
            <w:vAlign w:val="bottom"/>
            <w:shd w:val="clear" w:color="auto" w:fill="000000"/>
          </w:tcPr>
          <w:p>
            <w:pPr>
              <w:spacing w:after="0"/>
              <w:rPr>
                <w:sz w:val="21"/>
                <w:szCs w:val="21"/>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100"/>
              <w:spacing w:after="0"/>
              <w:rPr>
                <w:sz w:val="20"/>
                <w:szCs w:val="20"/>
                <w:color w:val="auto"/>
              </w:rPr>
            </w:pPr>
            <w:r>
              <w:rPr>
                <w:rFonts w:ascii="Times New Roman" w:cs="Times New Roman" w:eastAsia="Times New Roman" w:hAnsi="Times New Roman"/>
                <w:sz w:val="18"/>
                <w:szCs w:val="18"/>
                <w:color w:val="auto"/>
              </w:rPr>
              <w:t>Boise Cascade Company</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BCC</w:t>
            </w:r>
          </w:p>
        </w:tc>
        <w:tc>
          <w:tcPr>
            <w:tcW w:w="278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JetBlue Airways Corporation</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7"/>
              </w:rPr>
              <w:t>JBLU</w:t>
            </w:r>
          </w:p>
        </w:tc>
        <w:tc>
          <w:tcPr>
            <w:tcW w:w="266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Tennant Company</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TNC</w:t>
            </w:r>
          </w:p>
        </w:tc>
        <w:tc>
          <w:tcPr>
            <w:tcW w:w="20" w:type="dxa"/>
            <w:vAlign w:val="bottom"/>
            <w:tcBorders>
              <w:bottom w:val="single" w:sz="8" w:color="auto"/>
            </w:tcBorders>
            <w:shd w:val="clear" w:color="auto" w:fill="000000"/>
          </w:tcPr>
          <w:p>
            <w:pPr>
              <w:spacing w:after="0"/>
              <w:rPr>
                <w:sz w:val="21"/>
                <w:szCs w:val="21"/>
                <w:color w:val="auto"/>
              </w:rPr>
            </w:pPr>
          </w:p>
        </w:tc>
      </w:tr>
      <w:tr>
        <w:trPr>
          <w:trHeight w:val="225"/>
        </w:trPr>
        <w:tc>
          <w:tcPr>
            <w:tcW w:w="2840" w:type="dxa"/>
            <w:vAlign w:val="bottom"/>
            <w:tcBorders>
              <w:left w:val="single" w:sz="8" w:color="auto"/>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2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John Bean Technologies</w:t>
            </w:r>
          </w:p>
        </w:tc>
        <w:tc>
          <w:tcPr>
            <w:tcW w:w="96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r>
      <w:tr>
        <w:trPr>
          <w:trHeight w:val="234"/>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Brady Corporation</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BRC</w:t>
            </w:r>
          </w:p>
        </w:tc>
        <w:tc>
          <w:tcPr>
            <w:tcW w:w="2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Corporation</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JBT</w:t>
            </w:r>
          </w:p>
        </w:tc>
        <w:tc>
          <w:tcPr>
            <w:tcW w:w="2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GEO Group,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GEO</w:t>
            </w:r>
          </w:p>
        </w:tc>
        <w:tc>
          <w:tcPr>
            <w:tcW w:w="20" w:type="dxa"/>
            <w:vAlign w:val="bottom"/>
            <w:shd w:val="clear" w:color="auto" w:fill="000000"/>
          </w:tcPr>
          <w:p>
            <w:pPr>
              <w:spacing w:after="0"/>
              <w:rPr>
                <w:sz w:val="20"/>
                <w:szCs w:val="20"/>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100"/>
              <w:spacing w:after="0"/>
              <w:rPr>
                <w:sz w:val="20"/>
                <w:szCs w:val="20"/>
                <w:color w:val="auto"/>
              </w:rPr>
            </w:pPr>
            <w:r>
              <w:rPr>
                <w:rFonts w:ascii="Times New Roman" w:cs="Times New Roman" w:eastAsia="Times New Roman" w:hAnsi="Times New Roman"/>
                <w:sz w:val="18"/>
                <w:szCs w:val="18"/>
                <w:color w:val="auto"/>
              </w:rPr>
              <w:t>CoreCivic,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CXW</w:t>
            </w:r>
          </w:p>
        </w:tc>
        <w:tc>
          <w:tcPr>
            <w:tcW w:w="278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Kennametal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KMT</w:t>
            </w:r>
          </w:p>
        </w:tc>
        <w:tc>
          <w:tcPr>
            <w:tcW w:w="266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The Greenbrier Companies, 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GBX</w:t>
            </w:r>
          </w:p>
        </w:tc>
        <w:tc>
          <w:tcPr>
            <w:tcW w:w="20" w:type="dxa"/>
            <w:vAlign w:val="bottom"/>
            <w:tcBorders>
              <w:bottom w:val="single" w:sz="8" w:color="auto"/>
            </w:tcBorders>
            <w:shd w:val="clear" w:color="auto" w:fill="000000"/>
          </w:tcPr>
          <w:p>
            <w:pPr>
              <w:spacing w:after="0"/>
              <w:rPr>
                <w:sz w:val="21"/>
                <w:szCs w:val="21"/>
                <w:color w:val="auto"/>
              </w:rPr>
            </w:pPr>
          </w:p>
        </w:tc>
      </w:tr>
      <w:tr>
        <w:trPr>
          <w:trHeight w:val="24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CSG Systems International,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CSGS</w:t>
            </w:r>
          </w:p>
        </w:tc>
        <w:tc>
          <w:tcPr>
            <w:tcW w:w="2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Korn Ferry</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KFY</w:t>
            </w:r>
          </w:p>
        </w:tc>
        <w:tc>
          <w:tcPr>
            <w:tcW w:w="2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Titan International,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TWI</w:t>
            </w:r>
          </w:p>
        </w:tc>
        <w:tc>
          <w:tcPr>
            <w:tcW w:w="20" w:type="dxa"/>
            <w:vAlign w:val="bottom"/>
            <w:shd w:val="clear" w:color="auto" w:fill="000000"/>
          </w:tcPr>
          <w:p>
            <w:pPr>
              <w:spacing w:after="0"/>
              <w:rPr>
                <w:sz w:val="21"/>
                <w:szCs w:val="21"/>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100"/>
              <w:spacing w:after="0"/>
              <w:rPr>
                <w:sz w:val="20"/>
                <w:szCs w:val="20"/>
                <w:color w:val="auto"/>
              </w:rPr>
            </w:pPr>
            <w:r>
              <w:rPr>
                <w:rFonts w:ascii="Times New Roman" w:cs="Times New Roman" w:eastAsia="Times New Roman" w:hAnsi="Times New Roman"/>
                <w:sz w:val="18"/>
                <w:szCs w:val="18"/>
                <w:color w:val="auto"/>
              </w:rPr>
              <w:t>CSW Industrials,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rPr>
              <w:t>CSWI</w:t>
            </w:r>
          </w:p>
        </w:tc>
        <w:tc>
          <w:tcPr>
            <w:tcW w:w="278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Lindsay Corporation</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rPr>
              <w:t>LNN</w:t>
            </w:r>
          </w:p>
        </w:tc>
        <w:tc>
          <w:tcPr>
            <w:tcW w:w="266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Trinity Industries, 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TRN</w:t>
            </w:r>
          </w:p>
        </w:tc>
        <w:tc>
          <w:tcPr>
            <w:tcW w:w="20" w:type="dxa"/>
            <w:vAlign w:val="bottom"/>
            <w:tcBorders>
              <w:bottom w:val="single" w:sz="8" w:color="auto"/>
            </w:tcBorders>
            <w:shd w:val="clear" w:color="auto" w:fill="000000"/>
          </w:tcPr>
          <w:p>
            <w:pPr>
              <w:spacing w:after="0"/>
              <w:rPr>
                <w:sz w:val="21"/>
                <w:szCs w:val="21"/>
                <w:color w:val="auto"/>
              </w:rPr>
            </w:pPr>
          </w:p>
        </w:tc>
      </w:tr>
      <w:tr>
        <w:trPr>
          <w:trHeight w:val="24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Deluxe Corporation</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DLX</w:t>
            </w:r>
          </w:p>
        </w:tc>
        <w:tc>
          <w:tcPr>
            <w:tcW w:w="2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Liquidity Services,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LQDT</w:t>
            </w:r>
          </w:p>
        </w:tc>
        <w:tc>
          <w:tcPr>
            <w:tcW w:w="2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Triumph Group,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TGI</w:t>
            </w:r>
          </w:p>
        </w:tc>
        <w:tc>
          <w:tcPr>
            <w:tcW w:w="20" w:type="dxa"/>
            <w:vAlign w:val="bottom"/>
            <w:shd w:val="clear" w:color="auto" w:fill="000000"/>
          </w:tcPr>
          <w:p>
            <w:pPr>
              <w:spacing w:after="0"/>
              <w:rPr>
                <w:sz w:val="21"/>
                <w:szCs w:val="21"/>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100"/>
              <w:spacing w:after="0"/>
              <w:rPr>
                <w:sz w:val="20"/>
                <w:szCs w:val="20"/>
                <w:color w:val="auto"/>
              </w:rPr>
            </w:pPr>
            <w:r>
              <w:rPr>
                <w:rFonts w:ascii="Times New Roman" w:cs="Times New Roman" w:eastAsia="Times New Roman" w:hAnsi="Times New Roman"/>
                <w:sz w:val="18"/>
                <w:szCs w:val="18"/>
                <w:color w:val="auto"/>
              </w:rPr>
              <w:t>DNOW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DNOW</w:t>
            </w:r>
          </w:p>
        </w:tc>
        <w:tc>
          <w:tcPr>
            <w:tcW w:w="278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Marten Transport, Ltd.</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6"/>
              </w:rPr>
              <w:t>MRTN</w:t>
            </w:r>
          </w:p>
        </w:tc>
        <w:tc>
          <w:tcPr>
            <w:tcW w:w="266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UniFirst Corporation</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UNF</w:t>
            </w:r>
          </w:p>
        </w:tc>
        <w:tc>
          <w:tcPr>
            <w:tcW w:w="20" w:type="dxa"/>
            <w:vAlign w:val="bottom"/>
            <w:tcBorders>
              <w:bottom w:val="single" w:sz="8" w:color="auto"/>
            </w:tcBorders>
            <w:shd w:val="clear" w:color="auto" w:fill="000000"/>
          </w:tcPr>
          <w:p>
            <w:pPr>
              <w:spacing w:after="0"/>
              <w:rPr>
                <w:sz w:val="21"/>
                <w:szCs w:val="21"/>
                <w:color w:val="auto"/>
              </w:rPr>
            </w:pPr>
          </w:p>
        </w:tc>
      </w:tr>
      <w:tr>
        <w:trPr>
          <w:trHeight w:val="24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DXP Enterprises,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DXPE</w:t>
            </w:r>
          </w:p>
        </w:tc>
        <w:tc>
          <w:tcPr>
            <w:tcW w:w="2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MasterBrand,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MBC</w:t>
            </w:r>
          </w:p>
        </w:tc>
        <w:tc>
          <w:tcPr>
            <w:tcW w:w="2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Verra Mobility Corporation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VRRM</w:t>
            </w:r>
          </w:p>
        </w:tc>
        <w:tc>
          <w:tcPr>
            <w:tcW w:w="20" w:type="dxa"/>
            <w:vAlign w:val="bottom"/>
            <w:shd w:val="clear" w:color="auto" w:fill="000000"/>
          </w:tcPr>
          <w:p>
            <w:pPr>
              <w:spacing w:after="0"/>
              <w:rPr>
                <w:sz w:val="21"/>
                <w:szCs w:val="21"/>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100"/>
              <w:spacing w:after="0"/>
              <w:rPr>
                <w:sz w:val="20"/>
                <w:szCs w:val="20"/>
                <w:color w:val="auto"/>
              </w:rPr>
            </w:pPr>
            <w:r>
              <w:rPr>
                <w:rFonts w:ascii="Times New Roman" w:cs="Times New Roman" w:eastAsia="Times New Roman" w:hAnsi="Times New Roman"/>
                <w:sz w:val="18"/>
                <w:szCs w:val="18"/>
                <w:color w:val="auto"/>
              </w:rPr>
              <w:t>Dycom Industries,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DY</w:t>
            </w:r>
          </w:p>
        </w:tc>
        <w:tc>
          <w:tcPr>
            <w:tcW w:w="278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Matson,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4"/>
              </w:rPr>
              <w:t>MATX</w:t>
            </w:r>
          </w:p>
        </w:tc>
        <w:tc>
          <w:tcPr>
            <w:tcW w:w="266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Vestis Corporation</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VSTS</w:t>
            </w:r>
          </w:p>
        </w:tc>
        <w:tc>
          <w:tcPr>
            <w:tcW w:w="20" w:type="dxa"/>
            <w:vAlign w:val="bottom"/>
            <w:tcBorders>
              <w:bottom w:val="single" w:sz="8" w:color="auto"/>
            </w:tcBorders>
            <w:shd w:val="clear" w:color="auto" w:fill="000000"/>
          </w:tcPr>
          <w:p>
            <w:pPr>
              <w:spacing w:after="0"/>
              <w:rPr>
                <w:sz w:val="21"/>
                <w:szCs w:val="21"/>
                <w:color w:val="auto"/>
              </w:rPr>
            </w:pPr>
          </w:p>
        </w:tc>
      </w:tr>
      <w:tr>
        <w:trPr>
          <w:trHeight w:val="24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Enerpac Tool Group Corp.</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EPAC</w:t>
            </w:r>
          </w:p>
        </w:tc>
        <w:tc>
          <w:tcPr>
            <w:tcW w:w="2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Matthews International Corporation</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MATW</w:t>
            </w:r>
          </w:p>
        </w:tc>
        <w:tc>
          <w:tcPr>
            <w:tcW w:w="2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Vicor Corporation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VICR</w:t>
            </w:r>
          </w:p>
        </w:tc>
        <w:tc>
          <w:tcPr>
            <w:tcW w:w="20" w:type="dxa"/>
            <w:vAlign w:val="bottom"/>
            <w:shd w:val="clear" w:color="auto" w:fill="000000"/>
          </w:tcPr>
          <w:p>
            <w:pPr>
              <w:spacing w:after="0"/>
              <w:rPr>
                <w:sz w:val="21"/>
                <w:szCs w:val="21"/>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100"/>
              <w:spacing w:after="0"/>
              <w:rPr>
                <w:sz w:val="20"/>
                <w:szCs w:val="20"/>
                <w:color w:val="auto"/>
              </w:rPr>
            </w:pPr>
            <w:r>
              <w:rPr>
                <w:rFonts w:ascii="Times New Roman" w:cs="Times New Roman" w:eastAsia="Times New Roman" w:hAnsi="Times New Roman"/>
                <w:sz w:val="18"/>
                <w:szCs w:val="18"/>
                <w:color w:val="auto"/>
              </w:rPr>
              <w:t>Enpro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NPO</w:t>
            </w:r>
          </w:p>
        </w:tc>
        <w:tc>
          <w:tcPr>
            <w:tcW w:w="278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Mercury Systems,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rPr>
              <w:t>MRCY</w:t>
            </w:r>
          </w:p>
        </w:tc>
        <w:tc>
          <w:tcPr>
            <w:tcW w:w="266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Wabash National Corporation</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WNC</w:t>
            </w:r>
          </w:p>
        </w:tc>
        <w:tc>
          <w:tcPr>
            <w:tcW w:w="20" w:type="dxa"/>
            <w:vAlign w:val="bottom"/>
            <w:tcBorders>
              <w:bottom w:val="single" w:sz="8" w:color="auto"/>
            </w:tcBorders>
            <w:shd w:val="clear" w:color="auto" w:fill="000000"/>
          </w:tcPr>
          <w:p>
            <w:pPr>
              <w:spacing w:after="0"/>
              <w:rPr>
                <w:sz w:val="21"/>
                <w:szCs w:val="21"/>
                <w:color w:val="auto"/>
              </w:rPr>
            </w:pPr>
          </w:p>
        </w:tc>
      </w:tr>
      <w:tr>
        <w:trPr>
          <w:trHeight w:val="24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Enviri Corporation</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NVRI</w:t>
            </w:r>
          </w:p>
        </w:tc>
        <w:tc>
          <w:tcPr>
            <w:tcW w:w="2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MillerKnoll,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MLKN</w:t>
            </w:r>
          </w:p>
        </w:tc>
        <w:tc>
          <w:tcPr>
            <w:tcW w:w="2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Werner Enterprises,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WERN</w:t>
            </w:r>
          </w:p>
        </w:tc>
        <w:tc>
          <w:tcPr>
            <w:tcW w:w="20" w:type="dxa"/>
            <w:vAlign w:val="bottom"/>
            <w:shd w:val="clear" w:color="auto" w:fill="000000"/>
          </w:tcPr>
          <w:p>
            <w:pPr>
              <w:spacing w:after="0"/>
              <w:rPr>
                <w:sz w:val="21"/>
                <w:szCs w:val="21"/>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25"/>
        </w:trPr>
        <w:tc>
          <w:tcPr>
            <w:tcW w:w="2840" w:type="dxa"/>
            <w:vAlign w:val="bottom"/>
            <w:tcBorders>
              <w:left w:val="single" w:sz="8" w:color="auto"/>
              <w:right w:val="single" w:sz="8" w:color="auto"/>
            </w:tcBorders>
            <w:shd w:val="clear" w:color="auto" w:fill="E8ECF5"/>
          </w:tcPr>
          <w:p>
            <w:pPr>
              <w:spacing w:after="0"/>
              <w:rPr>
                <w:sz w:val="19"/>
                <w:szCs w:val="19"/>
                <w:color w:val="auto"/>
              </w:rPr>
            </w:pPr>
          </w:p>
        </w:tc>
        <w:tc>
          <w:tcPr>
            <w:tcW w:w="960" w:type="dxa"/>
            <w:vAlign w:val="bottom"/>
            <w:tcBorders>
              <w:right w:val="single" w:sz="8" w:color="auto"/>
            </w:tcBorders>
            <w:shd w:val="clear" w:color="auto" w:fill="E8ECF5"/>
          </w:tcPr>
          <w:p>
            <w:pPr>
              <w:spacing w:after="0"/>
              <w:rPr>
                <w:sz w:val="19"/>
                <w:szCs w:val="19"/>
                <w:color w:val="auto"/>
              </w:rPr>
            </w:pPr>
          </w:p>
        </w:tc>
        <w:tc>
          <w:tcPr>
            <w:tcW w:w="2780" w:type="dxa"/>
            <w:vAlign w:val="bottom"/>
            <w:tcBorders>
              <w:right w:val="single" w:sz="8" w:color="auto"/>
            </w:tcBorders>
            <w:shd w:val="clear" w:color="auto" w:fill="E8ECF5"/>
          </w:tcPr>
          <w:p>
            <w:pPr>
              <w:spacing w:after="0"/>
              <w:rPr>
                <w:sz w:val="19"/>
                <w:szCs w:val="19"/>
                <w:color w:val="auto"/>
              </w:rPr>
            </w:pPr>
          </w:p>
        </w:tc>
        <w:tc>
          <w:tcPr>
            <w:tcW w:w="960" w:type="dxa"/>
            <w:vAlign w:val="bottom"/>
            <w:tcBorders>
              <w:right w:val="single" w:sz="8" w:color="auto"/>
            </w:tcBorders>
            <w:shd w:val="clear" w:color="auto" w:fill="E8ECF5"/>
          </w:tcPr>
          <w:p>
            <w:pPr>
              <w:spacing w:after="0"/>
              <w:rPr>
                <w:sz w:val="19"/>
                <w:szCs w:val="19"/>
                <w:color w:val="auto"/>
              </w:rPr>
            </w:pPr>
          </w:p>
        </w:tc>
        <w:tc>
          <w:tcPr>
            <w:tcW w:w="2660" w:type="dxa"/>
            <w:vAlign w:val="bottom"/>
            <w:tcBorders>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Zurn Elkay Water Solutions</w:t>
            </w:r>
          </w:p>
        </w:tc>
        <w:tc>
          <w:tcPr>
            <w:tcW w:w="1040" w:type="dxa"/>
            <w:vAlign w:val="bottom"/>
            <w:shd w:val="clear" w:color="auto" w:fill="E8ECF5"/>
          </w:tcPr>
          <w:p>
            <w:pPr>
              <w:spacing w:after="0"/>
              <w:rPr>
                <w:sz w:val="19"/>
                <w:szCs w:val="19"/>
                <w:color w:val="auto"/>
              </w:rPr>
            </w:pPr>
          </w:p>
        </w:tc>
        <w:tc>
          <w:tcPr>
            <w:tcW w:w="20" w:type="dxa"/>
            <w:vAlign w:val="bottom"/>
            <w:shd w:val="clear" w:color="auto" w:fill="000000"/>
          </w:tcPr>
          <w:p>
            <w:pPr>
              <w:spacing w:after="0"/>
              <w:rPr>
                <w:sz w:val="19"/>
                <w:szCs w:val="19"/>
                <w:color w:val="auto"/>
              </w:rPr>
            </w:pPr>
          </w:p>
        </w:tc>
      </w:tr>
      <w:tr>
        <w:trPr>
          <w:trHeight w:val="286"/>
        </w:trPr>
        <w:tc>
          <w:tcPr>
            <w:tcW w:w="2840" w:type="dxa"/>
            <w:vAlign w:val="bottom"/>
            <w:tcBorders>
              <w:left w:val="single" w:sz="8" w:color="auto"/>
              <w:bottom w:val="single" w:sz="8" w:color="E8ECF5"/>
              <w:right w:val="single" w:sz="8" w:color="auto"/>
            </w:tcBorders>
            <w:shd w:val="clear" w:color="auto" w:fill="E8ECF5"/>
          </w:tcPr>
          <w:p>
            <w:pPr>
              <w:ind w:left="100"/>
              <w:spacing w:after="0"/>
              <w:rPr>
                <w:sz w:val="20"/>
                <w:szCs w:val="20"/>
                <w:color w:val="auto"/>
              </w:rPr>
            </w:pPr>
            <w:r>
              <w:rPr>
                <w:rFonts w:ascii="Times New Roman" w:cs="Times New Roman" w:eastAsia="Times New Roman" w:hAnsi="Times New Roman"/>
                <w:sz w:val="18"/>
                <w:szCs w:val="18"/>
                <w:color w:val="auto"/>
              </w:rPr>
              <w:t>ESCO Technologies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ESE</w:t>
            </w:r>
          </w:p>
        </w:tc>
        <w:tc>
          <w:tcPr>
            <w:tcW w:w="278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Moog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7"/>
              </w:rPr>
              <w:t>MOG.A</w:t>
            </w:r>
          </w:p>
        </w:tc>
        <w:tc>
          <w:tcPr>
            <w:tcW w:w="266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Corporation</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ZWS</w:t>
            </w:r>
          </w:p>
        </w:tc>
        <w:tc>
          <w:tcPr>
            <w:tcW w:w="20" w:type="dxa"/>
            <w:vAlign w:val="bottom"/>
            <w:tcBorders>
              <w:bottom w:val="single" w:sz="8" w:color="auto"/>
            </w:tcBorders>
            <w:shd w:val="clear" w:color="auto" w:fill="000000"/>
          </w:tcPr>
          <w:p>
            <w:pPr>
              <w:spacing w:after="0"/>
              <w:rPr>
                <w:sz w:val="24"/>
                <w:szCs w:val="24"/>
                <w:color w:val="auto"/>
              </w:rPr>
            </w:pPr>
          </w:p>
        </w:tc>
      </w:tr>
      <w:tr>
        <w:trPr>
          <w:trHeight w:val="203"/>
        </w:trPr>
        <w:tc>
          <w:tcPr>
            <w:tcW w:w="2840" w:type="dxa"/>
            <w:vAlign w:val="bottom"/>
            <w:tcBorders>
              <w:top w:val="single" w:sz="8" w:color="E8ECF5"/>
              <w:left w:val="single" w:sz="8" w:color="auto"/>
              <w:right w:val="single" w:sz="8" w:color="auto"/>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Everus Construction Group, Inc.</w:t>
            </w:r>
          </w:p>
        </w:tc>
        <w:tc>
          <w:tcPr>
            <w:tcW w:w="960" w:type="dxa"/>
            <w:vAlign w:val="bottom"/>
            <w:tcBorders>
              <w:top w:val="single" w:sz="8" w:color="E8ECF5"/>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ECG</w:t>
            </w:r>
          </w:p>
        </w:tc>
        <w:tc>
          <w:tcPr>
            <w:tcW w:w="2780" w:type="dxa"/>
            <w:vAlign w:val="bottom"/>
            <w:tcBorders>
              <w:top w:val="single" w:sz="8" w:color="E8ECF5"/>
              <w:right w:val="single" w:sz="8" w:color="auto"/>
            </w:tcBorders>
          </w:tcPr>
          <w:p>
            <w:pPr>
              <w:ind w:left="80"/>
              <w:spacing w:after="0" w:line="203" w:lineRule="exact"/>
              <w:rPr>
                <w:sz w:val="20"/>
                <w:szCs w:val="20"/>
                <w:color w:val="auto"/>
              </w:rPr>
            </w:pPr>
            <w:r>
              <w:rPr>
                <w:rFonts w:ascii="Times New Roman" w:cs="Times New Roman" w:eastAsia="Times New Roman" w:hAnsi="Times New Roman"/>
                <w:sz w:val="18"/>
                <w:szCs w:val="18"/>
                <w:color w:val="auto"/>
              </w:rPr>
              <w:t>MYR Group Inc.</w:t>
            </w:r>
          </w:p>
        </w:tc>
        <w:tc>
          <w:tcPr>
            <w:tcW w:w="960" w:type="dxa"/>
            <w:vAlign w:val="bottom"/>
            <w:tcBorders>
              <w:top w:val="single" w:sz="8" w:color="E8ECF5"/>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MYRG</w:t>
            </w:r>
          </w:p>
        </w:tc>
        <w:tc>
          <w:tcPr>
            <w:tcW w:w="26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100"/>
              <w:spacing w:after="0"/>
              <w:rPr>
                <w:sz w:val="20"/>
                <w:szCs w:val="20"/>
                <w:color w:val="auto"/>
              </w:rPr>
            </w:pPr>
            <w:r>
              <w:rPr>
                <w:rFonts w:ascii="Times New Roman" w:cs="Times New Roman" w:eastAsia="Times New Roman" w:hAnsi="Times New Roman"/>
                <w:sz w:val="18"/>
                <w:szCs w:val="18"/>
                <w:color w:val="auto"/>
              </w:rPr>
              <w:t>Federal Signal Corporation</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FSS</w:t>
            </w:r>
          </w:p>
        </w:tc>
        <w:tc>
          <w:tcPr>
            <w:tcW w:w="2780" w:type="dxa"/>
            <w:vAlign w:val="bottom"/>
            <w:tcBorders>
              <w:bottom w:val="single" w:sz="8" w:color="E8ECF5"/>
              <w:right w:val="single" w:sz="8" w:color="auto"/>
            </w:tcBorders>
            <w:shd w:val="clear" w:color="auto" w:fill="E8ECF5"/>
          </w:tcPr>
          <w:p>
            <w:pPr>
              <w:ind w:left="80"/>
              <w:spacing w:after="0"/>
              <w:rPr>
                <w:sz w:val="20"/>
                <w:szCs w:val="20"/>
                <w:color w:val="auto"/>
              </w:rPr>
            </w:pPr>
            <w:r>
              <w:rPr>
                <w:rFonts w:ascii="Times New Roman" w:cs="Times New Roman" w:eastAsia="Times New Roman" w:hAnsi="Times New Roman"/>
                <w:sz w:val="18"/>
                <w:szCs w:val="18"/>
                <w:color w:val="auto"/>
              </w:rPr>
              <w:t>National Presto Industries,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NPK</w:t>
            </w:r>
          </w:p>
        </w:tc>
        <w:tc>
          <w:tcPr>
            <w:tcW w:w="26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8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78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-6531610</wp:posOffset>
            </wp:positionV>
            <wp:extent cx="23837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260"/>
          </w:cols>
          <w:pgMar w:left="320" w:top="1440" w:right="3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 AGREEMENT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GLOSSARY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w:t>
      </w:r>
    </w:p>
    <w:p>
      <w:pPr>
        <w:spacing w:after="0" w:line="2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(a) Grantee’s conviction of or plea of guilty or nolo contendere to a crime constituting a felony under the laws of the United States or any State thereof or any other jurisdiction in which the Company or its Subsidiaries conduct business; (b) Grantee’s willful misconduct in the performance of his or her duties to the Company or its Subsidiaries and failure to cure such breach within thirty (30) days following written notice thereof from the Company; (c) Grantee’s willful failure or refusal to follow directions from the Board (or direct reporting executive) and failure to cure such breach within thirty (30) days following written notice thereof from the Board; or (d) Grantee’s breach of fiduciary duty to the Company or its Subsidiaries for personal profit. Any failure by the Company or a Subsidiary of the Company to notify Grantee after the first occurrence of an event constituting Cause shall not preclude any subsequent occurrences of such event (or a similar event) from constituting Cause.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(and similar terms) means Grantee’s 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199" w:lineRule="exact"/>
        <w:rPr>
          <w:sz w:val="20"/>
          <w:szCs w:val="20"/>
          <w:color w:val="auto"/>
        </w:rPr>
      </w:pPr>
    </w:p>
    <w:p>
      <w:pPr>
        <w:ind w:left="1300" w:hanging="644"/>
        <w:spacing w:after="0" w:line="271" w:lineRule="auto"/>
        <w:tabs>
          <w:tab w:leader="none" w:pos="115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contracted, suffered, or incurred while Grantee was engaged in, or resulted from Grantee having engaged in, a felonious activity;</w:t>
      </w:r>
    </w:p>
    <w:p>
      <w:pPr>
        <w:spacing w:after="0" w:line="198"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21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an intentionally self-inflicted injury or an addiction to drugs, alcohol, or substances which are not administered under the direction of a licensed physician as part of a medical treatment plan; or</w:t>
      </w:r>
    </w:p>
    <w:p>
      <w:pPr>
        <w:spacing w:after="0" w:line="184" w:lineRule="exact"/>
        <w:rPr>
          <w:rFonts w:ascii="Times New Roman" w:cs="Times New Roman" w:eastAsia="Times New Roman" w:hAnsi="Times New Roman"/>
          <w:sz w:val="22"/>
          <w:szCs w:val="22"/>
          <w:color w:val="auto"/>
        </w:rPr>
      </w:pPr>
    </w:p>
    <w:p>
      <w:pPr>
        <w:ind w:left="1300" w:hanging="644"/>
        <w:spacing w:after="0" w:line="257" w:lineRule="auto"/>
        <w:tabs>
          <w:tab w:leader="none" w:pos="110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213"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18" w:right="339" w:bottom="1440" w:gutter="0" w:footer="0" w:header="0"/>
        </w:sectPr>
      </w:pPr>
    </w:p>
    <w:bookmarkStart w:id="65" w:name="page66"/>
    <w:bookmarkEnd w:id="65"/>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 to submit to any medical examination properly requested by the Committee or the Company, then in any such event Grantee shall be deemed to have recovered from such Disability.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w:t>
      </w:r>
    </w:p>
    <w:p>
      <w:pPr>
        <w:spacing w:after="0" w:line="251" w:lineRule="exact"/>
        <w:rPr>
          <w:sz w:val="20"/>
          <w:szCs w:val="20"/>
          <w:color w:val="auto"/>
        </w:rPr>
      </w:pPr>
    </w:p>
    <w:p>
      <w:pPr>
        <w:ind w:left="1160" w:hanging="504"/>
        <w:spacing w:after="0"/>
        <w:tabs>
          <w:tab w:leader="none" w:pos="11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and permanent diminution in Grantee’s duties or responsibilities;</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25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aggregate value of base salary and bonus opportunity provided to Grantee by the Company; or</w:t>
      </w:r>
    </w:p>
    <w:p>
      <w:pPr>
        <w:spacing w:after="0" w:line="15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permanent reassignment of Grantee to another primary office more than 50 miles from the current office location.</w:t>
      </w:r>
    </w:p>
    <w:p>
      <w:pPr>
        <w:spacing w:after="0" w:line="2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Grantee must notify the Company of Grantee’s intention to invoke termination for Good Reason within 90 days after Grantee has knowledge of such event and provide the Company 30 days’ opportunity for cure, and Grantee must actually terminate Grantee’s employment with the Company prior to the 365th day following such occurrence or such event shall not constitute Good Reason. Grantee may not invoke termination for Good Reason if Cause exists or Grantee has violated Section II.B.3 of the Agreement at the time of such termination.</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“Qualifying Termination” </w:t>
      </w:r>
      <w:r>
        <w:rPr>
          <w:rFonts w:ascii="Times New Roman" w:cs="Times New Roman" w:eastAsia="Times New Roman" w:hAnsi="Times New Roman"/>
          <w:sz w:val="22"/>
          <w:szCs w:val="22"/>
          <w:color w:val="auto"/>
        </w:rPr>
        <w:t>means a termination of Grantee’s status as a Service Provider with the Company or a Subsidiary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reason other than:</w:t>
      </w:r>
    </w:p>
    <w:p>
      <w:pPr>
        <w:spacing w:after="0" w:line="168" w:lineRule="exact"/>
        <w:rPr>
          <w:sz w:val="20"/>
          <w:szCs w:val="20"/>
          <w:color w:val="auto"/>
        </w:rPr>
      </w:pPr>
    </w:p>
    <w:p>
      <w:pPr>
        <w:ind w:left="1080" w:hanging="424"/>
        <w:spacing w:after="0"/>
        <w:tabs>
          <w:tab w:leader="none" w:pos="108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1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w:t>
      </w:r>
    </w:p>
    <w:p>
      <w:pPr>
        <w:spacing w:after="0" w:line="219"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w:t>
      </w:r>
    </w:p>
    <w:p>
      <w:pPr>
        <w:spacing w:after="0" w:line="219" w:lineRule="exact"/>
        <w:rPr>
          <w:rFonts w:ascii="Times New Roman" w:cs="Times New Roman" w:eastAsia="Times New Roman" w:hAnsi="Times New Roman"/>
          <w:sz w:val="22"/>
          <w:szCs w:val="22"/>
          <w:color w:val="auto"/>
        </w:rPr>
      </w:pPr>
    </w:p>
    <w:p>
      <w:pPr>
        <w:ind w:left="760" w:hanging="536"/>
        <w:spacing w:after="0"/>
        <w:tabs>
          <w:tab w:leader="none" w:pos="7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Grantee without Good Reason; or</w:t>
      </w:r>
    </w:p>
    <w:p>
      <w:pPr>
        <w:spacing w:after="0" w:line="260" w:lineRule="exact"/>
        <w:rPr>
          <w:rFonts w:ascii="Times New Roman" w:cs="Times New Roman" w:eastAsia="Times New Roman" w:hAnsi="Times New Roman"/>
          <w:sz w:val="22"/>
          <w:szCs w:val="22"/>
          <w:color w:val="auto"/>
        </w:rPr>
      </w:pPr>
    </w:p>
    <w:p>
      <w:pPr>
        <w:ind w:left="700" w:hanging="476"/>
        <w:spacing w:after="0"/>
        <w:tabs>
          <w:tab w:leader="none" w:pos="7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w:t>
      </w: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means termination of Grantee’s status as a Service Provider after attaining age 60 and five years of service with the Company and its Subsidiaries, provided that Grantee provides written notice of the date of such Retirement to the Chief Executive Officer of the Company at least 90 days prior to the date of such Retirement (further provided that, for purposes of determining satisfaction of the years of service requirement described herein, years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2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1"/>
          <w:szCs w:val="21"/>
          <w:color w:val="auto"/>
        </w:rPr>
        <w:t>with a Subsidiary shall only include service provided by Grantee after such Subsidiary becomes a subsidiary of the Company).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individual actively providing services to the Company or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320" w:top="1422" w:right="6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2"/>
          <w:szCs w:val="22"/>
          <w:b w:val="1"/>
          <w:bCs w:val="1"/>
          <w:color w:val="auto"/>
        </w:rPr>
        <w:t>APPENDIX 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 AGREEMENT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NON-U.S. ADDENDUM</w:t>
      </w:r>
    </w:p>
    <w:p>
      <w:pPr>
        <w:spacing w:after="0" w:line="247"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b w:val="1"/>
          <w:bCs w:val="1"/>
          <w:color w:val="auto"/>
        </w:rPr>
        <w:t>Additional Terms and Conditions for Equity Grants Under the TriMas Corporation 2023 Equity and Incentive Compensation Plan, as amended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February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This Addendum includes additional terms and conditions that govern the performance-based Restricted Stock Units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granted to you under the TriMas Corporation 2023 Equity and Incentive Compensation Plan (referred to as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if you reside in the United Kingdom. Certain capitalized terms used but not defined in this Addendum have the meanings set forth in the Plan and/or your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UNITED KINGDOM</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UK Sub-Plan</w:t>
      </w:r>
      <w:r>
        <w:rPr>
          <w:rFonts w:ascii="Times New Roman" w:cs="Times New Roman" w:eastAsia="Times New Roman" w:hAnsi="Times New Roman"/>
          <w:sz w:val="22"/>
          <w:szCs w:val="22"/>
          <w:color w:val="auto"/>
        </w:rPr>
        <w:t>. Your grant of PSUs is being made pursuant to the UK Sub-Plan, which contains additional terms and conditions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govern your PSUs and participation in the Plan. Please review that document carefully.</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Disability. </w:t>
      </w:r>
      <w:r>
        <w:rPr>
          <w:rFonts w:ascii="Times New Roman" w:cs="Times New Roman" w:eastAsia="Times New Roman" w:hAnsi="Times New Roman"/>
          <w:sz w:val="22"/>
          <w:szCs w:val="22"/>
          <w:color w:val="auto"/>
        </w:rPr>
        <w:t>For purposes of the Agreement, the definition of “Disability” in Appendix B hereto shall be qualified by the inclusion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following phrase after the word “means”: “, subject to and in compliance with the requirements of laws of the United Kingdom,”</w:t>
      </w:r>
    </w:p>
    <w:p>
      <w:pPr>
        <w:spacing w:after="0" w:line="18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Retirement. </w:t>
      </w:r>
      <w:r>
        <w:rPr>
          <w:rFonts w:ascii="Times New Roman" w:cs="Times New Roman" w:eastAsia="Times New Roman" w:hAnsi="Times New Roman"/>
          <w:sz w:val="22"/>
          <w:szCs w:val="22"/>
          <w:color w:val="auto"/>
        </w:rPr>
        <w:t>For purposes of the Agreement, the definition of “Retirement” in Appendix B hereto shall not apply. Further,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II.A.6(e) of the Agreement is hereby amended in its entirety to read as follows:</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If Grantee ceases to be a Service Provider prior to prior to the Settlement Date due to Grantee’s retirement, Grantee shall become vested at the end of the Performance Period in the number of PSUs that would have been actually earned due to the achievement of the performance measures specified in Appendix A, assuming Grantee had continued to be a Service Provider through the Settlement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b w:val="1"/>
          <w:bCs w:val="1"/>
          <w:color w:val="auto"/>
        </w:rPr>
        <w:t>Dividend Equivalent Rights</w:t>
      </w:r>
      <w:r>
        <w:rPr>
          <w:rFonts w:ascii="Times New Roman" w:cs="Times New Roman" w:eastAsia="Times New Roman" w:hAnsi="Times New Roman"/>
          <w:sz w:val="22"/>
          <w:szCs w:val="22"/>
          <w:color w:val="auto"/>
        </w:rPr>
        <w:t>. Section II.A.3 of the Agreement is hereby amended in its entirety to read as follows:</w:t>
      </w:r>
    </w:p>
    <w:p>
      <w:pPr>
        <w:spacing w:after="0" w:line="251"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2"/>
          <w:szCs w:val="22"/>
          <w:color w:val="auto"/>
        </w:rPr>
        <w:t>“Grantee shall be notionally credited with cash per PSU equal to the amount of each cash dividend paid by the Company (if any) to holders of Common Stock generally with a record date occurring on or after the Date of Grant and prior to the time when the PSUs are earned and/or vest and are settled in accordance with Section II.A.7 hereof. Any amounts notionally credited pursuant to the immediately preceding sentence shall be subject to the same applicable terms and conditions (including earning, vesting, payment, and forfeitability) as apply to the PSUs based on which the dividend equivalents were notionally credited, and such amounts shall be paid in Common Stock at the same time as the PSUs to which they relate. The number of shares so paid shall be rounded down to the nearest whole number and shall be determined by dividing the amounts so notionally credited by the Market Value per Share on the payment date. Notwithstanding the foregoing provisions of this Section II.A.3, Grantee shall not be entitled to the cash notionally credited at any time to the PSUs (or the Common Stock representing the same, as the case may be) either legally or beneficially unless and until Grantee becomes entitled to receive the actual Common Stock in respect of this Award pursuant to Section II.A.7 of this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Withholding</w:t>
      </w:r>
      <w:r>
        <w:rPr>
          <w:rFonts w:ascii="Times New Roman" w:cs="Times New Roman" w:eastAsia="Times New Roman" w:hAnsi="Times New Roman"/>
          <w:sz w:val="22"/>
          <w:szCs w:val="22"/>
          <w:color w:val="auto"/>
        </w:rPr>
        <w:t>. Section II.B.2 of the Agreement is hereby amended in its entirety to read as follows:</w:t>
      </w:r>
    </w:p>
    <w:p>
      <w:pPr>
        <w:spacing w:after="0" w:line="2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“Grantee hereby indemnifies the Company, Grantee’s employer or any other person in respect of:</w:t>
      </w:r>
    </w:p>
    <w:p>
      <w:pPr>
        <w:spacing w:after="0" w:line="247" w:lineRule="exact"/>
        <w:rPr>
          <w:sz w:val="20"/>
          <w:szCs w:val="20"/>
          <w:color w:val="auto"/>
        </w:rPr>
      </w:pPr>
    </w:p>
    <w:p>
      <w:pPr>
        <w:ind w:left="1960" w:right="640" w:hanging="656"/>
        <w:spacing w:after="0" w:line="252" w:lineRule="auto"/>
        <w:tabs>
          <w:tab w:leader="none" w:pos="175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of income tax for which the Company, Grantee’s employer or any other person is obliged to account under the Pay-As-You-Earn system and any amounts of employee’s national insurance contributions arising from the earning and/or vesting of this Award (or which would not otherwise have arisen but for the grant of this Award to Grantee); and</w:t>
      </w:r>
    </w:p>
    <w:p>
      <w:pPr>
        <w:spacing w:after="0" w:line="219" w:lineRule="exact"/>
        <w:rPr>
          <w:rFonts w:ascii="Times New Roman" w:cs="Times New Roman" w:eastAsia="Times New Roman" w:hAnsi="Times New Roman"/>
          <w:sz w:val="22"/>
          <w:szCs w:val="22"/>
          <w:color w:val="auto"/>
        </w:rPr>
      </w:pPr>
    </w:p>
    <w:p>
      <w:pPr>
        <w:jc w:val="right"/>
        <w:ind w:left="1960" w:right="640" w:hanging="656"/>
        <w:spacing w:after="0" w:line="260" w:lineRule="auto"/>
        <w:tabs>
          <w:tab w:leader="none" w:pos="1797"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amount of income tax for which the Company, Grantee’s employer or any other person is obliged to account under the Pay-As-You-Earn system and any amounts of employee’s national insurance contributions arising in respect of, or in connection with the holding or disposal by Grantee of the shares of Common Stock acquired pursuant to this Award or the conversion of such shares of Common Stock into securities of another description whilst such shares of Common Stock are held</w:t>
      </w:r>
    </w:p>
    <w:p>
      <w:pPr>
        <w:ind w:left="1960"/>
        <w:spacing w:after="0"/>
        <w:rPr>
          <w:sz w:val="20"/>
          <w:szCs w:val="20"/>
          <w:color w:val="auto"/>
        </w:rPr>
      </w:pPr>
      <w:r>
        <w:rPr>
          <w:rFonts w:ascii="Times New Roman" w:cs="Times New Roman" w:eastAsia="Times New Roman" w:hAnsi="Times New Roman"/>
          <w:sz w:val="22"/>
          <w:szCs w:val="22"/>
          <w:color w:val="auto"/>
        </w:rPr>
        <w:t>by Grantee,</w:t>
      </w:r>
    </w:p>
    <w:p>
      <w:pPr>
        <w:spacing w:after="0" w:line="15" w:lineRule="exact"/>
        <w:rPr>
          <w:sz w:val="20"/>
          <w:szCs w:val="20"/>
          <w:color w:val="auto"/>
        </w:rPr>
      </w:pPr>
    </w:p>
    <w:p>
      <w:pPr>
        <w:jc w:val="both"/>
        <w:ind w:left="660" w:right="660" w:hanging="381"/>
        <w:spacing w:after="0" w:line="245" w:lineRule="auto"/>
        <w:rPr>
          <w:sz w:val="20"/>
          <w:szCs w:val="20"/>
          <w:color w:val="auto"/>
        </w:rPr>
      </w:pPr>
      <w:r>
        <w:rPr>
          <w:rFonts w:ascii="Times New Roman" w:cs="Times New Roman" w:eastAsia="Times New Roman" w:hAnsi="Times New Roman"/>
          <w:sz w:val="22"/>
          <w:szCs w:val="22"/>
          <w:color w:val="auto"/>
        </w:rPr>
        <w:t>and in pursuance of such indemnity, Grantee hereby agrees that he or she shall pay to the Company (or to such other entity as directed by it) such amount as shall be notified to Grantee by the Company as being due on any occasion under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18" w:right="339" w:bottom="1440" w:gutter="0" w:footer="0" w:header="0"/>
        </w:sectPr>
      </w:pPr>
    </w:p>
    <w:bookmarkStart w:id="69" w:name="page70"/>
    <w:bookmarkEnd w:id="69"/>
    <w:p>
      <w:pPr>
        <w:jc w:val="both"/>
        <w:ind w:left="480" w:right="560"/>
        <w:spacing w:after="0" w:line="249" w:lineRule="auto"/>
        <w:rPr>
          <w:sz w:val="20"/>
          <w:szCs w:val="20"/>
          <w:color w:val="auto"/>
        </w:rPr>
      </w:pPr>
      <w:r>
        <w:rPr>
          <w:rFonts w:ascii="Times New Roman" w:cs="Times New Roman" w:eastAsia="Times New Roman" w:hAnsi="Times New Roman"/>
          <w:sz w:val="22"/>
          <w:szCs w:val="22"/>
          <w:color w:val="auto"/>
        </w:rPr>
        <w:t>indemnity, within seven days after being so notified. To the extent that Grantee fails to pay any amount so notified to him or her by the Company within seven days after such notification, Grantee hereby agrees that the Company may withhold, or procure the withholding, from any salary, wages, payment or payments due to Grantee from the Company or Grantee’s employer an amount which is equal to the amount notified to Grantee, sell or procure the sale of sufficient of the shares of Common Stock acquired by Grantee pursuant to this 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w:t>
      </w:r>
    </w:p>
    <w:p>
      <w:pPr>
        <w:spacing w:after="0" w:line="222" w:lineRule="exact"/>
        <w:rPr>
          <w:sz w:val="20"/>
          <w:szCs w:val="20"/>
          <w:color w:val="auto"/>
        </w:rPr>
      </w:pPr>
    </w:p>
    <w:p>
      <w:pPr>
        <w:ind w:left="480"/>
        <w:spacing w:after="0" w:line="248" w:lineRule="auto"/>
        <w:rPr>
          <w:sz w:val="20"/>
          <w:szCs w:val="20"/>
          <w:color w:val="auto"/>
        </w:rPr>
      </w:pPr>
      <w:r>
        <w:rPr>
          <w:rFonts w:ascii="Times New Roman" w:cs="Times New Roman" w:eastAsia="Times New Roman" w:hAnsi="Times New Roman"/>
          <w:sz w:val="22"/>
          <w:szCs w:val="22"/>
          <w:color w:val="auto"/>
        </w:rPr>
        <w:t>Grantee acknowledges and agrees that the Company may increase the number of shares of Common Stock to be withheld by, or to be delivered to, the Company in order to satisfy any income tax or employees national insurance contributions required by applicable law to be withheld upon the issuance, vesting or delivery of any shares of Common Stock, dividends or dividend equivalent payments of any kind from any payments due to Grantee to such number of shares of Common Stock that has an aggregate fair market value sufficient to satisfy no more than the maximum statutory withholding obligations calculated on the basis of the aggregate fair market value of the shares of Common Stock underlying the vesting (or, as the case may be, vested) PSUs,</w:t>
      </w:r>
    </w:p>
    <w:p>
      <w:pPr>
        <w:spacing w:after="0" w:line="3" w:lineRule="exact"/>
        <w:rPr>
          <w:sz w:val="20"/>
          <w:szCs w:val="20"/>
          <w:color w:val="auto"/>
        </w:rPr>
      </w:pPr>
    </w:p>
    <w:p>
      <w:pPr>
        <w:ind w:left="480" w:right="160"/>
        <w:spacing w:after="0" w:line="245" w:lineRule="auto"/>
        <w:rPr>
          <w:sz w:val="20"/>
          <w:szCs w:val="20"/>
          <w:color w:val="auto"/>
        </w:rPr>
      </w:pPr>
      <w:r>
        <w:rPr>
          <w:rFonts w:ascii="Times New Roman" w:cs="Times New Roman" w:eastAsia="Times New Roman" w:hAnsi="Times New Roman"/>
          <w:sz w:val="22"/>
          <w:szCs w:val="22"/>
          <w:color w:val="auto"/>
        </w:rPr>
        <w:t>provided that an amount equal to the difference between the aggregate fair market value of any such shares of Common Stock so withheld by, or delivered to, the Company and the statutory total tax withholding obligations (including any statutory withholding for social security contributions) is reimbursed to Grantee as soon as reasonably practicable following the remittance of any such statutory total tax withholdings to the relevant tax authorities.</w:t>
      </w:r>
    </w:p>
    <w:p>
      <w:pPr>
        <w:spacing w:after="0" w:line="226" w:lineRule="exact"/>
        <w:rPr>
          <w:sz w:val="20"/>
          <w:szCs w:val="20"/>
          <w:color w:val="auto"/>
        </w:rPr>
      </w:pPr>
    </w:p>
    <w:p>
      <w:pPr>
        <w:jc w:val="both"/>
        <w:ind w:left="480" w:right="560" w:hanging="406"/>
        <w:spacing w:after="0" w:line="251" w:lineRule="auto"/>
        <w:rPr>
          <w:sz w:val="20"/>
          <w:szCs w:val="20"/>
          <w:color w:val="auto"/>
        </w:rPr>
      </w:pPr>
      <w:r>
        <w:rPr>
          <w:rFonts w:ascii="Times New Roman" w:cs="Times New Roman" w:eastAsia="Times New Roman" w:hAnsi="Times New Roman"/>
          <w:sz w:val="22"/>
          <w:szCs w:val="22"/>
          <w:color w:val="auto"/>
        </w:rPr>
        <w:t>In the alternative to satisfying the indemnity in (i) above, Grantee hereby agrees that the Company may withhold from the total number of shares of Common Stock that become issuable to Grantee on vesting of this Award a number of shares of Common Stock with an aggregate Market Value per Share on the date of withholding equal to the amount due under (i) above as determined by the Company, in which case Grantee will be taken to have forfeited the right to be issued the number of shares of Common Stock so withheld in order to make good the amounts due under (i) above.</w:t>
      </w:r>
    </w:p>
    <w:p>
      <w:pPr>
        <w:spacing w:after="0" w:line="208" w:lineRule="exact"/>
        <w:rPr>
          <w:sz w:val="20"/>
          <w:szCs w:val="20"/>
          <w:color w:val="auto"/>
        </w:rPr>
      </w:pPr>
    </w:p>
    <w:p>
      <w:pPr>
        <w:jc w:val="both"/>
        <w:ind w:left="480" w:right="580" w:hanging="428"/>
        <w:spacing w:after="0" w:line="257" w:lineRule="auto"/>
        <w:rPr>
          <w:sz w:val="20"/>
          <w:szCs w:val="20"/>
          <w:color w:val="auto"/>
        </w:rPr>
      </w:pPr>
      <w:r>
        <w:rPr>
          <w:rFonts w:ascii="Times New Roman" w:cs="Times New Roman" w:eastAsia="Times New Roman" w:hAnsi="Times New Roman"/>
          <w:sz w:val="22"/>
          <w:szCs w:val="22"/>
          <w:color w:val="auto"/>
        </w:rPr>
        <w:t>The Company will not be obliged to deliver any shares of Common Stock to Grantee pursuant to this Award, if Grantee fails to comply with his or her obligations under the foregoing provisions of this Section II.B.2 and Grantee shall not be entitled to receive the delivery of such shares of Common Stock.</w:t>
      </w:r>
    </w:p>
    <w:p>
      <w:pPr>
        <w:spacing w:after="0" w:line="200" w:lineRule="exact"/>
        <w:rPr>
          <w:sz w:val="20"/>
          <w:szCs w:val="20"/>
          <w:color w:val="auto"/>
        </w:rPr>
      </w:pPr>
    </w:p>
    <w:p>
      <w:pPr>
        <w:jc w:val="both"/>
        <w:ind w:left="480" w:right="580" w:hanging="401"/>
        <w:spacing w:after="0" w:line="263" w:lineRule="auto"/>
        <w:rPr>
          <w:sz w:val="20"/>
          <w:szCs w:val="20"/>
          <w:color w:val="auto"/>
        </w:rPr>
      </w:pPr>
      <w:r>
        <w:rPr>
          <w:rFonts w:ascii="Times New Roman" w:cs="Times New Roman" w:eastAsia="Times New Roman" w:hAnsi="Times New Roman"/>
          <w:sz w:val="22"/>
          <w:szCs w:val="22"/>
          <w:color w:val="auto"/>
        </w:rPr>
        <w:t>It is a further condition of delivery of any shares of Common Stock pursuant to the vesting of this Award that Grantee will, if required to do so by the Company, enter into a joint election under section 431(1) of the United Kingdom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80"/>
          </w:cols>
          <w:pgMar w:left="500" w:top="1422" w:right="419" w:bottom="1440" w:gutter="0" w:footer="0" w:header="0"/>
        </w:sectPr>
      </w:pPr>
    </w:p>
    <w:bookmarkStart w:id="70" w:name="page71"/>
    <w:bookmarkEnd w:id="70"/>
    <w:p>
      <w:pPr>
        <w:jc w:val="both"/>
        <w:ind w:left="660" w:right="400"/>
        <w:spacing w:after="0" w:line="271" w:lineRule="auto"/>
        <w:rPr>
          <w:sz w:val="20"/>
          <w:szCs w:val="20"/>
          <w:color w:val="auto"/>
        </w:rPr>
      </w:pPr>
      <w:r>
        <w:rPr>
          <w:rFonts w:ascii="Times New Roman" w:cs="Times New Roman" w:eastAsia="Times New Roman" w:hAnsi="Times New Roman"/>
          <w:sz w:val="22"/>
          <w:szCs w:val="22"/>
          <w:color w:val="auto"/>
        </w:rPr>
        <w:t>Tax (Earnings and Pensions) Act 2003 (“</w:t>
      </w:r>
      <w:r>
        <w:rPr>
          <w:rFonts w:ascii="Times New Roman" w:cs="Times New Roman" w:eastAsia="Times New Roman" w:hAnsi="Times New Roman"/>
          <w:sz w:val="22"/>
          <w:szCs w:val="22"/>
          <w:u w:val="single" w:color="auto"/>
          <w:color w:val="auto"/>
        </w:rPr>
        <w:t>ITEPA</w:t>
      </w:r>
      <w:r>
        <w:rPr>
          <w:rFonts w:ascii="Times New Roman" w:cs="Times New Roman" w:eastAsia="Times New Roman" w:hAnsi="Times New Roman"/>
          <w:sz w:val="22"/>
          <w:szCs w:val="22"/>
          <w:color w:val="auto"/>
        </w:rPr>
        <w:t>”), the effect of which is that the Common Stock will be treated as if they were not restricted securities and that sections 425 to 430 of ITEPA will not apply to those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Whistleblower Protection. </w:t>
      </w:r>
      <w:r>
        <w:rPr>
          <w:rFonts w:ascii="Times New Roman" w:cs="Times New Roman" w:eastAsia="Times New Roman" w:hAnsi="Times New Roman"/>
          <w:sz w:val="21"/>
          <w:szCs w:val="21"/>
          <w:color w:val="auto"/>
        </w:rPr>
        <w:t>The last two sentences of Section II.B.3(b) are hereby amended in their entirety to read as follows:</w:t>
      </w:r>
    </w:p>
    <w:p>
      <w:pPr>
        <w:spacing w:after="0" w:line="276" w:lineRule="exact"/>
        <w:rPr>
          <w:sz w:val="20"/>
          <w:szCs w:val="20"/>
          <w:color w:val="auto"/>
        </w:rPr>
      </w:pPr>
    </w:p>
    <w:p>
      <w:pPr>
        <w:jc w:val="both"/>
        <w:ind w:left="660" w:right="380"/>
        <w:spacing w:after="0" w:line="246" w:lineRule="auto"/>
        <w:rPr>
          <w:sz w:val="20"/>
          <w:szCs w:val="20"/>
          <w:color w:val="auto"/>
        </w:rPr>
      </w:pPr>
      <w:r>
        <w:rPr>
          <w:rFonts w:ascii="Times New Roman" w:cs="Times New Roman" w:eastAsia="Times New Roman" w:hAnsi="Times New Roman"/>
          <w:sz w:val="22"/>
          <w:szCs w:val="22"/>
          <w:color w:val="auto"/>
        </w:rPr>
        <w:t>“Notwithstanding anything in this Agreement to the contrary (or in any other agreement, contract or arrangement with the Company or its subsidiaries or affiliates, or in any policy, procedure or practice of the Company or its subsidiaries or affiliates (collectively, the “Arrangements”)): (x) nothing in the Arrangements or otherwise limits Grantee’s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(y) nothing in the Arrangements or otherwise prevents Grantee, in accordance with applicable law, from (i) making a protected disclosure under section 43A of the Employment Rights Act 1996; (ii) making a disclosure to a regulator regarding any misconduct, wrongdoing or serious breach of regulatory requirements, or reporting a criminal offence to any law enforcement agency; (iii) co-operating with any law enforcement agency regarding a criminal investigation or prosecution; or (iv)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 The Company nonetheless asserts and does not waive its attorney-client privilege over any information (including documents) appropriately protected by privilege.”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Restrictive Covenants. </w:t>
      </w:r>
      <w:r>
        <w:rPr>
          <w:rFonts w:ascii="Times New Roman" w:cs="Times New Roman" w:eastAsia="Times New Roman" w:hAnsi="Times New Roman"/>
          <w:sz w:val="22"/>
          <w:szCs w:val="22"/>
          <w:color w:val="auto"/>
        </w:rPr>
        <w:t>Section II.B.3(c) is hereby amended in its entirety to read as follows:</w:t>
      </w:r>
    </w:p>
    <w:p>
      <w:pPr>
        <w:spacing w:after="0" w:line="247" w:lineRule="exact"/>
        <w:rPr>
          <w:sz w:val="20"/>
          <w:szCs w:val="20"/>
          <w:color w:val="auto"/>
        </w:rPr>
      </w:pPr>
    </w:p>
    <w:p>
      <w:pPr>
        <w:jc w:val="both"/>
        <w:ind w:left="660" w:right="380" w:hanging="330"/>
        <w:spacing w:after="0" w:line="252" w:lineRule="auto"/>
        <w:tabs>
          <w:tab w:leader="none" w:pos="6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b w:val="1"/>
          <w:bCs w:val="1"/>
          <w:color w:val="auto"/>
        </w:rPr>
        <w:t xml:space="preserve">Covenants Against Competition and Solicitation. </w:t>
      </w:r>
      <w:r>
        <w:rPr>
          <w:rFonts w:ascii="Times New Roman" w:cs="Times New Roman" w:eastAsia="Times New Roman" w:hAnsi="Times New Roman"/>
          <w:sz w:val="22"/>
          <w:szCs w:val="22"/>
          <w:color w:val="auto"/>
        </w:rPr>
        <w:t>Each of the restrictions set out in this Section II.B.3(c)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constitutes an entirely separate, severable and independent obligation of Grantee. They are entered into in order to safeguard the legitimate business interests of the Company and particularly the goodwill of the Company in connection with its clients, suppliers and employees. Each separate restriction applies whether Grantee undertakes the activity in question directly or indirectly through a third party and whether it is undertaken on his own behalf or on behalf of, or in conjunction with, any firm, company or person.</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Grantee covenants that Grantee will not for the Restricted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80"/>
          </w:cols>
          <w:pgMar w:left="320" w:top="1422" w:right="599" w:bottom="1440" w:gutter="0" w:footer="0" w:header="0"/>
        </w:sectPr>
      </w:pPr>
    </w:p>
    <w:bookmarkStart w:id="71" w:name="page72"/>
    <w:bookmarkEnd w:id="71"/>
    <w:p>
      <w:pPr>
        <w:ind w:left="1100" w:right="20" w:hanging="644"/>
        <w:spacing w:after="0" w:line="271" w:lineRule="auto"/>
        <w:tabs>
          <w:tab w:leader="none" w:pos="101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entice or solicit or endeavour to entice or solicit away from the Company or any Group Company any Relevant Employee;</w:t>
      </w:r>
    </w:p>
    <w:p>
      <w:pPr>
        <w:spacing w:after="0" w:line="157" w:lineRule="exact"/>
        <w:rPr>
          <w:rFonts w:ascii="Times New Roman" w:cs="Times New Roman" w:eastAsia="Times New Roman" w:hAnsi="Times New Roman"/>
          <w:sz w:val="22"/>
          <w:szCs w:val="22"/>
          <w:color w:val="auto"/>
        </w:rPr>
      </w:pPr>
    </w:p>
    <w:p>
      <w:pPr>
        <w:ind w:left="1100" w:hanging="644"/>
        <w:spacing w:after="0" w:line="284" w:lineRule="auto"/>
        <w:tabs>
          <w:tab w:leader="none" w:pos="114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 or otherwise engage or otherwise facilitate the employment or engagement of any Relevant Employee;</w:t>
      </w:r>
    </w:p>
    <w:p>
      <w:pPr>
        <w:spacing w:after="0" w:line="143" w:lineRule="exact"/>
        <w:rPr>
          <w:rFonts w:ascii="Times New Roman" w:cs="Times New Roman" w:eastAsia="Times New Roman" w:hAnsi="Times New Roman"/>
          <w:sz w:val="22"/>
          <w:szCs w:val="22"/>
          <w:color w:val="auto"/>
        </w:rPr>
      </w:pPr>
    </w:p>
    <w:p>
      <w:pPr>
        <w:ind w:left="1000" w:hanging="544"/>
        <w:spacing w:after="0"/>
        <w:tabs>
          <w:tab w:leader="none" w:pos="10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endeavour to supply Restricted Goods or Services to any Relevant Customer;</w:t>
      </w:r>
    </w:p>
    <w:p>
      <w:pPr>
        <w:spacing w:after="0" w:line="219" w:lineRule="exact"/>
        <w:rPr>
          <w:rFonts w:ascii="Times New Roman" w:cs="Times New Roman" w:eastAsia="Times New Roman" w:hAnsi="Times New Roman"/>
          <w:sz w:val="22"/>
          <w:szCs w:val="22"/>
          <w:color w:val="auto"/>
        </w:rPr>
      </w:pPr>
    </w:p>
    <w:p>
      <w:pPr>
        <w:ind w:left="980" w:hanging="524"/>
        <w:spacing w:after="0"/>
        <w:tabs>
          <w:tab w:leader="none" w:pos="9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supply or be involved with the supply of Restricted Goods or Services to any Relevant Customer;</w:t>
      </w:r>
    </w:p>
    <w:p>
      <w:pPr>
        <w:spacing w:after="0" w:line="219" w:lineRule="exact"/>
        <w:rPr>
          <w:rFonts w:ascii="Times New Roman" w:cs="Times New Roman" w:eastAsia="Times New Roman" w:hAnsi="Times New Roman"/>
          <w:sz w:val="22"/>
          <w:szCs w:val="22"/>
          <w:color w:val="auto"/>
        </w:rPr>
      </w:pPr>
    </w:p>
    <w:p>
      <w:pPr>
        <w:ind w:left="920" w:hanging="464"/>
        <w:spacing w:after="0"/>
        <w:tabs>
          <w:tab w:leader="none" w:pos="9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any business dealings with any Relevant Customer on behalf of a Relevant Business;</w:t>
      </w:r>
    </w:p>
    <w:p>
      <w:pPr>
        <w:spacing w:after="0" w:line="219" w:lineRule="exact"/>
        <w:rPr>
          <w:rFonts w:ascii="Times New Roman" w:cs="Times New Roman" w:eastAsia="Times New Roman" w:hAnsi="Times New Roman"/>
          <w:sz w:val="22"/>
          <w:szCs w:val="22"/>
          <w:color w:val="auto"/>
        </w:rPr>
      </w:pPr>
    </w:p>
    <w:p>
      <w:pPr>
        <w:ind w:left="980" w:hanging="524"/>
        <w:spacing w:after="0"/>
        <w:tabs>
          <w:tab w:leader="none" w:pos="9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principal or agent in any Relevant Business within the Restricted Area;</w:t>
      </w:r>
    </w:p>
    <w:p>
      <w:pPr>
        <w:spacing w:after="0" w:line="233" w:lineRule="exact"/>
        <w:rPr>
          <w:rFonts w:ascii="Times New Roman" w:cs="Times New Roman" w:eastAsia="Times New Roman" w:hAnsi="Times New Roman"/>
          <w:sz w:val="22"/>
          <w:szCs w:val="22"/>
          <w:color w:val="auto"/>
        </w:rPr>
      </w:pPr>
    </w:p>
    <w:p>
      <w:pPr>
        <w:ind w:left="1040" w:hanging="584"/>
        <w:spacing w:after="0"/>
        <w:tabs>
          <w:tab w:leader="none" w:pos="10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partner or member in any Relevant Business within the Restricted Area;</w:t>
      </w:r>
    </w:p>
    <w:p>
      <w:pPr>
        <w:spacing w:after="0" w:line="219" w:lineRule="exact"/>
        <w:rPr>
          <w:rFonts w:ascii="Times New Roman" w:cs="Times New Roman" w:eastAsia="Times New Roman" w:hAnsi="Times New Roman"/>
          <w:sz w:val="22"/>
          <w:szCs w:val="22"/>
          <w:color w:val="auto"/>
        </w:rPr>
      </w:pPr>
    </w:p>
    <w:p>
      <w:pPr>
        <w:ind w:left="1100" w:right="20" w:hanging="644"/>
        <w:spacing w:after="0" w:line="271" w:lineRule="auto"/>
        <w:tabs>
          <w:tab w:leader="none" w:pos="112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employed or engaged as a worker in any Relevant Business that operates or seeks to operate within the Restricted Area;</w:t>
      </w:r>
    </w:p>
    <w:p>
      <w:pPr>
        <w:spacing w:after="0" w:line="157" w:lineRule="exact"/>
        <w:rPr>
          <w:rFonts w:ascii="Times New Roman" w:cs="Times New Roman" w:eastAsia="Times New Roman" w:hAnsi="Times New Roman"/>
          <w:sz w:val="22"/>
          <w:szCs w:val="22"/>
          <w:color w:val="auto"/>
        </w:rPr>
      </w:pPr>
    </w:p>
    <w:p>
      <w:pPr>
        <w:ind w:left="1100" w:hanging="644"/>
        <w:spacing w:after="0" w:line="271" w:lineRule="auto"/>
        <w:tabs>
          <w:tab w:leader="none" w:pos="104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engaged as a consultant (directly or through another entity) or adviser to any Relevant Business within the Restricted Area;</w:t>
      </w:r>
    </w:p>
    <w:p>
      <w:pPr>
        <w:spacing w:after="0" w:line="157" w:lineRule="exact"/>
        <w:rPr>
          <w:rFonts w:ascii="Times New Roman" w:cs="Times New Roman" w:eastAsia="Times New Roman" w:hAnsi="Times New Roman"/>
          <w:sz w:val="22"/>
          <w:szCs w:val="22"/>
          <w:color w:val="auto"/>
        </w:rPr>
      </w:pPr>
    </w:p>
    <w:p>
      <w:pPr>
        <w:ind w:left="920" w:hanging="464"/>
        <w:spacing w:after="0"/>
        <w:tabs>
          <w:tab w:leader="none" w:pos="9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director of any Relevant Business within the Restricted Area;</w:t>
      </w:r>
    </w:p>
    <w:p>
      <w:pPr>
        <w:spacing w:after="0" w:line="233" w:lineRule="exact"/>
        <w:rPr>
          <w:rFonts w:ascii="Times New Roman" w:cs="Times New Roman" w:eastAsia="Times New Roman" w:hAnsi="Times New Roman"/>
          <w:sz w:val="22"/>
          <w:szCs w:val="22"/>
          <w:color w:val="auto"/>
        </w:rPr>
      </w:pPr>
    </w:p>
    <w:p>
      <w:pPr>
        <w:ind w:left="980" w:hanging="524"/>
        <w:spacing w:after="0"/>
        <w:tabs>
          <w:tab w:leader="none" w:pos="9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 material financial interest in any Relevant Business within the Restricted Area;</w:t>
      </w:r>
    </w:p>
    <w:p>
      <w:pPr>
        <w:spacing w:after="0" w:line="219" w:lineRule="exact"/>
        <w:rPr>
          <w:rFonts w:ascii="Times New Roman" w:cs="Times New Roman" w:eastAsia="Times New Roman" w:hAnsi="Times New Roman"/>
          <w:sz w:val="22"/>
          <w:szCs w:val="22"/>
          <w:color w:val="auto"/>
        </w:rPr>
      </w:pPr>
    </w:p>
    <w:p>
      <w:pPr>
        <w:jc w:val="both"/>
        <w:ind w:left="1100" w:right="20" w:hanging="644"/>
        <w:spacing w:after="0" w:line="253" w:lineRule="auto"/>
        <w:tabs>
          <w:tab w:leader="none" w:pos="104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 shareholding in any Relevant Business within the Restricted Area, disregarding any financial interest of a person in securities which are listed or dealt in on any Recognised Stock Exchange if that person, Grantee and any person connected with Grantee are interested in securities which amount to less than five per cent of the issued securities of that class and which, in all circumstances, carry less than five per cent of the voting rights (if any) attaching to the issued securities of that class; and</w:t>
      </w:r>
    </w:p>
    <w:p>
      <w:pPr>
        <w:spacing w:after="0" w:line="178" w:lineRule="exact"/>
        <w:rPr>
          <w:rFonts w:ascii="Times New Roman" w:cs="Times New Roman" w:eastAsia="Times New Roman" w:hAnsi="Times New Roman"/>
          <w:sz w:val="22"/>
          <w:szCs w:val="22"/>
          <w:color w:val="auto"/>
        </w:rPr>
      </w:pPr>
    </w:p>
    <w:p>
      <w:pPr>
        <w:ind w:left="1100" w:right="20" w:hanging="644"/>
        <w:spacing w:after="0" w:line="271" w:lineRule="auto"/>
        <w:tabs>
          <w:tab w:leader="none" w:pos="114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 person with significant control (under part 21A of the United Kingdom Companies Act 2006) in any Relevant Business within the Restricted Area.</w:t>
      </w:r>
    </w:p>
    <w:p>
      <w:pPr>
        <w:spacing w:after="0" w:line="158" w:lineRule="exact"/>
        <w:rPr>
          <w:sz w:val="20"/>
          <w:szCs w:val="20"/>
          <w:color w:val="auto"/>
        </w:rPr>
      </w:pPr>
    </w:p>
    <w:p>
      <w:pPr>
        <w:ind w:left="480"/>
        <w:spacing w:after="0" w:line="271" w:lineRule="auto"/>
        <w:rPr>
          <w:sz w:val="20"/>
          <w:szCs w:val="20"/>
          <w:color w:val="auto"/>
        </w:rPr>
      </w:pPr>
      <w:r>
        <w:rPr>
          <w:rFonts w:ascii="Times New Roman" w:cs="Times New Roman" w:eastAsia="Times New Roman" w:hAnsi="Times New Roman"/>
          <w:sz w:val="22"/>
          <w:szCs w:val="22"/>
          <w:color w:val="auto"/>
        </w:rPr>
        <w:t>The restrictions above only apply in respect of business activities which compete or seek to compete with the Company and nothing in these provisions seeks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420"/>
          </w:cols>
          <w:pgMar w:left="500" w:top="1422" w:right="97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22"/>
          <w:szCs w:val="22"/>
          <w:color w:val="auto"/>
        </w:rPr>
        <w:t>prevent Grantee in connection with activities which do not compete with the Company.</w:t>
      </w:r>
    </w:p>
    <w:p>
      <w:pPr>
        <w:spacing w:after="0" w:line="220"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While the restrictions above are considered by Grantee and the Company to be reasonable in all the circumstances, it is recognized that such restrictions may fail for unforeseen reasons and, it is therefore agreed that if any of the restrictions are held to be void, but would be valid if part of the wording were deleted or if the periods (if any) specified were reduced or the areas dealt with reduced in scope, such restrictions shall apply with such modifications as may be necessary to make them valid and effective.”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Section II.B.3(e) is hereby amended in its entirety to read as follows:</w:t>
      </w:r>
    </w:p>
    <w:p>
      <w:pPr>
        <w:spacing w:after="0" w:line="32" w:lineRule="exact"/>
        <w:rPr>
          <w:sz w:val="20"/>
          <w:szCs w:val="20"/>
          <w:color w:val="auto"/>
        </w:rPr>
      </w:pPr>
    </w:p>
    <w:p>
      <w:pPr>
        <w:jc w:val="both"/>
        <w:ind w:left="1300"/>
        <w:spacing w:after="0" w:line="246" w:lineRule="auto"/>
        <w:rPr>
          <w:sz w:val="20"/>
          <w:szCs w:val="20"/>
          <w:color w:val="auto"/>
        </w:rPr>
      </w:pPr>
      <w:r>
        <w:rPr>
          <w:rFonts w:ascii="Times New Roman" w:cs="Times New Roman" w:eastAsia="Times New Roman" w:hAnsi="Times New Roman"/>
          <w:sz w:val="22"/>
          <w:szCs w:val="22"/>
          <w:color w:val="auto"/>
        </w:rPr>
        <w:t>“(1)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95" w:lineRule="exact"/>
        <w:rPr>
          <w:sz w:val="20"/>
          <w:szCs w:val="20"/>
          <w:color w:val="auto"/>
        </w:rPr>
      </w:pPr>
    </w:p>
    <w:p>
      <w:pPr>
        <w:jc w:val="both"/>
        <w:ind w:left="1300" w:right="20" w:firstLine="4"/>
        <w:spacing w:after="0" w:line="268" w:lineRule="auto"/>
        <w:tabs>
          <w:tab w:leader="none" w:pos="160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means a person or entity that engages in any business engaged in by the 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and that does so in a geographic area in which the Company engage(s) in that business, as evidenced on the Company’s website, in the marketing materials of the Company or by the books and records of the Company, and “engages” includes actively planning to engage in the business</w:t>
      </w:r>
      <w:r>
        <w:rPr>
          <w:rFonts w:ascii="Times New Roman" w:cs="Times New Roman" w:eastAsia="Times New Roman" w:hAnsi="Times New Roman"/>
          <w:sz w:val="21"/>
          <w:szCs w:val="21"/>
          <w:color w:val="auto"/>
        </w:rPr>
        <w:t>.</w:t>
      </w:r>
    </w:p>
    <w:p>
      <w:pPr>
        <w:spacing w:after="0" w:line="174" w:lineRule="exact"/>
        <w:rPr>
          <w:rFonts w:ascii="Times New Roman" w:cs="Times New Roman" w:eastAsia="Times New Roman" w:hAnsi="Times New Roman"/>
          <w:sz w:val="22"/>
          <w:szCs w:val="22"/>
          <w:color w:val="auto"/>
        </w:rPr>
      </w:pPr>
    </w:p>
    <w:p>
      <w:pPr>
        <w:jc w:val="both"/>
        <w:ind w:left="1300" w:firstLine="4"/>
        <w:spacing w:after="0" w:line="249" w:lineRule="auto"/>
        <w:tabs>
          <w:tab w:leader="none" w:pos="197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0600"/>
          </w:cols>
          <w:pgMar w:left="320" w:top="1422" w:right="979" w:bottom="1440" w:gutter="0" w:footer="0" w:header="0"/>
        </w:sectPr>
      </w:pPr>
    </w:p>
    <w:bookmarkStart w:id="73" w:name="page74"/>
    <w:bookmarkEnd w:id="73"/>
    <w:p>
      <w:pPr>
        <w:jc w:val="both"/>
        <w:ind w:left="1300" w:right="640"/>
        <w:spacing w:after="0" w:line="256" w:lineRule="auto"/>
        <w:rPr>
          <w:sz w:val="20"/>
          <w:szCs w:val="20"/>
          <w:color w:val="auto"/>
        </w:rPr>
      </w:pPr>
      <w:r>
        <w:rPr>
          <w:rFonts w:ascii="Times New Roman" w:cs="Times New Roman" w:eastAsia="Times New Roman" w:hAnsi="Times New Roman"/>
          <w:sz w:val="22"/>
          <w:szCs w:val="22"/>
          <w:color w:val="auto"/>
        </w:rPr>
        <w:t>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72" w:lineRule="exact"/>
        <w:rPr>
          <w:sz w:val="20"/>
          <w:szCs w:val="20"/>
          <w:color w:val="auto"/>
        </w:rPr>
      </w:pPr>
    </w:p>
    <w:p>
      <w:pPr>
        <w:jc w:val="both"/>
        <w:ind w:left="1300" w:right="660" w:firstLine="4"/>
        <w:spacing w:after="0" w:line="259" w:lineRule="auto"/>
        <w:tabs>
          <w:tab w:leader="none" w:pos="188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Area</w:t>
      </w:r>
      <w:r>
        <w:rPr>
          <w:rFonts w:ascii="Times New Roman" w:cs="Times New Roman" w:eastAsia="Times New Roman" w:hAnsi="Times New Roman"/>
          <w:sz w:val="22"/>
          <w:szCs w:val="22"/>
          <w:color w:val="auto"/>
        </w:rPr>
        <w:t>” means the United Kingdom and any other country in the world where, on the Relevant Date, the Company carries on a Relevant Business and with which Grantee had material involvement during the 12 months prior to the Relevant Date.</w:t>
      </w:r>
    </w:p>
    <w:p>
      <w:pPr>
        <w:spacing w:after="0" w:line="166" w:lineRule="exact"/>
        <w:rPr>
          <w:rFonts w:ascii="Times New Roman" w:cs="Times New Roman" w:eastAsia="Times New Roman" w:hAnsi="Times New Roman"/>
          <w:sz w:val="22"/>
          <w:szCs w:val="22"/>
          <w:color w:val="auto"/>
        </w:rPr>
      </w:pPr>
    </w:p>
    <w:p>
      <w:pPr>
        <w:ind w:left="1300" w:right="660" w:firstLine="4"/>
        <w:spacing w:after="0" w:line="287" w:lineRule="auto"/>
        <w:tabs>
          <w:tab w:leader="none" w:pos="187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Business</w:t>
      </w:r>
      <w:r>
        <w:rPr>
          <w:rFonts w:ascii="Times New Roman" w:cs="Times New Roman" w:eastAsia="Times New Roman" w:hAnsi="Times New Roman"/>
          <w:sz w:val="22"/>
          <w:szCs w:val="22"/>
          <w:color w:val="auto"/>
        </w:rPr>
        <w:t>” means any business or part of a business involving the supply of Restricted Goods or Services.</w:t>
      </w:r>
    </w:p>
    <w:p>
      <w:pPr>
        <w:spacing w:after="0" w:line="137" w:lineRule="exact"/>
        <w:rPr>
          <w:rFonts w:ascii="Times New Roman" w:cs="Times New Roman" w:eastAsia="Times New Roman" w:hAnsi="Times New Roman"/>
          <w:sz w:val="22"/>
          <w:szCs w:val="22"/>
          <w:color w:val="auto"/>
        </w:rPr>
      </w:pPr>
    </w:p>
    <w:p>
      <w:pPr>
        <w:jc w:val="both"/>
        <w:ind w:left="1300" w:right="660" w:firstLine="4"/>
        <w:spacing w:after="0" w:line="253" w:lineRule="auto"/>
        <w:tabs>
          <w:tab w:leader="none" w:pos="176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Customer</w:t>
      </w:r>
      <w:r>
        <w:rPr>
          <w:rFonts w:ascii="Times New Roman" w:cs="Times New Roman" w:eastAsia="Times New Roman" w:hAnsi="Times New Roman"/>
          <w:sz w:val="22"/>
          <w:szCs w:val="22"/>
          <w:color w:val="auto"/>
        </w:rPr>
        <w:t>” means a person, firm or company who in the twelve months immediately before the Relevant Date conducted a business relationship (including, without limitation, the provision of services and the negotiation for the same) with the Company and with whom Grantee had significant contact in the course of Grantee’s employment with the Company.</w:t>
      </w:r>
    </w:p>
    <w:p>
      <w:pPr>
        <w:spacing w:after="0" w:line="175" w:lineRule="exact"/>
        <w:rPr>
          <w:rFonts w:ascii="Times New Roman" w:cs="Times New Roman" w:eastAsia="Times New Roman" w:hAnsi="Times New Roman"/>
          <w:sz w:val="22"/>
          <w:szCs w:val="22"/>
          <w:color w:val="auto"/>
        </w:rPr>
      </w:pPr>
    </w:p>
    <w:p>
      <w:pPr>
        <w:jc w:val="both"/>
        <w:ind w:left="1300" w:right="660" w:firstLine="4"/>
        <w:spacing w:after="0" w:line="265" w:lineRule="auto"/>
        <w:tabs>
          <w:tab w:leader="none" w:pos="176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Date</w:t>
      </w:r>
      <w:r>
        <w:rPr>
          <w:rFonts w:ascii="Times New Roman" w:cs="Times New Roman" w:eastAsia="Times New Roman" w:hAnsi="Times New Roman"/>
          <w:sz w:val="22"/>
          <w:szCs w:val="22"/>
          <w:color w:val="auto"/>
        </w:rPr>
        <w:t>” means the earlier of (x) the date of termination of Grantee’s employment, and (y) the start of any period of garden leave or exclusion under Grantee’s contract of employment with the Company.</w:t>
      </w:r>
    </w:p>
    <w:p>
      <w:pPr>
        <w:spacing w:after="0" w:line="161" w:lineRule="exact"/>
        <w:rPr>
          <w:rFonts w:ascii="Times New Roman" w:cs="Times New Roman" w:eastAsia="Times New Roman" w:hAnsi="Times New Roman"/>
          <w:sz w:val="22"/>
          <w:szCs w:val="22"/>
          <w:color w:val="auto"/>
        </w:rPr>
      </w:pPr>
    </w:p>
    <w:p>
      <w:pPr>
        <w:jc w:val="both"/>
        <w:ind w:left="1300" w:right="660" w:firstLine="4"/>
        <w:spacing w:after="0" w:line="259" w:lineRule="auto"/>
        <w:tabs>
          <w:tab w:leader="none" w:pos="180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Employee</w:t>
      </w:r>
      <w:r>
        <w:rPr>
          <w:rFonts w:ascii="Times New Roman" w:cs="Times New Roman" w:eastAsia="Times New Roman" w:hAnsi="Times New Roman"/>
          <w:sz w:val="22"/>
          <w:szCs w:val="22"/>
          <w:color w:val="auto"/>
        </w:rPr>
        <w:t>” means any senior employee who has significant customer or client contact, or valuable technical skills, and with whom Grantee has had significant contact during the course of his employment with the Company.</w:t>
      </w:r>
    </w:p>
    <w:p>
      <w:pPr>
        <w:spacing w:after="0" w:line="179" w:lineRule="exact"/>
        <w:rPr>
          <w:rFonts w:ascii="Times New Roman" w:cs="Times New Roman" w:eastAsia="Times New Roman" w:hAnsi="Times New Roman"/>
          <w:sz w:val="22"/>
          <w:szCs w:val="22"/>
          <w:color w:val="auto"/>
        </w:rPr>
      </w:pPr>
    </w:p>
    <w:p>
      <w:pPr>
        <w:jc w:val="both"/>
        <w:ind w:left="1300" w:right="640" w:firstLine="4"/>
        <w:spacing w:after="0" w:line="259" w:lineRule="auto"/>
        <w:tabs>
          <w:tab w:leader="none" w:pos="182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Goods or Services</w:t>
      </w:r>
      <w:r>
        <w:rPr>
          <w:rFonts w:ascii="Times New Roman" w:cs="Times New Roman" w:eastAsia="Times New Roman" w:hAnsi="Times New Roman"/>
          <w:sz w:val="22"/>
          <w:szCs w:val="22"/>
          <w:color w:val="auto"/>
        </w:rPr>
        <w:t>” means products for customers in the consumer products, aerospace, industrial, petrochemical, refinery and oil and gas end markets, and the design, manufacture and marketing thereof.</w:t>
      </w:r>
    </w:p>
    <w:p>
      <w:pPr>
        <w:spacing w:after="0" w:line="166" w:lineRule="exact"/>
        <w:rPr>
          <w:rFonts w:ascii="Times New Roman" w:cs="Times New Roman" w:eastAsia="Times New Roman" w:hAnsi="Times New Roman"/>
          <w:sz w:val="22"/>
          <w:szCs w:val="22"/>
          <w:color w:val="auto"/>
        </w:rPr>
      </w:pPr>
    </w:p>
    <w:p>
      <w:pPr>
        <w:jc w:val="both"/>
        <w:ind w:left="1300" w:right="660" w:firstLine="4"/>
        <w:spacing w:after="0" w:line="258" w:lineRule="auto"/>
        <w:tabs>
          <w:tab w:leader="none" w:pos="197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Period</w:t>
      </w:r>
      <w:r>
        <w:rPr>
          <w:rFonts w:ascii="Times New Roman" w:cs="Times New Roman" w:eastAsia="Times New Roman" w:hAnsi="Times New Roman"/>
          <w:sz w:val="22"/>
          <w:szCs w:val="22"/>
          <w:color w:val="auto"/>
        </w:rPr>
        <w:t>” means: (x) for restrictions set forth in clauses (i) to (v) of Section II.B.3(c), during Grantee’s employment and for a period of twelve months after the Relevant Date; and (y) for restrictions set forth in clauses (vi) to (xiii) of Section II.B.3(c), during Grantee’s employment and for a period of nine months after the Relevant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Data Privacy</w:t>
      </w:r>
      <w:r>
        <w:rPr>
          <w:rFonts w:ascii="Times New Roman" w:cs="Times New Roman" w:eastAsia="Times New Roman" w:hAnsi="Times New Roman"/>
          <w:sz w:val="22"/>
          <w:szCs w:val="22"/>
          <w:color w:val="auto"/>
        </w:rPr>
        <w:t>. A new Section II.B.17 is added to the Agreement to read as follows:</w:t>
      </w:r>
    </w:p>
    <w:p>
      <w:pPr>
        <w:spacing w:after="0" w:line="251" w:lineRule="exact"/>
        <w:rPr>
          <w:sz w:val="20"/>
          <w:szCs w:val="20"/>
          <w:color w:val="auto"/>
        </w:rPr>
      </w:pPr>
    </w:p>
    <w:p>
      <w:pPr>
        <w:jc w:val="both"/>
        <w:ind w:left="1300"/>
        <w:spacing w:after="0" w:line="257" w:lineRule="auto"/>
        <w:rPr>
          <w:sz w:val="20"/>
          <w:szCs w:val="20"/>
          <w:color w:val="auto"/>
        </w:rPr>
      </w:pPr>
      <w:r>
        <w:rPr>
          <w:rFonts w:ascii="Times New Roman" w:cs="Times New Roman" w:eastAsia="Times New Roman" w:hAnsi="Times New Roman"/>
          <w:sz w:val="22"/>
          <w:szCs w:val="22"/>
          <w:color w:val="auto"/>
        </w:rPr>
        <w:t>The Company and Rieke Packaging Systems Limited (the “Grantee’s Employer”), (together the “Relevant TriMas Companies”) will process the Grantee’s personal data in connection with the Plan. For the purposes of data protection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240"/>
          </w:cols>
          <w:pgMar w:left="320" w:top="1422" w:right="339" w:bottom="1440" w:gutter="0" w:footer="0" w:header="0"/>
        </w:sectPr>
      </w:pPr>
    </w:p>
    <w:bookmarkStart w:id="74" w:name="page75"/>
    <w:bookmarkEnd w:id="74"/>
    <w:p>
      <w:pPr>
        <w:ind w:left="1120"/>
        <w:spacing w:after="0"/>
        <w:rPr>
          <w:sz w:val="20"/>
          <w:szCs w:val="20"/>
          <w:color w:val="auto"/>
        </w:rPr>
      </w:pPr>
      <w:r>
        <w:rPr>
          <w:rFonts w:ascii="Times New Roman" w:cs="Times New Roman" w:eastAsia="Times New Roman" w:hAnsi="Times New Roman"/>
          <w:sz w:val="22"/>
          <w:szCs w:val="22"/>
          <w:color w:val="auto"/>
        </w:rPr>
        <w:t>the Relevant TriMas Companies will each act as independent controllers in relation to such personal data.</w:t>
      </w:r>
    </w:p>
    <w:p>
      <w:pPr>
        <w:spacing w:after="0" w:line="2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Categories of Personal Data</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The categories of personal data that we will process in connection with the Plan are the Grantee’s:</w:t>
      </w:r>
    </w:p>
    <w:p>
      <w:pPr>
        <w:spacing w:after="0" w:line="233" w:lineRule="exact"/>
        <w:rPr>
          <w:sz w:val="20"/>
          <w:szCs w:val="20"/>
          <w:color w:val="auto"/>
        </w:rPr>
      </w:pPr>
    </w:p>
    <w:p>
      <w:pPr>
        <w:ind w:left="1760" w:hanging="312"/>
        <w:spacing w:after="0"/>
        <w:tabs>
          <w:tab w:leader="none" w:pos="1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name;</w:t>
      </w:r>
    </w:p>
    <w:p>
      <w:pPr>
        <w:spacing w:after="0" w:line="219"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date of birth;</w:t>
      </w:r>
    </w:p>
    <w:p>
      <w:pPr>
        <w:spacing w:after="0" w:line="219"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job title;</w:t>
      </w:r>
    </w:p>
    <w:p>
      <w:pPr>
        <w:spacing w:after="0" w:line="219"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home address (and, if different, mailing address) and postal code;</w:t>
      </w:r>
    </w:p>
    <w:p>
      <w:pPr>
        <w:spacing w:after="0" w:line="219"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telephone number;</w:t>
      </w:r>
    </w:p>
    <w:p>
      <w:pPr>
        <w:spacing w:after="0" w:line="233"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social insurance, national insurance, US taxpayer and/or foreign tax identification number;</w:t>
      </w:r>
    </w:p>
    <w:p>
      <w:pPr>
        <w:spacing w:after="0" w:line="219"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salary;</w:t>
      </w:r>
    </w:p>
    <w:p>
      <w:pPr>
        <w:spacing w:after="0" w:line="219"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country of citizenship and nationality;</w:t>
      </w:r>
    </w:p>
    <w:p>
      <w:pPr>
        <w:spacing w:after="0" w:line="219"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Common Stock or directorships held in any of the Relevant TriMas Companies;</w:t>
      </w:r>
    </w:p>
    <w:p>
      <w:pPr>
        <w:spacing w:after="0" w:line="219" w:lineRule="exact"/>
        <w:rPr>
          <w:rFonts w:ascii="Times New Roman" w:cs="Times New Roman" w:eastAsia="Times New Roman" w:hAnsi="Times New Roman"/>
          <w:sz w:val="18"/>
          <w:szCs w:val="18"/>
          <w:color w:val="auto"/>
        </w:rPr>
      </w:pPr>
    </w:p>
    <w:p>
      <w:pPr>
        <w:ind w:left="1780" w:hanging="332"/>
        <w:spacing w:after="0" w:line="271" w:lineRule="auto"/>
        <w:tabs>
          <w:tab w:leader="none" w:pos="177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details of all awards or any other entitlement to Common Stock awarded, cancelled, exercised, vested, unvested or outstanding in Grantee’s favour; and</w:t>
      </w:r>
    </w:p>
    <w:p>
      <w:pPr>
        <w:spacing w:after="0" w:line="171" w:lineRule="exact"/>
        <w:rPr>
          <w:rFonts w:ascii="Times New Roman" w:cs="Times New Roman" w:eastAsia="Times New Roman" w:hAnsi="Times New Roman"/>
          <w:sz w:val="18"/>
          <w:szCs w:val="18"/>
          <w:color w:val="auto"/>
        </w:rPr>
      </w:pPr>
    </w:p>
    <w:p>
      <w:pPr>
        <w:ind w:left="1780" w:hanging="332"/>
        <w:spacing w:after="0" w:line="271" w:lineRule="auto"/>
        <w:tabs>
          <w:tab w:leader="none" w:pos="177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reference number (where relevant to link the Grantee’s benefits under the Plan to other documentation issued to or from the US Department of the Treasury Internal Revenue Service).</w:t>
      </w:r>
    </w:p>
    <w:p>
      <w:pPr>
        <w:spacing w:after="0" w:line="158" w:lineRule="exact"/>
        <w:rPr>
          <w:sz w:val="20"/>
          <w:szCs w:val="20"/>
          <w:color w:val="auto"/>
        </w:rPr>
      </w:pPr>
    </w:p>
    <w:p>
      <w:pPr>
        <w:ind w:left="1120"/>
        <w:spacing w:after="0" w:line="271" w:lineRule="auto"/>
        <w:rPr>
          <w:sz w:val="20"/>
          <w:szCs w:val="20"/>
          <w:color w:val="auto"/>
        </w:rPr>
      </w:pPr>
      <w:r>
        <w:rPr>
          <w:rFonts w:ascii="Times New Roman" w:cs="Times New Roman" w:eastAsia="Times New Roman" w:hAnsi="Times New Roman"/>
          <w:sz w:val="22"/>
          <w:szCs w:val="22"/>
          <w:color w:val="auto"/>
        </w:rPr>
        <w:t>The processing of the personal data set out above is mandatory in order for the Relevant TriMas Companies to provide and administer the Plan.</w:t>
      </w:r>
    </w:p>
    <w:p>
      <w:pPr>
        <w:spacing w:after="0" w:line="1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Purposes of Processing Personal Data</w:t>
      </w:r>
    </w:p>
    <w:p>
      <w:pPr>
        <w:spacing w:after="0" w:line="23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The Relevant TriMas Companies will process the Grantee’s personal data for the purposes of:</w:t>
      </w:r>
    </w:p>
    <w:p>
      <w:pPr>
        <w:spacing w:after="0" w:line="220" w:lineRule="exact"/>
        <w:rPr>
          <w:sz w:val="20"/>
          <w:szCs w:val="20"/>
          <w:color w:val="auto"/>
        </w:rPr>
      </w:pPr>
    </w:p>
    <w:p>
      <w:pPr>
        <w:ind w:left="1780" w:right="20" w:hanging="332"/>
        <w:spacing w:after="0" w:line="271" w:lineRule="auto"/>
        <w:tabs>
          <w:tab w:leader="none" w:pos="177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administering and maintaining the Plan relating to the Grantee and records associated with the Plan (including maintaining a database of Participants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060"/>
          </w:cols>
          <w:pgMar w:left="500" w:top="1422" w:right="339" w:bottom="1440" w:gutter="0" w:footer="0" w:header="0"/>
        </w:sectPr>
      </w:pPr>
    </w:p>
    <w:bookmarkStart w:id="75" w:name="page76"/>
    <w:bookmarkEnd w:id="75"/>
    <w:p>
      <w:pPr>
        <w:jc w:val="both"/>
        <w:ind w:left="1780" w:hanging="332"/>
        <w:spacing w:after="0" w:line="257" w:lineRule="auto"/>
        <w:tabs>
          <w:tab w:leader="none" w:pos="17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information to (i) trustees of any employee benefit trust or (ii) the third party administrators involved directly or indirectly in the operation of the Plan (as set out in the “Sharing Personal Data with Third Parties” section below);</w:t>
      </w:r>
    </w:p>
    <w:p>
      <w:pPr>
        <w:spacing w:after="0" w:line="186" w:lineRule="exact"/>
        <w:rPr>
          <w:rFonts w:ascii="Times New Roman" w:cs="Times New Roman" w:eastAsia="Times New Roman" w:hAnsi="Times New Roman"/>
          <w:sz w:val="18"/>
          <w:szCs w:val="18"/>
          <w:color w:val="auto"/>
        </w:rPr>
      </w:pPr>
    </w:p>
    <w:p>
      <w:pPr>
        <w:ind w:left="1780" w:right="20" w:hanging="332"/>
        <w:spacing w:after="0" w:line="271" w:lineRule="auto"/>
        <w:tabs>
          <w:tab w:leader="none" w:pos="17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information relating to Grantee in connection with the operation of the Plan to HM Revenue and Customs in the United Kingdom as required by law;</w:t>
      </w:r>
    </w:p>
    <w:p>
      <w:pPr>
        <w:spacing w:after="0" w:line="157" w:lineRule="exact"/>
        <w:rPr>
          <w:rFonts w:ascii="Times New Roman" w:cs="Times New Roman" w:eastAsia="Times New Roman" w:hAnsi="Times New Roman"/>
          <w:sz w:val="18"/>
          <w:szCs w:val="18"/>
          <w:color w:val="auto"/>
        </w:rPr>
      </w:pPr>
    </w:p>
    <w:p>
      <w:pPr>
        <w:jc w:val="both"/>
        <w:ind w:left="1780" w:hanging="332"/>
        <w:spacing w:after="0" w:line="257" w:lineRule="auto"/>
        <w:tabs>
          <w:tab w:leader="none" w:pos="17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enable any potential purchasers of the business and/or assets of any of the Relevant TriMas Companies and/or their Subsidiaries to (i) complete due diligence on, and value, the business and/or assets; and (ii) use such personal data for the operation of their business;</w:t>
      </w:r>
    </w:p>
    <w:p>
      <w:pPr>
        <w:spacing w:after="0" w:line="186"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obtaining legal and other professional advice; and</w:t>
      </w:r>
    </w:p>
    <w:p>
      <w:pPr>
        <w:spacing w:after="0" w:line="219"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establishing, exercising or defending legal rights.</w:t>
      </w:r>
    </w:p>
    <w:p>
      <w:pPr>
        <w:spacing w:after="0" w:line="2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Legal Basis for Processing Personal Data</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The processing of the Grantee’s personal data:</w:t>
      </w:r>
    </w:p>
    <w:p>
      <w:pPr>
        <w:spacing w:after="0" w:line="220" w:lineRule="exact"/>
        <w:rPr>
          <w:sz w:val="20"/>
          <w:szCs w:val="20"/>
          <w:color w:val="auto"/>
        </w:rPr>
      </w:pPr>
    </w:p>
    <w:p>
      <w:pPr>
        <w:jc w:val="both"/>
        <w:ind w:left="1780" w:hanging="332"/>
        <w:spacing w:after="0" w:line="263" w:lineRule="auto"/>
        <w:tabs>
          <w:tab w:leader="none" w:pos="177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relation to the information provided to HM Revenue and Customs in the United Kingdom and the Department of the Treasury Internal Revenue Service in the United States of America, is necessary for compliance with a legal obligation to which the Relevant TriMas Companies are subject;</w:t>
      </w:r>
    </w:p>
    <w:p>
      <w:pPr>
        <w:spacing w:after="0" w:line="167" w:lineRule="exact"/>
        <w:rPr>
          <w:rFonts w:ascii="Times New Roman" w:cs="Times New Roman" w:eastAsia="Times New Roman" w:hAnsi="Times New Roman"/>
          <w:sz w:val="18"/>
          <w:szCs w:val="18"/>
          <w:color w:val="auto"/>
        </w:rPr>
      </w:pPr>
    </w:p>
    <w:p>
      <w:pPr>
        <w:jc w:val="both"/>
        <w:ind w:left="1780" w:hanging="332"/>
        <w:spacing w:after="0" w:line="252" w:lineRule="auto"/>
        <w:tabs>
          <w:tab w:leader="none" w:pos="177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relation to (i) obtaining legal and other professional advice; and (ii) establishing, exercising or defending legal rights, is pursuant to the Relevant TriMas Companies’ legitimate interests of commencing and/or handling any legal proceedings (including prospective legal proceedings), for obtaining legal advice or for establishing, exercising or defending legal rights;</w:t>
      </w:r>
    </w:p>
    <w:p>
      <w:pPr>
        <w:spacing w:after="0" w:line="192" w:lineRule="exact"/>
        <w:rPr>
          <w:rFonts w:ascii="Times New Roman" w:cs="Times New Roman" w:eastAsia="Times New Roman" w:hAnsi="Times New Roman"/>
          <w:sz w:val="18"/>
          <w:szCs w:val="18"/>
          <w:color w:val="auto"/>
        </w:rPr>
      </w:pPr>
    </w:p>
    <w:p>
      <w:pPr>
        <w:ind w:left="1780" w:hanging="332"/>
        <w:spacing w:after="0" w:line="271" w:lineRule="auto"/>
        <w:tabs>
          <w:tab w:leader="none" w:pos="177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respect of all other personal data set out above, is necessary for the performance of the Performance Stock Units Agreement between the Grantee and TriMas Corporation.</w:t>
      </w:r>
    </w:p>
    <w:p>
      <w:pPr>
        <w:spacing w:after="0" w:line="158" w:lineRule="exact"/>
        <w:rPr>
          <w:sz w:val="20"/>
          <w:szCs w:val="20"/>
          <w:color w:val="auto"/>
        </w:rPr>
      </w:pPr>
    </w:p>
    <w:p>
      <w:pPr>
        <w:ind w:left="1120" w:right="20"/>
        <w:spacing w:after="0" w:line="271" w:lineRule="auto"/>
        <w:rPr>
          <w:sz w:val="20"/>
          <w:szCs w:val="20"/>
          <w:color w:val="auto"/>
        </w:rPr>
      </w:pPr>
      <w:r>
        <w:rPr>
          <w:rFonts w:ascii="Times New Roman" w:cs="Times New Roman" w:eastAsia="Times New Roman" w:hAnsi="Times New Roman"/>
          <w:sz w:val="22"/>
          <w:szCs w:val="22"/>
          <w:color w:val="auto"/>
        </w:rPr>
        <w:t>The Relevant TriMas Companies will also process the Grantee’s personal data as necessary to comply with any legal obligations to which the Relevant TriMas Companies are subject.</w:t>
      </w:r>
    </w:p>
    <w:p>
      <w:pPr>
        <w:spacing w:after="0" w:line="1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Sharing Personal Data with Third Parties</w:t>
      </w:r>
    </w:p>
    <w:p>
      <w:pPr>
        <w:spacing w:after="0" w:line="237" w:lineRule="exact"/>
        <w:rPr>
          <w:sz w:val="20"/>
          <w:szCs w:val="20"/>
          <w:color w:val="auto"/>
        </w:rPr>
      </w:pPr>
    </w:p>
    <w:p>
      <w:pPr>
        <w:ind w:left="1120" w:right="20"/>
        <w:spacing w:after="0" w:line="271" w:lineRule="auto"/>
        <w:rPr>
          <w:sz w:val="20"/>
          <w:szCs w:val="20"/>
          <w:color w:val="auto"/>
        </w:rPr>
      </w:pPr>
      <w:r>
        <w:rPr>
          <w:rFonts w:ascii="Times New Roman" w:cs="Times New Roman" w:eastAsia="Times New Roman" w:hAnsi="Times New Roman"/>
          <w:sz w:val="22"/>
          <w:szCs w:val="22"/>
          <w:color w:val="auto"/>
        </w:rPr>
        <w:t>The Grantee’s personal details as set out above will be transferred between the Grantee’s Employer and the Company in order to administer and maintain the Plan and records associated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1060"/>
          </w:cols>
          <w:pgMar w:left="500" w:top="1422" w:right="339" w:bottom="1440" w:gutter="0" w:footer="0" w:header="0"/>
        </w:sectPr>
      </w:pPr>
    </w:p>
    <w:bookmarkStart w:id="76" w:name="page77"/>
    <w:bookmarkEnd w:id="76"/>
    <w:p>
      <w:pPr>
        <w:jc w:val="both"/>
        <w:ind w:left="1120"/>
        <w:spacing w:after="0" w:line="251" w:lineRule="auto"/>
        <w:rPr>
          <w:sz w:val="20"/>
          <w:szCs w:val="20"/>
          <w:color w:val="auto"/>
        </w:rPr>
      </w:pPr>
      <w:r>
        <w:rPr>
          <w:rFonts w:ascii="Times New Roman" w:cs="Times New Roman" w:eastAsia="Times New Roman" w:hAnsi="Times New Roman"/>
          <w:sz w:val="22"/>
          <w:szCs w:val="22"/>
          <w:color w:val="auto"/>
        </w:rPr>
        <w:t>The Company is based in the United States of America which is not designated by the European Commission as providing an adequate level of protection for personal data. As such, the Grantee’s Employer and the Company have entered into a data transfer agreement governed by standard data protection clauses adopted by the Commission to safeguard personal data in respect of these transfers. The Grantee can obtain a copy of this data transfer agreement by contacting the TriMas Corporate Benefits Group at 248-631-5450 or 38505 Woodward Avenue, Suite 200, Bloomfield Hills, Michigan 48304.</w:t>
      </w:r>
    </w:p>
    <w:p>
      <w:pPr>
        <w:spacing w:after="0" w:line="181" w:lineRule="exact"/>
        <w:rPr>
          <w:sz w:val="20"/>
          <w:szCs w:val="20"/>
          <w:color w:val="auto"/>
        </w:rPr>
      </w:pPr>
    </w:p>
    <w:p>
      <w:pPr>
        <w:jc w:val="both"/>
        <w:ind w:left="1120"/>
        <w:spacing w:after="0" w:line="249" w:lineRule="auto"/>
        <w:rPr>
          <w:sz w:val="20"/>
          <w:szCs w:val="20"/>
          <w:color w:val="auto"/>
        </w:rPr>
      </w:pPr>
      <w:r>
        <w:rPr>
          <w:rFonts w:ascii="Times New Roman" w:cs="Times New Roman" w:eastAsia="Times New Roman" w:hAnsi="Times New Roman"/>
          <w:sz w:val="22"/>
          <w:szCs w:val="22"/>
          <w:color w:val="auto"/>
        </w:rPr>
        <w:t xml:space="preserve">The Relevant TriMas Companies will also share the Grantee’s personal data with National Financial Services LLC, Fidelity Stock Plan Services LLC and Fidelity Brokerage Services LLC (part of the FMR LLC group of companies) which are based in the United States of America. The Company has entered into a data transfer agreement governed by standard data protection clauses adopted by the Commission to safeguard personal data in respect of these transfers. The Grantee can obtain a copy of this data transfer agreement by either, (1) contacting your local human resources representative, (2) contacting Fidelity Stock Plan Services by calling 1-800-544-9354 (Domestic) or 1-800-544-0275 (International), and (3) by logging into Grantee’s Fidelity account at </w:t>
      </w:r>
      <w:r>
        <w:rPr>
          <w:rFonts w:ascii="Times New Roman" w:cs="Times New Roman" w:eastAsia="Times New Roman" w:hAnsi="Times New Roman"/>
          <w:sz w:val="22"/>
          <w:szCs w:val="22"/>
          <w:u w:val="single" w:color="auto"/>
          <w:color w:val="0000FF"/>
        </w:rPr>
        <w:t>www.netbenefits.fidelity.com</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visiting the Plan &amp; Grant Documents section of the Grantee’s account.</w:t>
      </w:r>
    </w:p>
    <w:p>
      <w:pPr>
        <w:spacing w:after="0" w:line="195" w:lineRule="exact"/>
        <w:rPr>
          <w:sz w:val="20"/>
          <w:szCs w:val="20"/>
          <w:color w:val="auto"/>
        </w:rPr>
      </w:pPr>
    </w:p>
    <w:p>
      <w:pPr>
        <w:jc w:val="both"/>
        <w:ind w:left="1120"/>
        <w:spacing w:after="0" w:line="257" w:lineRule="auto"/>
        <w:rPr>
          <w:sz w:val="20"/>
          <w:szCs w:val="20"/>
          <w:color w:val="auto"/>
        </w:rPr>
      </w:pPr>
      <w:r>
        <w:rPr>
          <w:rFonts w:ascii="Times New Roman" w:cs="Times New Roman" w:eastAsia="Times New Roman" w:hAnsi="Times New Roman"/>
          <w:sz w:val="22"/>
          <w:szCs w:val="22"/>
          <w:color w:val="auto"/>
        </w:rPr>
        <w:t>In the event that the Relevant TriMas Companies sell any part(s) of their business and/or assets, they will also disclose the Grantee’s personal data to actual or potential purchasers of parts of its business or assets, and their respective advisers and insurers for the potential purchaser’s legitimate interests of:</w:t>
      </w:r>
    </w:p>
    <w:p>
      <w:pPr>
        <w:spacing w:after="0" w:line="173" w:lineRule="exact"/>
        <w:rPr>
          <w:sz w:val="20"/>
          <w:szCs w:val="20"/>
          <w:color w:val="auto"/>
        </w:rPr>
      </w:pPr>
    </w:p>
    <w:p>
      <w:pPr>
        <w:ind w:left="1760" w:hanging="312"/>
        <w:spacing w:after="0"/>
        <w:tabs>
          <w:tab w:leader="none" w:pos="1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enabling potential purchasers to complete due diligence on, and value, the business and/or assets;</w:t>
      </w:r>
    </w:p>
    <w:p>
      <w:pPr>
        <w:spacing w:after="0" w:line="219" w:lineRule="exact"/>
        <w:rPr>
          <w:rFonts w:ascii="Times New Roman" w:cs="Times New Roman" w:eastAsia="Times New Roman" w:hAnsi="Times New Roman"/>
          <w:sz w:val="18"/>
          <w:szCs w:val="18"/>
          <w:color w:val="auto"/>
        </w:rPr>
      </w:pPr>
    </w:p>
    <w:p>
      <w:pPr>
        <w:ind w:left="1780" w:right="20" w:hanging="332"/>
        <w:spacing w:after="0" w:line="284" w:lineRule="auto"/>
        <w:tabs>
          <w:tab w:leader="none" w:pos="177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transferring the personal data in connection with any relevant sale and the transfer of the Relevant TriMas Company’s contractual rights and/or obligations; and</w:t>
      </w:r>
    </w:p>
    <w:p>
      <w:pPr>
        <w:spacing w:after="0" w:line="143"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use of such personal data by a purchaser for the operation of its business.</w:t>
      </w:r>
    </w:p>
    <w:p>
      <w:pPr>
        <w:spacing w:after="0" w:line="2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The Relevant TriMas Companies will also share the Grantee’s personal data with:</w:t>
      </w:r>
    </w:p>
    <w:p>
      <w:pPr>
        <w:spacing w:after="0" w:line="220" w:lineRule="exact"/>
        <w:rPr>
          <w:sz w:val="20"/>
          <w:szCs w:val="20"/>
          <w:color w:val="auto"/>
        </w:rPr>
      </w:pPr>
    </w:p>
    <w:p>
      <w:pPr>
        <w:ind w:left="1760" w:hanging="312"/>
        <w:spacing w:after="0"/>
        <w:tabs>
          <w:tab w:leader="none" w:pos="17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its professional advisors, auditors, service providers;</w:t>
      </w:r>
    </w:p>
    <w:p>
      <w:pPr>
        <w:spacing w:after="0" w:line="219" w:lineRule="exact"/>
        <w:rPr>
          <w:rFonts w:ascii="Times New Roman" w:cs="Times New Roman" w:eastAsia="Times New Roman" w:hAnsi="Times New Roman"/>
          <w:sz w:val="18"/>
          <w:szCs w:val="18"/>
          <w:color w:val="auto"/>
        </w:rPr>
      </w:pPr>
    </w:p>
    <w:p>
      <w:pPr>
        <w:jc w:val="both"/>
        <w:ind w:left="1780" w:hanging="332"/>
        <w:spacing w:after="0" w:line="263" w:lineRule="auto"/>
        <w:tabs>
          <w:tab w:leader="none" w:pos="177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HM Revenue and Customs in the United Kingdom and the Department of the Treasury Internal Revenue Service in the United States of America and other regulators, and governmental and law enforcement agencies; and</w:t>
      </w:r>
    </w:p>
    <w:p>
      <w:pPr>
        <w:spacing w:after="0" w:line="167" w:lineRule="exact"/>
        <w:rPr>
          <w:rFonts w:ascii="Times New Roman" w:cs="Times New Roman" w:eastAsia="Times New Roman" w:hAnsi="Times New Roman"/>
          <w:sz w:val="18"/>
          <w:szCs w:val="18"/>
          <w:color w:val="auto"/>
        </w:rPr>
      </w:pPr>
    </w:p>
    <w:p>
      <w:pPr>
        <w:ind w:left="1780" w:hanging="332"/>
        <w:spacing w:after="0" w:line="271" w:lineRule="auto"/>
        <w:tabs>
          <w:tab w:leader="none" w:pos="177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third parties if it is under a duty to disclose or share the Grantee’s personal data in order to comply with any laws, regulations or good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1060"/>
          </w:cols>
          <w:pgMar w:left="500" w:top="1422" w:right="339" w:bottom="1440" w:gutter="0" w:footer="0" w:header="0"/>
        </w:sectPr>
      </w:pPr>
    </w:p>
    <w:bookmarkStart w:id="77" w:name="page78"/>
    <w:bookmarkEnd w:id="77"/>
    <w:p>
      <w:pPr>
        <w:ind w:left="1780"/>
        <w:spacing w:after="0" w:line="271" w:lineRule="auto"/>
        <w:rPr>
          <w:sz w:val="20"/>
          <w:szCs w:val="20"/>
          <w:color w:val="auto"/>
        </w:rPr>
      </w:pPr>
      <w:r>
        <w:rPr>
          <w:rFonts w:ascii="Times New Roman" w:cs="Times New Roman" w:eastAsia="Times New Roman" w:hAnsi="Times New Roman"/>
          <w:sz w:val="22"/>
          <w:szCs w:val="22"/>
          <w:color w:val="auto"/>
        </w:rPr>
        <w:t>obligations, or in order to enforce or to protect its rights, property or safety, or that of its customers or other persons with whom it has a business relationship.</w:t>
      </w:r>
    </w:p>
    <w:p>
      <w:pPr>
        <w:spacing w:after="0" w:line="1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Retention of Personal Data</w:t>
      </w:r>
    </w:p>
    <w:p>
      <w:pPr>
        <w:spacing w:after="0" w:line="237" w:lineRule="exact"/>
        <w:rPr>
          <w:sz w:val="20"/>
          <w:szCs w:val="20"/>
          <w:color w:val="auto"/>
        </w:rPr>
      </w:pPr>
    </w:p>
    <w:p>
      <w:pPr>
        <w:jc w:val="both"/>
        <w:ind w:left="1120"/>
        <w:spacing w:after="0" w:line="271" w:lineRule="auto"/>
        <w:rPr>
          <w:sz w:val="20"/>
          <w:szCs w:val="20"/>
          <w:color w:val="auto"/>
        </w:rPr>
      </w:pPr>
      <w:r>
        <w:rPr>
          <w:rFonts w:ascii="Times New Roman" w:cs="Times New Roman" w:eastAsia="Times New Roman" w:hAnsi="Times New Roman"/>
          <w:sz w:val="22"/>
          <w:szCs w:val="22"/>
          <w:color w:val="auto"/>
        </w:rPr>
        <w:t>The Relevant TriMas Companies will retain the Grantee’s personal data for the duration of the Plan and for a further period of eight years after the Grantee ceases to be a member of the Plan.</w:t>
      </w:r>
    </w:p>
    <w:p>
      <w:pPr>
        <w:spacing w:after="0" w:line="158" w:lineRule="exact"/>
        <w:rPr>
          <w:sz w:val="20"/>
          <w:szCs w:val="20"/>
          <w:color w:val="auto"/>
        </w:rPr>
      </w:pPr>
    </w:p>
    <w:p>
      <w:pPr>
        <w:jc w:val="both"/>
        <w:ind w:left="1120"/>
        <w:spacing w:after="0" w:line="257" w:lineRule="auto"/>
        <w:rPr>
          <w:sz w:val="20"/>
          <w:szCs w:val="20"/>
          <w:color w:val="auto"/>
        </w:rPr>
      </w:pPr>
      <w:r>
        <w:rPr>
          <w:rFonts w:ascii="Times New Roman" w:cs="Times New Roman" w:eastAsia="Times New Roman" w:hAnsi="Times New Roman"/>
          <w:sz w:val="22"/>
          <w:szCs w:val="22"/>
          <w:color w:val="auto"/>
        </w:rPr>
        <w:t>The Relevant TriMas Companies will retain the Grantee’s personal data for longer than the period specified above if required by law, to defend or exercise legal rights (such as defending legal claims) or to comply with regulatory obligations.</w:t>
      </w:r>
    </w:p>
    <w:p>
      <w:pPr>
        <w:spacing w:after="0" w:line="1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The Grantee’s Rights</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In order to control the use of their personal data, each Grantee has the following controls over their personal data:</w:t>
      </w:r>
    </w:p>
    <w:p>
      <w:pPr>
        <w:spacing w:after="0" w:line="231" w:lineRule="exact"/>
        <w:rPr>
          <w:sz w:val="20"/>
          <w:szCs w:val="20"/>
          <w:color w:val="auto"/>
        </w:rPr>
      </w:pPr>
    </w:p>
    <w:p>
      <w:pPr>
        <w:ind w:left="1780" w:right="20" w:hanging="332"/>
        <w:spacing w:after="0" w:line="271" w:lineRule="auto"/>
        <w:tabs>
          <w:tab w:leader="none" w:pos="177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Each Grantee may request access to or copies of the personal data that the Relevant TriMas Companies hold about them by contacting their local human resources representative;</w:t>
      </w:r>
    </w:p>
    <w:p>
      <w:pPr>
        <w:spacing w:after="0" w:line="157" w:lineRule="exact"/>
        <w:rPr>
          <w:rFonts w:ascii="Times New Roman" w:cs="Times New Roman" w:eastAsia="Times New Roman" w:hAnsi="Times New Roman"/>
          <w:sz w:val="18"/>
          <w:szCs w:val="18"/>
          <w:color w:val="auto"/>
        </w:rPr>
      </w:pPr>
    </w:p>
    <w:p>
      <w:pPr>
        <w:jc w:val="both"/>
        <w:ind w:left="1780" w:hanging="332"/>
        <w:spacing w:after="0" w:line="253" w:lineRule="auto"/>
        <w:tabs>
          <w:tab w:leader="none" w:pos="177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Grantee believes that any information the Relevant TriMas Companies hold about them is incorrect or incomplete, the Grantee should contact their local human resources representative as soon as possible. The Relevant TriMas Companies will take steps to seek to correct or update any information if they are satisfied that the information they hold is inaccurate. In certain circumstances, the Grantee may also request that the Relevant TriMas Companies restrict their processing;</w:t>
      </w:r>
    </w:p>
    <w:p>
      <w:pPr>
        <w:spacing w:after="0" w:line="178" w:lineRule="exact"/>
        <w:rPr>
          <w:rFonts w:ascii="Times New Roman" w:cs="Times New Roman" w:eastAsia="Times New Roman" w:hAnsi="Times New Roman"/>
          <w:sz w:val="18"/>
          <w:szCs w:val="18"/>
          <w:color w:val="auto"/>
        </w:rPr>
      </w:pPr>
    </w:p>
    <w:p>
      <w:pPr>
        <w:jc w:val="both"/>
        <w:ind w:left="1780" w:hanging="332"/>
        <w:spacing w:after="0" w:line="256" w:lineRule="auto"/>
        <w:tabs>
          <w:tab w:leader="none" w:pos="177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Each grantee may request that their personal data be deleted where it is no longer necessary for the purposes for which it is being processed and provided there is no other lawful basis for which the Relevant TriMas Companies may continue to process such personal data. The Grantee can exercise this right by contacting their local human resources representative;</w:t>
      </w:r>
    </w:p>
    <w:p>
      <w:pPr>
        <w:spacing w:after="0" w:line="176" w:lineRule="exact"/>
        <w:rPr>
          <w:rFonts w:ascii="Times New Roman" w:cs="Times New Roman" w:eastAsia="Times New Roman" w:hAnsi="Times New Roman"/>
          <w:sz w:val="18"/>
          <w:szCs w:val="18"/>
          <w:color w:val="auto"/>
        </w:rPr>
      </w:pPr>
    </w:p>
    <w:p>
      <w:pPr>
        <w:jc w:val="both"/>
        <w:ind w:left="1780" w:hanging="332"/>
        <w:spacing w:after="0" w:line="253" w:lineRule="auto"/>
        <w:tabs>
          <w:tab w:leader="none" w:pos="177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Relevant TriMas Companies are processing the Grantee’s personal data to meet their legitimate interests (as set out above), the Grantee may object to the processing of their personal information by the Relevant TriMas Companies. If the Relevant TriMas Companies are unable to demonstrate their legitimate grounds for that processing, they will no longer process the Grantee’s personal information for those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w:t>
      </w:r>
    </w:p>
    <w:p>
      <w:pPr>
        <w:sectPr>
          <w:pgSz w:w="11900" w:h="16838" w:orient="portrait"/>
          <w:cols w:equalWidth="0" w:num="1">
            <w:col w:w="11060"/>
          </w:cols>
          <w:pgMar w:left="500" w:top="1422" w:right="339" w:bottom="1440" w:gutter="0" w:footer="0" w:header="0"/>
        </w:sectPr>
      </w:pPr>
    </w:p>
    <w:bookmarkStart w:id="78" w:name="page79"/>
    <w:bookmarkEnd w:id="78"/>
    <w:p>
      <w:pPr>
        <w:jc w:val="both"/>
        <w:ind w:left="1960" w:hanging="332"/>
        <w:spacing w:after="0" w:line="256" w:lineRule="auto"/>
        <w:tabs>
          <w:tab w:leader="none" w:pos="19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Where the Grantee has provided the Relevant TriMas Companies with their personal data that the Relevant TriMas Companies process using automated means, the Grantee may be entitled to a copy of that personal data in a structured, commonly-used and machine readable format. The Grantee can exercise this right by contacting their local human resources representative.</w:t>
      </w:r>
    </w:p>
    <w:p>
      <w:pPr>
        <w:spacing w:after="0" w:line="176"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22"/>
          <w:szCs w:val="22"/>
          <w:color w:val="auto"/>
        </w:rPr>
        <w:t xml:space="preserve">The Grantee should contact their local human resources representative in relation to any concerns about how their personal data is processed and the Relevant TriMas Companies will try to resolve the Grantee’s concerns. However, if the Grantee considers that the Relevant TriMas Companies is in breach of its obligations under data protection laws, the Grantee may lodge a complaint with the Information Commissioner’s Office in the United Kingdom (such as by accessing </w:t>
      </w:r>
      <w:r>
        <w:rPr>
          <w:rFonts w:ascii="Times New Roman" w:cs="Times New Roman" w:eastAsia="Times New Roman" w:hAnsi="Times New Roman"/>
          <w:sz w:val="22"/>
          <w:szCs w:val="22"/>
          <w:u w:val="single" w:color="auto"/>
          <w:color w:val="0000FF"/>
        </w:rPr>
        <w:t>https://ico.org.uk/concerns/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Loss of Office or Employment</w:t>
      </w:r>
      <w:r>
        <w:rPr>
          <w:rFonts w:ascii="Times New Roman" w:cs="Times New Roman" w:eastAsia="Times New Roman" w:hAnsi="Times New Roman"/>
          <w:sz w:val="22"/>
          <w:szCs w:val="22"/>
          <w:color w:val="auto"/>
        </w:rPr>
        <w:t>. A new Section II.B.18 is added to the Agreement to read as follows:</w:t>
      </w:r>
    </w:p>
    <w:p>
      <w:pPr>
        <w:spacing w:after="0" w:line="251" w:lineRule="exact"/>
        <w:rPr>
          <w:sz w:val="20"/>
          <w:szCs w:val="20"/>
          <w:color w:val="auto"/>
        </w:rPr>
      </w:pPr>
    </w:p>
    <w:p>
      <w:pPr>
        <w:jc w:val="both"/>
        <w:ind w:left="1300" w:right="640"/>
        <w:spacing w:after="0" w:line="253" w:lineRule="auto"/>
        <w:rPr>
          <w:sz w:val="20"/>
          <w:szCs w:val="20"/>
          <w:color w:val="auto"/>
        </w:rPr>
      </w:pPr>
      <w:r>
        <w:rPr>
          <w:rFonts w:ascii="Times New Roman" w:cs="Times New Roman" w:eastAsia="Times New Roman" w:hAnsi="Times New Roman"/>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this Award or the Plan which he might otherwise have enjoyed whether such compensation is claimed by way of damages for wrongful dismissal or other breach of contract or by way of compensation for loss of office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xii</w:t>
      </w:r>
    </w:p>
    <w:p>
      <w:pPr>
        <w:sectPr>
          <w:pgSz w:w="11900" w:h="16838" w:orient="portrait"/>
          <w:cols w:equalWidth="0" w:num="1">
            <w:col w:w="11240"/>
          </w:cols>
          <w:pgMar w:left="320" w:top="1422"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22"/>
          <w:szCs w:val="22"/>
          <w:b w:val="1"/>
          <w:bCs w:val="1"/>
          <w:color w:val="auto"/>
        </w:rPr>
        <w:t>APPENDIX 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 AGREEMENT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CALIFORNIA ADDENDUM</w:t>
      </w:r>
    </w:p>
    <w:p>
      <w:pPr>
        <w:spacing w:after="0" w:line="247"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b w:val="1"/>
          <w:bCs w:val="1"/>
          <w:color w:val="auto"/>
        </w:rPr>
        <w:t>Additional Terms and Conditions for Equity Grants Under the TriMas Corporation 2023 Equity and Incentive Compensation Plan,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Addendum includes additional terms and conditions that govern the performance-based Restricted Stock Units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granted to you under the TriMas Corporation 2023 Equity and Incentive Compensation Plan (referred to as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if you are employed and/or reside in California or if the Company determines that the application of such terms and conditions is necessary or advisable in order to comply with applicable law. Certain capitalized terms used but not defined in this Addendum have the meanings set forth in the Plan and/or your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 Section II.B.3 of the Agreement is hereby amended in its entirety to read as follows:</w:t>
      </w:r>
    </w:p>
    <w:p>
      <w:pPr>
        <w:spacing w:after="0" w:line="247" w:lineRule="exact"/>
        <w:rPr>
          <w:sz w:val="20"/>
          <w:szCs w:val="20"/>
          <w:color w:val="auto"/>
        </w:rPr>
      </w:pPr>
    </w:p>
    <w:p>
      <w:pPr>
        <w:ind w:left="220"/>
        <w:spacing w:after="0"/>
        <w:tabs>
          <w:tab w:leader="none" w:pos="68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3.</w:t>
      </w:r>
      <w:r>
        <w:rPr>
          <w:sz w:val="20"/>
          <w:szCs w:val="20"/>
          <w:color w:val="auto"/>
        </w:rPr>
        <w:tab/>
      </w:r>
      <w:r>
        <w:rPr>
          <w:rFonts w:ascii="Times New Roman" w:cs="Times New Roman" w:eastAsia="Times New Roman" w:hAnsi="Times New Roman"/>
          <w:sz w:val="21"/>
          <w:szCs w:val="21"/>
          <w:b w:val="1"/>
          <w:bCs w:val="1"/>
          <w:u w:val="single" w:color="auto"/>
          <w:color w:val="auto"/>
        </w:rPr>
        <w:t>Restrictive Covenants</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left="640" w:firstLine="644"/>
        <w:spacing w:after="0" w:line="221" w:lineRule="auto"/>
        <w:tabs>
          <w:tab w:leader="none" w:pos="193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PSUs or Common Stock to Grantee without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w:t>
      </w:r>
    </w:p>
    <w:p>
      <w:pPr>
        <w:spacing w:after="0" w:line="148" w:lineRule="exact"/>
        <w:rPr>
          <w:rFonts w:ascii="Times New Roman" w:cs="Times New Roman" w:eastAsia="Times New Roman" w:hAnsi="Times New Roman"/>
          <w:sz w:val="22"/>
          <w:szCs w:val="22"/>
          <w:color w:val="auto"/>
        </w:rPr>
      </w:pPr>
    </w:p>
    <w:p>
      <w:pPr>
        <w:jc w:val="both"/>
        <w:ind w:left="640" w:firstLine="644"/>
        <w:spacing w:after="0" w:line="221" w:lineRule="auto"/>
        <w:tabs>
          <w:tab w:leader="none" w:pos="1935"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Confidentiality</w:t>
      </w:r>
      <w:r>
        <w:rPr>
          <w:rFonts w:ascii="Times New Roman" w:cs="Times New Roman" w:eastAsia="Times New Roman" w:hAnsi="Times New Roman"/>
          <w:sz w:val="21"/>
          <w:szCs w:val="21"/>
          <w:color w:val="auto"/>
        </w:rPr>
        <w:t>. Recognizing Grantee’s fiduciary duties to the Company, as a condition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II.B.3 shall not result in the forfeiture of PSUs or any clawback or recoupment of the Award for the disclosure of a trade secret if that disclosure (1) is made in confidence to a federal, state or local government official or to an attorney for the sole purpose of reporting or investigating a suspected violation of law or (2) is made in a complaint or other document filed in a lawsuit or other proceeding, if such filing is made under seal. Pursuant to 18 U.S.C.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18" w:right="339" w:bottom="1440" w:gutter="0" w:footer="0" w:header="0"/>
        </w:sectPr>
      </w:pPr>
    </w:p>
    <w:bookmarkStart w:id="80" w:name="page81"/>
    <w:bookmarkEnd w:id="80"/>
    <w:p>
      <w:pPr>
        <w:jc w:val="both"/>
        <w:ind w:left="460"/>
        <w:spacing w:after="0" w:line="217" w:lineRule="auto"/>
        <w:rPr>
          <w:sz w:val="20"/>
          <w:szCs w:val="20"/>
          <w:color w:val="auto"/>
        </w:rPr>
      </w:pPr>
      <w:r>
        <w:rPr>
          <w:rFonts w:ascii="Times New Roman" w:cs="Times New Roman" w:eastAsia="Times New Roman" w:hAnsi="Times New Roman"/>
          <w:sz w:val="21"/>
          <w:szCs w:val="21"/>
          <w:color w:val="auto"/>
        </w:rPr>
        <w:t>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(or in any other agreement, contract or arrangement with the Company or its subsidiaries or affiliates, or in any policy, procedure or practice of the Company or its subsidiaries or affiliates (collectively, the “Arrangements”)): (x) nothing in the Arrangements or otherwise limits the Grantee’s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(y) nothing in the Arrangements or otherwise prohibits or is intended to restrict or impede Grantee from discussing the terms and conditions of their employment with coworkers or union representatives or exercising protected rights under Section 7 of the National Labor Relations Act, or prevents Grantee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Grantee is not prohibited from providing information (including documents) voluntarily to the Securities and Exchange Commission pursuant to Section 21F of the Exchange Act). The Company nonetheless asserts and does not waive its attorney-client privilege over any information (including documents) appropriately protected by privilege.</w:t>
      </w:r>
    </w:p>
    <w:p>
      <w:pPr>
        <w:spacing w:after="0" w:line="161" w:lineRule="exact"/>
        <w:rPr>
          <w:sz w:val="20"/>
          <w:szCs w:val="20"/>
          <w:color w:val="auto"/>
        </w:rPr>
      </w:pPr>
    </w:p>
    <w:p>
      <w:pPr>
        <w:jc w:val="both"/>
        <w:ind w:left="460" w:firstLine="644"/>
        <w:spacing w:after="0" w:line="211" w:lineRule="auto"/>
        <w:tabs>
          <w:tab w:leader="none" w:pos="175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 Against Solicitation</w:t>
      </w:r>
      <w:r>
        <w:rPr>
          <w:rFonts w:ascii="Times New Roman" w:cs="Times New Roman" w:eastAsia="Times New Roman" w:hAnsi="Times New Roman"/>
          <w:sz w:val="22"/>
          <w:szCs w:val="22"/>
          <w:color w:val="auto"/>
        </w:rPr>
        <w:t>. Grantee further understands and agrees that while Grantee is employed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 The “Business” shall mean the design, development, manufacture, distribution, sale or marketing of the type of products or services sold, distributed or provided by the Company during the one-year period prior to the date of employment termination and with which Grantee was involved and/or oversaw.</w:t>
      </w:r>
    </w:p>
    <w:p>
      <w:pPr>
        <w:spacing w:after="0" w:line="151" w:lineRule="exact"/>
        <w:rPr>
          <w:rFonts w:ascii="Times New Roman" w:cs="Times New Roman" w:eastAsia="Times New Roman" w:hAnsi="Times New Roman"/>
          <w:sz w:val="22"/>
          <w:szCs w:val="22"/>
          <w:color w:val="auto"/>
        </w:rPr>
      </w:pPr>
    </w:p>
    <w:p>
      <w:pPr>
        <w:jc w:val="both"/>
        <w:ind w:left="460" w:firstLine="644"/>
        <w:spacing w:after="0" w:line="221" w:lineRule="auto"/>
        <w:tabs>
          <w:tab w:leader="none" w:pos="175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60"/>
          </w:cols>
          <w:pgMar w:left="500" w:top="1395" w:right="339" w:bottom="1440" w:gutter="0" w:footer="0" w:header="0"/>
        </w:sectPr>
      </w:pPr>
    </w:p>
    <w:bookmarkStart w:id="81" w:name="page82"/>
    <w:bookmarkEnd w:id="81"/>
    <w:p>
      <w:pPr>
        <w:ind w:left="1940" w:hanging="656"/>
        <w:spacing w:after="0"/>
        <w:tabs>
          <w:tab w:leader="none" w:pos="194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206" w:lineRule="exact"/>
        <w:rPr>
          <w:rFonts w:ascii="Times New Roman" w:cs="Times New Roman" w:eastAsia="Times New Roman" w:hAnsi="Times New Roman"/>
          <w:sz w:val="22"/>
          <w:szCs w:val="22"/>
          <w:color w:val="auto"/>
        </w:rPr>
      </w:pPr>
    </w:p>
    <w:p>
      <w:pPr>
        <w:jc w:val="both"/>
        <w:ind w:left="1300" w:firstLine="622"/>
        <w:spacing w:after="0" w:line="250" w:lineRule="auto"/>
        <w:tabs>
          <w:tab w:leader="none" w:pos="244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80" w:lineRule="exact"/>
        <w:rPr>
          <w:rFonts w:ascii="Times New Roman" w:cs="Times New Roman" w:eastAsia="Times New Roman" w:hAnsi="Times New Roman"/>
          <w:sz w:val="22"/>
          <w:szCs w:val="22"/>
          <w:color w:val="auto"/>
        </w:rPr>
      </w:pPr>
    </w:p>
    <w:p>
      <w:pPr>
        <w:jc w:val="both"/>
        <w:ind w:left="1300" w:firstLine="622"/>
        <w:spacing w:after="0" w:line="249" w:lineRule="auto"/>
        <w:tabs>
          <w:tab w:leader="none" w:pos="2589"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78" w:lineRule="exact"/>
        <w:rPr>
          <w:rFonts w:ascii="Times New Roman" w:cs="Times New Roman" w:eastAsia="Times New Roman" w:hAnsi="Times New Roman"/>
          <w:sz w:val="22"/>
          <w:szCs w:val="22"/>
          <w:color w:val="auto"/>
        </w:rPr>
      </w:pPr>
    </w:p>
    <w:p>
      <w:pPr>
        <w:ind w:left="640" w:firstLine="644"/>
        <w:spacing w:after="0" w:line="275" w:lineRule="auto"/>
        <w:tabs>
          <w:tab w:leader="none" w:pos="188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w:t>
      </w:r>
      <w:r>
        <w:rPr>
          <w:rFonts w:ascii="Times New Roman" w:cs="Times New Roman" w:eastAsia="Times New Roman" w:hAnsi="Times New Roman"/>
          <w:sz w:val="22"/>
          <w:szCs w:val="22"/>
          <w:color w:val="auto"/>
        </w:rPr>
        <w:t>. A new Section II.B.17 is added to the Agreement to read as follows:</w:t>
      </w:r>
    </w:p>
    <w:p>
      <w:pPr>
        <w:spacing w:after="0" w:line="247" w:lineRule="exact"/>
        <w:rPr>
          <w:sz w:val="20"/>
          <w:szCs w:val="20"/>
          <w:color w:val="auto"/>
        </w:rPr>
      </w:pPr>
    </w:p>
    <w:p>
      <w:pPr>
        <w:jc w:val="both"/>
        <w:ind w:firstLine="594"/>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Privacy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Company respects Grantee’s privacy. In order to administer Grantee’s equity award, the Company collects and uses certain personal information about Grantee, including Grantee’s prior equity grant information where applicable. If Grantee is a California resident, Grantee should refer to the Company’s California Consumer Privacy Act Notice for more information about the personal information the Company collects about Grantee and the purposes for which the Company will use such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391"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Restricted Stock Units Award</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Three-Year (Ratable) Vest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EQUITY AND INCENTIVE COMPENSATION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TriMas Corporation (the “Company”), as permitted by the TriMas Corporation 2023 Equity and Incentive Compensation Plan (“Plan”), and as provided for by the Committee, has granted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Unless otherwise defined in this Agreement or in Appendix A to this Agreement, the terms used in this Agreement have the same meanings as defined in the Plan.</w:t>
      </w:r>
    </w:p>
    <w:p>
      <w:pPr>
        <w:spacing w:after="0" w:line="154" w:lineRule="exact"/>
        <w:rPr>
          <w:sz w:val="20"/>
          <w:szCs w:val="20"/>
          <w:color w:val="auto"/>
        </w:rPr>
      </w:pPr>
    </w:p>
    <w:p>
      <w:pPr>
        <w:ind w:left="360" w:hanging="352"/>
        <w:spacing w:after="0"/>
        <w:tabs>
          <w:tab w:leader="none" w:pos="36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 OF AWARD</w:t>
      </w:r>
    </w:p>
    <w:p>
      <w:pPr>
        <w:sectPr>
          <w:pgSz w:w="11900" w:h="16838" w:orient="portrait"/>
          <w:cols w:equalWidth="0" w:num="1">
            <w:col w:w="11240"/>
          </w:cols>
          <w:pgMar w:left="320" w:top="365" w:right="339" w:bottom="1440" w:gutter="0" w:footer="0" w:header="0"/>
        </w:sectPr>
      </w:pPr>
    </w:p>
    <w:p>
      <w:pPr>
        <w:spacing w:after="0" w:line="3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[specify Grantee’s name]</w:t>
      </w:r>
    </w:p>
    <w:p>
      <w:pPr>
        <w:spacing w:after="0" w:line="173" w:lineRule="exact"/>
        <w:rPr>
          <w:sz w:val="20"/>
          <w:szCs w:val="20"/>
          <w:color w:val="auto"/>
        </w:rPr>
      </w:pPr>
    </w:p>
    <w:p>
      <w:pPr>
        <w:sectPr>
          <w:pgSz w:w="11900" w:h="16838" w:orient="portrait"/>
          <w:cols w:equalWidth="0" w:num="2">
            <w:col w:w="5740" w:space="720"/>
            <w:col w:w="4780"/>
          </w:cols>
          <w:pgMar w:left="320" w:top="365"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1"/>
          <w:szCs w:val="21"/>
          <w:b w:val="1"/>
          <w:bCs w:val="1"/>
          <w:color w:val="auto"/>
        </w:rPr>
        <w:t>Date of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As of [enter date]</w:t>
      </w:r>
    </w:p>
    <w:p>
      <w:pPr>
        <w:spacing w:after="0" w:line="173" w:lineRule="exact"/>
        <w:rPr>
          <w:sz w:val="20"/>
          <w:szCs w:val="20"/>
          <w:color w:val="auto"/>
        </w:rPr>
      </w:pPr>
    </w:p>
    <w:p>
      <w:pPr>
        <w:sectPr>
          <w:pgSz w:w="11900" w:h="16838" w:orient="portrait"/>
          <w:cols w:equalWidth="0" w:num="2">
            <w:col w:w="5740" w:space="720"/>
            <w:col w:w="4780"/>
          </w:cols>
          <w:pgMar w:left="320" w:top="365"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1"/>
          <w:szCs w:val="21"/>
          <w:b w:val="1"/>
          <w:bCs w:val="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[grant date]</w:t>
      </w:r>
    </w:p>
    <w:p>
      <w:pPr>
        <w:spacing w:after="0" w:line="173" w:lineRule="exact"/>
        <w:rPr>
          <w:sz w:val="20"/>
          <w:szCs w:val="20"/>
          <w:color w:val="auto"/>
        </w:rPr>
      </w:pPr>
    </w:p>
    <w:p>
      <w:pPr>
        <w:sectPr>
          <w:pgSz w:w="11900" w:h="16838" w:orient="portrait"/>
          <w:cols w:equalWidth="0" w:num="2">
            <w:col w:w="5740" w:space="720"/>
            <w:col w:w="4780"/>
          </w:cols>
          <w:pgMar w:left="320" w:top="365"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1"/>
          <w:szCs w:val="21"/>
          <w:b w:val="1"/>
          <w:bCs w:val="1"/>
          <w:color w:val="auto"/>
        </w:rPr>
        <w:t>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[number of Restricted Stock Units]</w:t>
      </w:r>
    </w:p>
    <w:p>
      <w:pPr>
        <w:spacing w:after="0" w:line="200" w:lineRule="exact"/>
        <w:rPr>
          <w:sz w:val="20"/>
          <w:szCs w:val="20"/>
          <w:color w:val="auto"/>
        </w:rPr>
      </w:pPr>
    </w:p>
    <w:p>
      <w:pPr>
        <w:sectPr>
          <w:pgSz w:w="11900" w:h="16838" w:orient="portrait"/>
          <w:cols w:equalWidth="0" w:num="2">
            <w:col w:w="5740" w:space="720"/>
            <w:col w:w="4780"/>
          </w:cols>
          <w:pgMar w:left="320" w:top="365" w:right="339" w:bottom="1440" w:gutter="0" w:footer="0" w:header="0"/>
          <w:type w:val="continuous"/>
        </w:sectPr>
      </w:pPr>
    </w:p>
    <w:p>
      <w:pPr>
        <w:spacing w:after="0" w:line="230" w:lineRule="exact"/>
        <w:rPr>
          <w:sz w:val="20"/>
          <w:szCs w:val="20"/>
          <w:color w:val="auto"/>
        </w:rPr>
      </w:pPr>
    </w:p>
    <w:p>
      <w:pPr>
        <w:ind w:left="420" w:hanging="412"/>
        <w:spacing w:after="0"/>
        <w:tabs>
          <w:tab w:leader="none" w:pos="4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AGREEMENT</w:t>
      </w:r>
    </w:p>
    <w:p>
      <w:pPr>
        <w:spacing w:after="0" w:line="206" w:lineRule="exact"/>
        <w:rPr>
          <w:rFonts w:ascii="Times New Roman" w:cs="Times New Roman" w:eastAsia="Times New Roman" w:hAnsi="Times New Roman"/>
          <w:sz w:val="22"/>
          <w:szCs w:val="22"/>
          <w:color w:val="auto"/>
        </w:rPr>
      </w:pPr>
    </w:p>
    <w:p>
      <w:pPr>
        <w:jc w:val="both"/>
        <w:ind w:firstLine="231"/>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b w:val="1"/>
          <w:bCs w:val="1"/>
          <w:u w:val="single" w:color="auto"/>
          <w:color w:val="auto"/>
        </w:rPr>
        <w:t>Grant of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granted to Grantee (who, pursuant to this Award is a Participant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the number of Restricted Stock Units set forth above, subject to the terms of this Agreement. The Restricted Stock Units granted under this Agreement are payable only in shares of Common Stock as described in Section II.A.2. Notwithstanding anything to the contrary anywhere else in this Agreement, the Restricted Stock Units evidenced by this Award are subject to the terms and provisions of the Plan, which are incorporated by reference into this Agreement.</w:t>
      </w:r>
    </w:p>
    <w:p>
      <w:pPr>
        <w:spacing w:after="0" w:line="185" w:lineRule="exact"/>
        <w:rPr>
          <w:rFonts w:ascii="Times New Roman" w:cs="Times New Roman" w:eastAsia="Times New Roman" w:hAnsi="Times New Roman"/>
          <w:sz w:val="22"/>
          <w:szCs w:val="22"/>
          <w:color w:val="auto"/>
        </w:rPr>
      </w:pPr>
    </w:p>
    <w:p>
      <w:pPr>
        <w:ind w:left="820" w:hanging="380"/>
        <w:spacing w:after="0"/>
        <w:tabs>
          <w:tab w:leader="none" w:pos="820" w:val="left"/>
        </w:tabs>
        <w:numPr>
          <w:ilvl w:val="2"/>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b w:val="1"/>
          <w:bCs w:val="1"/>
          <w:color w:val="auto"/>
        </w:rPr>
      </w:pPr>
    </w:p>
    <w:p>
      <w:pPr>
        <w:jc w:val="both"/>
        <w:ind w:left="660" w:firstLine="644"/>
        <w:spacing w:after="0" w:line="227" w:lineRule="auto"/>
        <w:tabs>
          <w:tab w:leader="none" w:pos="1953" w:val="left"/>
        </w:tabs>
        <w:numPr>
          <w:ilvl w:val="3"/>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II.A.1(b), the Restricted Stock Units will vest in three substantially equal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installments on the first three anniversaries of the Date of Grant (each, a “Vesting Date”), subject generally to Grantee’s continued status as a Service Provider through each such Vesting Date.</w:t>
      </w:r>
    </w:p>
    <w:p>
      <w:pPr>
        <w:sectPr>
          <w:pgSz w:w="11900" w:h="16838" w:orient="portrait"/>
          <w:cols w:equalWidth="0" w:num="1">
            <w:col w:w="11240"/>
          </w:cols>
          <w:pgMar w:left="320" w:top="365" w:right="339" w:bottom="1440" w:gutter="0" w:footer="0" w:header="0"/>
          <w:type w:val="continuous"/>
        </w:sectPr>
      </w:pPr>
    </w:p>
    <w:bookmarkStart w:id="83" w:name="page84"/>
    <w:bookmarkEnd w:id="83"/>
    <w:p>
      <w:pPr>
        <w:spacing w:after="0" w:line="200" w:lineRule="exact"/>
        <w:rPr>
          <w:sz w:val="20"/>
          <w:szCs w:val="20"/>
          <w:color w:val="auto"/>
        </w:rPr>
      </w:pPr>
    </w:p>
    <w:p>
      <w:pPr>
        <w:spacing w:after="0" w:line="210" w:lineRule="exact"/>
        <w:rPr>
          <w:sz w:val="20"/>
          <w:szCs w:val="20"/>
          <w:color w:val="auto"/>
        </w:rPr>
      </w:pPr>
    </w:p>
    <w:p>
      <w:pPr>
        <w:ind w:left="1760" w:hanging="636"/>
        <w:spacing w:after="0"/>
        <w:tabs>
          <w:tab w:leader="none" w:pos="1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Service; Forfeiture</w:t>
      </w:r>
      <w:r>
        <w:rPr>
          <w:rFonts w:ascii="Times New Roman" w:cs="Times New Roman" w:eastAsia="Times New Roman" w:hAnsi="Times New Roman"/>
          <w:sz w:val="22"/>
          <w:szCs w:val="22"/>
          <w:color w:val="auto"/>
        </w:rPr>
        <w:t>. Notwithstanding any other provision of this Agreement:</w:t>
      </w:r>
    </w:p>
    <w:p>
      <w:pPr>
        <w:spacing w:after="0" w:line="206" w:lineRule="exact"/>
        <w:rPr>
          <w:rFonts w:ascii="Times New Roman" w:cs="Times New Roman" w:eastAsia="Times New Roman" w:hAnsi="Times New Roman"/>
          <w:sz w:val="22"/>
          <w:szCs w:val="22"/>
          <w:color w:val="auto"/>
        </w:rPr>
      </w:pPr>
    </w:p>
    <w:p>
      <w:pPr>
        <w:jc w:val="both"/>
        <w:ind w:left="1120" w:firstLine="652"/>
        <w:spacing w:after="0" w:line="249" w:lineRule="auto"/>
        <w:tabs>
          <w:tab w:leader="none" w:pos="2323"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Voluntary Termination; Termination for Cause; Breach of Other Obligations</w:t>
      </w:r>
      <w:r>
        <w:rPr>
          <w:rFonts w:ascii="Times New Roman" w:cs="Times New Roman" w:eastAsia="Times New Roman" w:hAnsi="Times New Roman"/>
          <w:sz w:val="22"/>
          <w:szCs w:val="22"/>
          <w:color w:val="auto"/>
        </w:rPr>
        <w:t>. Any unvested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Units subject to this Award will be canceled and forfeited if Grantee voluntarily terminates as a Service Provider (other than for Good Reason or as a result of Retirement as provided below), if Grantee’s status as a Service Provider is involuntarily terminated by the Company or a Subsidiary for Cause, or if Grantee violates the provisions of Section II.B.3 below. Notwithstanding the foregoing, no termination of Grantee’s employment shall qualify as a termination for Cause unless (x) the Company notifies Grantee in writing of the Company’s intention to terminate Grantee’s employment for Cause within 90 days following the initial existence of the occurrence or event giving rise to Cause, (y) Grantee fails to cure such occurrence or event within 30 days after receipt of such notice from the Company and (z) the Company terminates Grantee’s employment within 45 days after the expiration of Grantee’s cure period in subsection (y).</w:t>
      </w:r>
    </w:p>
    <w:p>
      <w:pPr>
        <w:spacing w:after="0" w:line="183" w:lineRule="exact"/>
        <w:rPr>
          <w:rFonts w:ascii="Times New Roman" w:cs="Times New Roman" w:eastAsia="Times New Roman" w:hAnsi="Times New Roman"/>
          <w:sz w:val="22"/>
          <w:szCs w:val="22"/>
          <w:color w:val="auto"/>
        </w:rPr>
      </w:pPr>
    </w:p>
    <w:p>
      <w:pPr>
        <w:jc w:val="both"/>
        <w:ind w:left="1120" w:firstLine="652"/>
        <w:spacing w:after="0" w:line="253" w:lineRule="auto"/>
        <w:tabs>
          <w:tab w:leader="none" w:pos="2261"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 Disability</w:t>
      </w:r>
      <w:r>
        <w:rPr>
          <w:rFonts w:ascii="Times New Roman" w:cs="Times New Roman" w:eastAsia="Times New Roman" w:hAnsi="Times New Roman"/>
          <w:sz w:val="22"/>
          <w:szCs w:val="22"/>
          <w:color w:val="auto"/>
        </w:rPr>
        <w:t>. If Grantee ceases to be a Service Provider prior to any Vesting Date as a result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death or Disability, Grantee shall fully vest in the Restricted Stock Units subject to this Award that have not already vested as of the date on which Grantee ceases to be a Service Provider due to Grantee’s death or Disability.</w:t>
      </w:r>
    </w:p>
    <w:p>
      <w:pPr>
        <w:spacing w:after="0" w:line="188" w:lineRule="exact"/>
        <w:rPr>
          <w:rFonts w:ascii="Times New Roman" w:cs="Times New Roman" w:eastAsia="Times New Roman" w:hAnsi="Times New Roman"/>
          <w:sz w:val="22"/>
          <w:szCs w:val="22"/>
          <w:color w:val="auto"/>
        </w:rPr>
      </w:pPr>
    </w:p>
    <w:p>
      <w:pPr>
        <w:jc w:val="both"/>
        <w:ind w:left="1120" w:firstLine="652"/>
        <w:spacing w:after="0" w:line="250" w:lineRule="auto"/>
        <w:tabs>
          <w:tab w:leader="none" w:pos="2362"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Qualifying Termination Prior to a Change in Control</w:t>
      </w:r>
      <w:r>
        <w:rPr>
          <w:rFonts w:ascii="Times New Roman" w:cs="Times New Roman" w:eastAsia="Times New Roman" w:hAnsi="Times New Roman"/>
          <w:sz w:val="22"/>
          <w:szCs w:val="22"/>
          <w:color w:val="auto"/>
        </w:rPr>
        <w:t>. If Grantee has a Qualifying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occurs prior to (or more than two years after) a Change in Control and before the final Vesting Date, Grantee shall vest in a pro-rata portion of Grantee’s unvested Restricted Stock Units, with the pro-rata amount calculated by (x) multiplying the total number of Restricted Stock Units subject to this Award by a fraction with (i) a numerator equaling the number of whole calendar months that have elapsed from the Date of Grant to the date of Grantee’s Qualifying Termination, and (ii) a denominator equal to 36, and then (y) subtracting the number of Restricted Stock Units that have already vested under this Award.</w:t>
      </w:r>
    </w:p>
    <w:p>
      <w:pPr>
        <w:spacing w:after="0" w:line="180" w:lineRule="exact"/>
        <w:rPr>
          <w:rFonts w:ascii="Times New Roman" w:cs="Times New Roman" w:eastAsia="Times New Roman" w:hAnsi="Times New Roman"/>
          <w:sz w:val="22"/>
          <w:szCs w:val="22"/>
          <w:color w:val="auto"/>
        </w:rPr>
      </w:pPr>
    </w:p>
    <w:p>
      <w:pPr>
        <w:jc w:val="both"/>
        <w:ind w:left="1120" w:firstLine="652"/>
        <w:spacing w:after="0" w:line="258" w:lineRule="auto"/>
        <w:tabs>
          <w:tab w:leader="none" w:pos="235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If Grantee ceases to be a Service Provider prior to any Vesting Date due to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Retirement, Grantee shall continue to vest in the Restricted Stock Units subject to this Award to the same extent that Grantee would have vested in such Restricted Stock Units had Grantee continued to be a Service Provider through the final Vesting Date.</w:t>
      </w:r>
    </w:p>
    <w:p>
      <w:pPr>
        <w:spacing w:after="0" w:line="167" w:lineRule="exact"/>
        <w:rPr>
          <w:rFonts w:ascii="Times New Roman" w:cs="Times New Roman" w:eastAsia="Times New Roman" w:hAnsi="Times New Roman"/>
          <w:sz w:val="22"/>
          <w:szCs w:val="22"/>
          <w:color w:val="auto"/>
        </w:rPr>
      </w:pPr>
    </w:p>
    <w:p>
      <w:pPr>
        <w:ind w:left="1120" w:right="20" w:firstLine="652"/>
        <w:spacing w:after="0" w:line="275" w:lineRule="auto"/>
        <w:tabs>
          <w:tab w:leader="none" w:pos="234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In the event of a Change in Control that occurs prior to the vesting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portion of the Restricted Stock Units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500" w:top="1440" w:right="339" w:bottom="1440" w:gutter="0" w:footer="0" w:header="0"/>
        </w:sectPr>
      </w:pPr>
    </w:p>
    <w:bookmarkStart w:id="84" w:name="page85"/>
    <w:bookmarkEnd w:id="84"/>
    <w:p>
      <w:pPr>
        <w:ind w:left="1120"/>
        <w:spacing w:after="0"/>
        <w:rPr>
          <w:sz w:val="20"/>
          <w:szCs w:val="20"/>
          <w:color w:val="auto"/>
        </w:rPr>
      </w:pPr>
      <w:r>
        <w:rPr>
          <w:rFonts w:ascii="Times New Roman" w:cs="Times New Roman" w:eastAsia="Times New Roman" w:hAnsi="Times New Roman"/>
          <w:sz w:val="22"/>
          <w:szCs w:val="22"/>
          <w:color w:val="auto"/>
        </w:rPr>
        <w:t>this Award, such unvested Restricted Stock Units shall vest in accordance with this Section II.A.1(b)(v).</w:t>
      </w:r>
    </w:p>
    <w:p>
      <w:pPr>
        <w:spacing w:after="0" w:line="220" w:lineRule="exact"/>
        <w:rPr>
          <w:sz w:val="20"/>
          <w:szCs w:val="20"/>
          <w:color w:val="auto"/>
        </w:rPr>
      </w:pPr>
    </w:p>
    <w:p>
      <w:pPr>
        <w:jc w:val="both"/>
        <w:ind w:left="2020" w:firstLine="643"/>
        <w:spacing w:after="0" w:line="251" w:lineRule="auto"/>
        <w:tabs>
          <w:tab w:leader="none" w:pos="3333"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if at any time before the vesting or forfeiture of Restricted Stock Units subject to this Award, and while Grantee is continuously a Service Provider, a Change in Control occurs, then the Restricted Stock Units will become nonforfeitable and payable to Grantee in accordance with Section II.A.2 hereof, except to the extent that a Replacement Award is provided to Grantee in accordance with Section II.A.1(b)(v)(B) to continue, replace or assume the Restricted Stock Units covered by this Award (the “Replaced Award”).</w:t>
      </w:r>
    </w:p>
    <w:p>
      <w:pPr>
        <w:spacing w:after="0" w:line="181" w:lineRule="exact"/>
        <w:rPr>
          <w:rFonts w:ascii="Times New Roman" w:cs="Times New Roman" w:eastAsia="Times New Roman" w:hAnsi="Times New Roman"/>
          <w:sz w:val="22"/>
          <w:szCs w:val="22"/>
          <w:color w:val="auto"/>
        </w:rPr>
      </w:pPr>
    </w:p>
    <w:p>
      <w:pPr>
        <w:jc w:val="both"/>
        <w:ind w:left="2020" w:firstLine="643"/>
        <w:spacing w:after="0" w:line="247" w:lineRule="auto"/>
        <w:tabs>
          <w:tab w:leader="none" w:pos="3205"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“Replacement Award” means an award (1) of the same type (e.g., time-based restricted stock units) as the Replaced Award, (2) that has a value at least equal to the value of the Replaced Award, (3) that relates to publicly traded equity securities of the Company or its successor in the Change in Control or another entity that is affiliated with the Company or its successor following the Change in Control, (3) if Grantee holding the Replaced Award is subject to U.S. federal income tax under the Code, the tax consequences of which to such Grantee under the Code are not less favorable to such Grantee than the tax consequences of the Replaced Award, and (E) the other terms and conditions of which are not less favorable to Grantee holding the Replaced Award than the terms and conditions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II.A.1(b)(v)(B) are satisfied will be made by the Committee, as constituted immediately before the Change in Control, in its sole discretion.</w:t>
      </w:r>
    </w:p>
    <w:p>
      <w:pPr>
        <w:spacing w:after="0" w:line="194" w:lineRule="exact"/>
        <w:rPr>
          <w:rFonts w:ascii="Times New Roman" w:cs="Times New Roman" w:eastAsia="Times New Roman" w:hAnsi="Times New Roman"/>
          <w:sz w:val="22"/>
          <w:szCs w:val="22"/>
          <w:color w:val="auto"/>
        </w:rPr>
      </w:pPr>
    </w:p>
    <w:p>
      <w:pPr>
        <w:jc w:val="both"/>
        <w:ind w:left="2020" w:firstLine="643"/>
        <w:spacing w:after="0" w:line="273" w:lineRule="auto"/>
        <w:tabs>
          <w:tab w:leader="none" w:pos="3176"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receiving a Replacement Award, (1) Grantee experiences a Qualifying Termination with the Company or a Subsidiary (or any of their successors) (as applicable, the “Successor”), or</w:t>
      </w:r>
    </w:p>
    <w:p>
      <w:pPr>
        <w:spacing w:after="0" w:line="1" w:lineRule="exact"/>
        <w:rPr>
          <w:rFonts w:ascii="Times New Roman" w:cs="Times New Roman" w:eastAsia="Times New Roman" w:hAnsi="Times New Roman"/>
          <w:sz w:val="21"/>
          <w:szCs w:val="21"/>
          <w:color w:val="auto"/>
        </w:rPr>
      </w:pPr>
    </w:p>
    <w:p>
      <w:pPr>
        <w:jc w:val="both"/>
        <w:ind w:left="2020" w:hanging="5"/>
        <w:spacing w:after="0" w:line="245" w:lineRule="auto"/>
        <w:tabs>
          <w:tab w:leader="none" w:pos="235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ceases to be a Service Provider as a result of Grantee’s Retirement or Disability, in each case within a period of two years after the Change in Control and during the remaining vesting period for the Replacement Award, the Replacement Award shall become fully vested and nonforfeitable with respect to the time-based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500" w:top="1422" w:right="339" w:bottom="1440" w:gutter="0" w:footer="0" w:header="0"/>
        </w:sectPr>
      </w:pPr>
    </w:p>
    <w:bookmarkStart w:id="85" w:name="page86"/>
    <w:bookmarkEnd w:id="85"/>
    <w:p>
      <w:pPr>
        <w:ind w:left="2020"/>
        <w:spacing w:after="0"/>
        <w:rPr>
          <w:sz w:val="20"/>
          <w:szCs w:val="20"/>
          <w:color w:val="auto"/>
        </w:rPr>
      </w:pPr>
      <w:r>
        <w:rPr>
          <w:rFonts w:ascii="Times New Roman" w:cs="Times New Roman" w:eastAsia="Times New Roman" w:hAnsi="Times New Roman"/>
          <w:sz w:val="22"/>
          <w:szCs w:val="22"/>
          <w:color w:val="auto"/>
        </w:rPr>
        <w:t>covered by such Replacement Award upon such termination or Retirement or Disability.</w:t>
      </w:r>
    </w:p>
    <w:p>
      <w:pPr>
        <w:spacing w:after="0" w:line="220" w:lineRule="exact"/>
        <w:rPr>
          <w:sz w:val="20"/>
          <w:szCs w:val="20"/>
          <w:color w:val="auto"/>
        </w:rPr>
      </w:pPr>
    </w:p>
    <w:p>
      <w:pPr>
        <w:jc w:val="both"/>
        <w:ind w:left="2020" w:firstLine="643"/>
        <w:spacing w:after="0" w:line="256" w:lineRule="auto"/>
        <w:tabs>
          <w:tab w:leader="none" w:pos="326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Replacement Award is provided, notwithstanding anything in this Agreement to the contrary, any outstanding Restricted Stock Units subject to this Award that at the time of the Change in Control are not subject to a “substantial risk of forfeiture” (within the meaning of Section 409A of the Code) will be deemed to be vested and nonforfeitable at the time of such Change in Control.</w:t>
      </w:r>
    </w:p>
    <w:p>
      <w:pPr>
        <w:spacing w:after="0" w:line="176" w:lineRule="exact"/>
        <w:rPr>
          <w:sz w:val="20"/>
          <w:szCs w:val="20"/>
          <w:color w:val="auto"/>
        </w:rPr>
      </w:pPr>
    </w:p>
    <w:p>
      <w:pPr>
        <w:jc w:val="both"/>
        <w:ind w:left="480"/>
        <w:spacing w:after="0" w:line="257" w:lineRule="auto"/>
        <w:rPr>
          <w:sz w:val="20"/>
          <w:szCs w:val="20"/>
          <w:color w:val="auto"/>
        </w:rPr>
      </w:pPr>
      <w:r>
        <w:rPr>
          <w:rFonts w:ascii="Times New Roman" w:cs="Times New Roman" w:eastAsia="Times New Roman" w:hAnsi="Times New Roman"/>
          <w:sz w:val="22"/>
          <w:szCs w:val="22"/>
          <w:color w:val="auto"/>
        </w:rPr>
        <w:t>Any Restricted Stock Units that do not vest in accordance with Section II.A.1(a) or this Section II.A.1(b) shall be canceled and forfeited as of the date Grantee ceases to be a Service Provider. However, in particular, this Award is subject to Section 18(c) of the Plan.</w:t>
      </w:r>
    </w:p>
    <w:p>
      <w:pPr>
        <w:spacing w:after="0" w:line="182" w:lineRule="exact"/>
        <w:rPr>
          <w:sz w:val="20"/>
          <w:szCs w:val="20"/>
          <w:color w:val="auto"/>
        </w:rPr>
      </w:pPr>
    </w:p>
    <w:p>
      <w:pPr>
        <w:ind w:left="640" w:hanging="380"/>
        <w:spacing w:after="0"/>
        <w:tabs>
          <w:tab w:leader="none" w:pos="64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Settlement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480" w:firstLine="259"/>
        <w:spacing w:after="0" w:line="259" w:lineRule="auto"/>
        <w:tabs>
          <w:tab w:leader="none" w:pos="124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II.A.2(b) below, and as soon as administratively practicable following (but no later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thirty (30) days following) each applicable Vesting Date, the Company shall issue Grantee one share of Common Stock for each Restricted Stock Unit that is vested (but has not previously been settled) on such Vesting Date.</w:t>
      </w:r>
    </w:p>
    <w:p>
      <w:pPr>
        <w:spacing w:after="0" w:line="166" w:lineRule="exact"/>
        <w:rPr>
          <w:rFonts w:ascii="Times New Roman" w:cs="Times New Roman" w:eastAsia="Times New Roman" w:hAnsi="Times New Roman"/>
          <w:sz w:val="22"/>
          <w:szCs w:val="22"/>
          <w:color w:val="auto"/>
        </w:rPr>
      </w:pPr>
    </w:p>
    <w:p>
      <w:pPr>
        <w:ind w:left="480" w:firstLine="306"/>
        <w:spacing w:after="0" w:line="275" w:lineRule="auto"/>
        <w:tabs>
          <w:tab w:leader="none" w:pos="1353"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Payment Events</w:t>
      </w:r>
      <w:r>
        <w:rPr>
          <w:rFonts w:ascii="Times New Roman" w:cs="Times New Roman" w:eastAsia="Times New Roman" w:hAnsi="Times New Roman"/>
          <w:sz w:val="22"/>
          <w:szCs w:val="22"/>
          <w:color w:val="auto"/>
        </w:rPr>
        <w:t>. Notwithstanding Section II.A.2(a), to the extent that the Restricted Stock Units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vested on the dates set forth below, payment with respect to the Restricted Stock Units will be made as follows:</w:t>
      </w:r>
    </w:p>
    <w:p>
      <w:pPr>
        <w:spacing w:after="0" w:line="166" w:lineRule="exact"/>
        <w:rPr>
          <w:rFonts w:ascii="Times New Roman" w:cs="Times New Roman" w:eastAsia="Times New Roman" w:hAnsi="Times New Roman"/>
          <w:sz w:val="22"/>
          <w:szCs w:val="22"/>
          <w:color w:val="auto"/>
        </w:rPr>
      </w:pPr>
    </w:p>
    <w:p>
      <w:pPr>
        <w:jc w:val="both"/>
        <w:ind w:left="1120" w:firstLine="571"/>
        <w:spacing w:after="0" w:line="252" w:lineRule="auto"/>
        <w:tabs>
          <w:tab w:leader="none" w:pos="2246" w:val="left"/>
        </w:tabs>
        <w:numPr>
          <w:ilvl w:val="3"/>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Restricted Stock Units are vested as a result of Section II.A.1(b) (and have not previously been settled) on the date of Grantee’s death, the Company shall issue Grantee one share of Common Stock for each vested Restricted Stock Unit as soon as practicable following (but no later than thirty (30) days following) the date of Grantee’s death;</w:t>
      </w:r>
    </w:p>
    <w:p>
      <w:pPr>
        <w:spacing w:after="0" w:line="179" w:lineRule="exact"/>
        <w:rPr>
          <w:rFonts w:ascii="Times New Roman" w:cs="Times New Roman" w:eastAsia="Times New Roman" w:hAnsi="Times New Roman"/>
          <w:sz w:val="22"/>
          <w:szCs w:val="22"/>
          <w:color w:val="auto"/>
        </w:rPr>
      </w:pPr>
    </w:p>
    <w:p>
      <w:pPr>
        <w:jc w:val="both"/>
        <w:ind w:left="1120" w:firstLine="571"/>
        <w:spacing w:after="0" w:line="250" w:lineRule="auto"/>
        <w:tabs>
          <w:tab w:leader="none" w:pos="2295" w:val="left"/>
        </w:tabs>
        <w:numPr>
          <w:ilvl w:val="3"/>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Restricted Stock Units are vested as a result of Section II.A.1(b) (and have not previously been settled) on the date of a Change in Control, the Company shall issue Grantee one share of Common Stock for each vested Restricted Stock Unit as soon as practicable following (but no later than thirty (30) days following) the date of the Change in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Change in Control would not qualify as a permissible date of distribution under Section 409A(a)(2)(A) of the Code, and the regulations thereunder, and where Section 409A of the Code applies to such distribution, payment for the Restricted Stock Units shall be made upon the earlier of (A) a Change in Control that constitutes a “change in control” for purposes of Section 409A(a)(2)(A)(v) of the Code, or (B) the date that would have otherwise applied pursuant to this Agreement had such Change in Control not occurred;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500" w:top="1422" w:right="339" w:bottom="1440" w:gutter="0" w:footer="0" w:header="0"/>
        </w:sectPr>
      </w:pPr>
    </w:p>
    <w:bookmarkStart w:id="86" w:name="page87"/>
    <w:bookmarkEnd w:id="86"/>
    <w:p>
      <w:pPr>
        <w:jc w:val="both"/>
        <w:ind w:left="1120" w:firstLine="571"/>
        <w:spacing w:after="0" w:line="265" w:lineRule="auto"/>
        <w:tabs>
          <w:tab w:leader="none" w:pos="2343" w:val="left"/>
        </w:tabs>
        <w:numPr>
          <w:ilvl w:val="6"/>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Restricted Stock Units are vested as a result of Section II.A.1(b) (and have not previously been settled) on the date of Grantee’s “separation from service” with the Company and its Subsidiaries (determined in accordance with Section 409A(a)(2)(A)(i) of the Code) within two years following the occurrence of a Change in Control that constitutes a “change in control” for purposes of Section 409A(a)(2)(A)(v) of the Code, the Company shall issue Grantee one share of Common Stock for each vested Restricted Stock Unit as soon as practicable following (but no later than thirty (30) days following) the date of such separation from service.</w:t>
      </w:r>
    </w:p>
    <w:p>
      <w:pPr>
        <w:spacing w:after="0" w:line="164" w:lineRule="exact"/>
        <w:rPr>
          <w:rFonts w:ascii="Times New Roman" w:cs="Times New Roman" w:eastAsia="Times New Roman" w:hAnsi="Times New Roman"/>
          <w:sz w:val="21"/>
          <w:szCs w:val="21"/>
          <w:color w:val="auto"/>
        </w:rPr>
      </w:pPr>
    </w:p>
    <w:p>
      <w:pPr>
        <w:jc w:val="both"/>
        <w:ind w:left="-180" w:firstLine="449"/>
        <w:spacing w:after="0" w:line="250" w:lineRule="auto"/>
        <w:tabs>
          <w:tab w:leader="none" w:pos="643" w:val="left"/>
        </w:tabs>
        <w:numPr>
          <w:ilvl w:val="2"/>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Equivalent Rights</w:t>
      </w:r>
      <w:r>
        <w:rPr>
          <w:rFonts w:ascii="Times New Roman" w:cs="Times New Roman" w:eastAsia="Times New Roman" w:hAnsi="Times New Roman"/>
          <w:sz w:val="22"/>
          <w:szCs w:val="22"/>
          <w:color w:val="auto"/>
        </w:rPr>
        <w:t>. Grantee shall be credited with cash per Restricted Stock Unit equal to the amount of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dividend paid by the Company (if any) to holders of Common Stock generally with a record date occurring on or after the Date of Grant and prior to the time when the Restricted Stock Units are settled in accordance with Section II.A.2 hereof.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Common Stock, as determined by the Committee in its sole discretion, at the same time as the Restricted Stock Units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79" w:lineRule="exact"/>
        <w:rPr>
          <w:rFonts w:ascii="Times New Roman" w:cs="Times New Roman" w:eastAsia="Times New Roman" w:hAnsi="Times New Roman"/>
          <w:sz w:val="22"/>
          <w:szCs w:val="22"/>
          <w:b w:val="1"/>
          <w:bCs w:val="1"/>
          <w:color w:val="auto"/>
        </w:rPr>
      </w:pPr>
    </w:p>
    <w:p>
      <w:pPr>
        <w:ind w:left="-180" w:right="20" w:firstLine="467"/>
        <w:spacing w:after="0" w:line="275" w:lineRule="auto"/>
        <w:tabs>
          <w:tab w:leader="none" w:pos="670" w:val="left"/>
        </w:tabs>
        <w:numPr>
          <w:ilvl w:val="3"/>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as a Stockholder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will not have any rights of a stockholder (including voting and dividend rights)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the Restricted Stock Units covered by this Award (except as otherwise provided in Section II.A.3).</w:t>
      </w:r>
    </w:p>
    <w:p>
      <w:pPr>
        <w:spacing w:after="0" w:line="149" w:lineRule="exact"/>
        <w:rPr>
          <w:rFonts w:ascii="Times New Roman" w:cs="Times New Roman" w:eastAsia="Times New Roman" w:hAnsi="Times New Roman"/>
          <w:sz w:val="22"/>
          <w:szCs w:val="22"/>
          <w:b w:val="1"/>
          <w:bCs w:val="1"/>
          <w:color w:val="auto"/>
        </w:rPr>
      </w:pPr>
    </w:p>
    <w:p>
      <w:pPr>
        <w:ind w:left="-180" w:firstLine="440"/>
        <w:spacing w:after="0" w:line="275" w:lineRule="auto"/>
        <w:tabs>
          <w:tab w:leader="none" w:pos="630" w:val="left"/>
        </w:tabs>
        <w:numPr>
          <w:ilvl w:val="2"/>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 The Restricted Stock Units covered by this Award will be subject to adjustment as provided in Section 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Plan.</w:t>
      </w:r>
    </w:p>
    <w:p>
      <w:pPr>
        <w:spacing w:after="0" w:line="162" w:lineRule="exact"/>
        <w:rPr>
          <w:rFonts w:ascii="Times New Roman" w:cs="Times New Roman" w:eastAsia="Times New Roman" w:hAnsi="Times New Roman"/>
          <w:sz w:val="22"/>
          <w:szCs w:val="22"/>
          <w:b w:val="1"/>
          <w:bCs w:val="1"/>
          <w:color w:val="auto"/>
        </w:rPr>
      </w:pPr>
    </w:p>
    <w:p>
      <w:pPr>
        <w:ind w:left="460" w:hanging="416"/>
        <w:spacing w:after="0"/>
        <w:tabs>
          <w:tab w:leader="none" w:pos="46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Terms and Conditions</w:t>
      </w:r>
      <w:r>
        <w:rPr>
          <w:rFonts w:ascii="Times New Roman" w:cs="Times New Roman" w:eastAsia="Times New Roman" w:hAnsi="Times New Roman"/>
          <w:sz w:val="22"/>
          <w:szCs w:val="22"/>
          <w:b w:val="1"/>
          <w:bCs w:val="1"/>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180" w:firstLine="494"/>
        <w:spacing w:after="0" w:line="253" w:lineRule="auto"/>
        <w:tabs>
          <w:tab w:leader="none" w:pos="711" w:val="left"/>
        </w:tabs>
        <w:numPr>
          <w:ilvl w:val="4"/>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Except as described below, and subject to the Plan and Section 409A, this Award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Restricted Stock Units subject to 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88" w:lineRule="exact"/>
        <w:rPr>
          <w:rFonts w:ascii="Times New Roman" w:cs="Times New Roman" w:eastAsia="Times New Roman" w:hAnsi="Times New Roman"/>
          <w:sz w:val="22"/>
          <w:szCs w:val="22"/>
          <w:b w:val="1"/>
          <w:bCs w:val="1"/>
          <w:color w:val="auto"/>
        </w:rPr>
      </w:pPr>
    </w:p>
    <w:p>
      <w:pPr>
        <w:jc w:val="both"/>
        <w:ind w:left="-180" w:firstLine="593"/>
        <w:spacing w:after="0" w:line="249" w:lineRule="auto"/>
        <w:tabs>
          <w:tab w:leader="none" w:pos="859" w:val="left"/>
        </w:tabs>
        <w:numPr>
          <w:ilvl w:val="5"/>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the Company is required to withhold federal, state, local or foreign taxes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in connection with any payment made or benefit realized by Grantee under this Agreement, and the amounts available to the Company for such withholding are insufficient, it shall be a condition to the receipt of such payment or the realization of such benefit that Grantee make arrangements satisfactory to the Company for payment of the balance of such taxes or other amounts required to be withheld. If Grantee’s benefit is to be received in the form of shares of Common Stock, then (a) if Grantee is subject to Section 16 of the Exchange Act, Grantee agrees that the Company will withhold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500" w:top="1422" w:right="339" w:bottom="1440" w:gutter="0" w:footer="0" w:header="0"/>
        </w:sectPr>
      </w:pPr>
    </w:p>
    <w:bookmarkStart w:id="87" w:name="page88"/>
    <w:bookmarkEnd w:id="87"/>
    <w:p>
      <w:pPr>
        <w:jc w:val="both"/>
        <w:spacing w:after="0" w:line="250" w:lineRule="auto"/>
        <w:rPr>
          <w:sz w:val="20"/>
          <w:szCs w:val="20"/>
          <w:color w:val="auto"/>
        </w:rPr>
      </w:pPr>
      <w:r>
        <w:rPr>
          <w:rFonts w:ascii="Times New Roman" w:cs="Times New Roman" w:eastAsia="Times New Roman" w:hAnsi="Times New Roman"/>
          <w:sz w:val="22"/>
          <w:szCs w:val="22"/>
          <w:color w:val="auto"/>
        </w:rPr>
        <w:t>Common Stock having a value equal to the amount required to be withheld, and (b) if Grantee is not subject to Section 16 of the Exchange Act, Grantee may elect that all or any part of such withholding requirement be satisfied by the retention by the Company a portion of the Common Stock to be delivered to Grantee, by delivering to the Company other Common Stock held by Grantee, or by tendering sufficient funds in cash or cash equivalent to the Company. The shares of Common Stock used for tax or other withholding will be valued at an amount equal to the fair market value of such shares of Common Stock on the date the benefit is to be included in Grantee’s income. In no event will the fair market value of the shares of Common Stock to be withheld or delivered pursuant to this Section II.B.2 to satisfy applicable withholding taxes or other amounts in connection with the benefit exceed (x) the maximum amount that could be required to be withheld or (y) if so determined by the Committee after the date hereof, the minimum amount required to be withheld.</w:t>
      </w:r>
    </w:p>
    <w:p>
      <w:pPr>
        <w:spacing w:after="0" w:line="176" w:lineRule="exact"/>
        <w:rPr>
          <w:sz w:val="20"/>
          <w:szCs w:val="20"/>
          <w:color w:val="auto"/>
        </w:rPr>
      </w:pPr>
    </w:p>
    <w:p>
      <w:pPr>
        <w:ind w:left="820" w:hanging="380"/>
        <w:spacing w:after="0"/>
        <w:tabs>
          <w:tab w:leader="none" w:pos="82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p>
    <w:p>
      <w:pPr>
        <w:spacing w:after="0" w:line="219" w:lineRule="exact"/>
        <w:rPr>
          <w:rFonts w:ascii="Times New Roman" w:cs="Times New Roman" w:eastAsia="Times New Roman" w:hAnsi="Times New Roman"/>
          <w:sz w:val="22"/>
          <w:szCs w:val="22"/>
          <w:b w:val="1"/>
          <w:bCs w:val="1"/>
          <w:color w:val="auto"/>
        </w:rPr>
      </w:pPr>
    </w:p>
    <w:p>
      <w:pPr>
        <w:ind w:left="660" w:firstLine="212"/>
        <w:spacing w:after="0" w:line="248" w:lineRule="auto"/>
        <w:tabs>
          <w:tab w:leader="none" w:pos="1332"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Generally. </w:t>
      </w:r>
      <w:r>
        <w:rPr>
          <w:rFonts w:ascii="Times New Roman" w:cs="Times New Roman" w:eastAsia="Times New Roman" w:hAnsi="Times New Roman"/>
          <w:sz w:val="22"/>
          <w:szCs w:val="22"/>
          <w:color w:val="auto"/>
        </w:rPr>
        <w:t>The Company would not be providing Restricted Stock Units or Common Stock to Grantee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 Notwithstanding anything herein to the contrary, if Grantee is subject to the restrictive covenants set forth in Section 7 (or any successor provision) of the TriMas Corporation Executive Severance/Change of Control Policy (or any successor policy), then (1) such restrictive covenants, rather than the restrictive covenants in this Section II.B.3, shall apply to Grantee, and (2) Grantee’s violation of such restrictive covenants shall be treated as a violation of the restrictive covenants in this Section II.B.3 for purposes of this Agreement.</w:t>
      </w:r>
    </w:p>
    <w:p>
      <w:pPr>
        <w:spacing w:after="0" w:line="198" w:lineRule="exact"/>
        <w:rPr>
          <w:rFonts w:ascii="Times New Roman" w:cs="Times New Roman" w:eastAsia="Times New Roman" w:hAnsi="Times New Roman"/>
          <w:sz w:val="22"/>
          <w:szCs w:val="22"/>
          <w:color w:val="auto"/>
        </w:rPr>
      </w:pPr>
    </w:p>
    <w:p>
      <w:pPr>
        <w:ind w:left="660" w:right="20" w:firstLine="212"/>
        <w:spacing w:after="0" w:line="248" w:lineRule="auto"/>
        <w:tabs>
          <w:tab w:leader="none" w:pos="1344"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 Recognizing Grantee’s fiduciary duties to the Company, as a condition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II.B.3 shall not result in the forfeiture of Restricted Stock Units or any clawback or recoupment of the Award for the disclosure of a trade secret if that disclosure (1) is made in confidence to a federal, state or local government official or to an attorney for the sole purpose of reporting or investigating a suspected violation of law or (2)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22" w:right="339" w:bottom="1440" w:gutter="0" w:footer="0" w:header="0"/>
        </w:sectPr>
      </w:pPr>
    </w:p>
    <w:bookmarkStart w:id="88" w:name="page89"/>
    <w:bookmarkEnd w:id="88"/>
    <w:p>
      <w:pPr>
        <w:ind w:left="480"/>
        <w:spacing w:after="0" w:line="247" w:lineRule="auto"/>
        <w:rPr>
          <w:sz w:val="20"/>
          <w:szCs w:val="20"/>
          <w:color w:val="auto"/>
        </w:rPr>
      </w:pPr>
      <w:r>
        <w:rPr>
          <w:rFonts w:ascii="Times New Roman" w:cs="Times New Roman" w:eastAsia="Times New Roman" w:hAnsi="Times New Roman"/>
          <w:sz w:val="22"/>
          <w:szCs w:val="22"/>
          <w:color w:val="auto"/>
        </w:rPr>
        <w:t>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(or in any other agreement, contract or arrangement with the Company or its subsidiaries or affiliates, or in any policy, procedure or practice of the Company or its subsidiaries or affiliates (collectively, the “Arrangements”)): (x) nothing in the Arrangements or otherwise limits Grantee’s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(y) nothing in the Arrangements or otherwise prohibits or is intended to restrict or impede Grantee from discussing the terms and conditions of their employment with coworkers or union representatives or exercising protected rights under Section 7 of the National Labor Relations Act, or prevents Grantee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Grantee is not prohibited from providing information (including documents) voluntarily to the Securities and Exchange Commission pursuant to Section 21F of the Exchange Act). The Company nonetheless asserts and does not waive its attorney-client privilege over any information (including documents) appropriately protected by privilege.</w:t>
      </w:r>
    </w:p>
    <w:p>
      <w:pPr>
        <w:spacing w:after="0" w:line="185" w:lineRule="exact"/>
        <w:rPr>
          <w:sz w:val="20"/>
          <w:szCs w:val="20"/>
          <w:color w:val="auto"/>
        </w:rPr>
      </w:pPr>
    </w:p>
    <w:p>
      <w:pPr>
        <w:ind w:left="1140" w:hanging="448"/>
        <w:spacing w:after="0"/>
        <w:tabs>
          <w:tab w:leader="none" w:pos="11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Covenants Against Competition and Solicitation.</w:t>
      </w:r>
    </w:p>
    <w:p>
      <w:pPr>
        <w:spacing w:after="0" w:line="223" w:lineRule="exact"/>
        <w:rPr>
          <w:rFonts w:ascii="Times New Roman" w:cs="Times New Roman" w:eastAsia="Times New Roman" w:hAnsi="Times New Roman"/>
          <w:sz w:val="22"/>
          <w:szCs w:val="22"/>
          <w:color w:val="auto"/>
        </w:rPr>
      </w:pPr>
    </w:p>
    <w:p>
      <w:pPr>
        <w:ind w:left="1120" w:right="160" w:firstLine="652"/>
        <w:spacing w:after="0" w:line="250" w:lineRule="auto"/>
        <w:tabs>
          <w:tab w:leader="none" w:pos="2404"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while Grantee is employed by the Company, and for 12 months thereafter, Grantee shall not engage, either directly or indirectly, as a principal for Grantee’s own account or jointly with others, or as a stockholder in any corporation or joint stock association, or as a partner or member of a general or limited liability entity, or as an employee, officer, director, agent, consultant or in any other advisory capacity in any Competitive Business that designs, develops, manufactures, distributes, sells or markets the type of products or services sold, distributed or provided by the Company, during the one-year period prior to the date of employment termination and with which Grantee was involved and/or oversaw (the “Business”); provided that nothing herein shall prevent Grantee from owning, directly or indirectly, not more than five percent of the outstanding shares of, or any other equity interest in, any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40"/>
          </w:cols>
          <w:pgMar w:left="500" w:top="1422" w:right="359" w:bottom="1440" w:gutter="0" w:footer="0" w:header="0"/>
        </w:sectPr>
      </w:pPr>
    </w:p>
    <w:bookmarkStart w:id="89" w:name="page90"/>
    <w:bookmarkEnd w:id="89"/>
    <w:p>
      <w:pPr>
        <w:ind w:left="1120" w:right="140"/>
        <w:spacing w:after="0" w:line="271" w:lineRule="auto"/>
        <w:rPr>
          <w:sz w:val="20"/>
          <w:szCs w:val="20"/>
          <w:color w:val="auto"/>
        </w:rPr>
      </w:pPr>
      <w:r>
        <w:rPr>
          <w:rFonts w:ascii="Times New Roman" w:cs="Times New Roman" w:eastAsia="Times New Roman" w:hAnsi="Times New Roman"/>
          <w:sz w:val="22"/>
          <w:szCs w:val="22"/>
          <w:color w:val="auto"/>
        </w:rPr>
        <w:t>engaged in the Business and listed or traded on a national securities exchange or in an over-the-counter securities market.</w:t>
      </w:r>
    </w:p>
    <w:p>
      <w:pPr>
        <w:spacing w:after="0" w:line="158" w:lineRule="exact"/>
        <w:rPr>
          <w:sz w:val="20"/>
          <w:szCs w:val="20"/>
          <w:color w:val="auto"/>
        </w:rPr>
      </w:pPr>
    </w:p>
    <w:p>
      <w:pPr>
        <w:ind w:left="1120" w:firstLine="652"/>
        <w:spacing w:after="0" w:line="252" w:lineRule="auto"/>
        <w:tabs>
          <w:tab w:leader="none" w:pos="241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solicit business (relating to the Business) from, attempt to entice away from the Company, or interfere with the Company’s relationship with any entity that is a client or customer of the Company at the time of such solicitation, enticement, or interference, or that was identified or solicited as a client or customer of the Company during the time that Grantee performed services for the Company, unless such entity shall have ceased to have been such a customer for a period of at least six months as of the time of such solicitation.</w:t>
      </w:r>
    </w:p>
    <w:p>
      <w:pPr>
        <w:spacing w:after="0" w:line="179" w:lineRule="exact"/>
        <w:rPr>
          <w:rFonts w:ascii="Times New Roman" w:cs="Times New Roman" w:eastAsia="Times New Roman" w:hAnsi="Times New Roman"/>
          <w:sz w:val="22"/>
          <w:szCs w:val="22"/>
          <w:color w:val="auto"/>
        </w:rPr>
      </w:pPr>
    </w:p>
    <w:p>
      <w:pPr>
        <w:ind w:left="1120" w:right="20" w:firstLine="652"/>
        <w:spacing w:after="0" w:line="249" w:lineRule="auto"/>
        <w:tabs>
          <w:tab w:leader="none" w:pos="2416"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w:t>
      </w:r>
    </w:p>
    <w:p>
      <w:pPr>
        <w:spacing w:after="0" w:line="177" w:lineRule="exact"/>
        <w:rPr>
          <w:rFonts w:ascii="Times New Roman" w:cs="Times New Roman" w:eastAsia="Times New Roman" w:hAnsi="Times New Roman"/>
          <w:sz w:val="22"/>
          <w:szCs w:val="22"/>
          <w:color w:val="auto"/>
        </w:rPr>
      </w:pPr>
    </w:p>
    <w:p>
      <w:pPr>
        <w:ind w:left="1160" w:hanging="468"/>
        <w:spacing w:after="0"/>
        <w:tabs>
          <w:tab w:leader="none" w:pos="11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Determination by the Board. </w:t>
      </w:r>
      <w:r>
        <w:rPr>
          <w:rFonts w:ascii="Times New Roman" w:cs="Times New Roman" w:eastAsia="Times New Roman" w:hAnsi="Times New Roman"/>
          <w:sz w:val="22"/>
          <w:szCs w:val="22"/>
          <w:color w:val="auto"/>
        </w:rPr>
        <w:t>Upon entering into this Agreement, Grantee understands and agrees that a</w:t>
      </w:r>
    </w:p>
    <w:p>
      <w:pPr>
        <w:spacing w:after="0" w:line="31" w:lineRule="exact"/>
        <w:rPr>
          <w:rFonts w:ascii="Times New Roman" w:cs="Times New Roman" w:eastAsia="Times New Roman" w:hAnsi="Times New Roman"/>
          <w:sz w:val="22"/>
          <w:szCs w:val="22"/>
          <w:color w:val="auto"/>
        </w:rPr>
      </w:pPr>
    </w:p>
    <w:p>
      <w:pPr>
        <w:ind w:left="480" w:right="140"/>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174" w:lineRule="exact"/>
        <w:rPr>
          <w:rFonts w:ascii="Times New Roman" w:cs="Times New Roman" w:eastAsia="Times New Roman" w:hAnsi="Times New Roman"/>
          <w:sz w:val="22"/>
          <w:szCs w:val="22"/>
          <w:color w:val="auto"/>
        </w:rPr>
      </w:pPr>
    </w:p>
    <w:p>
      <w:pPr>
        <w:ind w:left="1140" w:hanging="448"/>
        <w:spacing w:after="0"/>
        <w:tabs>
          <w:tab w:leader="none" w:pos="11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Certain Definitions. </w:t>
      </w:r>
      <w:r>
        <w:rPr>
          <w:rFonts w:ascii="Times New Roman" w:cs="Times New Roman" w:eastAsia="Times New Roman" w:hAnsi="Times New Roman"/>
          <w:sz w:val="22"/>
          <w:szCs w:val="22"/>
          <w:color w:val="auto"/>
        </w:rPr>
        <w:t>The following definitions shall apply solely with respect to this Section II.B.3:</w:t>
      </w:r>
    </w:p>
    <w:p>
      <w:pPr>
        <w:spacing w:after="0" w:line="219" w:lineRule="exact"/>
        <w:rPr>
          <w:rFonts w:ascii="Times New Roman" w:cs="Times New Roman" w:eastAsia="Times New Roman" w:hAnsi="Times New Roman"/>
          <w:sz w:val="22"/>
          <w:szCs w:val="22"/>
          <w:color w:val="auto"/>
        </w:rPr>
      </w:pPr>
    </w:p>
    <w:p>
      <w:pPr>
        <w:ind w:left="1120" w:firstLine="652"/>
        <w:spacing w:after="0" w:line="250" w:lineRule="auto"/>
        <w:tabs>
          <w:tab w:leader="none" w:pos="240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80" w:lineRule="exact"/>
        <w:rPr>
          <w:rFonts w:ascii="Times New Roman" w:cs="Times New Roman" w:eastAsia="Times New Roman" w:hAnsi="Times New Roman"/>
          <w:sz w:val="22"/>
          <w:szCs w:val="22"/>
          <w:color w:val="auto"/>
        </w:rPr>
      </w:pPr>
    </w:p>
    <w:p>
      <w:pPr>
        <w:ind w:left="1120" w:right="20" w:firstLine="652"/>
        <w:spacing w:after="0" w:line="265" w:lineRule="auto"/>
        <w:tabs>
          <w:tab w:leader="none" w:pos="241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as evidenced on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40"/>
          </w:cols>
          <w:pgMar w:left="500" w:top="1422" w:right="359" w:bottom="1440" w:gutter="0" w:footer="0" w:header="0"/>
        </w:sectPr>
      </w:pPr>
    </w:p>
    <w:bookmarkStart w:id="90" w:name="page91"/>
    <w:bookmarkEnd w:id="90"/>
    <w:p>
      <w:pPr>
        <w:ind w:left="1120" w:right="220"/>
        <w:spacing w:after="0" w:line="271" w:lineRule="auto"/>
        <w:rPr>
          <w:sz w:val="20"/>
          <w:szCs w:val="20"/>
          <w:color w:val="auto"/>
        </w:rPr>
      </w:pPr>
      <w:r>
        <w:rPr>
          <w:rFonts w:ascii="Times New Roman" w:cs="Times New Roman" w:eastAsia="Times New Roman" w:hAnsi="Times New Roman"/>
          <w:sz w:val="22"/>
          <w:szCs w:val="22"/>
          <w:color w:val="auto"/>
        </w:rPr>
        <w:t>website, in the marketing materials of the Company or by the books and records of the Company, and “engages” includes actively planning to engage in the business.</w:t>
      </w:r>
    </w:p>
    <w:p>
      <w:pPr>
        <w:spacing w:after="0" w:line="154" w:lineRule="exact"/>
        <w:rPr>
          <w:sz w:val="20"/>
          <w:szCs w:val="20"/>
          <w:color w:val="auto"/>
        </w:rPr>
      </w:pPr>
    </w:p>
    <w:p>
      <w:pPr>
        <w:ind w:left="1120" w:firstLine="652"/>
        <w:spacing w:after="0" w:line="249" w:lineRule="auto"/>
        <w:tabs>
          <w:tab w:leader="none" w:pos="2416"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78" w:lineRule="exact"/>
        <w:rPr>
          <w:rFonts w:ascii="Times New Roman" w:cs="Times New Roman" w:eastAsia="Times New Roman" w:hAnsi="Times New Roman"/>
          <w:sz w:val="22"/>
          <w:szCs w:val="22"/>
          <w:color w:val="auto"/>
        </w:rPr>
      </w:pPr>
    </w:p>
    <w:p>
      <w:pPr>
        <w:jc w:val="both"/>
        <w:ind w:left="460" w:right="140" w:firstLine="644"/>
        <w:spacing w:after="0" w:line="253" w:lineRule="auto"/>
        <w:tabs>
          <w:tab w:leader="none" w:pos="153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Tolling. </w:t>
      </w:r>
      <w:r>
        <w:rPr>
          <w:rFonts w:ascii="Times New Roman" w:cs="Times New Roman" w:eastAsia="Times New Roman" w:hAnsi="Times New Roman"/>
          <w:sz w:val="22"/>
          <w:szCs w:val="22"/>
          <w:color w:val="auto"/>
        </w:rPr>
        <w:t>The restricted time periods in Section II.B.3 shall be tolled during any time period that Grantee is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violation of such covenants, as determined by a court of competent jurisdiction, so that the Company may realize the full benefit of its bargain. This tolling shall include any time period during which litigation is pending, but during which Grantee has continued to violate such protective covenants.</w:t>
      </w:r>
    </w:p>
    <w:p>
      <w:pPr>
        <w:spacing w:after="0" w:line="188" w:lineRule="exact"/>
        <w:rPr>
          <w:rFonts w:ascii="Times New Roman" w:cs="Times New Roman" w:eastAsia="Times New Roman" w:hAnsi="Times New Roman"/>
          <w:sz w:val="22"/>
          <w:szCs w:val="22"/>
          <w:color w:val="auto"/>
        </w:rPr>
      </w:pPr>
    </w:p>
    <w:p>
      <w:pPr>
        <w:ind w:left="460" w:right="60" w:firstLine="644"/>
        <w:spacing w:after="0" w:line="248" w:lineRule="auto"/>
        <w:tabs>
          <w:tab w:leader="none" w:pos="156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Relief, Remedies, and Enforcement</w:t>
      </w:r>
      <w:r>
        <w:rPr>
          <w:rFonts w:ascii="Times New Roman" w:cs="Times New Roman" w:eastAsia="Times New Roman" w:hAnsi="Times New Roman"/>
          <w:sz w:val="22"/>
          <w:szCs w:val="22"/>
          <w:color w:val="auto"/>
        </w:rPr>
        <w:t>. Grantee acknowledges that the covenants contained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reasonable and necessary to protect the legitimate interests of the Company and that any breach or threatened breach of any such covenants will cause irreparable injury to the Company for which money damages would not provide an adequate remedy. If Grantee breaches, or threatens to commit a breach of, any of the provisions of this Agreement, the Company shall have the right to seek appropriate equitable relief, including a permanent injunction or similar court order enjoining Grantee from violating any of such provisions, and that, pending the hearing and the decision on the application for permanent equitable relief, the Company shall be entitled to a temporary restraining order and a preliminary injunction, without the necessity of showing actual monetary damages or the posting of a bond or other security. No such remedy shall be construed to be the exclusive remedy of the Company and any and all such remedies shall be held and construed to be cumulative and not exclusive of any rights or remedies, whether at law or in equity, otherwise available under the terms of this Agreement, at common law or under federal, state or local statutes, rules and regulations. Grantee further agrees to pay any and all legal fees,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60"/>
          </w:cols>
          <w:pgMar w:left="500" w:top="1422" w:right="339" w:bottom="1440" w:gutter="0" w:footer="0" w:header="0"/>
        </w:sectPr>
      </w:pPr>
    </w:p>
    <w:bookmarkStart w:id="91" w:name="page92"/>
    <w:bookmarkEnd w:id="91"/>
    <w:p>
      <w:pPr>
        <w:ind w:left="460" w:right="300"/>
        <w:spacing w:after="0" w:line="271" w:lineRule="auto"/>
        <w:rPr>
          <w:sz w:val="20"/>
          <w:szCs w:val="20"/>
          <w:color w:val="auto"/>
        </w:rPr>
      </w:pPr>
      <w:r>
        <w:rPr>
          <w:rFonts w:ascii="Times New Roman" w:cs="Times New Roman" w:eastAsia="Times New Roman" w:hAnsi="Times New Roman"/>
          <w:sz w:val="22"/>
          <w:szCs w:val="22"/>
          <w:color w:val="auto"/>
        </w:rPr>
        <w:t>limitation, all attorneys’ fees, court costs, and any other related fees and/or costs incurred by the Company in enforcing this Agreement.</w:t>
      </w:r>
    </w:p>
    <w:p>
      <w:pPr>
        <w:spacing w:after="0" w:line="154" w:lineRule="exact"/>
        <w:rPr>
          <w:sz w:val="20"/>
          <w:szCs w:val="20"/>
          <w:color w:val="auto"/>
        </w:rPr>
      </w:pPr>
    </w:p>
    <w:p>
      <w:pPr>
        <w:ind w:left="460" w:right="760" w:firstLine="644"/>
        <w:spacing w:after="0" w:line="287" w:lineRule="auto"/>
        <w:tabs>
          <w:tab w:leader="none" w:pos="1566" w:val="left"/>
        </w:tabs>
        <w:numPr>
          <w:ilvl w:val="6"/>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Separate Covenants. </w:t>
      </w:r>
      <w:r>
        <w:rPr>
          <w:rFonts w:ascii="Times New Roman" w:cs="Times New Roman" w:eastAsia="Times New Roman" w:hAnsi="Times New Roman"/>
          <w:sz w:val="22"/>
          <w:szCs w:val="22"/>
          <w:color w:val="auto"/>
        </w:rPr>
        <w:t>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37" w:lineRule="exact"/>
        <w:rPr>
          <w:rFonts w:ascii="Times New Roman" w:cs="Times New Roman" w:eastAsia="Times New Roman" w:hAnsi="Times New Roman"/>
          <w:sz w:val="22"/>
          <w:szCs w:val="22"/>
          <w:color w:val="auto"/>
        </w:rPr>
      </w:pPr>
    </w:p>
    <w:p>
      <w:pPr>
        <w:jc w:val="both"/>
        <w:ind w:left="-180" w:firstLine="485"/>
        <w:spacing w:after="0" w:line="252" w:lineRule="auto"/>
        <w:tabs>
          <w:tab w:leader="none" w:pos="697" w:val="left"/>
        </w:tabs>
        <w:numPr>
          <w:ilvl w:val="1"/>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applicable, it is intended that this Agreement and the Plan comply with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Grantee).</w:t>
      </w:r>
    </w:p>
    <w:p>
      <w:pPr>
        <w:spacing w:after="0" w:line="174" w:lineRule="exact"/>
        <w:rPr>
          <w:rFonts w:ascii="Times New Roman" w:cs="Times New Roman" w:eastAsia="Times New Roman" w:hAnsi="Times New Roman"/>
          <w:sz w:val="22"/>
          <w:szCs w:val="22"/>
          <w:b w:val="1"/>
          <w:bCs w:val="1"/>
          <w:color w:val="auto"/>
        </w:rPr>
      </w:pPr>
    </w:p>
    <w:p>
      <w:pPr>
        <w:jc w:val="both"/>
        <w:ind w:left="-180" w:firstLine="530"/>
        <w:spacing w:after="0" w:line="254" w:lineRule="auto"/>
        <w:tabs>
          <w:tab w:leader="none" w:pos="765" w:val="left"/>
        </w:tabs>
        <w:numPr>
          <w:ilvl w:val="2"/>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Continued Right as Service Provider.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the Plan or in this Agreement confers on Grantee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as a Service Provider, or interferes with or restricts in any way the rights of the Company or any Subsidiary or affiliate of the Company, which are hereby expressly reserved, to discharge Grantee at any time for any reason whatsoever, with or without Cause, except to the extent expressly provided otherwise in a written employment agreement between Grantee and the Company or any Subsidiary.</w:t>
      </w:r>
    </w:p>
    <w:p>
      <w:pPr>
        <w:spacing w:after="0" w:line="173" w:lineRule="exact"/>
        <w:rPr>
          <w:rFonts w:ascii="Times New Roman" w:cs="Times New Roman" w:eastAsia="Times New Roman" w:hAnsi="Times New Roman"/>
          <w:sz w:val="22"/>
          <w:szCs w:val="22"/>
          <w:b w:val="1"/>
          <w:bCs w:val="1"/>
          <w:color w:val="auto"/>
        </w:rPr>
      </w:pPr>
    </w:p>
    <w:p>
      <w:pPr>
        <w:jc w:val="both"/>
        <w:ind w:left="-180" w:firstLine="449"/>
        <w:spacing w:after="0" w:line="253" w:lineRule="auto"/>
        <w:tabs>
          <w:tab w:leader="none" w:pos="643"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on Other Benefits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no event will the value, at any time, of the Restricted Stock Units or any other payment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payment 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188" w:lineRule="exact"/>
        <w:rPr>
          <w:rFonts w:ascii="Times New Roman" w:cs="Times New Roman" w:eastAsia="Times New Roman" w:hAnsi="Times New Roman"/>
          <w:sz w:val="22"/>
          <w:szCs w:val="22"/>
          <w:b w:val="1"/>
          <w:bCs w:val="1"/>
          <w:color w:val="auto"/>
        </w:rPr>
      </w:pPr>
    </w:p>
    <w:p>
      <w:pPr>
        <w:jc w:val="both"/>
        <w:ind w:left="-180" w:firstLine="561"/>
        <w:spacing w:after="0" w:line="259" w:lineRule="auto"/>
        <w:tabs>
          <w:tab w:leader="none" w:pos="805" w:val="left"/>
        </w:tabs>
        <w:numPr>
          <w:ilvl w:val="3"/>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If Grantee is or was employed by a subsidiary of the Company, then such subsidiary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intended to be a third-party beneficiary of this Agreement and shall have the right to enforce this Agreement, including, but not limited to, the provisions of Section II.B.3.</w:t>
      </w:r>
    </w:p>
    <w:p>
      <w:pPr>
        <w:spacing w:after="0" w:line="166" w:lineRule="exact"/>
        <w:rPr>
          <w:rFonts w:ascii="Times New Roman" w:cs="Times New Roman" w:eastAsia="Times New Roman" w:hAnsi="Times New Roman"/>
          <w:sz w:val="22"/>
          <w:szCs w:val="22"/>
          <w:b w:val="1"/>
          <w:bCs w:val="1"/>
          <w:color w:val="auto"/>
        </w:rPr>
      </w:pPr>
    </w:p>
    <w:p>
      <w:pPr>
        <w:jc w:val="both"/>
        <w:ind w:left="-180" w:firstLine="584"/>
        <w:spacing w:after="0" w:line="265" w:lineRule="auto"/>
        <w:tabs>
          <w:tab w:leader="none" w:pos="846" w:val="left"/>
        </w:tabs>
        <w:numPr>
          <w:ilvl w:val="4"/>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Unfunded and Unsecured General Creditor</w:t>
      </w:r>
      <w:r>
        <w:rPr>
          <w:rFonts w:ascii="Times New Roman" w:cs="Times New Roman" w:eastAsia="Times New Roman" w:hAnsi="Times New Roman"/>
          <w:sz w:val="22"/>
          <w:szCs w:val="22"/>
          <w:color w:val="auto"/>
        </w:rPr>
        <w:t>. Grantee, as a holder of Restricted Stock Units and rights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has no rights other than those of a general creditor of the Company. The Restricted Stock Units represent an unfunded and unsecured obligation of the Company, subject to the terms and conditions of this Agreement and the Plan.</w:t>
      </w:r>
    </w:p>
    <w:p>
      <w:pPr>
        <w:spacing w:after="0" w:line="161" w:lineRule="exact"/>
        <w:rPr>
          <w:rFonts w:ascii="Times New Roman" w:cs="Times New Roman" w:eastAsia="Times New Roman" w:hAnsi="Times New Roman"/>
          <w:sz w:val="22"/>
          <w:szCs w:val="22"/>
          <w:b w:val="1"/>
          <w:bCs w:val="1"/>
          <w:color w:val="auto"/>
        </w:rPr>
      </w:pPr>
    </w:p>
    <w:p>
      <w:pPr>
        <w:jc w:val="both"/>
        <w:ind w:left="-180" w:firstLine="746"/>
        <w:spacing w:after="0" w:line="253" w:lineRule="auto"/>
        <w:tabs>
          <w:tab w:leader="none" w:pos="1089" w:val="left"/>
        </w:tabs>
        <w:numPr>
          <w:ilvl w:val="5"/>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or the application of any provision hereof to any person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75" w:lineRule="exact"/>
        <w:rPr>
          <w:rFonts w:ascii="Times New Roman" w:cs="Times New Roman" w:eastAsia="Times New Roman" w:hAnsi="Times New Roman"/>
          <w:sz w:val="22"/>
          <w:szCs w:val="22"/>
          <w:b w:val="1"/>
          <w:bCs w:val="1"/>
          <w:color w:val="auto"/>
        </w:rPr>
      </w:pPr>
    </w:p>
    <w:p>
      <w:pPr>
        <w:ind w:left="-180" w:firstLine="534"/>
        <w:spacing w:after="0" w:line="287" w:lineRule="auto"/>
        <w:tabs>
          <w:tab w:leader="none" w:pos="765" w:val="left"/>
        </w:tabs>
        <w:numPr>
          <w:ilvl w:val="2"/>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and Grantee’s participation in the Plan,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500" w:top="1422" w:right="339" w:bottom="1440" w:gutter="0" w:footer="0" w:header="0"/>
        </w:sectPr>
      </w:pPr>
    </w:p>
    <w:bookmarkStart w:id="92" w:name="page93"/>
    <w:bookmarkEnd w:id="92"/>
    <w:p>
      <w:pPr>
        <w:jc w:val="both"/>
        <w:spacing w:after="0" w:line="256" w:lineRule="auto"/>
        <w:rPr>
          <w:sz w:val="20"/>
          <w:szCs w:val="20"/>
          <w:color w:val="auto"/>
        </w:rPr>
      </w:pPr>
      <w:r>
        <w:rPr>
          <w:rFonts w:ascii="Times New Roman" w:cs="Times New Roman" w:eastAsia="Times New Roman" w:hAnsi="Times New Roman"/>
          <w:sz w:val="22"/>
          <w:szCs w:val="22"/>
          <w:color w:val="auto"/>
        </w:rPr>
        <w:t>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2" w:lineRule="exact"/>
        <w:rPr>
          <w:sz w:val="20"/>
          <w:szCs w:val="20"/>
          <w:color w:val="auto"/>
        </w:rPr>
      </w:pPr>
    </w:p>
    <w:p>
      <w:pPr>
        <w:ind w:left="920" w:hanging="480"/>
        <w:spacing w:after="0"/>
        <w:tabs>
          <w:tab w:leader="none" w:pos="92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Nature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accepting this Award, Grantee acknowledges that:</w:t>
      </w:r>
    </w:p>
    <w:p>
      <w:pPr>
        <w:spacing w:after="0" w:line="223" w:lineRule="exact"/>
        <w:rPr>
          <w:rFonts w:ascii="Times New Roman" w:cs="Times New Roman" w:eastAsia="Times New Roman" w:hAnsi="Times New Roman"/>
          <w:sz w:val="22"/>
          <w:szCs w:val="22"/>
          <w:b w:val="1"/>
          <w:bCs w:val="1"/>
          <w:color w:val="auto"/>
        </w:rPr>
      </w:pPr>
    </w:p>
    <w:p>
      <w:pPr>
        <w:ind w:left="660" w:right="20" w:firstLine="227"/>
        <w:spacing w:after="0" w:line="295" w:lineRule="auto"/>
        <w:tabs>
          <w:tab w:leader="none" w:pos="1361" w:val="left"/>
        </w:tabs>
        <w:numPr>
          <w:ilvl w:val="2"/>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it is discretionary in nature and it may be modified, amended, suspended or terminated by the Company at any time unless otherwise provided in the Plan or this Agreement;</w:t>
      </w:r>
    </w:p>
    <w:p>
      <w:pPr>
        <w:spacing w:after="0" w:line="135" w:lineRule="exact"/>
        <w:rPr>
          <w:rFonts w:ascii="Times New Roman" w:cs="Times New Roman" w:eastAsia="Times New Roman" w:hAnsi="Times New Roman"/>
          <w:sz w:val="21"/>
          <w:szCs w:val="21"/>
          <w:color w:val="auto"/>
        </w:rPr>
      </w:pPr>
    </w:p>
    <w:p>
      <w:pPr>
        <w:jc w:val="both"/>
        <w:ind w:left="660" w:firstLine="266"/>
        <w:spacing w:after="0" w:line="263" w:lineRule="auto"/>
        <w:tabs>
          <w:tab w:leader="none" w:pos="1452" w:val="left"/>
        </w:tabs>
        <w:numPr>
          <w:ilvl w:val="4"/>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167" w:lineRule="exact"/>
        <w:rPr>
          <w:rFonts w:ascii="Times New Roman" w:cs="Times New Roman" w:eastAsia="Times New Roman" w:hAnsi="Times New Roman"/>
          <w:sz w:val="22"/>
          <w:szCs w:val="22"/>
          <w:color w:val="auto"/>
        </w:rPr>
      </w:pPr>
    </w:p>
    <w:p>
      <w:pPr>
        <w:ind w:left="660" w:firstLine="348"/>
        <w:spacing w:after="0" w:line="271" w:lineRule="auto"/>
        <w:tabs>
          <w:tab w:leader="none" w:pos="1604" w:val="left"/>
        </w:tabs>
        <w:numPr>
          <w:ilvl w:val="5"/>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 grants, if any, will be at the sole discretion of the Committee;</w:t>
      </w:r>
    </w:p>
    <w:p>
      <w:pPr>
        <w:spacing w:after="0" w:line="157" w:lineRule="exact"/>
        <w:rPr>
          <w:rFonts w:ascii="Times New Roman" w:cs="Times New Roman" w:eastAsia="Times New Roman" w:hAnsi="Times New Roman"/>
          <w:sz w:val="22"/>
          <w:szCs w:val="22"/>
          <w:color w:val="auto"/>
        </w:rPr>
      </w:pPr>
    </w:p>
    <w:p>
      <w:pPr>
        <w:ind w:left="1340" w:hanging="468"/>
        <w:spacing w:after="0"/>
        <w:tabs>
          <w:tab w:leader="none" w:pos="1340" w:val="left"/>
        </w:tabs>
        <w:numPr>
          <w:ilvl w:val="3"/>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is voluntarily participating in the Plan;</w:t>
      </w:r>
    </w:p>
    <w:p>
      <w:pPr>
        <w:spacing w:after="0" w:line="219" w:lineRule="exact"/>
        <w:rPr>
          <w:rFonts w:ascii="Times New Roman" w:cs="Times New Roman" w:eastAsia="Times New Roman" w:hAnsi="Times New Roman"/>
          <w:sz w:val="22"/>
          <w:szCs w:val="22"/>
          <w:color w:val="auto"/>
        </w:rPr>
      </w:pPr>
    </w:p>
    <w:p>
      <w:pPr>
        <w:jc w:val="both"/>
        <w:ind w:left="660" w:firstLine="231"/>
        <w:spacing w:after="0" w:line="263" w:lineRule="auto"/>
        <w:tabs>
          <w:tab w:leader="none" w:pos="1371" w:val="left"/>
        </w:tabs>
        <w:numPr>
          <w:ilvl w:val="3"/>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Common Stock subject to the Restricted Stock Units are an extraordinary item that does not constitute compensation of any kind for services of any kind rendered to the Company or Grantee’s employer, and which is outside the scope of Grantee’s employment contract, if any;</w:t>
      </w:r>
    </w:p>
    <w:p>
      <w:pPr>
        <w:spacing w:after="0" w:line="167" w:lineRule="exact"/>
        <w:rPr>
          <w:rFonts w:ascii="Times New Roman" w:cs="Times New Roman" w:eastAsia="Times New Roman" w:hAnsi="Times New Roman"/>
          <w:sz w:val="22"/>
          <w:szCs w:val="22"/>
          <w:color w:val="auto"/>
        </w:rPr>
      </w:pPr>
    </w:p>
    <w:p>
      <w:pPr>
        <w:ind w:left="660" w:right="20" w:firstLine="216"/>
        <w:spacing w:after="0" w:line="271" w:lineRule="auto"/>
        <w:tabs>
          <w:tab w:leader="none" w:pos="1316"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Common Stock subject to the Restricted Stock Units are not intended to replace any pension rights or compensation;</w:t>
      </w:r>
    </w:p>
    <w:p>
      <w:pPr>
        <w:spacing w:after="0" w:line="157" w:lineRule="exact"/>
        <w:rPr>
          <w:rFonts w:ascii="Times New Roman" w:cs="Times New Roman" w:eastAsia="Times New Roman" w:hAnsi="Times New Roman"/>
          <w:sz w:val="22"/>
          <w:szCs w:val="22"/>
          <w:color w:val="auto"/>
        </w:rPr>
      </w:pPr>
    </w:p>
    <w:p>
      <w:pPr>
        <w:ind w:left="1340" w:hanging="468"/>
        <w:spacing w:after="0"/>
        <w:tabs>
          <w:tab w:leader="none" w:pos="134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Common Stock is unknown and cannot be predicted with certainty;</w:t>
      </w:r>
    </w:p>
    <w:p>
      <w:pPr>
        <w:spacing w:after="0" w:line="233" w:lineRule="exact"/>
        <w:rPr>
          <w:rFonts w:ascii="Times New Roman" w:cs="Times New Roman" w:eastAsia="Times New Roman" w:hAnsi="Times New Roman"/>
          <w:sz w:val="22"/>
          <w:szCs w:val="22"/>
          <w:color w:val="auto"/>
        </w:rPr>
      </w:pPr>
    </w:p>
    <w:p>
      <w:pPr>
        <w:jc w:val="both"/>
        <w:ind w:left="660" w:firstLine="212"/>
        <w:spacing w:after="0" w:line="275" w:lineRule="auto"/>
        <w:tabs>
          <w:tab w:leader="none" w:pos="1344"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Restricted Stock Units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55" w:lineRule="exact"/>
        <w:rPr>
          <w:rFonts w:ascii="Times New Roman" w:cs="Times New Roman" w:eastAsia="Times New Roman" w:hAnsi="Times New Roman"/>
          <w:sz w:val="21"/>
          <w:szCs w:val="21"/>
          <w:color w:val="auto"/>
        </w:rPr>
      </w:pPr>
    </w:p>
    <w:p>
      <w:pPr>
        <w:jc w:val="both"/>
        <w:ind w:left="660" w:firstLine="264"/>
        <w:spacing w:after="0" w:line="253" w:lineRule="auto"/>
        <w:tabs>
          <w:tab w:leader="none" w:pos="1400" w:val="left"/>
        </w:tabs>
        <w:numPr>
          <w:ilvl w:val="2"/>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the Restricted Stock Units, no claim or entitlement to compensation or damages shall arise from forfeiture of the Restricted Stock Units resulting from termination of Grantee’s employment with the Company or Grantee’s employer (for any reason whatsoever and whether or not in breach of local labor laws) and Grantee irrevocably releases the Company and Grantee’s employer from any such claim that may arise; if, notwithstanding the foregoing, any such claim is found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22" w:right="339" w:bottom="1440" w:gutter="0" w:footer="0" w:header="0"/>
        </w:sectPr>
      </w:pPr>
    </w:p>
    <w:bookmarkStart w:id="93" w:name="page94"/>
    <w:bookmarkEnd w:id="93"/>
    <w:p>
      <w:pPr>
        <w:ind w:left="480" w:right="20"/>
        <w:spacing w:after="0" w:line="271" w:lineRule="auto"/>
        <w:rPr>
          <w:sz w:val="20"/>
          <w:szCs w:val="20"/>
          <w:color w:val="auto"/>
        </w:rPr>
      </w:pPr>
      <w:r>
        <w:rPr>
          <w:rFonts w:ascii="Times New Roman" w:cs="Times New Roman" w:eastAsia="Times New Roman" w:hAnsi="Times New Roman"/>
          <w:sz w:val="22"/>
          <w:szCs w:val="22"/>
          <w:color w:val="auto"/>
        </w:rPr>
        <w:t>by a court of competent jurisdiction to have arisen, Grantee shall be deemed irrevocably to have waived any entitlement to pursue such claim; and</w:t>
      </w:r>
    </w:p>
    <w:p>
      <w:pPr>
        <w:spacing w:after="0" w:line="158" w:lineRule="exact"/>
        <w:rPr>
          <w:sz w:val="20"/>
          <w:szCs w:val="20"/>
          <w:color w:val="auto"/>
        </w:rPr>
      </w:pPr>
    </w:p>
    <w:p>
      <w:pPr>
        <w:jc w:val="both"/>
        <w:ind w:left="480" w:firstLine="225"/>
        <w:spacing w:after="0" w:line="268" w:lineRule="auto"/>
        <w:tabs>
          <w:tab w:leader="none" w:pos="1143" w:val="left"/>
        </w:tabs>
        <w:numPr>
          <w:ilvl w:val="4"/>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Grantee ceases to be a Service Provider (whether or not in breach of local labor laws), Grantee’s right to vest in the Restricted Stock Units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Restricted Stock Units.</w:t>
      </w:r>
    </w:p>
    <w:p>
      <w:pPr>
        <w:spacing w:after="0" w:line="159" w:lineRule="exact"/>
        <w:rPr>
          <w:rFonts w:ascii="Times New Roman" w:cs="Times New Roman" w:eastAsia="Times New Roman" w:hAnsi="Times New Roman"/>
          <w:sz w:val="21"/>
          <w:szCs w:val="21"/>
          <w:color w:val="auto"/>
        </w:rPr>
      </w:pPr>
    </w:p>
    <w:p>
      <w:pPr>
        <w:ind w:left="740" w:hanging="480"/>
        <w:spacing w:after="0"/>
        <w:tabs>
          <w:tab w:leader="none" w:pos="740" w:val="left"/>
        </w:tabs>
        <w:numPr>
          <w:ilvl w:val="1"/>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Addenda for Certain Participants</w:t>
      </w:r>
      <w:r>
        <w:rPr>
          <w:rFonts w:ascii="Times New Roman" w:cs="Times New Roman" w:eastAsia="Times New Roman" w:hAnsi="Times New Roman"/>
          <w:sz w:val="22"/>
          <w:szCs w:val="22"/>
          <w:b w:val="1"/>
          <w:bCs w:val="1"/>
          <w:color w:val="auto"/>
        </w:rPr>
        <w:t>.</w:t>
      </w:r>
    </w:p>
    <w:p>
      <w:pPr>
        <w:spacing w:after="0" w:line="233" w:lineRule="exact"/>
        <w:rPr>
          <w:rFonts w:ascii="Times New Roman" w:cs="Times New Roman" w:eastAsia="Times New Roman" w:hAnsi="Times New Roman"/>
          <w:sz w:val="22"/>
          <w:szCs w:val="22"/>
          <w:b w:val="1"/>
          <w:bCs w:val="1"/>
          <w:color w:val="auto"/>
        </w:rPr>
      </w:pPr>
    </w:p>
    <w:p>
      <w:pPr>
        <w:jc w:val="both"/>
        <w:ind w:left="480" w:firstLine="644"/>
        <w:spacing w:after="0" w:line="250" w:lineRule="auto"/>
        <w:tabs>
          <w:tab w:leader="none" w:pos="1611" w:val="left"/>
        </w:tabs>
        <w:numPr>
          <w:ilvl w:val="5"/>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Non-U.S. Participants</w:t>
      </w:r>
      <w:r>
        <w:rPr>
          <w:rFonts w:ascii="Times New Roman" w:cs="Times New Roman" w:eastAsia="Times New Roman" w:hAnsi="Times New Roman"/>
          <w:sz w:val="22"/>
          <w:szCs w:val="22"/>
          <w:color w:val="auto"/>
        </w:rPr>
        <w:t>. Notwithstanding any provisions in this Agreement, the Restricted Stock Units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also be subject to the special terms and conditions set forth in the Non-U.S. Addendum attached as Appendix B to this Agreement for Grantees who reside in any country covered therein. Moreover, if Grantee relocates to one of the countries included in the Non-U.S. Addendum, the special terms and conditions for such country will apply to Grantee to the extent the Company determines that the application of such terms and conditions are necessary or advisable in order to comply with local law or facilitate the administration of the Plan. The Non-U.S. Addendum attached hereto as Appendix B constitutes part of this Agreement.</w:t>
      </w:r>
    </w:p>
    <w:p>
      <w:pPr>
        <w:spacing w:after="0" w:line="180" w:lineRule="exact"/>
        <w:rPr>
          <w:rFonts w:ascii="Times New Roman" w:cs="Times New Roman" w:eastAsia="Times New Roman" w:hAnsi="Times New Roman"/>
          <w:sz w:val="22"/>
          <w:szCs w:val="22"/>
          <w:color w:val="auto"/>
        </w:rPr>
      </w:pPr>
    </w:p>
    <w:p>
      <w:pPr>
        <w:jc w:val="both"/>
        <w:ind w:left="480" w:firstLine="644"/>
        <w:spacing w:after="0" w:line="254" w:lineRule="auto"/>
        <w:tabs>
          <w:tab w:leader="none" w:pos="1596" w:val="left"/>
        </w:tabs>
        <w:numPr>
          <w:ilvl w:val="5"/>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California Participants</w:t>
      </w:r>
      <w:r>
        <w:rPr>
          <w:rFonts w:ascii="Times New Roman" w:cs="Times New Roman" w:eastAsia="Times New Roman" w:hAnsi="Times New Roman"/>
          <w:sz w:val="22"/>
          <w:szCs w:val="22"/>
          <w:color w:val="auto"/>
        </w:rPr>
        <w:t>. Notwithstanding any provisions in this Agreement, the Restricted Stock Units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also be subject to the special terms and conditions set forth in the California Addendum attached as Appendix C to this Agreement if Grantee is employed and/or resides in California or if the Company determines that the application of such terms and conditions is necessary or advisable in order to comply with applicable law. The California Addendum attached hereto as Appendix C constitutes part of this Agreement.</w:t>
      </w:r>
    </w:p>
    <w:p>
      <w:pPr>
        <w:spacing w:after="0" w:line="173" w:lineRule="exact"/>
        <w:rPr>
          <w:rFonts w:ascii="Times New Roman" w:cs="Times New Roman" w:eastAsia="Times New Roman" w:hAnsi="Times New Roman"/>
          <w:sz w:val="22"/>
          <w:szCs w:val="22"/>
          <w:color w:val="auto"/>
        </w:rPr>
      </w:pPr>
    </w:p>
    <w:p>
      <w:pPr>
        <w:jc w:val="both"/>
        <w:ind w:left="-180" w:firstLine="494"/>
        <w:spacing w:after="0" w:line="254" w:lineRule="auto"/>
        <w:tabs>
          <w:tab w:leader="none" w:pos="819" w:val="left"/>
        </w:tabs>
        <w:numPr>
          <w:ilvl w:val="3"/>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amendment to the Plan shall be deemed to be an amendment to this Agreement to the extent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amendment is applicable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73" w:lineRule="exact"/>
        <w:rPr>
          <w:rFonts w:ascii="Times New Roman" w:cs="Times New Roman" w:eastAsia="Times New Roman" w:hAnsi="Times New Roman"/>
          <w:sz w:val="22"/>
          <w:szCs w:val="22"/>
          <w:b w:val="1"/>
          <w:bCs w:val="1"/>
          <w:color w:val="auto"/>
        </w:rPr>
      </w:pPr>
    </w:p>
    <w:p>
      <w:pPr>
        <w:jc w:val="both"/>
        <w:ind w:left="-180" w:firstLine="467"/>
        <w:spacing w:after="0" w:line="253" w:lineRule="auto"/>
        <w:tabs>
          <w:tab w:leader="none" w:pos="778" w:val="left"/>
        </w:tabs>
        <w:numPr>
          <w:ilvl w:val="2"/>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subject to the terms and conditions of the Plan. In the event of any inconsistency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175" w:lineRule="exact"/>
        <w:rPr>
          <w:rFonts w:ascii="Times New Roman" w:cs="Times New Roman" w:eastAsia="Times New Roman" w:hAnsi="Times New Roman"/>
          <w:sz w:val="22"/>
          <w:szCs w:val="22"/>
          <w:b w:val="1"/>
          <w:bCs w:val="1"/>
          <w:color w:val="auto"/>
        </w:rPr>
      </w:pPr>
    </w:p>
    <w:p>
      <w:pPr>
        <w:ind w:left="-180" w:firstLine="449"/>
        <w:spacing w:after="0" w:line="287" w:lineRule="auto"/>
        <w:tabs>
          <w:tab w:leader="none" w:pos="751" w:val="left"/>
        </w:tabs>
        <w:numPr>
          <w:ilvl w:val="1"/>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 Choice of Forum; Jury Trial 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governed by and construed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laws of the State of Michigan,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60"/>
          </w:cols>
          <w:pgMar w:left="500" w:top="1422" w:right="339" w:bottom="1440" w:gutter="0" w:footer="0" w:header="0"/>
        </w:sectPr>
      </w:pPr>
    </w:p>
    <w:bookmarkStart w:id="94" w:name="page95"/>
    <w:bookmarkEnd w:id="94"/>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notwithstanding conflict of law provisions. Grantee further agrees that any action by Grantee to challenge the enforceability of this Agreement must be brought or litigated exclusively in the appropriate state or federal court located in the State of Michigan. Grantee also agrees that any action by the Company to enforce this Agreement, as well as any related disputes or litigation related to this Agreement, may be brought in the appropriate state or federal court located in the State of Michigan. Grantee agrees and consents to the personal jurisdiction and venue of the federal or state courts of Michigan for resolution of any disputes or litigation arising under or in connection with this Agreement or any challenge to this Agreement and waives any objections or defenses to personal jurisdiction or venue in any such proceeding before any such court. </w:t>
      </w:r>
      <w:r>
        <w:rPr>
          <w:rFonts w:ascii="Times New Roman" w:cs="Times New Roman" w:eastAsia="Times New Roman" w:hAnsi="Times New Roman"/>
          <w:sz w:val="21"/>
          <w:szCs w:val="21"/>
          <w:b w:val="1"/>
          <w:bCs w:val="1"/>
          <w:color w:val="auto"/>
        </w:rPr>
        <w:t>GRANTEE AGREE THAT, TO THE</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b w:val="1"/>
          <w:bCs w:val="1"/>
          <w:color w:val="auto"/>
        </w:rPr>
        <w:t>FULLEST EXTENT PERMITTED BY LAW, EACH PARTY WAIVES ANY RIGHT TO TRIAL BY JURY WITH RESPECT TO ANY PROCEEDING ARISING OUT OF OR RELATING TO THIS AGREEMENT.</w:t>
      </w:r>
    </w:p>
    <w:p>
      <w:pPr>
        <w:spacing w:after="0" w:line="164" w:lineRule="exact"/>
        <w:rPr>
          <w:sz w:val="20"/>
          <w:szCs w:val="20"/>
          <w:color w:val="auto"/>
        </w:rPr>
      </w:pPr>
    </w:p>
    <w:p>
      <w:pPr>
        <w:ind w:left="920" w:hanging="480"/>
        <w:spacing w:after="0"/>
        <w:tabs>
          <w:tab w:leader="none" w:pos="92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Clawback Policy</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left="640" w:firstLine="644"/>
        <w:spacing w:after="0" w:line="247" w:lineRule="auto"/>
        <w:tabs>
          <w:tab w:leader="none" w:pos="1864"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Grantee acknowledges and agrees that this Agreement and the Award described herein (and any settlement thereof) are subject to the terms and conditions of the Company’s clawback policy or policies as may be in effect from time to time, including specifically to implement Section 10D of the Exchange Act and any applicable rules or regulations promulgated thereunder (including applicable rules and regulations of any national securities exchange on which the Common Stock at any point may be traded) (the “Compensation Recovery Policy”), and that, to the extent the Compensation Recovery Policy, by its terms, is applicable to the Award, applicable terms of this Agreement will be (if necessary) deemed superseded by and subject to the terms and conditions of the Compensation Recovery Policy from and after the effective date thereof. Further, by accepting the Award covered by this Agreement, Grantee (i) consents to be bound by the terms of the Compensation Recovery Policy, as applicable, (ii) agrees and acknowledges that Grantee is obligated to and will cooperate with, and will provide any and all assistance necessary to, the Company in any effort to recover or recoup any compensation or other amounts subject to clawback or recovery pursuant to the Compensation Recovery Policy and/or applicable laws, rules, regulations, stock exchange listing standards or other Company policy, and (iii) agrees that the Company may enforce its rights under the Compensation Recovery Policy through any and all reasonable means permitted under applicable law as it deems necessary or desirable under the Compensation Recovery Policy, in each case from and after the effective dates thereof. Such cooperation and assistance shall include, but is not limited to, executing, completing and submitting any documentation necessary to facilitate the recovery or recoupment by the Company from Grantee of any such amounts, including from Grantee’s accounts or from any other compensation, to the extent permissible under Section 409A of the Code.</w:t>
      </w:r>
    </w:p>
    <w:p>
      <w:pPr>
        <w:spacing w:after="0" w:line="183" w:lineRule="exact"/>
        <w:rPr>
          <w:rFonts w:ascii="Times New Roman" w:cs="Times New Roman" w:eastAsia="Times New Roman" w:hAnsi="Times New Roman"/>
          <w:sz w:val="22"/>
          <w:szCs w:val="22"/>
          <w:color w:val="auto"/>
        </w:rPr>
      </w:pPr>
    </w:p>
    <w:p>
      <w:pPr>
        <w:jc w:val="both"/>
        <w:ind w:left="640" w:firstLine="644"/>
        <w:spacing w:after="0" w:line="263" w:lineRule="auto"/>
        <w:tabs>
          <w:tab w:leader="none" w:pos="1788"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violation of Section II.B.3 of this Agreement prior to the final Vesting Date and thereafter, as determined by the Board, shall result in the forfeiture of the Restricted Stock Units, and clawback and recoupment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22" w:right="339" w:bottom="1440" w:gutter="0" w:footer="0" w:header="0"/>
        </w:sectPr>
      </w:pPr>
    </w:p>
    <w:bookmarkStart w:id="95" w:name="page96"/>
    <w:bookmarkEnd w:id="95"/>
    <w:p>
      <w:pPr>
        <w:ind w:left="460"/>
        <w:spacing w:after="0" w:line="271" w:lineRule="auto"/>
        <w:rPr>
          <w:sz w:val="20"/>
          <w:szCs w:val="20"/>
          <w:color w:val="auto"/>
        </w:rPr>
      </w:pPr>
      <w:r>
        <w:rPr>
          <w:rFonts w:ascii="Times New Roman" w:cs="Times New Roman" w:eastAsia="Times New Roman" w:hAnsi="Times New Roman"/>
          <w:sz w:val="22"/>
          <w:szCs w:val="22"/>
          <w:color w:val="auto"/>
        </w:rPr>
        <w:t>of any shares of Common Stock issued or transferred to Grantee in settlement of the Restricted Stock Units (plus dividend equivalent payments).</w:t>
      </w:r>
    </w:p>
    <w:p>
      <w:pPr>
        <w:spacing w:after="0" w:line="15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60"/>
          </w:cols>
          <w:pgMar w:left="500" w:top="1422" w:right="339" w:bottom="1440" w:gutter="0" w:footer="0" w:header="0"/>
        </w:sectPr>
      </w:pPr>
    </w:p>
    <w:bookmarkStart w:id="96" w:name="page97"/>
    <w:bookmarkEnd w:id="96"/>
    <w:p>
      <w:pPr>
        <w:ind w:firstLine="648"/>
        <w:spacing w:after="0" w:line="271" w:lineRule="auto"/>
        <w:rPr>
          <w:sz w:val="20"/>
          <w:szCs w:val="20"/>
          <w:color w:val="auto"/>
        </w:rPr>
      </w:pPr>
      <w:r>
        <w:rPr>
          <w:rFonts w:ascii="Times New Roman" w:cs="Times New Roman" w:eastAsia="Times New Roman" w:hAnsi="Times New Roman"/>
          <w:sz w:val="22"/>
          <w:szCs w:val="22"/>
          <w:color w:val="auto"/>
        </w:rPr>
        <w:t>This Agreement may be executed in two or more counterparts, each of which is deemed an original and all of which constitute one document.</w:t>
      </w:r>
    </w:p>
    <w:p>
      <w:pPr>
        <w:spacing w:after="0" w:line="1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Dated as of: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Thomas A. Amato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 &amp; CEO</w:t>
      </w:r>
    </w:p>
    <w:p>
      <w:pPr>
        <w:spacing w:after="0" w:line="200" w:lineRule="exact"/>
        <w:rPr>
          <w:sz w:val="20"/>
          <w:szCs w:val="20"/>
          <w:color w:val="auto"/>
        </w:rPr>
      </w:pPr>
    </w:p>
    <w:p>
      <w:pPr>
        <w:sectPr>
          <w:pgSz w:w="11900" w:h="16838" w:orient="portrait"/>
          <w:cols w:equalWidth="0" w:num="2">
            <w:col w:w="4220" w:space="720"/>
            <w:col w:w="6300"/>
          </w:cols>
          <w:pgMar w:left="320" w:top="1422" w:right="339" w:bottom="1440" w:gutter="0" w:footer="0" w:header="0"/>
          <w:type w:val="continuous"/>
        </w:sectPr>
      </w:pPr>
    </w:p>
    <w:p>
      <w:pPr>
        <w:spacing w:after="0" w:line="200" w:lineRule="exact"/>
        <w:rPr>
          <w:sz w:val="20"/>
          <w:szCs w:val="20"/>
          <w:color w:val="auto"/>
        </w:rPr>
      </w:pPr>
    </w:p>
    <w:p>
      <w:pPr>
        <w:spacing w:after="0" w:line="399"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75"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b w:val="1"/>
          <w:bCs w:val="1"/>
          <w:color w:val="auto"/>
        </w:rPr>
        <w:t>BY CLICKING THE “ACCEPT” BUTTON BELOW, GRANTEE ACKNOWLEDGES RECEIPT OF A COPY OF THE PLAN AND REPRESENTS THAT GRANTEE IS FAMILIAR WITH THE TERMS AND PROVISIONS OF THE PLAN. GRANTEE ACCEPTS THIS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22" w:right="339" w:bottom="1440" w:gutter="0" w:footer="0" w:header="0"/>
          <w:type w:val="continuous"/>
        </w:sectPr>
      </w:pPr>
    </w:p>
    <w:bookmarkStart w:id="97" w:name="page98"/>
    <w:bookmarkEnd w:id="97"/>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GLOSSARY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w:t>
      </w:r>
    </w:p>
    <w:p>
      <w:pPr>
        <w:spacing w:after="0" w:line="243" w:lineRule="exact"/>
        <w:rPr>
          <w:sz w:val="20"/>
          <w:szCs w:val="20"/>
          <w:color w:val="auto"/>
        </w:rPr>
      </w:pPr>
    </w:p>
    <w:p>
      <w:pPr>
        <w:jc w:val="both"/>
        <w:ind w:left="100"/>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(a) Grantee’s conviction of or plea of guilty or nolo contendere to a crime constituting a felony under the laws of the United States or any State thereof or any other jurisdiction in which the Company or its Subsidiaries conduct business; (b) Grantee’s willful misconduct in the performance of his or her duties to the Company or its Subsidiaries and failure to cure such breach within thirty (30) days following written notice thereof from the Company; (c) Grantee’s willful failure or refusal to follow directions from the Board (or direct reporting executive) and failure to cure such breach within thirty (30) days following written notice thereof from the Board; or (d) Grantee’s breach of fiduciary duty to the Company or its Subsidiaries for personal profit. Any failure by the Company or a Subsidiary of the Company to notify Grantee after the first occurrence of an event constituting Cause shall not preclude any subsequent occurrences of such event (or a similar event) from constituting Cause.</w:t>
      </w:r>
    </w:p>
    <w:p>
      <w:pPr>
        <w:spacing w:after="0" w:line="192" w:lineRule="exact"/>
        <w:rPr>
          <w:sz w:val="20"/>
          <w:szCs w:val="20"/>
          <w:color w:val="auto"/>
        </w:rPr>
      </w:pPr>
    </w:p>
    <w:p>
      <w:pPr>
        <w:jc w:val="both"/>
        <w:ind w:left="10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(and similar terms) means Grantee’s 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199" w:lineRule="exact"/>
        <w:rPr>
          <w:sz w:val="20"/>
          <w:szCs w:val="20"/>
          <w:color w:val="auto"/>
        </w:rPr>
      </w:pPr>
    </w:p>
    <w:p>
      <w:pPr>
        <w:ind w:left="1400" w:hanging="644"/>
        <w:spacing w:after="0" w:line="271" w:lineRule="auto"/>
        <w:tabs>
          <w:tab w:leader="none" w:pos="125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contracted, suffered, or incurred while Grantee was engaged in, or resulted from Grantee having engaged in, a felonious activity;</w:t>
      </w:r>
    </w:p>
    <w:p>
      <w:pPr>
        <w:spacing w:after="0" w:line="198" w:lineRule="exact"/>
        <w:rPr>
          <w:rFonts w:ascii="Times New Roman" w:cs="Times New Roman" w:eastAsia="Times New Roman" w:hAnsi="Times New Roman"/>
          <w:sz w:val="22"/>
          <w:szCs w:val="22"/>
          <w:color w:val="auto"/>
        </w:rPr>
      </w:pPr>
    </w:p>
    <w:p>
      <w:pPr>
        <w:ind w:left="1400" w:right="20" w:hanging="644"/>
        <w:spacing w:after="0" w:line="271" w:lineRule="auto"/>
        <w:tabs>
          <w:tab w:leader="none" w:pos="131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an intentionally self-inflicted injury or an addiction to drugs, alcohol, or substances which are not administered under the direction of a licensed physician as part of a medical treatment plan; or</w:t>
      </w:r>
    </w:p>
    <w:p>
      <w:pPr>
        <w:spacing w:after="0" w:line="184" w:lineRule="exact"/>
        <w:rPr>
          <w:rFonts w:ascii="Times New Roman" w:cs="Times New Roman" w:eastAsia="Times New Roman" w:hAnsi="Times New Roman"/>
          <w:sz w:val="22"/>
          <w:szCs w:val="22"/>
          <w:color w:val="auto"/>
        </w:rPr>
      </w:pPr>
    </w:p>
    <w:p>
      <w:pPr>
        <w:ind w:left="1400" w:hanging="644"/>
        <w:spacing w:after="0" w:line="257" w:lineRule="auto"/>
        <w:tabs>
          <w:tab w:leader="none" w:pos="120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213" w:lineRule="exact"/>
        <w:rPr>
          <w:sz w:val="20"/>
          <w:szCs w:val="20"/>
          <w:color w:val="auto"/>
        </w:rPr>
      </w:pPr>
    </w:p>
    <w:p>
      <w:pPr>
        <w:jc w:val="both"/>
        <w:ind w:left="760"/>
        <w:spacing w:after="0" w:line="250" w:lineRule="auto"/>
        <w:rPr>
          <w:sz w:val="20"/>
          <w:szCs w:val="20"/>
          <w:color w:val="auto"/>
        </w:rPr>
      </w:pPr>
      <w:r>
        <w:rPr>
          <w:rFonts w:ascii="Times New Roman" w:cs="Times New Roman" w:eastAsia="Times New Roman" w:hAnsi="Times New Roman"/>
          <w:sz w:val="22"/>
          <w:szCs w:val="22"/>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40"/>
          </w:cols>
          <w:pgMar w:left="220" w:top="1418" w:right="339" w:bottom="1440" w:gutter="0" w:footer="0" w:header="0"/>
        </w:sectPr>
      </w:pPr>
    </w:p>
    <w:bookmarkStart w:id="98" w:name="page99"/>
    <w:bookmarkEnd w:id="98"/>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 to submit to any medical examination properly requested by the Committee or the Company, then in any such event Grantee shall be deemed to have recovered from such Disability.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w:t>
      </w:r>
    </w:p>
    <w:p>
      <w:pPr>
        <w:spacing w:after="0" w:line="251" w:lineRule="exact"/>
        <w:rPr>
          <w:sz w:val="20"/>
          <w:szCs w:val="20"/>
          <w:color w:val="auto"/>
        </w:rPr>
      </w:pPr>
    </w:p>
    <w:p>
      <w:pPr>
        <w:ind w:left="1160" w:hanging="504"/>
        <w:spacing w:after="0"/>
        <w:tabs>
          <w:tab w:leader="none" w:pos="11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and permanent diminution in Grantee’s duties or responsibilities;</w:t>
      </w:r>
    </w:p>
    <w:p>
      <w:pPr>
        <w:spacing w:after="0" w:line="246" w:lineRule="exact"/>
        <w:rPr>
          <w:rFonts w:ascii="Times New Roman" w:cs="Times New Roman" w:eastAsia="Times New Roman" w:hAnsi="Times New Roman"/>
          <w:sz w:val="22"/>
          <w:szCs w:val="22"/>
          <w:color w:val="auto"/>
        </w:rPr>
      </w:pPr>
    </w:p>
    <w:p>
      <w:pPr>
        <w:ind w:left="1300" w:hanging="644"/>
        <w:spacing w:after="0" w:line="271" w:lineRule="auto"/>
        <w:tabs>
          <w:tab w:leader="none" w:pos="1255"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aggregate value of base salary and bonus opportunity provided to Grantee by the Company; or</w:t>
      </w:r>
    </w:p>
    <w:p>
      <w:pPr>
        <w:spacing w:after="0" w:line="184"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permanent reassignment of Grantee to another primary office more than 50 miles from the current office location.</w:t>
      </w:r>
    </w:p>
    <w:p>
      <w:pPr>
        <w:spacing w:after="0" w:line="258"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Grantee must notify the Company of Grantee’s intention to invoke termination for Good Reason within 90 days after Grantee has knowledge of such event and provide the Company 30 days’ opportunity for cure, and Grantee must actually terminate Grantee’s employment with the Company prior to the 365th day following such occurrence or such event shall not constitute Good Reason. Grantee may not invoke termination for Good Reason if Cause exists or Grantee has violated Section II.B.3 of the Agreement at the time of such termination.</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“Qualifying Termination” </w:t>
      </w:r>
      <w:r>
        <w:rPr>
          <w:rFonts w:ascii="Times New Roman" w:cs="Times New Roman" w:eastAsia="Times New Roman" w:hAnsi="Times New Roman"/>
          <w:sz w:val="22"/>
          <w:szCs w:val="22"/>
          <w:color w:val="auto"/>
        </w:rPr>
        <w:t>means a termination of Grantee’s status as a Service Provider with the Company or a Subsidiary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reason other than:</w:t>
      </w:r>
    </w:p>
    <w:p>
      <w:pPr>
        <w:spacing w:after="0" w:line="141" w:lineRule="exact"/>
        <w:rPr>
          <w:sz w:val="20"/>
          <w:szCs w:val="20"/>
          <w:color w:val="auto"/>
        </w:rPr>
      </w:pPr>
    </w:p>
    <w:p>
      <w:pPr>
        <w:ind w:left="1120" w:hanging="464"/>
        <w:spacing w:after="0"/>
        <w:tabs>
          <w:tab w:leader="none" w:pos="112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19"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w:t>
      </w:r>
    </w:p>
    <w:p>
      <w:pPr>
        <w:spacing w:after="0" w:line="219"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w:t>
      </w:r>
    </w:p>
    <w:p>
      <w:pPr>
        <w:spacing w:after="0" w:line="219"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Grantee without Good Reason; or</w:t>
      </w:r>
    </w:p>
    <w:p>
      <w:pPr>
        <w:spacing w:after="0" w:line="23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w:t>
      </w:r>
    </w:p>
    <w:p>
      <w:pPr>
        <w:spacing w:after="0" w:line="2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means termination of Grantee’s status as a Service Provider after attaining age 60 and five years of service with the Company and its Subsidiaries, provided that Grantee provides written notice of the date of such Retirement to the Chief Executive Officer of the Company at least 90 days prior to the date of such Retirement (further provided that, for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22" w:right="339" w:bottom="1440" w:gutter="0" w:footer="0" w:header="0"/>
        </w:sectPr>
      </w:pPr>
    </w:p>
    <w:bookmarkStart w:id="99" w:name="page100"/>
    <w:bookmarkEnd w:id="99"/>
    <w:p>
      <w:pPr>
        <w:spacing w:after="0" w:line="271" w:lineRule="auto"/>
        <w:rPr>
          <w:sz w:val="20"/>
          <w:szCs w:val="20"/>
          <w:color w:val="auto"/>
        </w:rPr>
      </w:pPr>
      <w:r>
        <w:rPr>
          <w:rFonts w:ascii="Times New Roman" w:cs="Times New Roman" w:eastAsia="Times New Roman" w:hAnsi="Times New Roman"/>
          <w:sz w:val="22"/>
          <w:szCs w:val="22"/>
          <w:color w:val="auto"/>
        </w:rPr>
        <w:t>determining satisfaction of the years of service requirement described herein, years of service with a Subsidiary shall only include service provided by Grantee after such Subsidiary becomes a subsidiary of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individual actively providing services to the Company or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20"/>
          </w:cols>
          <w:pgMar w:left="320" w:top="1422" w:right="35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NON-U.S. ADDENDUM</w:t>
      </w:r>
    </w:p>
    <w:p>
      <w:pPr>
        <w:spacing w:after="0" w:line="247"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b w:val="1"/>
          <w:bCs w:val="1"/>
          <w:color w:val="auto"/>
        </w:rPr>
        <w:t>Additional Terms and Conditions for Equity Grants Under the TriMas Corporation 2023 Equity and Incentive Compensation Plan, as amended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February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This Addendum includes additional terms and conditions that govern the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granted to you under the TriMas Corporation 2023 Equity and Incentive Compensation Plan (referred to as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if you reside in the United Kingdom. Certain capitalized terms used but not defined in this Addendum have the meanings set forth in the Plan and/or your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UNITED KINGDOM</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60" w:lineRule="exact"/>
        <w:rPr>
          <w:sz w:val="20"/>
          <w:szCs w:val="20"/>
          <w:color w:val="auto"/>
        </w:rPr>
      </w:pPr>
    </w:p>
    <w:p>
      <w:pPr>
        <w:ind w:right="80"/>
        <w:spacing w:after="0" w:line="339" w:lineRule="auto"/>
        <w:rPr>
          <w:sz w:val="20"/>
          <w:szCs w:val="20"/>
          <w:color w:val="auto"/>
        </w:rPr>
      </w:pPr>
      <w:r>
        <w:rPr>
          <w:rFonts w:ascii="Times New Roman" w:cs="Times New Roman" w:eastAsia="Times New Roman" w:hAnsi="Times New Roman"/>
          <w:sz w:val="21"/>
          <w:szCs w:val="21"/>
          <w:b w:val="1"/>
          <w:bCs w:val="1"/>
          <w:color w:val="auto"/>
        </w:rPr>
        <w:t>UK Sub-Plan</w:t>
      </w:r>
      <w:r>
        <w:rPr>
          <w:rFonts w:ascii="Times New Roman" w:cs="Times New Roman" w:eastAsia="Times New Roman" w:hAnsi="Times New Roman"/>
          <w:sz w:val="21"/>
          <w:szCs w:val="21"/>
          <w:color w:val="auto"/>
        </w:rPr>
        <w:t>. Your grant of Restricted Stock Units is being made pursuant to the UK Sub-Plan, which contains additional terms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conditions that govern your Restricted Stock Units and participation in the Plan. Please review that document carefully.</w:t>
      </w:r>
    </w:p>
    <w:p>
      <w:pPr>
        <w:spacing w:after="0" w:line="155"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22"/>
          <w:szCs w:val="22"/>
          <w:b w:val="1"/>
          <w:bCs w:val="1"/>
          <w:color w:val="auto"/>
        </w:rPr>
        <w:t xml:space="preserve">Disability. </w:t>
      </w:r>
      <w:r>
        <w:rPr>
          <w:rFonts w:ascii="Times New Roman" w:cs="Times New Roman" w:eastAsia="Times New Roman" w:hAnsi="Times New Roman"/>
          <w:sz w:val="22"/>
          <w:szCs w:val="22"/>
          <w:color w:val="auto"/>
        </w:rPr>
        <w:t>For purposes of the Agreement, the definition of “Disability” in Appendix A hereto shall be qualified by the inclusion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following phrase after the word “means”: “, subject to and in compliance with the requirements of laws of the United Kingdom,”.</w:t>
      </w:r>
    </w:p>
    <w:p>
      <w:pPr>
        <w:spacing w:after="0" w:line="186"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For purposes of the Agreement, the definition of “Retirement” in Appendix A hereto shall not apply. Further,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use of the capitalized term “Retirement” in the Agreement is hereby amended to read as “retirement”.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 Equivalent Rights</w:t>
      </w:r>
      <w:r>
        <w:rPr>
          <w:rFonts w:ascii="Times New Roman" w:cs="Times New Roman" w:eastAsia="Times New Roman" w:hAnsi="Times New Roman"/>
          <w:sz w:val="22"/>
          <w:szCs w:val="22"/>
          <w:color w:val="auto"/>
        </w:rPr>
        <w:t>. Section II.A.3 of the Agreement is hereby amended in its entirety to read as follows:</w:t>
      </w:r>
    </w:p>
    <w:p>
      <w:pPr>
        <w:spacing w:after="0" w:line="291" w:lineRule="exact"/>
        <w:rPr>
          <w:sz w:val="20"/>
          <w:szCs w:val="20"/>
          <w:color w:val="auto"/>
        </w:rPr>
      </w:pPr>
    </w:p>
    <w:p>
      <w:pPr>
        <w:ind w:left="660"/>
        <w:spacing w:after="0" w:line="309" w:lineRule="auto"/>
        <w:rPr>
          <w:sz w:val="20"/>
          <w:szCs w:val="20"/>
          <w:color w:val="auto"/>
        </w:rPr>
      </w:pPr>
      <w:r>
        <w:rPr>
          <w:rFonts w:ascii="Times New Roman" w:cs="Times New Roman" w:eastAsia="Times New Roman" w:hAnsi="Times New Roman"/>
          <w:sz w:val="22"/>
          <w:szCs w:val="22"/>
          <w:color w:val="auto"/>
        </w:rPr>
        <w:t>“Grantee shall be notionally credited with cash per Restricted Stock Unit equal to the amount of each cash dividend paid by the Company (if any) to holders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18" w:right="339" w:bottom="1440" w:gutter="0" w:footer="0" w:header="0"/>
        </w:sectPr>
      </w:pPr>
    </w:p>
    <w:bookmarkStart w:id="101" w:name="page102"/>
    <w:bookmarkEnd w:id="101"/>
    <w:p>
      <w:pPr>
        <w:jc w:val="both"/>
        <w:ind w:left="660"/>
        <w:spacing w:after="0" w:line="287" w:lineRule="auto"/>
        <w:rPr>
          <w:sz w:val="20"/>
          <w:szCs w:val="20"/>
          <w:color w:val="auto"/>
        </w:rPr>
      </w:pPr>
      <w:r>
        <w:rPr>
          <w:rFonts w:ascii="Times New Roman" w:cs="Times New Roman" w:eastAsia="Times New Roman" w:hAnsi="Times New Roman"/>
          <w:sz w:val="22"/>
          <w:szCs w:val="22"/>
          <w:color w:val="auto"/>
        </w:rPr>
        <w:t>generally with a record date occurring on or after the Date of Grant and prior to the time when the Restricted Stock Units are settled in accordance with Section II.A.2 hereof. Any amounts notionally credited pursuant to the immediately preceding sentence shall be subject to the same applicable terms and conditions (including vesting, payment or forfeitability) as apply to the Restricted Stock Units based on which the dividend equivalents were notionally credited, and such amounts shall be paid in Common Stock at the same time as the Restricted Stock Units to which they relate. The number of shares so paid in Common Stock shall be rounded down to the nearest whole number and shall be determined by dividing the amounts so notionally credited by the Market Value per Share on the payment date. Notwithstanding the foregoing provisions of this Section II.A.3, Grantee shall not be entitled to the cash notionally credited at any time to the Restricted Stock Units (or the Common Stock representing the same, as the case may be) either legally or beneficially unless and until Grantee becomes entitled to receive the actual Common Stock in respect of this Award pursuant to Section II.A.2 of this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Withholding</w:t>
      </w:r>
      <w:r>
        <w:rPr>
          <w:rFonts w:ascii="Times New Roman" w:cs="Times New Roman" w:eastAsia="Times New Roman" w:hAnsi="Times New Roman"/>
          <w:sz w:val="22"/>
          <w:szCs w:val="22"/>
          <w:color w:val="auto"/>
        </w:rPr>
        <w:t>. Section II.B.2 of the Agreement is hereby amended in its entirety to read as follows:</w:t>
      </w:r>
    </w:p>
    <w:p>
      <w:pPr>
        <w:spacing w:after="0" w:line="2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“Grantee hereby indemnifies the Company, Grantee’s employer or any other person in respect of:</w:t>
      </w:r>
    </w:p>
    <w:p>
      <w:pPr>
        <w:spacing w:after="0" w:line="247" w:lineRule="exact"/>
        <w:rPr>
          <w:sz w:val="20"/>
          <w:szCs w:val="20"/>
          <w:color w:val="auto"/>
        </w:rPr>
      </w:pPr>
    </w:p>
    <w:p>
      <w:pPr>
        <w:ind w:left="1960" w:right="640" w:hanging="656"/>
        <w:spacing w:after="0" w:line="256" w:lineRule="auto"/>
        <w:tabs>
          <w:tab w:leader="none" w:pos="175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of income tax for which the Company, Grantee’s employer or any other person is obliged to account under the Pay-As-You-Earn system and any amounts of employee’s national insurance contributions arising from the vesting of this Award (or which would not otherwise have arisen but for the grant of this Award to Grantee); and</w:t>
      </w:r>
    </w:p>
    <w:p>
      <w:pPr>
        <w:spacing w:after="0" w:line="203" w:lineRule="exact"/>
        <w:rPr>
          <w:rFonts w:ascii="Times New Roman" w:cs="Times New Roman" w:eastAsia="Times New Roman" w:hAnsi="Times New Roman"/>
          <w:sz w:val="22"/>
          <w:szCs w:val="22"/>
          <w:color w:val="auto"/>
        </w:rPr>
      </w:pPr>
    </w:p>
    <w:p>
      <w:pPr>
        <w:jc w:val="right"/>
        <w:ind w:left="1960" w:right="640" w:hanging="656"/>
        <w:spacing w:after="0" w:line="260" w:lineRule="auto"/>
        <w:tabs>
          <w:tab w:leader="none" w:pos="1797"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amount of income tax for which the Company, Grantee’s employer or any other person is obliged to account under the Pay-As-You-Earn system and any amounts of employee’s national insurance contributions arising in respect of, or in connection with the holding or disposal by Grantee of the shares of Common Stock acquired pursuant to this Award or the conversion of such shares of Common Stock into securities of another description whilst such shares of Common Stock are held</w:t>
      </w:r>
    </w:p>
    <w:p>
      <w:pPr>
        <w:ind w:left="1960"/>
        <w:spacing w:after="0"/>
        <w:rPr>
          <w:sz w:val="20"/>
          <w:szCs w:val="20"/>
          <w:color w:val="auto"/>
        </w:rPr>
      </w:pPr>
      <w:r>
        <w:rPr>
          <w:rFonts w:ascii="Times New Roman" w:cs="Times New Roman" w:eastAsia="Times New Roman" w:hAnsi="Times New Roman"/>
          <w:sz w:val="22"/>
          <w:szCs w:val="22"/>
          <w:color w:val="auto"/>
        </w:rPr>
        <w:t>by Grantee,</w:t>
      </w:r>
    </w:p>
    <w:p>
      <w:pPr>
        <w:spacing w:after="0" w:line="15" w:lineRule="exact"/>
        <w:rPr>
          <w:sz w:val="20"/>
          <w:szCs w:val="20"/>
          <w:color w:val="auto"/>
        </w:rPr>
      </w:pPr>
    </w:p>
    <w:p>
      <w:pPr>
        <w:jc w:val="both"/>
        <w:ind w:left="660" w:right="660" w:hanging="381"/>
        <w:spacing w:after="0" w:line="245" w:lineRule="auto"/>
        <w:rPr>
          <w:sz w:val="20"/>
          <w:szCs w:val="20"/>
          <w:color w:val="auto"/>
        </w:rPr>
      </w:pPr>
      <w:r>
        <w:rPr>
          <w:rFonts w:ascii="Times New Roman" w:cs="Times New Roman" w:eastAsia="Times New Roman" w:hAnsi="Times New Roman"/>
          <w:sz w:val="22"/>
          <w:szCs w:val="22"/>
          <w:color w:val="auto"/>
        </w:rPr>
        <w:t>and in pursuance of such indemnity, Grantee hereby agrees that he or she shall pay to the Company (or to such other entity as directed by it) such amount as shall be notified to Grantee by the Company as being due on any occasion under such indemnity, within seven days after being so notified. To the extent that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35" w:right="339" w:bottom="1440" w:gutter="0" w:footer="0" w:header="0"/>
        </w:sectPr>
      </w:pPr>
    </w:p>
    <w:bookmarkStart w:id="102" w:name="page103"/>
    <w:bookmarkEnd w:id="102"/>
    <w:p>
      <w:pPr>
        <w:jc w:val="both"/>
        <w:ind w:left="480" w:right="580"/>
        <w:spacing w:after="0" w:line="250" w:lineRule="auto"/>
        <w:rPr>
          <w:sz w:val="20"/>
          <w:szCs w:val="20"/>
          <w:color w:val="auto"/>
        </w:rPr>
      </w:pPr>
      <w:r>
        <w:rPr>
          <w:rFonts w:ascii="Times New Roman" w:cs="Times New Roman" w:eastAsia="Times New Roman" w:hAnsi="Times New Roman"/>
          <w:sz w:val="22"/>
          <w:szCs w:val="22"/>
          <w:color w:val="auto"/>
        </w:rPr>
        <w:t>fails to pay any amount so notified to him or her by the Company within seven days after such notification, Grantee hereby agrees that the Company may withhold, or procure the withholding, from any salary, wages, payment or payments due to Grantee from the Company or Grantee’s employer an amount which is equal to the amount notified to Grantee, sell or procure the sale of sufficient of the shares of Common Stock acquired by Grantee pursuant to this 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w:t>
      </w:r>
    </w:p>
    <w:p>
      <w:pPr>
        <w:spacing w:after="0" w:line="207" w:lineRule="exact"/>
        <w:rPr>
          <w:sz w:val="20"/>
          <w:szCs w:val="20"/>
          <w:color w:val="auto"/>
        </w:rPr>
      </w:pPr>
    </w:p>
    <w:p>
      <w:pPr>
        <w:ind w:left="480"/>
        <w:spacing w:after="0" w:line="248" w:lineRule="auto"/>
        <w:rPr>
          <w:sz w:val="20"/>
          <w:szCs w:val="20"/>
          <w:color w:val="auto"/>
        </w:rPr>
      </w:pPr>
      <w:r>
        <w:rPr>
          <w:rFonts w:ascii="Times New Roman" w:cs="Times New Roman" w:eastAsia="Times New Roman" w:hAnsi="Times New Roman"/>
          <w:sz w:val="22"/>
          <w:szCs w:val="22"/>
          <w:color w:val="auto"/>
        </w:rPr>
        <w:t>Grantee acknowledges and agrees that the Company may increase the number of shares of Common Stock to be withheld by, or to be delivered to, the Company in order to satisfy any income tax or employees national insurance contributions required by applicable law to be withheld upon the issuance, vesting or delivery of any shares of Common Stock, dividends or dividend equivalent payments of any kind from any payments due to Grantee to such number of shares of Common Stock that has an aggregate fair market value sufficient to satisfy no more than the maximum statutory withholding obligations calculated on the basis of the aggregate fair market value of the shares of Common Stock underlying the vesting (or, as the case may be, vested) RSUs,</w:t>
      </w:r>
    </w:p>
    <w:p>
      <w:pPr>
        <w:spacing w:after="0" w:line="5" w:lineRule="exact"/>
        <w:rPr>
          <w:sz w:val="20"/>
          <w:szCs w:val="20"/>
          <w:color w:val="auto"/>
        </w:rPr>
      </w:pPr>
    </w:p>
    <w:p>
      <w:pPr>
        <w:ind w:left="480" w:right="160"/>
        <w:spacing w:after="0" w:line="248" w:lineRule="auto"/>
        <w:rPr>
          <w:sz w:val="20"/>
          <w:szCs w:val="20"/>
          <w:color w:val="auto"/>
        </w:rPr>
      </w:pPr>
      <w:r>
        <w:rPr>
          <w:rFonts w:ascii="Times New Roman" w:cs="Times New Roman" w:eastAsia="Times New Roman" w:hAnsi="Times New Roman"/>
          <w:sz w:val="22"/>
          <w:szCs w:val="22"/>
          <w:color w:val="auto"/>
        </w:rPr>
        <w:t>provided that an amount equal to the difference between the aggregate fair market value of any such shares of Common Stock so withheld by, or delivered to, the Company and the statutory total tax withholding obligations (including any statutory withholding for social security contributions) is reimbursed to Grantee as soon as reasonably practicable following the remittance of any such statutory total tax withholdings to the relevant tax authorities.</w:t>
      </w:r>
    </w:p>
    <w:p>
      <w:pPr>
        <w:spacing w:after="0" w:line="211" w:lineRule="exact"/>
        <w:rPr>
          <w:sz w:val="20"/>
          <w:szCs w:val="20"/>
          <w:color w:val="auto"/>
        </w:rPr>
      </w:pPr>
    </w:p>
    <w:p>
      <w:pPr>
        <w:jc w:val="both"/>
        <w:ind w:left="480" w:right="560" w:hanging="406"/>
        <w:spacing w:after="0" w:line="251" w:lineRule="auto"/>
        <w:rPr>
          <w:sz w:val="20"/>
          <w:szCs w:val="20"/>
          <w:color w:val="auto"/>
        </w:rPr>
      </w:pPr>
      <w:r>
        <w:rPr>
          <w:rFonts w:ascii="Times New Roman" w:cs="Times New Roman" w:eastAsia="Times New Roman" w:hAnsi="Times New Roman"/>
          <w:sz w:val="22"/>
          <w:szCs w:val="22"/>
          <w:color w:val="auto"/>
        </w:rPr>
        <w:t>In the alternative to satisfying the indemnity in (i) above, Grantee hereby agrees that the Company may withhold from the total number of shares of Common Stock that become issuable to Grantee on vesting of this Award a number of shares of Common Stock with an aggregate Market Value per Share on the date of withholding equal to the amount due under (i) above as determined by the Company, in which case Grantee will be taken to have forfeited the right to be issued the number of shares of Common Stock so withheld in order to make good the amounts due under (i) above.</w:t>
      </w:r>
    </w:p>
    <w:p>
      <w:pPr>
        <w:spacing w:after="0" w:line="222" w:lineRule="exact"/>
        <w:rPr>
          <w:sz w:val="20"/>
          <w:szCs w:val="20"/>
          <w:color w:val="auto"/>
        </w:rPr>
      </w:pPr>
    </w:p>
    <w:p>
      <w:pPr>
        <w:jc w:val="both"/>
        <w:ind w:left="480" w:right="580" w:hanging="419"/>
        <w:spacing w:after="0" w:line="257" w:lineRule="auto"/>
        <w:rPr>
          <w:sz w:val="20"/>
          <w:szCs w:val="20"/>
          <w:color w:val="auto"/>
        </w:rPr>
      </w:pPr>
      <w:r>
        <w:rPr>
          <w:rFonts w:ascii="Times New Roman" w:cs="Times New Roman" w:eastAsia="Times New Roman" w:hAnsi="Times New Roman"/>
          <w:sz w:val="22"/>
          <w:szCs w:val="22"/>
          <w:color w:val="auto"/>
        </w:rPr>
        <w:t>The Company will not be obliged to deliver any shares of Common Stock to Grantee pursuant to this Award if Grantee fails to comply with his or her obligations under the foregoing provisions of this Section II.B.2 and Grantee shall not be entitled to receive the delivery of such shares of Common Stock.</w:t>
      </w:r>
    </w:p>
    <w:p>
      <w:pPr>
        <w:spacing w:after="0" w:line="200" w:lineRule="exact"/>
        <w:rPr>
          <w:sz w:val="20"/>
          <w:szCs w:val="20"/>
          <w:color w:val="auto"/>
        </w:rPr>
      </w:pPr>
    </w:p>
    <w:p>
      <w:pPr>
        <w:jc w:val="both"/>
        <w:ind w:left="480" w:right="580" w:hanging="401"/>
        <w:spacing w:after="0" w:line="257" w:lineRule="auto"/>
        <w:rPr>
          <w:sz w:val="20"/>
          <w:szCs w:val="20"/>
          <w:color w:val="auto"/>
        </w:rPr>
      </w:pPr>
      <w:r>
        <w:rPr>
          <w:rFonts w:ascii="Times New Roman" w:cs="Times New Roman" w:eastAsia="Times New Roman" w:hAnsi="Times New Roman"/>
          <w:sz w:val="22"/>
          <w:szCs w:val="22"/>
          <w:color w:val="auto"/>
        </w:rPr>
        <w:t>It is a further condition of delivery of any shares of Common Stock pursuant to the vesting of this Award that Grantee will, if required to do so by the Company, enter into a joint election under section 431(1) of the United Kingdom Income Tax (Earnings and Pensions) Act 2003 (“</w:t>
      </w:r>
      <w:r>
        <w:rPr>
          <w:rFonts w:ascii="Times New Roman" w:cs="Times New Roman" w:eastAsia="Times New Roman" w:hAnsi="Times New Roman"/>
          <w:sz w:val="22"/>
          <w:szCs w:val="22"/>
          <w:u w:val="single" w:color="auto"/>
          <w:color w:val="auto"/>
        </w:rPr>
        <w:t>ITEPA</w:t>
      </w:r>
      <w:r>
        <w:rPr>
          <w:rFonts w:ascii="Times New Roman" w:cs="Times New Roman" w:eastAsia="Times New Roman" w:hAnsi="Times New Roman"/>
          <w:sz w:val="22"/>
          <w:szCs w:val="22"/>
          <w:color w:val="auto"/>
        </w:rPr>
        <w:t>”), the effect of which is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80"/>
          </w:cols>
          <w:pgMar w:left="500" w:top="1422" w:right="419" w:bottom="1440" w:gutter="0" w:footer="0" w:header="0"/>
        </w:sectPr>
      </w:pPr>
    </w:p>
    <w:bookmarkStart w:id="103" w:name="page104"/>
    <w:bookmarkEnd w:id="103"/>
    <w:p>
      <w:pPr>
        <w:ind w:left="660" w:right="620"/>
        <w:spacing w:after="0" w:line="271" w:lineRule="auto"/>
        <w:rPr>
          <w:sz w:val="20"/>
          <w:szCs w:val="20"/>
          <w:color w:val="auto"/>
        </w:rPr>
      </w:pPr>
      <w:r>
        <w:rPr>
          <w:rFonts w:ascii="Times New Roman" w:cs="Times New Roman" w:eastAsia="Times New Roman" w:hAnsi="Times New Roman"/>
          <w:sz w:val="22"/>
          <w:szCs w:val="22"/>
          <w:color w:val="auto"/>
        </w:rPr>
        <w:t>Common Stock will be treated as if they were not restricted securities and that sections 425 to 430 of ITEPA will not apply to those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Whistleblower Protection. </w:t>
      </w:r>
      <w:r>
        <w:rPr>
          <w:rFonts w:ascii="Times New Roman" w:cs="Times New Roman" w:eastAsia="Times New Roman" w:hAnsi="Times New Roman"/>
          <w:sz w:val="22"/>
          <w:szCs w:val="22"/>
          <w:color w:val="auto"/>
        </w:rPr>
        <w:t>The last two sentences of Section II.B.3(b) are hereby amended in their entirety to read as follows:</w:t>
      </w:r>
    </w:p>
    <w:p>
      <w:pPr>
        <w:spacing w:after="0" w:line="264" w:lineRule="exact"/>
        <w:rPr>
          <w:sz w:val="20"/>
          <w:szCs w:val="20"/>
          <w:color w:val="auto"/>
        </w:rPr>
      </w:pPr>
    </w:p>
    <w:p>
      <w:pPr>
        <w:ind w:left="660"/>
        <w:spacing w:after="0" w:line="247" w:lineRule="auto"/>
        <w:rPr>
          <w:sz w:val="20"/>
          <w:szCs w:val="20"/>
          <w:color w:val="auto"/>
        </w:rPr>
      </w:pPr>
      <w:r>
        <w:rPr>
          <w:rFonts w:ascii="Times New Roman" w:cs="Times New Roman" w:eastAsia="Times New Roman" w:hAnsi="Times New Roman"/>
          <w:sz w:val="22"/>
          <w:szCs w:val="22"/>
          <w:color w:val="auto"/>
        </w:rPr>
        <w:t>“Notwithstanding anything in this Agreement to the contrary (or in any other agreement, contract or arrangement with the Company or its subsidiaries or affiliates, or in any policy, procedure or practice of the Company or its subsidiaries or affiliates (collectively, the “Arrangements”)): (x) nothing in the Arrangements or otherwise limits Grantee’s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(y) nothing in the Arrangements or otherwise prevents Grantee, in accordance with applicable law, from (i) making a protected disclosure under section 43A of the Employment Rights Act 1996; (ii) making a disclosure to a regulator regarding any misconduct, wrongdoing or serious breach of regulatory requirements, or reporting a criminal offence to any law enforcement agency; (iii) co-operating with any law enforcement agency regarding a criminal investigation or prosecution; or (iv) otherwise testifying or participating in any investigation or proceeding by any governmental authorities regarding possible legal violations, and for purpose of clarity Grantee is not prohibited from providing information (including documents) voluntarily to the Securities and Exchange Commission pursuant to Section 21F of the Exchange Act. The Company nonetheless asserts and does not waive its attorney-client privilege over any information (including documents) appropriately protected by privilege.”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Restrictive Covenants. </w:t>
      </w:r>
      <w:r>
        <w:rPr>
          <w:rFonts w:ascii="Times New Roman" w:cs="Times New Roman" w:eastAsia="Times New Roman" w:hAnsi="Times New Roman"/>
          <w:sz w:val="22"/>
          <w:szCs w:val="22"/>
          <w:color w:val="auto"/>
        </w:rPr>
        <w:t>Section II.B.3(c) is hereby amended in its entirety to read as follows:</w:t>
      </w:r>
    </w:p>
    <w:p>
      <w:pPr>
        <w:spacing w:after="0" w:line="260" w:lineRule="exact"/>
        <w:rPr>
          <w:sz w:val="20"/>
          <w:szCs w:val="20"/>
          <w:color w:val="auto"/>
        </w:rPr>
      </w:pPr>
    </w:p>
    <w:p>
      <w:pPr>
        <w:jc w:val="both"/>
        <w:ind w:left="660" w:right="600" w:hanging="330"/>
        <w:spacing w:after="0" w:line="252" w:lineRule="auto"/>
        <w:tabs>
          <w:tab w:leader="none" w:pos="6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b w:val="1"/>
          <w:bCs w:val="1"/>
          <w:color w:val="auto"/>
        </w:rPr>
        <w:t xml:space="preserve">Covenants Against Competition and Solicitation. </w:t>
      </w:r>
      <w:r>
        <w:rPr>
          <w:rFonts w:ascii="Times New Roman" w:cs="Times New Roman" w:eastAsia="Times New Roman" w:hAnsi="Times New Roman"/>
          <w:sz w:val="22"/>
          <w:szCs w:val="22"/>
          <w:color w:val="auto"/>
        </w:rPr>
        <w:t>Each of the restrictions set out in this Section II.B.3(c)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constitutes an entirely separate, severable and independent obligation of Grantee. They are entered into in order to safeguard the legitimate business interests of the Company and particularly the goodwill of the Company in connection with its clients, suppliers and employees. Each separate restriction applies whether Grantee undertakes the activity in question directly or indirectly through a third party and whether it is undertaken on his own behalf or on behalf of, or in conjunction with, any firm, company or person.</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Grantee covenants that Grantee will not for the Restricted Period:</w:t>
      </w:r>
    </w:p>
    <w:p>
      <w:pPr>
        <w:spacing w:after="0" w:line="220" w:lineRule="exact"/>
        <w:rPr>
          <w:sz w:val="20"/>
          <w:szCs w:val="20"/>
          <w:color w:val="auto"/>
        </w:rPr>
      </w:pPr>
    </w:p>
    <w:p>
      <w:pPr>
        <w:ind w:left="1280" w:right="620" w:hanging="644"/>
        <w:spacing w:after="0" w:line="271" w:lineRule="auto"/>
        <w:tabs>
          <w:tab w:leader="none" w:pos="1193"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entice or solicit or endeavour to entice or solicit away from the Company or any Group Company any Relevant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00"/>
          </w:cols>
          <w:pgMar w:left="320" w:top="1422" w:right="379" w:bottom="1440" w:gutter="0" w:footer="0" w:header="0"/>
        </w:sectPr>
      </w:pPr>
    </w:p>
    <w:bookmarkStart w:id="104" w:name="page105"/>
    <w:bookmarkEnd w:id="104"/>
    <w:p>
      <w:pPr>
        <w:ind w:left="1100" w:hanging="644"/>
        <w:spacing w:after="0" w:line="271" w:lineRule="auto"/>
        <w:tabs>
          <w:tab w:leader="none" w:pos="1142"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 or otherwise engage or otherwise facilitate the employment or engagement of any Relevant Employee;</w:t>
      </w:r>
    </w:p>
    <w:p>
      <w:pPr>
        <w:spacing w:after="0" w:line="157" w:lineRule="exact"/>
        <w:rPr>
          <w:rFonts w:ascii="Times New Roman" w:cs="Times New Roman" w:eastAsia="Times New Roman" w:hAnsi="Times New Roman"/>
          <w:sz w:val="22"/>
          <w:szCs w:val="22"/>
          <w:color w:val="auto"/>
        </w:rPr>
      </w:pPr>
    </w:p>
    <w:p>
      <w:pPr>
        <w:ind w:left="1000" w:hanging="544"/>
        <w:spacing w:after="0"/>
        <w:tabs>
          <w:tab w:leader="none" w:pos="10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endeavour to supply Restricted Goods or Services to any Relevant Customer;</w:t>
      </w:r>
    </w:p>
    <w:p>
      <w:pPr>
        <w:spacing w:after="0" w:line="233" w:lineRule="exact"/>
        <w:rPr>
          <w:rFonts w:ascii="Times New Roman" w:cs="Times New Roman" w:eastAsia="Times New Roman" w:hAnsi="Times New Roman"/>
          <w:sz w:val="22"/>
          <w:szCs w:val="22"/>
          <w:color w:val="auto"/>
        </w:rPr>
      </w:pPr>
    </w:p>
    <w:p>
      <w:pPr>
        <w:ind w:left="980" w:hanging="524"/>
        <w:spacing w:after="0"/>
        <w:tabs>
          <w:tab w:leader="none" w:pos="98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supply or be involved with the supply of Restricted Goods or Services to any Relevant Customer;</w:t>
      </w:r>
    </w:p>
    <w:p>
      <w:pPr>
        <w:spacing w:after="0" w:line="219" w:lineRule="exact"/>
        <w:rPr>
          <w:rFonts w:ascii="Times New Roman" w:cs="Times New Roman" w:eastAsia="Times New Roman" w:hAnsi="Times New Roman"/>
          <w:sz w:val="22"/>
          <w:szCs w:val="22"/>
          <w:color w:val="auto"/>
        </w:rPr>
      </w:pPr>
    </w:p>
    <w:p>
      <w:pPr>
        <w:ind w:left="920" w:hanging="464"/>
        <w:spacing w:after="0"/>
        <w:tabs>
          <w:tab w:leader="none" w:pos="92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any business dealings with any Relevant Customer on behalf of a Relevant Business;</w:t>
      </w:r>
    </w:p>
    <w:p>
      <w:pPr>
        <w:spacing w:after="0" w:line="219" w:lineRule="exact"/>
        <w:rPr>
          <w:rFonts w:ascii="Times New Roman" w:cs="Times New Roman" w:eastAsia="Times New Roman" w:hAnsi="Times New Roman"/>
          <w:sz w:val="22"/>
          <w:szCs w:val="22"/>
          <w:color w:val="auto"/>
        </w:rPr>
      </w:pPr>
    </w:p>
    <w:p>
      <w:pPr>
        <w:ind w:left="980" w:hanging="524"/>
        <w:spacing w:after="0"/>
        <w:tabs>
          <w:tab w:leader="none" w:pos="98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principal or agent in any Relevant Business within the Restricted Area;</w:t>
      </w:r>
    </w:p>
    <w:p>
      <w:pPr>
        <w:spacing w:after="0" w:line="219" w:lineRule="exact"/>
        <w:rPr>
          <w:rFonts w:ascii="Times New Roman" w:cs="Times New Roman" w:eastAsia="Times New Roman" w:hAnsi="Times New Roman"/>
          <w:sz w:val="22"/>
          <w:szCs w:val="22"/>
          <w:color w:val="auto"/>
        </w:rPr>
      </w:pPr>
    </w:p>
    <w:p>
      <w:pPr>
        <w:ind w:left="1040" w:hanging="584"/>
        <w:spacing w:after="0"/>
        <w:tabs>
          <w:tab w:leader="none" w:pos="104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partner or member in any Relevant Business within the Restricted Area;</w:t>
      </w:r>
    </w:p>
    <w:p>
      <w:pPr>
        <w:spacing w:after="0" w:line="219" w:lineRule="exact"/>
        <w:rPr>
          <w:rFonts w:ascii="Times New Roman" w:cs="Times New Roman" w:eastAsia="Times New Roman" w:hAnsi="Times New Roman"/>
          <w:sz w:val="22"/>
          <w:szCs w:val="22"/>
          <w:color w:val="auto"/>
        </w:rPr>
      </w:pPr>
    </w:p>
    <w:p>
      <w:pPr>
        <w:ind w:left="1100" w:right="20" w:hanging="644"/>
        <w:spacing w:after="0" w:line="284" w:lineRule="auto"/>
        <w:tabs>
          <w:tab w:leader="none" w:pos="1129"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employed or engaged as a worker in any Relevant Business that operates or seeks to operate within the Restricted Area;</w:t>
      </w:r>
    </w:p>
    <w:p>
      <w:pPr>
        <w:spacing w:after="0" w:line="143" w:lineRule="exact"/>
        <w:rPr>
          <w:rFonts w:ascii="Times New Roman" w:cs="Times New Roman" w:eastAsia="Times New Roman" w:hAnsi="Times New Roman"/>
          <w:sz w:val="22"/>
          <w:szCs w:val="22"/>
          <w:color w:val="auto"/>
        </w:rPr>
      </w:pPr>
    </w:p>
    <w:p>
      <w:pPr>
        <w:ind w:left="1100" w:hanging="644"/>
        <w:spacing w:after="0" w:line="271" w:lineRule="auto"/>
        <w:tabs>
          <w:tab w:leader="none" w:pos="1042"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engaged as a consultant (directly or through another entity) or adviser to any Relevant Business within the Restricted Area;</w:t>
      </w:r>
    </w:p>
    <w:p>
      <w:pPr>
        <w:spacing w:after="0" w:line="157" w:lineRule="exact"/>
        <w:rPr>
          <w:rFonts w:ascii="Times New Roman" w:cs="Times New Roman" w:eastAsia="Times New Roman" w:hAnsi="Times New Roman"/>
          <w:sz w:val="22"/>
          <w:szCs w:val="22"/>
          <w:color w:val="auto"/>
        </w:rPr>
      </w:pPr>
    </w:p>
    <w:p>
      <w:pPr>
        <w:ind w:left="920" w:hanging="464"/>
        <w:spacing w:after="0"/>
        <w:tabs>
          <w:tab w:leader="none" w:pos="92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director of any Relevant Business within the Restricted Area;</w:t>
      </w:r>
    </w:p>
    <w:p>
      <w:pPr>
        <w:spacing w:after="0" w:line="219" w:lineRule="exact"/>
        <w:rPr>
          <w:rFonts w:ascii="Times New Roman" w:cs="Times New Roman" w:eastAsia="Times New Roman" w:hAnsi="Times New Roman"/>
          <w:sz w:val="22"/>
          <w:szCs w:val="22"/>
          <w:color w:val="auto"/>
        </w:rPr>
      </w:pPr>
    </w:p>
    <w:p>
      <w:pPr>
        <w:ind w:left="980" w:hanging="524"/>
        <w:spacing w:after="0"/>
        <w:tabs>
          <w:tab w:leader="none" w:pos="98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 material financial interest in any Relevant Business within the Restricted Area;</w:t>
      </w:r>
    </w:p>
    <w:p>
      <w:pPr>
        <w:spacing w:after="0" w:line="219" w:lineRule="exact"/>
        <w:rPr>
          <w:rFonts w:ascii="Times New Roman" w:cs="Times New Roman" w:eastAsia="Times New Roman" w:hAnsi="Times New Roman"/>
          <w:sz w:val="22"/>
          <w:szCs w:val="22"/>
          <w:color w:val="auto"/>
        </w:rPr>
      </w:pPr>
    </w:p>
    <w:p>
      <w:pPr>
        <w:jc w:val="both"/>
        <w:ind w:left="1100" w:right="20" w:hanging="644"/>
        <w:spacing w:after="0" w:line="253" w:lineRule="auto"/>
        <w:tabs>
          <w:tab w:leader="none" w:pos="1049"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 shareholding in any Relevant Business within the Restricted Area, disregarding any financial interest of a person in securities which are listed or dealt in on any Recognised Stock Exchange if that person, Grantee and any person connected with Grantee are interested in securities which amount to less than five per cent of the issued securities of that class and which, in all circumstances, carry less than five per cent of the voting rights (if any) attaching to the issued securities of that class; and</w:t>
      </w:r>
    </w:p>
    <w:p>
      <w:pPr>
        <w:spacing w:after="0" w:line="178" w:lineRule="exact"/>
        <w:rPr>
          <w:rFonts w:ascii="Times New Roman" w:cs="Times New Roman" w:eastAsia="Times New Roman" w:hAnsi="Times New Roman"/>
          <w:sz w:val="22"/>
          <w:szCs w:val="22"/>
          <w:color w:val="auto"/>
        </w:rPr>
      </w:pPr>
    </w:p>
    <w:p>
      <w:pPr>
        <w:ind w:left="1100" w:right="20" w:hanging="644"/>
        <w:spacing w:after="0" w:line="284" w:lineRule="auto"/>
        <w:tabs>
          <w:tab w:leader="none" w:pos="114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 person with significant control (under part 21A of the United Kingdom Companies Act 2006) in any Relevant Business within the Restricted Area.</w:t>
      </w:r>
    </w:p>
    <w:p>
      <w:pPr>
        <w:spacing w:after="0" w:line="144" w:lineRule="exact"/>
        <w:rPr>
          <w:sz w:val="20"/>
          <w:szCs w:val="20"/>
          <w:color w:val="auto"/>
        </w:rPr>
      </w:pPr>
    </w:p>
    <w:p>
      <w:pPr>
        <w:jc w:val="both"/>
        <w:ind w:left="480"/>
        <w:spacing w:after="0" w:line="257" w:lineRule="auto"/>
        <w:rPr>
          <w:sz w:val="20"/>
          <w:szCs w:val="20"/>
          <w:color w:val="auto"/>
        </w:rPr>
      </w:pPr>
      <w:r>
        <w:rPr>
          <w:rFonts w:ascii="Times New Roman" w:cs="Times New Roman" w:eastAsia="Times New Roman" w:hAnsi="Times New Roman"/>
          <w:sz w:val="22"/>
          <w:szCs w:val="22"/>
          <w:color w:val="auto"/>
        </w:rPr>
        <w:t>The restrictions above only apply in respect of business activities which compete or seek to compete with the Company and nothing in these provisions seeks to prevent Grantee in connection with activities which do not compete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420"/>
          </w:cols>
          <w:pgMar w:left="500" w:top="1422" w:right="979" w:bottom="1440" w:gutter="0" w:footer="0" w:header="0"/>
        </w:sectPr>
      </w:pPr>
    </w:p>
    <w:bookmarkStart w:id="105" w:name="page106"/>
    <w:bookmarkEnd w:id="105"/>
    <w:p>
      <w:pPr>
        <w:jc w:val="both"/>
        <w:ind w:left="660" w:right="620"/>
        <w:spacing w:after="0" w:line="253" w:lineRule="auto"/>
        <w:rPr>
          <w:sz w:val="20"/>
          <w:szCs w:val="20"/>
          <w:color w:val="auto"/>
        </w:rPr>
      </w:pPr>
      <w:r>
        <w:rPr>
          <w:rFonts w:ascii="Times New Roman" w:cs="Times New Roman" w:eastAsia="Times New Roman" w:hAnsi="Times New Roman"/>
          <w:sz w:val="22"/>
          <w:szCs w:val="22"/>
          <w:color w:val="auto"/>
        </w:rPr>
        <w:t>While the restrictions above are considered by Grantee and the Company to be reasonable in all the circumstances, it is recognized that such restrictions may fail for unforeseen reasons and, it is therefore agreed that if any of the restrictions are held to be void, but would be valid if part of the wording were deleted or if the periods (if any) specified were reduced or the areas dealt with reduced in scope, such restrictions shall apply with such modifications as may be necessary to make them valid and effective.”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Section II.B.3(e) is hereby amended in its entirety to read as follows:</w:t>
      </w:r>
    </w:p>
    <w:p>
      <w:pPr>
        <w:spacing w:after="0" w:line="247" w:lineRule="exact"/>
        <w:rPr>
          <w:sz w:val="20"/>
          <w:szCs w:val="20"/>
          <w:color w:val="auto"/>
        </w:rPr>
      </w:pPr>
    </w:p>
    <w:p>
      <w:pPr>
        <w:jc w:val="both"/>
        <w:ind w:left="1300" w:right="620"/>
        <w:spacing w:after="0" w:line="250" w:lineRule="auto"/>
        <w:rPr>
          <w:sz w:val="20"/>
          <w:szCs w:val="20"/>
          <w:color w:val="auto"/>
        </w:rPr>
      </w:pPr>
      <w:r>
        <w:rPr>
          <w:rFonts w:ascii="Times New Roman" w:cs="Times New Roman" w:eastAsia="Times New Roman" w:hAnsi="Times New Roman"/>
          <w:sz w:val="22"/>
          <w:szCs w:val="22"/>
          <w:color w:val="auto"/>
        </w:rPr>
        <w:t>“(1)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207" w:lineRule="exact"/>
        <w:rPr>
          <w:sz w:val="20"/>
          <w:szCs w:val="20"/>
          <w:color w:val="auto"/>
        </w:rPr>
      </w:pPr>
    </w:p>
    <w:p>
      <w:pPr>
        <w:ind w:left="1300" w:right="100" w:firstLine="4"/>
        <w:spacing w:after="0" w:line="258" w:lineRule="auto"/>
        <w:tabs>
          <w:tab w:leader="none" w:pos="176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as evidenced on the Company’s website, in the marketing materials of the Company or by the books and records of the Company, and “engages” includes actively planning to engage in the business.</w:t>
      </w:r>
    </w:p>
    <w:p>
      <w:pPr>
        <w:spacing w:after="0" w:line="194" w:lineRule="exact"/>
        <w:rPr>
          <w:rFonts w:ascii="Times New Roman" w:cs="Times New Roman" w:eastAsia="Times New Roman" w:hAnsi="Times New Roman"/>
          <w:sz w:val="22"/>
          <w:szCs w:val="22"/>
          <w:color w:val="auto"/>
        </w:rPr>
      </w:pPr>
    </w:p>
    <w:p>
      <w:pPr>
        <w:ind w:left="1300" w:firstLine="4"/>
        <w:spacing w:after="0" w:line="248" w:lineRule="auto"/>
        <w:tabs>
          <w:tab w:leader="none" w:pos="176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220"/>
          </w:cols>
          <w:pgMar w:left="320" w:top="1422" w:right="359" w:bottom="1440" w:gutter="0" w:footer="0" w:header="0"/>
        </w:sectPr>
      </w:pPr>
    </w:p>
    <w:bookmarkStart w:id="106" w:name="page107"/>
    <w:bookmarkEnd w:id="106"/>
    <w:p>
      <w:pPr>
        <w:ind w:left="1300"/>
        <w:spacing w:after="0"/>
        <w:rPr>
          <w:sz w:val="20"/>
          <w:szCs w:val="20"/>
          <w:color w:val="auto"/>
        </w:rPr>
      </w:pPr>
      <w:r>
        <w:rPr>
          <w:rFonts w:ascii="Times New Roman" w:cs="Times New Roman" w:eastAsia="Times New Roman" w:hAnsi="Times New Roman"/>
          <w:sz w:val="22"/>
          <w:szCs w:val="22"/>
          <w:color w:val="auto"/>
        </w:rPr>
        <w:t>Grantee can establish was already in the public domain at the time of disclosure through no fault of Grantee.</w:t>
      </w:r>
    </w:p>
    <w:p>
      <w:pPr>
        <w:spacing w:after="0" w:line="243" w:lineRule="exact"/>
        <w:rPr>
          <w:sz w:val="20"/>
          <w:szCs w:val="20"/>
          <w:color w:val="auto"/>
        </w:rPr>
      </w:pPr>
    </w:p>
    <w:p>
      <w:pPr>
        <w:jc w:val="both"/>
        <w:ind w:left="1300" w:right="660" w:firstLine="4"/>
        <w:spacing w:after="0" w:line="265" w:lineRule="auto"/>
        <w:tabs>
          <w:tab w:leader="none" w:pos="188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Area</w:t>
      </w:r>
      <w:r>
        <w:rPr>
          <w:rFonts w:ascii="Times New Roman" w:cs="Times New Roman" w:eastAsia="Times New Roman" w:hAnsi="Times New Roman"/>
          <w:sz w:val="22"/>
          <w:szCs w:val="22"/>
          <w:color w:val="auto"/>
        </w:rPr>
        <w:t>” means the United Kingdom and any other country in the world where, on the Relevant Date, the Company carries on a Relevant Business and with which Grantee had material involvement during the 12 months prior to the Relevant Date.</w:t>
      </w:r>
    </w:p>
    <w:p>
      <w:pPr>
        <w:spacing w:after="0" w:line="161" w:lineRule="exact"/>
        <w:rPr>
          <w:rFonts w:ascii="Times New Roman" w:cs="Times New Roman" w:eastAsia="Times New Roman" w:hAnsi="Times New Roman"/>
          <w:sz w:val="22"/>
          <w:szCs w:val="22"/>
          <w:color w:val="auto"/>
        </w:rPr>
      </w:pPr>
    </w:p>
    <w:p>
      <w:pPr>
        <w:ind w:left="1300" w:right="660" w:firstLine="4"/>
        <w:spacing w:after="0" w:line="275" w:lineRule="auto"/>
        <w:tabs>
          <w:tab w:leader="none" w:pos="187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Business</w:t>
      </w:r>
      <w:r>
        <w:rPr>
          <w:rFonts w:ascii="Times New Roman" w:cs="Times New Roman" w:eastAsia="Times New Roman" w:hAnsi="Times New Roman"/>
          <w:sz w:val="22"/>
          <w:szCs w:val="22"/>
          <w:color w:val="auto"/>
        </w:rPr>
        <w:t>” means any business or part of a business involving the supply of Restricted Goods or Services.</w:t>
      </w:r>
    </w:p>
    <w:p>
      <w:pPr>
        <w:spacing w:after="0" w:line="149" w:lineRule="exact"/>
        <w:rPr>
          <w:rFonts w:ascii="Times New Roman" w:cs="Times New Roman" w:eastAsia="Times New Roman" w:hAnsi="Times New Roman"/>
          <w:sz w:val="22"/>
          <w:szCs w:val="22"/>
          <w:color w:val="auto"/>
        </w:rPr>
      </w:pPr>
    </w:p>
    <w:p>
      <w:pPr>
        <w:jc w:val="both"/>
        <w:ind w:left="1300" w:right="660" w:firstLine="4"/>
        <w:spacing w:after="0" w:line="258" w:lineRule="auto"/>
        <w:tabs>
          <w:tab w:leader="none" w:pos="176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Customer</w:t>
      </w:r>
      <w:r>
        <w:rPr>
          <w:rFonts w:ascii="Times New Roman" w:cs="Times New Roman" w:eastAsia="Times New Roman" w:hAnsi="Times New Roman"/>
          <w:sz w:val="22"/>
          <w:szCs w:val="22"/>
          <w:color w:val="auto"/>
        </w:rPr>
        <w:t>” means a person, firm or company who in the twelve months immediately before the Relevant Date conducted a business relationship (including, without limitation, the provision of services and the negotiation for the same) with the Company and with whom Grantee had significant contact in the course of Grantee’s employment with the Company.</w:t>
      </w:r>
    </w:p>
    <w:p>
      <w:pPr>
        <w:spacing w:after="0" w:line="167" w:lineRule="exact"/>
        <w:rPr>
          <w:rFonts w:ascii="Times New Roman" w:cs="Times New Roman" w:eastAsia="Times New Roman" w:hAnsi="Times New Roman"/>
          <w:sz w:val="22"/>
          <w:szCs w:val="22"/>
          <w:color w:val="auto"/>
        </w:rPr>
      </w:pPr>
    </w:p>
    <w:p>
      <w:pPr>
        <w:jc w:val="both"/>
        <w:ind w:left="1300" w:right="660" w:firstLine="4"/>
        <w:spacing w:after="0" w:line="259" w:lineRule="auto"/>
        <w:tabs>
          <w:tab w:leader="none" w:pos="176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Date</w:t>
      </w:r>
      <w:r>
        <w:rPr>
          <w:rFonts w:ascii="Times New Roman" w:cs="Times New Roman" w:eastAsia="Times New Roman" w:hAnsi="Times New Roman"/>
          <w:sz w:val="22"/>
          <w:szCs w:val="22"/>
          <w:color w:val="auto"/>
        </w:rPr>
        <w:t>” means the earlier of (x) the date of termination of Grantee’s employment, and (y) the start of any period of garden leave or exclusion under Grantee’s contract of employment with the Company.</w:t>
      </w:r>
    </w:p>
    <w:p>
      <w:pPr>
        <w:spacing w:after="0" w:line="166" w:lineRule="exact"/>
        <w:rPr>
          <w:rFonts w:ascii="Times New Roman" w:cs="Times New Roman" w:eastAsia="Times New Roman" w:hAnsi="Times New Roman"/>
          <w:sz w:val="22"/>
          <w:szCs w:val="22"/>
          <w:color w:val="auto"/>
        </w:rPr>
      </w:pPr>
    </w:p>
    <w:p>
      <w:pPr>
        <w:jc w:val="both"/>
        <w:ind w:left="1300" w:right="660" w:firstLine="4"/>
        <w:spacing w:after="0" w:line="265" w:lineRule="auto"/>
        <w:tabs>
          <w:tab w:leader="none" w:pos="180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Employee</w:t>
      </w:r>
      <w:r>
        <w:rPr>
          <w:rFonts w:ascii="Times New Roman" w:cs="Times New Roman" w:eastAsia="Times New Roman" w:hAnsi="Times New Roman"/>
          <w:sz w:val="22"/>
          <w:szCs w:val="22"/>
          <w:color w:val="auto"/>
        </w:rPr>
        <w:t>” means any senior employee who has significant customer or client contact, or valuable technical skills, and with whom Grantee has had significant contact during the course of his employment with the Company.</w:t>
      </w:r>
    </w:p>
    <w:p>
      <w:pPr>
        <w:spacing w:after="0" w:line="161" w:lineRule="exact"/>
        <w:rPr>
          <w:rFonts w:ascii="Times New Roman" w:cs="Times New Roman" w:eastAsia="Times New Roman" w:hAnsi="Times New Roman"/>
          <w:sz w:val="22"/>
          <w:szCs w:val="22"/>
          <w:color w:val="auto"/>
        </w:rPr>
      </w:pPr>
    </w:p>
    <w:p>
      <w:pPr>
        <w:jc w:val="both"/>
        <w:ind w:left="1300" w:right="640" w:firstLine="4"/>
        <w:spacing w:after="0" w:line="259" w:lineRule="auto"/>
        <w:tabs>
          <w:tab w:leader="none" w:pos="182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Goods or Services</w:t>
      </w:r>
      <w:r>
        <w:rPr>
          <w:rFonts w:ascii="Times New Roman" w:cs="Times New Roman" w:eastAsia="Times New Roman" w:hAnsi="Times New Roman"/>
          <w:sz w:val="22"/>
          <w:szCs w:val="22"/>
          <w:color w:val="auto"/>
        </w:rPr>
        <w:t>” means products for customers in the consumer products, aerospace, industrial, petrochemical, refinery and oil and gas end markets, and the design, manufacture and marketing thereof.</w:t>
      </w:r>
    </w:p>
    <w:p>
      <w:pPr>
        <w:spacing w:after="0" w:line="179" w:lineRule="exact"/>
        <w:rPr>
          <w:rFonts w:ascii="Times New Roman" w:cs="Times New Roman" w:eastAsia="Times New Roman" w:hAnsi="Times New Roman"/>
          <w:sz w:val="22"/>
          <w:szCs w:val="22"/>
          <w:color w:val="auto"/>
        </w:rPr>
      </w:pPr>
    </w:p>
    <w:p>
      <w:pPr>
        <w:jc w:val="both"/>
        <w:ind w:left="1300" w:right="660" w:firstLine="4"/>
        <w:spacing w:after="0" w:line="253" w:lineRule="auto"/>
        <w:tabs>
          <w:tab w:leader="none" w:pos="197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Period</w:t>
      </w:r>
      <w:r>
        <w:rPr>
          <w:rFonts w:ascii="Times New Roman" w:cs="Times New Roman" w:eastAsia="Times New Roman" w:hAnsi="Times New Roman"/>
          <w:sz w:val="22"/>
          <w:szCs w:val="22"/>
          <w:color w:val="auto"/>
        </w:rPr>
        <w:t>” means: (x) for restrictions set forth in clauses (i) to (v) of Section II.B.3(c), during Grantee’s employment and for a period of twelve months after the Relevant Date; and (y) for restrictions set forth in clauses (vi) to (xiii) of Section II.B.3(c), during Grantee’s employment and for a period of nine months after the Relevant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Data Privacy</w:t>
      </w:r>
      <w:r>
        <w:rPr>
          <w:rFonts w:ascii="Times New Roman" w:cs="Times New Roman" w:eastAsia="Times New Roman" w:hAnsi="Times New Roman"/>
          <w:sz w:val="22"/>
          <w:szCs w:val="22"/>
          <w:color w:val="auto"/>
        </w:rPr>
        <w:t>. A new Section II.B.16 is added to the Agreement to read as follows:</w:t>
      </w:r>
    </w:p>
    <w:p>
      <w:pPr>
        <w:spacing w:after="0" w:line="264" w:lineRule="exact"/>
        <w:rPr>
          <w:sz w:val="20"/>
          <w:szCs w:val="20"/>
          <w:color w:val="auto"/>
        </w:rPr>
      </w:pPr>
    </w:p>
    <w:p>
      <w:pPr>
        <w:jc w:val="both"/>
        <w:ind w:left="1300"/>
        <w:spacing w:after="0" w:line="252" w:lineRule="auto"/>
        <w:rPr>
          <w:sz w:val="20"/>
          <w:szCs w:val="20"/>
          <w:color w:val="auto"/>
        </w:rPr>
      </w:pPr>
      <w:r>
        <w:rPr>
          <w:rFonts w:ascii="Times New Roman" w:cs="Times New Roman" w:eastAsia="Times New Roman" w:hAnsi="Times New Roman"/>
          <w:sz w:val="22"/>
          <w:szCs w:val="22"/>
          <w:color w:val="auto"/>
        </w:rPr>
        <w:t>The Company and Rieke Packaging Systems Limited (the “Grantee’s Employer”), (together the “Relevant TriMas Companies”) will process the Grantee’s personal data in connection with the Plan. For the purposes of data protection legislation, the Relevant TriMas Companies will each act as independent controllers in relation to such personal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240"/>
          </w:cols>
          <w:pgMar w:left="320" w:top="1422" w:right="339" w:bottom="1440" w:gutter="0" w:footer="0" w:header="0"/>
        </w:sectPr>
      </w:pPr>
    </w:p>
    <w:bookmarkStart w:id="107" w:name="page108"/>
    <w:bookmarkEnd w:id="107"/>
    <w:p>
      <w:pPr>
        <w:ind w:left="1120"/>
        <w:spacing w:after="0"/>
        <w:rPr>
          <w:sz w:val="20"/>
          <w:szCs w:val="20"/>
          <w:color w:val="auto"/>
        </w:rPr>
      </w:pPr>
      <w:r>
        <w:rPr>
          <w:rFonts w:ascii="Times New Roman" w:cs="Times New Roman" w:eastAsia="Times New Roman" w:hAnsi="Times New Roman"/>
          <w:sz w:val="22"/>
          <w:szCs w:val="22"/>
          <w:b w:val="1"/>
          <w:bCs w:val="1"/>
          <w:color w:val="auto"/>
        </w:rPr>
        <w:t>Categories of Personal Data</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The categories of personal data that we will process in connection with the Plan are the Grantee’s:</w:t>
      </w:r>
    </w:p>
    <w:p>
      <w:pPr>
        <w:spacing w:after="0" w:line="220" w:lineRule="exact"/>
        <w:rPr>
          <w:sz w:val="20"/>
          <w:szCs w:val="20"/>
          <w:color w:val="auto"/>
        </w:rPr>
      </w:pPr>
    </w:p>
    <w:p>
      <w:pPr>
        <w:ind w:left="1760" w:hanging="312"/>
        <w:spacing w:after="0"/>
        <w:tabs>
          <w:tab w:leader="none" w:pos="17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w:t>
      </w:r>
    </w:p>
    <w:p>
      <w:pPr>
        <w:spacing w:after="0" w:line="233" w:lineRule="exact"/>
        <w:rPr>
          <w:rFonts w:ascii="Times New Roman" w:cs="Times New Roman" w:eastAsia="Times New Roman" w:hAnsi="Times New Roman"/>
          <w:sz w:val="22"/>
          <w:szCs w:val="22"/>
          <w:color w:val="auto"/>
        </w:rPr>
      </w:pPr>
    </w:p>
    <w:p>
      <w:pPr>
        <w:ind w:left="1760" w:hanging="312"/>
        <w:spacing w:after="0"/>
        <w:tabs>
          <w:tab w:leader="none" w:pos="17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of birth;</w:t>
      </w:r>
    </w:p>
    <w:p>
      <w:pPr>
        <w:spacing w:after="0" w:line="219" w:lineRule="exact"/>
        <w:rPr>
          <w:rFonts w:ascii="Times New Roman" w:cs="Times New Roman" w:eastAsia="Times New Roman" w:hAnsi="Times New Roman"/>
          <w:sz w:val="22"/>
          <w:szCs w:val="22"/>
          <w:color w:val="auto"/>
        </w:rPr>
      </w:pPr>
    </w:p>
    <w:p>
      <w:pPr>
        <w:ind w:left="1760" w:hanging="312"/>
        <w:spacing w:after="0"/>
        <w:tabs>
          <w:tab w:leader="none" w:pos="17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job title;</w:t>
      </w:r>
    </w:p>
    <w:p>
      <w:pPr>
        <w:spacing w:after="0" w:line="219" w:lineRule="exact"/>
        <w:rPr>
          <w:rFonts w:ascii="Times New Roman" w:cs="Times New Roman" w:eastAsia="Times New Roman" w:hAnsi="Times New Roman"/>
          <w:sz w:val="22"/>
          <w:szCs w:val="22"/>
          <w:color w:val="auto"/>
        </w:rPr>
      </w:pPr>
    </w:p>
    <w:p>
      <w:pPr>
        <w:ind w:left="1760" w:hanging="312"/>
        <w:spacing w:after="0"/>
        <w:tabs>
          <w:tab w:leader="none" w:pos="17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home address (and, if different, mailing address) and postal code;</w:t>
      </w:r>
    </w:p>
    <w:p>
      <w:pPr>
        <w:spacing w:after="0" w:line="219" w:lineRule="exact"/>
        <w:rPr>
          <w:rFonts w:ascii="Times New Roman" w:cs="Times New Roman" w:eastAsia="Times New Roman" w:hAnsi="Times New Roman"/>
          <w:sz w:val="22"/>
          <w:szCs w:val="22"/>
          <w:color w:val="auto"/>
        </w:rPr>
      </w:pPr>
    </w:p>
    <w:p>
      <w:pPr>
        <w:ind w:left="1760" w:hanging="312"/>
        <w:spacing w:after="0"/>
        <w:tabs>
          <w:tab w:leader="none" w:pos="17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telephone number;</w:t>
      </w:r>
    </w:p>
    <w:p>
      <w:pPr>
        <w:spacing w:after="0" w:line="219" w:lineRule="exact"/>
        <w:rPr>
          <w:rFonts w:ascii="Times New Roman" w:cs="Times New Roman" w:eastAsia="Times New Roman" w:hAnsi="Times New Roman"/>
          <w:sz w:val="22"/>
          <w:szCs w:val="22"/>
          <w:color w:val="auto"/>
        </w:rPr>
      </w:pPr>
    </w:p>
    <w:p>
      <w:pPr>
        <w:ind w:left="1760" w:hanging="312"/>
        <w:spacing w:after="0"/>
        <w:tabs>
          <w:tab w:leader="none" w:pos="17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social insurance, national insurance, US taxpayer and/or foreign tax identification number;</w:t>
      </w:r>
    </w:p>
    <w:p>
      <w:pPr>
        <w:spacing w:after="0" w:line="233" w:lineRule="exact"/>
        <w:rPr>
          <w:rFonts w:ascii="Times New Roman" w:cs="Times New Roman" w:eastAsia="Times New Roman" w:hAnsi="Times New Roman"/>
          <w:sz w:val="22"/>
          <w:szCs w:val="22"/>
          <w:color w:val="auto"/>
        </w:rPr>
      </w:pPr>
    </w:p>
    <w:p>
      <w:pPr>
        <w:ind w:left="1760" w:hanging="312"/>
        <w:spacing w:after="0"/>
        <w:tabs>
          <w:tab w:leader="none" w:pos="17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salary;</w:t>
      </w:r>
    </w:p>
    <w:p>
      <w:pPr>
        <w:spacing w:after="0" w:line="219" w:lineRule="exact"/>
        <w:rPr>
          <w:rFonts w:ascii="Times New Roman" w:cs="Times New Roman" w:eastAsia="Times New Roman" w:hAnsi="Times New Roman"/>
          <w:sz w:val="22"/>
          <w:szCs w:val="22"/>
          <w:color w:val="auto"/>
        </w:rPr>
      </w:pPr>
    </w:p>
    <w:p>
      <w:pPr>
        <w:ind w:left="1760" w:hanging="312"/>
        <w:spacing w:after="0"/>
        <w:tabs>
          <w:tab w:leader="none" w:pos="17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country of citizenship and nationality;</w:t>
      </w:r>
    </w:p>
    <w:p>
      <w:pPr>
        <w:spacing w:after="0" w:line="219" w:lineRule="exact"/>
        <w:rPr>
          <w:rFonts w:ascii="Times New Roman" w:cs="Times New Roman" w:eastAsia="Times New Roman" w:hAnsi="Times New Roman"/>
          <w:sz w:val="22"/>
          <w:szCs w:val="22"/>
          <w:color w:val="auto"/>
        </w:rPr>
      </w:pPr>
    </w:p>
    <w:p>
      <w:pPr>
        <w:ind w:left="1760" w:hanging="312"/>
        <w:spacing w:after="0"/>
        <w:tabs>
          <w:tab w:leader="none" w:pos="17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Common Stock or directorships held in any of the Relevant TriMas Companies;</w:t>
      </w:r>
    </w:p>
    <w:p>
      <w:pPr>
        <w:spacing w:after="0" w:line="219" w:lineRule="exact"/>
        <w:rPr>
          <w:rFonts w:ascii="Times New Roman" w:cs="Times New Roman" w:eastAsia="Times New Roman" w:hAnsi="Times New Roman"/>
          <w:sz w:val="22"/>
          <w:szCs w:val="22"/>
          <w:color w:val="auto"/>
        </w:rPr>
      </w:pPr>
    </w:p>
    <w:p>
      <w:pPr>
        <w:ind w:left="1780" w:right="460" w:hanging="332"/>
        <w:spacing w:after="0" w:line="271" w:lineRule="auto"/>
        <w:tabs>
          <w:tab w:leader="none" w:pos="177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details of all awards or any other entitlement to Common Stock awarded, cancelled, exercised, vested, unvested or outstanding in Grantee’s favour; and</w:t>
      </w:r>
    </w:p>
    <w:p>
      <w:pPr>
        <w:spacing w:after="0" w:line="157" w:lineRule="exact"/>
        <w:rPr>
          <w:rFonts w:ascii="Times New Roman" w:cs="Times New Roman" w:eastAsia="Times New Roman" w:hAnsi="Times New Roman"/>
          <w:sz w:val="22"/>
          <w:szCs w:val="22"/>
          <w:color w:val="auto"/>
        </w:rPr>
      </w:pPr>
    </w:p>
    <w:p>
      <w:pPr>
        <w:ind w:left="1780" w:right="460" w:hanging="332"/>
        <w:spacing w:after="0" w:line="284" w:lineRule="auto"/>
        <w:tabs>
          <w:tab w:leader="none" w:pos="177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number (where relevant to link the Grantee’s benefits under the Plan to other documentation issued to or from the US Department of the Treasury Internal Revenue Service).</w:t>
      </w:r>
    </w:p>
    <w:p>
      <w:pPr>
        <w:spacing w:after="0" w:line="144" w:lineRule="exact"/>
        <w:rPr>
          <w:sz w:val="20"/>
          <w:szCs w:val="20"/>
          <w:color w:val="auto"/>
        </w:rPr>
      </w:pPr>
    </w:p>
    <w:p>
      <w:pPr>
        <w:ind w:left="1120"/>
        <w:spacing w:after="0" w:line="271" w:lineRule="auto"/>
        <w:rPr>
          <w:sz w:val="20"/>
          <w:szCs w:val="20"/>
          <w:color w:val="auto"/>
        </w:rPr>
      </w:pPr>
      <w:r>
        <w:rPr>
          <w:rFonts w:ascii="Times New Roman" w:cs="Times New Roman" w:eastAsia="Times New Roman" w:hAnsi="Times New Roman"/>
          <w:sz w:val="22"/>
          <w:szCs w:val="22"/>
          <w:color w:val="auto"/>
        </w:rPr>
        <w:t>The processing of the personal data set out above is mandatory in order for the Relevant TriMas Companies to provide and administer the Plan.</w:t>
      </w:r>
    </w:p>
    <w:p>
      <w:pPr>
        <w:spacing w:after="0" w:line="1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Purposes of Processing Personal Data</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The Relevant TriMas Companies will process the Grantee’s personal data for the purposes of:</w:t>
      </w:r>
    </w:p>
    <w:p>
      <w:pPr>
        <w:spacing w:after="0" w:line="233" w:lineRule="exact"/>
        <w:rPr>
          <w:sz w:val="20"/>
          <w:szCs w:val="20"/>
          <w:color w:val="auto"/>
        </w:rPr>
      </w:pPr>
    </w:p>
    <w:p>
      <w:pPr>
        <w:ind w:left="1780" w:right="20" w:hanging="332"/>
        <w:spacing w:after="0" w:line="271" w:lineRule="auto"/>
        <w:tabs>
          <w:tab w:leader="none" w:pos="177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administering and maintaining the Plan relating to the Grantee and records associated with the Plan (including maintaining a database of Participants in the Plan);</w:t>
      </w:r>
    </w:p>
    <w:p>
      <w:pPr>
        <w:spacing w:after="0" w:line="157" w:lineRule="exact"/>
        <w:rPr>
          <w:rFonts w:ascii="Times New Roman" w:cs="Times New Roman" w:eastAsia="Times New Roman" w:hAnsi="Times New Roman"/>
          <w:sz w:val="18"/>
          <w:szCs w:val="18"/>
          <w:color w:val="auto"/>
        </w:rPr>
      </w:pPr>
    </w:p>
    <w:p>
      <w:pPr>
        <w:ind w:left="1780" w:hanging="332"/>
        <w:spacing w:after="0" w:line="271" w:lineRule="auto"/>
        <w:tabs>
          <w:tab w:leader="none" w:pos="177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information to (i) trustees of any employee benefit trust or (ii) the third party administrators involved directly or indirectly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060"/>
          </w:cols>
          <w:pgMar w:left="500" w:top="1418" w:right="339" w:bottom="1440" w:gutter="0" w:footer="0" w:header="0"/>
        </w:sectPr>
      </w:pPr>
    </w:p>
    <w:bookmarkStart w:id="108" w:name="page109"/>
    <w:bookmarkEnd w:id="108"/>
    <w:p>
      <w:pPr>
        <w:ind w:left="1780"/>
        <w:spacing w:after="0"/>
        <w:rPr>
          <w:sz w:val="20"/>
          <w:szCs w:val="20"/>
          <w:color w:val="auto"/>
        </w:rPr>
      </w:pPr>
      <w:r>
        <w:rPr>
          <w:rFonts w:ascii="Times New Roman" w:cs="Times New Roman" w:eastAsia="Times New Roman" w:hAnsi="Times New Roman"/>
          <w:sz w:val="22"/>
          <w:szCs w:val="22"/>
          <w:color w:val="auto"/>
        </w:rPr>
        <w:t>operation of the Plan (as set out in the “Sharing Personal Data with Third Parties” section below);</w:t>
      </w:r>
    </w:p>
    <w:p>
      <w:pPr>
        <w:spacing w:after="0" w:line="220" w:lineRule="exact"/>
        <w:rPr>
          <w:sz w:val="20"/>
          <w:szCs w:val="20"/>
          <w:color w:val="auto"/>
        </w:rPr>
      </w:pPr>
    </w:p>
    <w:p>
      <w:pPr>
        <w:ind w:left="1780" w:right="20" w:hanging="332"/>
        <w:spacing w:after="0" w:line="271" w:lineRule="auto"/>
        <w:tabs>
          <w:tab w:leader="none" w:pos="177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information relating to Grantee in connection with the operation of the Plan to HM Revenue and Customs in the United Kingdom as required by law;</w:t>
      </w:r>
    </w:p>
    <w:p>
      <w:pPr>
        <w:spacing w:after="0" w:line="171" w:lineRule="exact"/>
        <w:rPr>
          <w:rFonts w:ascii="Times New Roman" w:cs="Times New Roman" w:eastAsia="Times New Roman" w:hAnsi="Times New Roman"/>
          <w:sz w:val="18"/>
          <w:szCs w:val="18"/>
          <w:color w:val="auto"/>
        </w:rPr>
      </w:pPr>
    </w:p>
    <w:p>
      <w:pPr>
        <w:jc w:val="both"/>
        <w:ind w:left="1780" w:hanging="332"/>
        <w:spacing w:after="0" w:line="257" w:lineRule="auto"/>
        <w:tabs>
          <w:tab w:leader="none" w:pos="177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enable any potential purchasers of the business and/or assets of any of the Relevant TriMas Companies and/or their Subsidiaries to (i) complete due diligence on, and value, the business and/or assets; and (ii) use such personal data for the operation of their business;</w:t>
      </w:r>
    </w:p>
    <w:p>
      <w:pPr>
        <w:spacing w:after="0" w:line="172"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obtaining legal and other professional advice; and</w:t>
      </w:r>
    </w:p>
    <w:p>
      <w:pPr>
        <w:spacing w:after="0" w:line="219"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establishing, exercising or defending legal rights.</w:t>
      </w:r>
    </w:p>
    <w:p>
      <w:pPr>
        <w:spacing w:after="0" w:line="22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Legal Basis for Processing Personal Data</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The processing of the Grantee’s personal data:</w:t>
      </w:r>
    </w:p>
    <w:p>
      <w:pPr>
        <w:spacing w:after="0" w:line="220" w:lineRule="exact"/>
        <w:rPr>
          <w:sz w:val="20"/>
          <w:szCs w:val="20"/>
          <w:color w:val="auto"/>
        </w:rPr>
      </w:pPr>
    </w:p>
    <w:p>
      <w:pPr>
        <w:jc w:val="both"/>
        <w:ind w:left="1780" w:hanging="332"/>
        <w:spacing w:after="0" w:line="257" w:lineRule="auto"/>
        <w:tabs>
          <w:tab w:leader="none" w:pos="177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relation to the information provided to HM Revenue and Customs in the United Kingdom and the Department of the Treasury Internal Revenue Service in the United States of America, is necessary for compliance with a legal obligation to which the Relevant TriMas Companies are subject;</w:t>
      </w:r>
    </w:p>
    <w:p>
      <w:pPr>
        <w:spacing w:after="0" w:line="172" w:lineRule="exact"/>
        <w:rPr>
          <w:rFonts w:ascii="Times New Roman" w:cs="Times New Roman" w:eastAsia="Times New Roman" w:hAnsi="Times New Roman"/>
          <w:sz w:val="18"/>
          <w:szCs w:val="18"/>
          <w:color w:val="auto"/>
        </w:rPr>
      </w:pPr>
    </w:p>
    <w:p>
      <w:pPr>
        <w:jc w:val="both"/>
        <w:ind w:left="1780" w:hanging="332"/>
        <w:spacing w:after="0" w:line="256" w:lineRule="auto"/>
        <w:tabs>
          <w:tab w:leader="none" w:pos="177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relation to (i) obtaining legal and other professional advice; and (ii) establishing, exercising or defending legal rights, is pursuant to the Relevant TriMas Companies’ legitimate interests of commencing and/or handling any legal proceedings (including prospective legal proceedings), for obtaining legal advice or for establishing, exercising or defending legal rights;</w:t>
      </w:r>
    </w:p>
    <w:p>
      <w:pPr>
        <w:spacing w:after="0" w:line="176" w:lineRule="exact"/>
        <w:rPr>
          <w:rFonts w:ascii="Times New Roman" w:cs="Times New Roman" w:eastAsia="Times New Roman" w:hAnsi="Times New Roman"/>
          <w:sz w:val="18"/>
          <w:szCs w:val="18"/>
          <w:color w:val="auto"/>
        </w:rPr>
      </w:pPr>
    </w:p>
    <w:p>
      <w:pPr>
        <w:ind w:left="1780" w:hanging="332"/>
        <w:spacing w:after="0" w:line="271" w:lineRule="auto"/>
        <w:tabs>
          <w:tab w:leader="none" w:pos="177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respect of all other personal data set out above, is necessary for the performance of the Restricted Stock Units Agreement between the Grantee and TriMas Corporation.</w:t>
      </w:r>
    </w:p>
    <w:p>
      <w:pPr>
        <w:spacing w:after="0" w:line="171" w:lineRule="exact"/>
        <w:rPr>
          <w:sz w:val="20"/>
          <w:szCs w:val="20"/>
          <w:color w:val="auto"/>
        </w:rPr>
      </w:pPr>
    </w:p>
    <w:p>
      <w:pPr>
        <w:ind w:left="1120" w:right="20"/>
        <w:spacing w:after="0" w:line="271" w:lineRule="auto"/>
        <w:rPr>
          <w:sz w:val="20"/>
          <w:szCs w:val="20"/>
          <w:color w:val="auto"/>
        </w:rPr>
      </w:pPr>
      <w:r>
        <w:rPr>
          <w:rFonts w:ascii="Times New Roman" w:cs="Times New Roman" w:eastAsia="Times New Roman" w:hAnsi="Times New Roman"/>
          <w:sz w:val="22"/>
          <w:szCs w:val="22"/>
          <w:color w:val="auto"/>
        </w:rPr>
        <w:t>The Relevant TriMas Companies will also process the Grantee’s personal data as necessary to comply with any legal obligations to which the Relevant TriMas Companies are subject.</w:t>
      </w:r>
    </w:p>
    <w:p>
      <w:pPr>
        <w:spacing w:after="0" w:line="1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Sharing Personal Data with Third Parties</w:t>
      </w:r>
    </w:p>
    <w:p>
      <w:pPr>
        <w:spacing w:after="0" w:line="224" w:lineRule="exact"/>
        <w:rPr>
          <w:sz w:val="20"/>
          <w:szCs w:val="20"/>
          <w:color w:val="auto"/>
        </w:rPr>
      </w:pPr>
    </w:p>
    <w:p>
      <w:pPr>
        <w:ind w:left="1120" w:right="20"/>
        <w:spacing w:after="0" w:line="271" w:lineRule="auto"/>
        <w:rPr>
          <w:sz w:val="20"/>
          <w:szCs w:val="20"/>
          <w:color w:val="auto"/>
        </w:rPr>
      </w:pPr>
      <w:r>
        <w:rPr>
          <w:rFonts w:ascii="Times New Roman" w:cs="Times New Roman" w:eastAsia="Times New Roman" w:hAnsi="Times New Roman"/>
          <w:sz w:val="22"/>
          <w:szCs w:val="22"/>
          <w:color w:val="auto"/>
        </w:rPr>
        <w:t>The Grantee’s personal details as set out above will be transferred between the Grantee’s Employer and the Company in order to administer and maintain the Plan and records associated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1060"/>
          </w:cols>
          <w:pgMar w:left="500" w:top="1422" w:right="339" w:bottom="1440" w:gutter="0" w:footer="0" w:header="0"/>
        </w:sectPr>
      </w:pPr>
    </w:p>
    <w:bookmarkStart w:id="109" w:name="page110"/>
    <w:bookmarkEnd w:id="109"/>
    <w:p>
      <w:pPr>
        <w:jc w:val="both"/>
        <w:ind w:left="1120"/>
        <w:spacing w:after="0" w:line="251" w:lineRule="auto"/>
        <w:rPr>
          <w:sz w:val="20"/>
          <w:szCs w:val="20"/>
          <w:color w:val="auto"/>
        </w:rPr>
      </w:pPr>
      <w:r>
        <w:rPr>
          <w:rFonts w:ascii="Times New Roman" w:cs="Times New Roman" w:eastAsia="Times New Roman" w:hAnsi="Times New Roman"/>
          <w:sz w:val="22"/>
          <w:szCs w:val="22"/>
          <w:color w:val="auto"/>
        </w:rPr>
        <w:t>The Company is based in the United States of America which is not designated by the European Commission as providing an adequate level of protection for personal data. As such, the Grantee’s Employer and the Company have entered into a data transfer agreement governed by standard data protection clauses adopted by the Commission to safeguard personal data in respect of these transfers. The Grantee can obtain a copy of this data transfer agreement by contacting the TriMas Corporate Benefits Group at 248-631-5450 or 38505 Woodward Avenue, Suite 200, Bloomfield Hills, Michigan 48304.</w:t>
      </w:r>
    </w:p>
    <w:p>
      <w:pPr>
        <w:spacing w:after="0" w:line="181" w:lineRule="exact"/>
        <w:rPr>
          <w:sz w:val="20"/>
          <w:szCs w:val="20"/>
          <w:color w:val="auto"/>
        </w:rPr>
      </w:pPr>
    </w:p>
    <w:p>
      <w:pPr>
        <w:jc w:val="both"/>
        <w:ind w:left="1120"/>
        <w:spacing w:after="0" w:line="249" w:lineRule="auto"/>
        <w:rPr>
          <w:sz w:val="20"/>
          <w:szCs w:val="20"/>
          <w:color w:val="auto"/>
        </w:rPr>
      </w:pPr>
      <w:r>
        <w:rPr>
          <w:rFonts w:ascii="Times New Roman" w:cs="Times New Roman" w:eastAsia="Times New Roman" w:hAnsi="Times New Roman"/>
          <w:sz w:val="22"/>
          <w:szCs w:val="22"/>
          <w:color w:val="auto"/>
        </w:rPr>
        <w:t xml:space="preserve">The Relevant TriMas Companies will also share the Grantee’s personal data with National Financial Services LLC, Fidelity Stock Plan Services LLC and Fidelity Brokerage Services LLC (part of the FMR LLC group of companies) which are based in the United States of America. The Company has entered into a data transfer agreement governed by standard data protection clauses adopted by the Commission to safeguard personal data in respect of these transfers. The Grantee can obtain a copy of this data transfer agreement by either, (1) contacting your local human resources representative, (2) contacting Fidelity Stock Plan Services by calling 1-800-544-9354 (Domestic) or 1-800-544-0275 (International), and (3) by logging into Grantee’s Fidelity account at </w:t>
      </w:r>
      <w:r>
        <w:rPr>
          <w:rFonts w:ascii="Times New Roman" w:cs="Times New Roman" w:eastAsia="Times New Roman" w:hAnsi="Times New Roman"/>
          <w:sz w:val="22"/>
          <w:szCs w:val="22"/>
          <w:u w:val="single" w:color="auto"/>
          <w:color w:val="auto"/>
        </w:rPr>
        <w:t>www.netbenefits.fidelity.com</w:t>
      </w:r>
      <w:r>
        <w:rPr>
          <w:rFonts w:ascii="Times New Roman" w:cs="Times New Roman" w:eastAsia="Times New Roman" w:hAnsi="Times New Roman"/>
          <w:sz w:val="22"/>
          <w:szCs w:val="22"/>
          <w:color w:val="auto"/>
        </w:rPr>
        <w:t xml:space="preserve"> and visiting the Plan &amp; Grant Documents section of the Grantee’s account.</w:t>
      </w:r>
    </w:p>
    <w:p>
      <w:pPr>
        <w:spacing w:after="0" w:line="195" w:lineRule="exact"/>
        <w:rPr>
          <w:sz w:val="20"/>
          <w:szCs w:val="20"/>
          <w:color w:val="auto"/>
        </w:rPr>
      </w:pPr>
    </w:p>
    <w:p>
      <w:pPr>
        <w:jc w:val="both"/>
        <w:ind w:left="1120"/>
        <w:spacing w:after="0" w:line="257" w:lineRule="auto"/>
        <w:rPr>
          <w:sz w:val="20"/>
          <w:szCs w:val="20"/>
          <w:color w:val="auto"/>
        </w:rPr>
      </w:pPr>
      <w:r>
        <w:rPr>
          <w:rFonts w:ascii="Times New Roman" w:cs="Times New Roman" w:eastAsia="Times New Roman" w:hAnsi="Times New Roman"/>
          <w:sz w:val="22"/>
          <w:szCs w:val="22"/>
          <w:color w:val="auto"/>
        </w:rPr>
        <w:t>In the event that the Relevant TriMas Companies sell any part(s) of their business and/or assets, they will also disclose the Grantee’s personal data to actual or potential purchasers of parts of its business or assets, and their respective advisers and insurers for the potential purchaser’s legitimate interests of:</w:t>
      </w:r>
    </w:p>
    <w:p>
      <w:pPr>
        <w:spacing w:after="0" w:line="173" w:lineRule="exact"/>
        <w:rPr>
          <w:sz w:val="20"/>
          <w:szCs w:val="20"/>
          <w:color w:val="auto"/>
        </w:rPr>
      </w:pPr>
    </w:p>
    <w:p>
      <w:pPr>
        <w:ind w:left="1760" w:hanging="312"/>
        <w:spacing w:after="0"/>
        <w:tabs>
          <w:tab w:leader="none" w:pos="17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enabling potential purchasers to complete due diligence on, and value, the business and/or assets;</w:t>
      </w:r>
    </w:p>
    <w:p>
      <w:pPr>
        <w:spacing w:after="0" w:line="219" w:lineRule="exact"/>
        <w:rPr>
          <w:rFonts w:ascii="Times New Roman" w:cs="Times New Roman" w:eastAsia="Times New Roman" w:hAnsi="Times New Roman"/>
          <w:sz w:val="18"/>
          <w:szCs w:val="18"/>
          <w:color w:val="auto"/>
        </w:rPr>
      </w:pPr>
    </w:p>
    <w:p>
      <w:pPr>
        <w:ind w:left="1780" w:right="20" w:hanging="332"/>
        <w:spacing w:after="0" w:line="284" w:lineRule="auto"/>
        <w:tabs>
          <w:tab w:leader="none" w:pos="177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transferring the personal data in connection with any relevant sale and the transfer of the Relevant TriMas Company’s contractual rights and/or obligations; and</w:t>
      </w:r>
    </w:p>
    <w:p>
      <w:pPr>
        <w:spacing w:after="0" w:line="143"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use of such personal data by a purchaser for the operation of its business.</w:t>
      </w:r>
    </w:p>
    <w:p>
      <w:pPr>
        <w:spacing w:after="0" w:line="2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The Relevant TriMas Companies will also share the Grantee’s personal data with:</w:t>
      </w:r>
    </w:p>
    <w:p>
      <w:pPr>
        <w:spacing w:after="0" w:line="220" w:lineRule="exact"/>
        <w:rPr>
          <w:sz w:val="20"/>
          <w:szCs w:val="20"/>
          <w:color w:val="auto"/>
        </w:rPr>
      </w:pPr>
    </w:p>
    <w:p>
      <w:pPr>
        <w:ind w:left="1760" w:hanging="312"/>
        <w:spacing w:after="0"/>
        <w:tabs>
          <w:tab w:leader="none" w:pos="17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its professional advisors, auditors, service providers;</w:t>
      </w:r>
    </w:p>
    <w:p>
      <w:pPr>
        <w:spacing w:after="0" w:line="219" w:lineRule="exact"/>
        <w:rPr>
          <w:rFonts w:ascii="Times New Roman" w:cs="Times New Roman" w:eastAsia="Times New Roman" w:hAnsi="Times New Roman"/>
          <w:sz w:val="18"/>
          <w:szCs w:val="18"/>
          <w:color w:val="auto"/>
        </w:rPr>
      </w:pPr>
    </w:p>
    <w:p>
      <w:pPr>
        <w:jc w:val="both"/>
        <w:ind w:left="1780" w:hanging="332"/>
        <w:spacing w:after="0" w:line="263" w:lineRule="auto"/>
        <w:tabs>
          <w:tab w:leader="none" w:pos="177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HM Revenue and Customs in the United Kingdom and the Department of the Treasury Internal Revenue Service in the United States of America and other regulators, and governmental and law enforcement agencies; and</w:t>
      </w:r>
    </w:p>
    <w:p>
      <w:pPr>
        <w:spacing w:after="0" w:line="167" w:lineRule="exact"/>
        <w:rPr>
          <w:rFonts w:ascii="Times New Roman" w:cs="Times New Roman" w:eastAsia="Times New Roman" w:hAnsi="Times New Roman"/>
          <w:sz w:val="18"/>
          <w:szCs w:val="18"/>
          <w:color w:val="auto"/>
        </w:rPr>
      </w:pPr>
    </w:p>
    <w:p>
      <w:pPr>
        <w:ind w:left="1780" w:hanging="332"/>
        <w:spacing w:after="0" w:line="271" w:lineRule="auto"/>
        <w:tabs>
          <w:tab w:leader="none" w:pos="177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third parties if it is under a duty to disclose or share the Grantee’s personal data in order to comply with any laws, regulations or good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1060"/>
          </w:cols>
          <w:pgMar w:left="500" w:top="1422" w:right="339" w:bottom="1440" w:gutter="0" w:footer="0" w:header="0"/>
        </w:sectPr>
      </w:pPr>
    </w:p>
    <w:bookmarkStart w:id="110" w:name="page111"/>
    <w:bookmarkEnd w:id="110"/>
    <w:p>
      <w:pPr>
        <w:ind w:left="1780"/>
        <w:spacing w:after="0" w:line="271" w:lineRule="auto"/>
        <w:rPr>
          <w:sz w:val="20"/>
          <w:szCs w:val="20"/>
          <w:color w:val="auto"/>
        </w:rPr>
      </w:pPr>
      <w:r>
        <w:rPr>
          <w:rFonts w:ascii="Times New Roman" w:cs="Times New Roman" w:eastAsia="Times New Roman" w:hAnsi="Times New Roman"/>
          <w:sz w:val="22"/>
          <w:szCs w:val="22"/>
          <w:color w:val="auto"/>
        </w:rPr>
        <w:t>obligations, or in order to enforce or to protect its rights, property or safety, or that of its customers or other persons with whom it has a business relationship.</w:t>
      </w:r>
    </w:p>
    <w:p>
      <w:pPr>
        <w:spacing w:after="0" w:line="1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Retention of Personal Data</w:t>
      </w:r>
    </w:p>
    <w:p>
      <w:pPr>
        <w:spacing w:after="0" w:line="237" w:lineRule="exact"/>
        <w:rPr>
          <w:sz w:val="20"/>
          <w:szCs w:val="20"/>
          <w:color w:val="auto"/>
        </w:rPr>
      </w:pPr>
    </w:p>
    <w:p>
      <w:pPr>
        <w:jc w:val="both"/>
        <w:ind w:left="1120"/>
        <w:spacing w:after="0" w:line="271" w:lineRule="auto"/>
        <w:rPr>
          <w:sz w:val="20"/>
          <w:szCs w:val="20"/>
          <w:color w:val="auto"/>
        </w:rPr>
      </w:pPr>
      <w:r>
        <w:rPr>
          <w:rFonts w:ascii="Times New Roman" w:cs="Times New Roman" w:eastAsia="Times New Roman" w:hAnsi="Times New Roman"/>
          <w:sz w:val="22"/>
          <w:szCs w:val="22"/>
          <w:color w:val="auto"/>
        </w:rPr>
        <w:t>The Relevant TriMas Companies will retain the Grantee’s personal data for the duration of the Plan and for a further period of eight years after the Grantee ceases to be a member of the Plan.</w:t>
      </w:r>
    </w:p>
    <w:p>
      <w:pPr>
        <w:spacing w:after="0" w:line="158" w:lineRule="exact"/>
        <w:rPr>
          <w:sz w:val="20"/>
          <w:szCs w:val="20"/>
          <w:color w:val="auto"/>
        </w:rPr>
      </w:pPr>
    </w:p>
    <w:p>
      <w:pPr>
        <w:jc w:val="both"/>
        <w:ind w:left="1120"/>
        <w:spacing w:after="0" w:line="257" w:lineRule="auto"/>
        <w:rPr>
          <w:sz w:val="20"/>
          <w:szCs w:val="20"/>
          <w:color w:val="auto"/>
        </w:rPr>
      </w:pPr>
      <w:r>
        <w:rPr>
          <w:rFonts w:ascii="Times New Roman" w:cs="Times New Roman" w:eastAsia="Times New Roman" w:hAnsi="Times New Roman"/>
          <w:sz w:val="22"/>
          <w:szCs w:val="22"/>
          <w:color w:val="auto"/>
        </w:rPr>
        <w:t>The Relevant TriMas Companies will retain the Grantee’s personal data for longer than the period specified above if required by law, to defend or exercise legal rights (such as defending legal claims) or to comply with regulatory obligations.</w:t>
      </w:r>
    </w:p>
    <w:p>
      <w:pPr>
        <w:spacing w:after="0" w:line="1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The Grantee’s Rights</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In order to control the use of their personal data, each Grantee has the following controls over their personal data:</w:t>
      </w:r>
    </w:p>
    <w:p>
      <w:pPr>
        <w:spacing w:after="0" w:line="231" w:lineRule="exact"/>
        <w:rPr>
          <w:sz w:val="20"/>
          <w:szCs w:val="20"/>
          <w:color w:val="auto"/>
        </w:rPr>
      </w:pPr>
    </w:p>
    <w:p>
      <w:pPr>
        <w:ind w:left="1780" w:right="20" w:hanging="332"/>
        <w:spacing w:after="0" w:line="271" w:lineRule="auto"/>
        <w:tabs>
          <w:tab w:leader="none" w:pos="177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Each Grantee may request access to or copies of the personal data that the Relevant TriMas Companies hold about them by contacting their local human resources representative;</w:t>
      </w:r>
    </w:p>
    <w:p>
      <w:pPr>
        <w:spacing w:after="0" w:line="157" w:lineRule="exact"/>
        <w:rPr>
          <w:rFonts w:ascii="Times New Roman" w:cs="Times New Roman" w:eastAsia="Times New Roman" w:hAnsi="Times New Roman"/>
          <w:sz w:val="18"/>
          <w:szCs w:val="18"/>
          <w:color w:val="auto"/>
        </w:rPr>
      </w:pPr>
    </w:p>
    <w:p>
      <w:pPr>
        <w:jc w:val="both"/>
        <w:ind w:left="1780" w:hanging="332"/>
        <w:spacing w:after="0" w:line="253" w:lineRule="auto"/>
        <w:tabs>
          <w:tab w:leader="none" w:pos="177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Grantee believes that any information the Relevant TriMas Companies hold about them is incorrect or incomplete, the Grantee should contact their local human resources representative as soon as possible. The Relevant TriMas Companies will take steps to seek to correct or update any information if they are satisfied that the information they hold is inaccurate. In certain circumstances, the Grantee may also request that the Relevant TriMas Companies restrict their processing;</w:t>
      </w:r>
    </w:p>
    <w:p>
      <w:pPr>
        <w:spacing w:after="0" w:line="178" w:lineRule="exact"/>
        <w:rPr>
          <w:rFonts w:ascii="Times New Roman" w:cs="Times New Roman" w:eastAsia="Times New Roman" w:hAnsi="Times New Roman"/>
          <w:sz w:val="18"/>
          <w:szCs w:val="18"/>
          <w:color w:val="auto"/>
        </w:rPr>
      </w:pPr>
    </w:p>
    <w:p>
      <w:pPr>
        <w:jc w:val="both"/>
        <w:ind w:left="1780" w:hanging="332"/>
        <w:spacing w:after="0" w:line="256" w:lineRule="auto"/>
        <w:tabs>
          <w:tab w:leader="none" w:pos="177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Each grantee may request that their personal data be deleted where it is no longer necessary for the purposes for which it is being processed and provided there is no other lawful basis for which the Relevant TriMas Companies may continue to process such personal data. The Grantee can exercise this right by contacting their local human resources representative;</w:t>
      </w:r>
    </w:p>
    <w:p>
      <w:pPr>
        <w:spacing w:after="0" w:line="176" w:lineRule="exact"/>
        <w:rPr>
          <w:rFonts w:ascii="Times New Roman" w:cs="Times New Roman" w:eastAsia="Times New Roman" w:hAnsi="Times New Roman"/>
          <w:sz w:val="18"/>
          <w:szCs w:val="18"/>
          <w:color w:val="auto"/>
        </w:rPr>
      </w:pPr>
    </w:p>
    <w:p>
      <w:pPr>
        <w:jc w:val="both"/>
        <w:ind w:left="1780" w:hanging="332"/>
        <w:spacing w:after="0" w:line="253" w:lineRule="auto"/>
        <w:tabs>
          <w:tab w:leader="none" w:pos="177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Relevant TriMas Companies are processing the Grantee’s personal data to meet their legitimate interests (as set out above), the Grantee may object to the processing of their personal information by the Relevant TriMas Companies. If the Relevant TriMas Companies are unable to demonstrate their legitimate grounds for that processing, they will no longer process the Grantee’s personal information for those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w:t>
      </w:r>
    </w:p>
    <w:p>
      <w:pPr>
        <w:sectPr>
          <w:pgSz w:w="11900" w:h="16838" w:orient="portrait"/>
          <w:cols w:equalWidth="0" w:num="1">
            <w:col w:w="11060"/>
          </w:cols>
          <w:pgMar w:left="500" w:top="1422" w:right="339" w:bottom="1440" w:gutter="0" w:footer="0" w:header="0"/>
        </w:sectPr>
      </w:pPr>
    </w:p>
    <w:bookmarkStart w:id="111" w:name="page112"/>
    <w:bookmarkEnd w:id="111"/>
    <w:p>
      <w:pPr>
        <w:jc w:val="both"/>
        <w:ind w:left="1960" w:hanging="332"/>
        <w:spacing w:after="0" w:line="256" w:lineRule="auto"/>
        <w:tabs>
          <w:tab w:leader="none" w:pos="19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Where the Grantee has provided the Relevant TriMas Companies with their personal data that the Relevant TriMas Companies process using automated means, the Grantee may be entitled to a copy of that personal data in a structured, commonly-used and machine readable format. The Grantee can exercise this right by contacting their local human resources representative.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 xml:space="preserve">The Grantee should contact their local human resources representative in relation to any concerns about how their personal data is processed and the Relevant TriMas Companies will try to resolve the Grantee’s concerns. However, if the Grantee considers that the Relevant TriMas Companies is in breach of its obligations under data protection laws, the Grantee may lodge a complaint with the Information Commissioner’s Office in the United Kingdom (such as by accessing </w:t>
      </w:r>
      <w:r>
        <w:rPr>
          <w:rFonts w:ascii="Times New Roman" w:cs="Times New Roman" w:eastAsia="Times New Roman" w:hAnsi="Times New Roman"/>
          <w:sz w:val="21"/>
          <w:szCs w:val="21"/>
          <w:u w:val="single" w:color="auto"/>
          <w:color w:val="0000FF"/>
        </w:rPr>
        <w:t>https://ico.org.uk/concerns/</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Loss of Office or Employment</w:t>
      </w:r>
      <w:r>
        <w:rPr>
          <w:rFonts w:ascii="Times New Roman" w:cs="Times New Roman" w:eastAsia="Times New Roman" w:hAnsi="Times New Roman"/>
          <w:sz w:val="22"/>
          <w:szCs w:val="22"/>
          <w:color w:val="auto"/>
        </w:rPr>
        <w:t>. A new Section II.B.17 is added to the Agreement to read as follows:</w:t>
      </w:r>
    </w:p>
    <w:p>
      <w:pPr>
        <w:spacing w:after="0" w:line="251" w:lineRule="exact"/>
        <w:rPr>
          <w:sz w:val="20"/>
          <w:szCs w:val="20"/>
          <w:color w:val="auto"/>
        </w:rPr>
      </w:pPr>
    </w:p>
    <w:p>
      <w:pPr>
        <w:jc w:val="both"/>
        <w:ind w:left="1300" w:right="640"/>
        <w:spacing w:after="0" w:line="250" w:lineRule="auto"/>
        <w:rPr>
          <w:sz w:val="20"/>
          <w:szCs w:val="20"/>
          <w:color w:val="auto"/>
        </w:rPr>
      </w:pPr>
      <w:r>
        <w:rPr>
          <w:rFonts w:ascii="Times New Roman" w:cs="Times New Roman" w:eastAsia="Times New Roman" w:hAnsi="Times New Roman"/>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this Award or the Plan which he might otherwise have enjoyed whether such compensation is claimed by way of damages for wrongful dismissal or other breach of contract or by way of compensation for loss of office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xii</w:t>
      </w:r>
    </w:p>
    <w:p>
      <w:pPr>
        <w:sectPr>
          <w:pgSz w:w="11900" w:h="16838" w:orient="portrait"/>
          <w:cols w:equalWidth="0" w:num="1">
            <w:col w:w="11240"/>
          </w:cols>
          <w:pgMar w:left="320" w:top="1422"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2"/>
          <w:szCs w:val="22"/>
          <w:b w:val="1"/>
          <w:bCs w:val="1"/>
          <w:color w:val="auto"/>
        </w:rPr>
        <w:t>APPENDIX 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CALIFORNIA ADDENDUM</w:t>
      </w:r>
    </w:p>
    <w:p>
      <w:pPr>
        <w:spacing w:after="0" w:line="247"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b w:val="1"/>
          <w:bCs w:val="1"/>
          <w:color w:val="auto"/>
        </w:rPr>
        <w:t>Additional Terms and Conditions for Equity Grants Under the TriMas Corporation 2023 Equity and Incentive Compensation Plan,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Addendum includes additional terms and conditions that govern the Restricted Stock Units granted to you under the TriMas Corporation 2023 Equity and Incentive Compensation Plan (referred to as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if you are employed and/or reside in California or if the Company determines that the application of such terms and conditions is necessary or advisable in order to comply with applicable law. Certain capitalized terms used but not defined in this Addendum have the meanings set forth in the Plan and/or your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 Section II.B.3 of the Agreement is hereby amended in its entirety to read as follows:</w:t>
      </w:r>
    </w:p>
    <w:p>
      <w:pPr>
        <w:spacing w:after="0" w:line="247" w:lineRule="exact"/>
        <w:rPr>
          <w:sz w:val="20"/>
          <w:szCs w:val="20"/>
          <w:color w:val="auto"/>
        </w:rPr>
      </w:pPr>
    </w:p>
    <w:p>
      <w:pPr>
        <w:ind w:left="220"/>
        <w:spacing w:after="0"/>
        <w:tabs>
          <w:tab w:leader="none" w:pos="68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3.</w:t>
      </w:r>
      <w:r>
        <w:rPr>
          <w:sz w:val="20"/>
          <w:szCs w:val="20"/>
          <w:color w:val="auto"/>
        </w:rPr>
        <w:tab/>
      </w:r>
      <w:r>
        <w:rPr>
          <w:rFonts w:ascii="Times New Roman" w:cs="Times New Roman" w:eastAsia="Times New Roman" w:hAnsi="Times New Roman"/>
          <w:sz w:val="21"/>
          <w:szCs w:val="21"/>
          <w:b w:val="1"/>
          <w:bCs w:val="1"/>
          <w:u w:val="single" w:color="auto"/>
          <w:color w:val="auto"/>
        </w:rPr>
        <w:t>Restrictive Covenants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40" w:firstLine="644"/>
        <w:spacing w:after="0" w:line="258" w:lineRule="auto"/>
        <w:tabs>
          <w:tab w:leader="none" w:pos="1936"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Restricted Stock Units or Common Stock to Grantee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Grantee’s 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w:t>
      </w:r>
    </w:p>
    <w:p>
      <w:pPr>
        <w:spacing w:after="0" w:line="167" w:lineRule="exact"/>
        <w:rPr>
          <w:rFonts w:ascii="Times New Roman" w:cs="Times New Roman" w:eastAsia="Times New Roman" w:hAnsi="Times New Roman"/>
          <w:sz w:val="22"/>
          <w:szCs w:val="22"/>
          <w:color w:val="auto"/>
        </w:rPr>
      </w:pPr>
    </w:p>
    <w:p>
      <w:pPr>
        <w:jc w:val="both"/>
        <w:ind w:left="640" w:firstLine="644"/>
        <w:spacing w:after="0" w:line="248" w:lineRule="auto"/>
        <w:tabs>
          <w:tab w:leader="none" w:pos="193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 Recognizing Grantee’s fiduciary duties to the Company, as a condition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II.B.3 shall not result in the forfeiture of Restricted Stock Units or any clawback or recoupment of the Award for the disclosure of a trade secret if that disclosure (1) is made in confidence to a federal, state or local government official or to an attorney for the sole purpose of reporting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18" w:right="339" w:bottom="1440" w:gutter="0" w:footer="0" w:header="0"/>
        </w:sectPr>
      </w:pPr>
    </w:p>
    <w:bookmarkStart w:id="113" w:name="page114"/>
    <w:bookmarkEnd w:id="113"/>
    <w:p>
      <w:pPr>
        <w:jc w:val="both"/>
        <w:ind w:left="460"/>
        <w:spacing w:after="0" w:line="246" w:lineRule="auto"/>
        <w:rPr>
          <w:sz w:val="20"/>
          <w:szCs w:val="20"/>
          <w:color w:val="auto"/>
        </w:rPr>
      </w:pPr>
      <w:r>
        <w:rPr>
          <w:rFonts w:ascii="Times New Roman" w:cs="Times New Roman" w:eastAsia="Times New Roman" w:hAnsi="Times New Roman"/>
          <w:sz w:val="22"/>
          <w:szCs w:val="22"/>
          <w:color w:val="auto"/>
        </w:rPr>
        <w:t>investigating a suspected violation of law or (2)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(or in any other agreement, contract or arrangement with the Company or its subsidiaries or affiliates, or in any policy, procedure or practice of the Company or its subsidiaries or affiliates (collectively, the “Arrangements”)): (x) nothing in the Arrangements or otherwise limits Grantee’s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(y) nothing in the Arrangements or otherwise prohibits or is intended to restrict or impede Grantee from discussing the terms and conditions of their employment with coworkers or union representatives or exercising protected rights under Section 7 of the National Labor Relations Act, or prevents Grantee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Grantee is not prohibited from providing information (including documents) voluntarily to the Securities and Exchange Commission pursuant to Section 21F of the Exchange Act). The Company nonetheless asserts and does not waive its attorney-client privilege over any information (including documents) appropriately protected by privilege.</w:t>
      </w:r>
    </w:p>
    <w:p>
      <w:pPr>
        <w:spacing w:after="0" w:line="212" w:lineRule="exact"/>
        <w:rPr>
          <w:sz w:val="20"/>
          <w:szCs w:val="20"/>
          <w:color w:val="auto"/>
        </w:rPr>
      </w:pPr>
    </w:p>
    <w:p>
      <w:pPr>
        <w:jc w:val="both"/>
        <w:ind w:left="460" w:firstLine="644"/>
        <w:spacing w:after="0" w:line="263" w:lineRule="auto"/>
        <w:tabs>
          <w:tab w:leader="none" w:pos="1756"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Covenant Against Solicitation</w:t>
      </w:r>
      <w:r>
        <w:rPr>
          <w:rFonts w:ascii="Times New Roman" w:cs="Times New Roman" w:eastAsia="Times New Roman" w:hAnsi="Times New Roman"/>
          <w:sz w:val="21"/>
          <w:szCs w:val="21"/>
          <w:color w:val="auto"/>
        </w:rPr>
        <w:t>. Grantee further understands and agrees that while Grantee is employed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 The “Business” shall mean the design, development, manufacture, distribution, sale or marketing of the type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60"/>
          </w:cols>
          <w:pgMar w:left="500" w:top="1422" w:right="339" w:bottom="1440" w:gutter="0" w:footer="0" w:header="0"/>
        </w:sectPr>
      </w:pPr>
    </w:p>
    <w:bookmarkStart w:id="114" w:name="page115"/>
    <w:bookmarkEnd w:id="114"/>
    <w:p>
      <w:pPr>
        <w:ind w:left="640"/>
        <w:spacing w:after="0" w:line="271" w:lineRule="auto"/>
        <w:rPr>
          <w:sz w:val="20"/>
          <w:szCs w:val="20"/>
          <w:color w:val="auto"/>
        </w:rPr>
      </w:pPr>
      <w:r>
        <w:rPr>
          <w:rFonts w:ascii="Times New Roman" w:cs="Times New Roman" w:eastAsia="Times New Roman" w:hAnsi="Times New Roman"/>
          <w:sz w:val="22"/>
          <w:szCs w:val="22"/>
          <w:color w:val="auto"/>
        </w:rPr>
        <w:t>products or services sold, distributed or provided by the Company during the one-year period prior to the date of employment termination and with which Grantee was involved and/or oversaw.</w:t>
      </w:r>
    </w:p>
    <w:p>
      <w:pPr>
        <w:spacing w:after="0" w:line="154" w:lineRule="exact"/>
        <w:rPr>
          <w:sz w:val="20"/>
          <w:szCs w:val="20"/>
          <w:color w:val="auto"/>
        </w:rPr>
      </w:pPr>
    </w:p>
    <w:p>
      <w:pPr>
        <w:jc w:val="both"/>
        <w:ind w:left="640" w:firstLine="644"/>
        <w:spacing w:after="0" w:line="258" w:lineRule="auto"/>
        <w:tabs>
          <w:tab w:leader="none" w:pos="1935"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167" w:lineRule="exact"/>
        <w:rPr>
          <w:rFonts w:ascii="Times New Roman" w:cs="Times New Roman" w:eastAsia="Times New Roman" w:hAnsi="Times New Roman"/>
          <w:sz w:val="22"/>
          <w:szCs w:val="22"/>
          <w:color w:val="auto"/>
        </w:rPr>
      </w:pPr>
    </w:p>
    <w:p>
      <w:pPr>
        <w:ind w:left="1940" w:hanging="656"/>
        <w:spacing w:after="0"/>
        <w:tabs>
          <w:tab w:leader="none" w:pos="194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219" w:lineRule="exact"/>
        <w:rPr>
          <w:rFonts w:ascii="Times New Roman" w:cs="Times New Roman" w:eastAsia="Times New Roman" w:hAnsi="Times New Roman"/>
          <w:sz w:val="22"/>
          <w:szCs w:val="22"/>
          <w:color w:val="auto"/>
        </w:rPr>
      </w:pPr>
    </w:p>
    <w:p>
      <w:pPr>
        <w:jc w:val="both"/>
        <w:ind w:left="1300" w:firstLine="622"/>
        <w:spacing w:after="0" w:line="250" w:lineRule="auto"/>
        <w:tabs>
          <w:tab w:leader="none" w:pos="2440"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93" w:lineRule="exact"/>
        <w:rPr>
          <w:rFonts w:ascii="Times New Roman" w:cs="Times New Roman" w:eastAsia="Times New Roman" w:hAnsi="Times New Roman"/>
          <w:sz w:val="22"/>
          <w:szCs w:val="22"/>
          <w:color w:val="auto"/>
        </w:rPr>
      </w:pPr>
    </w:p>
    <w:p>
      <w:pPr>
        <w:jc w:val="both"/>
        <w:ind w:left="1300" w:firstLine="622"/>
        <w:spacing w:after="0" w:line="248" w:lineRule="auto"/>
        <w:tabs>
          <w:tab w:leader="none" w:pos="2589"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79" w:lineRule="exact"/>
        <w:rPr>
          <w:rFonts w:ascii="Times New Roman" w:cs="Times New Roman" w:eastAsia="Times New Roman" w:hAnsi="Times New Roman"/>
          <w:sz w:val="22"/>
          <w:szCs w:val="22"/>
          <w:color w:val="auto"/>
        </w:rPr>
      </w:pPr>
    </w:p>
    <w:p>
      <w:pPr>
        <w:ind w:left="640" w:firstLine="644"/>
        <w:spacing w:after="0" w:line="275" w:lineRule="auto"/>
        <w:tabs>
          <w:tab w:leader="none" w:pos="1885"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w:t>
      </w:r>
      <w:r>
        <w:rPr>
          <w:rFonts w:ascii="Times New Roman" w:cs="Times New Roman" w:eastAsia="Times New Roman" w:hAnsi="Times New Roman"/>
          <w:sz w:val="22"/>
          <w:szCs w:val="22"/>
          <w:color w:val="auto"/>
        </w:rPr>
        <w:t>. A new Section II.B.16 is added to the Agreement to read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422" w:right="339" w:bottom="1440" w:gutter="0" w:footer="0" w:header="0"/>
        </w:sectPr>
      </w:pPr>
    </w:p>
    <w:bookmarkStart w:id="115" w:name="page116"/>
    <w:bookmarkEnd w:id="115"/>
    <w:p>
      <w:pPr>
        <w:spacing w:after="0" w:line="221" w:lineRule="exact"/>
        <w:rPr>
          <w:sz w:val="20"/>
          <w:szCs w:val="20"/>
          <w:color w:val="auto"/>
        </w:rPr>
      </w:pPr>
    </w:p>
    <w:p>
      <w:pPr>
        <w:jc w:val="both"/>
        <w:ind w:firstLine="594"/>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Privacy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Company respects Grantee’s privacy. In order to administer Grantee’s equity award, the Company collects and uses certain personal information about Grantee, including Grantee’s prior equity grant information where applicable. If Grantee is a California resident, Grantee should refer to the Company’s California Consumer Privacy Act Notice for more information about the personal information the Company collects about Grantee and the purposes for which the Company will use such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40"/>
          </w:cols>
          <w:pgMar w:left="320" w:top="1440"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Restricted Stock Units Award</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One-Year (Cliff) Vest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EQUITY AND INCENTIVE COMPENSATION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TriMas Corporation (the “Company”), as permitted by the TriMas Corporation 2023 Equity and Incentive Compensation Plan (“Plan”), and as provided for by the Committee, has granted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Unless otherwise defined in this Agreement or in Appendix A to this Agreement, the terms used in this Agreement have the same meanings as defined in the Plan.</w:t>
      </w:r>
    </w:p>
    <w:p>
      <w:pPr>
        <w:spacing w:after="0" w:line="154" w:lineRule="exact"/>
        <w:rPr>
          <w:sz w:val="20"/>
          <w:szCs w:val="20"/>
          <w:color w:val="auto"/>
        </w:rPr>
      </w:pPr>
    </w:p>
    <w:p>
      <w:pPr>
        <w:ind w:left="360" w:hanging="352"/>
        <w:spacing w:after="0"/>
        <w:tabs>
          <w:tab w:leader="none" w:pos="360"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 OF AWARD</w:t>
      </w:r>
    </w:p>
    <w:p>
      <w:pPr>
        <w:sectPr>
          <w:pgSz w:w="11900" w:h="16838" w:orient="portrait"/>
          <w:cols w:equalWidth="0" w:num="1">
            <w:col w:w="11240"/>
          </w:cols>
          <w:pgMar w:left="320" w:top="365" w:right="339" w:bottom="1440" w:gutter="0" w:footer="0" w:header="0"/>
        </w:sectPr>
      </w:pPr>
    </w:p>
    <w:p>
      <w:pPr>
        <w:spacing w:after="0" w:line="3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[specify Grantee’s name]</w:t>
      </w:r>
    </w:p>
    <w:p>
      <w:pPr>
        <w:spacing w:after="0" w:line="173" w:lineRule="exact"/>
        <w:rPr>
          <w:sz w:val="20"/>
          <w:szCs w:val="20"/>
          <w:color w:val="auto"/>
        </w:rPr>
      </w:pPr>
    </w:p>
    <w:p>
      <w:pPr>
        <w:sectPr>
          <w:pgSz w:w="11900" w:h="16838" w:orient="portrait"/>
          <w:cols w:equalWidth="0" w:num="2">
            <w:col w:w="5740" w:space="720"/>
            <w:col w:w="4780"/>
          </w:cols>
          <w:pgMar w:left="320" w:top="365"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1"/>
          <w:szCs w:val="21"/>
          <w:b w:val="1"/>
          <w:bCs w:val="1"/>
          <w:color w:val="auto"/>
        </w:rPr>
        <w:t>Date of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As of [enter date]</w:t>
      </w:r>
    </w:p>
    <w:p>
      <w:pPr>
        <w:spacing w:after="0" w:line="173" w:lineRule="exact"/>
        <w:rPr>
          <w:sz w:val="20"/>
          <w:szCs w:val="20"/>
          <w:color w:val="auto"/>
        </w:rPr>
      </w:pPr>
    </w:p>
    <w:p>
      <w:pPr>
        <w:sectPr>
          <w:pgSz w:w="11900" w:h="16838" w:orient="portrait"/>
          <w:cols w:equalWidth="0" w:num="2">
            <w:col w:w="5740" w:space="720"/>
            <w:col w:w="4780"/>
          </w:cols>
          <w:pgMar w:left="320" w:top="365"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1"/>
          <w:szCs w:val="21"/>
          <w:b w:val="1"/>
          <w:bCs w:val="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[grant date]</w:t>
      </w:r>
    </w:p>
    <w:p>
      <w:pPr>
        <w:spacing w:after="0" w:line="173" w:lineRule="exact"/>
        <w:rPr>
          <w:sz w:val="20"/>
          <w:szCs w:val="20"/>
          <w:color w:val="auto"/>
        </w:rPr>
      </w:pPr>
    </w:p>
    <w:p>
      <w:pPr>
        <w:sectPr>
          <w:pgSz w:w="11900" w:h="16838" w:orient="portrait"/>
          <w:cols w:equalWidth="0" w:num="2">
            <w:col w:w="5740" w:space="720"/>
            <w:col w:w="4780"/>
          </w:cols>
          <w:pgMar w:left="320" w:top="365"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1"/>
          <w:szCs w:val="21"/>
          <w:b w:val="1"/>
          <w:bCs w:val="1"/>
          <w:color w:val="auto"/>
        </w:rPr>
        <w:t>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[number of Restricted Stock Units]</w:t>
      </w:r>
    </w:p>
    <w:p>
      <w:pPr>
        <w:spacing w:after="0" w:line="200" w:lineRule="exact"/>
        <w:rPr>
          <w:sz w:val="20"/>
          <w:szCs w:val="20"/>
          <w:color w:val="auto"/>
        </w:rPr>
      </w:pPr>
    </w:p>
    <w:p>
      <w:pPr>
        <w:sectPr>
          <w:pgSz w:w="11900" w:h="16838" w:orient="portrait"/>
          <w:cols w:equalWidth="0" w:num="2">
            <w:col w:w="5740" w:space="720"/>
            <w:col w:w="4780"/>
          </w:cols>
          <w:pgMar w:left="320" w:top="365" w:right="339" w:bottom="1440" w:gutter="0" w:footer="0" w:header="0"/>
          <w:type w:val="continuous"/>
        </w:sectPr>
      </w:pPr>
    </w:p>
    <w:p>
      <w:pPr>
        <w:spacing w:after="0" w:line="230" w:lineRule="exact"/>
        <w:rPr>
          <w:sz w:val="20"/>
          <w:szCs w:val="20"/>
          <w:color w:val="auto"/>
        </w:rPr>
      </w:pPr>
    </w:p>
    <w:p>
      <w:pPr>
        <w:ind w:left="420" w:hanging="412"/>
        <w:spacing w:after="0"/>
        <w:tabs>
          <w:tab w:leader="none" w:pos="42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AGREEMENT</w:t>
      </w:r>
    </w:p>
    <w:p>
      <w:pPr>
        <w:spacing w:after="0" w:line="206" w:lineRule="exact"/>
        <w:rPr>
          <w:rFonts w:ascii="Times New Roman" w:cs="Times New Roman" w:eastAsia="Times New Roman" w:hAnsi="Times New Roman"/>
          <w:sz w:val="22"/>
          <w:szCs w:val="22"/>
          <w:color w:val="auto"/>
        </w:rPr>
      </w:pPr>
    </w:p>
    <w:p>
      <w:pPr>
        <w:jc w:val="both"/>
        <w:ind w:firstLine="231"/>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b w:val="1"/>
          <w:bCs w:val="1"/>
          <w:u w:val="single" w:color="auto"/>
          <w:color w:val="auto"/>
        </w:rPr>
        <w:t>Grant of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granted to Grantee (who, pursuant to this Award is a Participant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the number of Restricted Stock Units set forth above, subject to the terms of this Agreement. The Restricted Stock Units granted under this Agreement are payable only in shares of Common Stock as described in Section II.A.2. Notwithstanding anything to the contrary anywhere else in this Agreement, the Restricted Stock Units evidenced by this Award are subject to the terms and provisions of the Plan, which are incorporated by reference into this Agreement.</w:t>
      </w:r>
    </w:p>
    <w:p>
      <w:pPr>
        <w:spacing w:after="0" w:line="185" w:lineRule="exact"/>
        <w:rPr>
          <w:rFonts w:ascii="Times New Roman" w:cs="Times New Roman" w:eastAsia="Times New Roman" w:hAnsi="Times New Roman"/>
          <w:sz w:val="22"/>
          <w:szCs w:val="22"/>
          <w:color w:val="auto"/>
        </w:rPr>
      </w:pPr>
    </w:p>
    <w:p>
      <w:pPr>
        <w:ind w:left="820" w:hanging="380"/>
        <w:spacing w:after="0"/>
        <w:tabs>
          <w:tab w:leader="none" w:pos="820" w:val="left"/>
        </w:tabs>
        <w:numPr>
          <w:ilvl w:val="2"/>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660" w:firstLine="644"/>
        <w:spacing w:after="0" w:line="265" w:lineRule="auto"/>
        <w:tabs>
          <w:tab w:leader="none" w:pos="1953" w:val="left"/>
        </w:tabs>
        <w:numPr>
          <w:ilvl w:val="3"/>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II.A.1(b), the Restricted Stock Units will vest in full on the first anniversary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Date of Grant (the “Vesting Date”), subject generally to Grantee’s continued status as a Service Provider through the Vesting Date.</w:t>
      </w:r>
    </w:p>
    <w:p>
      <w:pPr>
        <w:sectPr>
          <w:pgSz w:w="11900" w:h="16838" w:orient="portrait"/>
          <w:cols w:equalWidth="0" w:num="1">
            <w:col w:w="11240"/>
          </w:cols>
          <w:pgMar w:left="320" w:top="365" w:right="339" w:bottom="1440" w:gutter="0" w:footer="0" w:header="0"/>
          <w:type w:val="continuous"/>
        </w:sectPr>
      </w:pPr>
    </w:p>
    <w:bookmarkStart w:id="117" w:name="page118"/>
    <w:bookmarkEnd w:id="117"/>
    <w:p>
      <w:pPr>
        <w:spacing w:after="0" w:line="200" w:lineRule="exact"/>
        <w:rPr>
          <w:sz w:val="20"/>
          <w:szCs w:val="20"/>
          <w:color w:val="auto"/>
        </w:rPr>
      </w:pPr>
    </w:p>
    <w:p>
      <w:pPr>
        <w:spacing w:after="0" w:line="237" w:lineRule="exact"/>
        <w:rPr>
          <w:sz w:val="20"/>
          <w:szCs w:val="20"/>
          <w:color w:val="auto"/>
        </w:rPr>
      </w:pPr>
    </w:p>
    <w:p>
      <w:pPr>
        <w:ind w:left="1760" w:hanging="636"/>
        <w:spacing w:after="0"/>
        <w:tabs>
          <w:tab w:leader="none" w:pos="176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Service; Forfeiture</w:t>
      </w:r>
      <w:r>
        <w:rPr>
          <w:rFonts w:ascii="Times New Roman" w:cs="Times New Roman" w:eastAsia="Times New Roman" w:hAnsi="Times New Roman"/>
          <w:sz w:val="22"/>
          <w:szCs w:val="22"/>
          <w:color w:val="auto"/>
        </w:rPr>
        <w:t>. Notwithstanding any other provision of this Agreement:</w:t>
      </w:r>
    </w:p>
    <w:p>
      <w:pPr>
        <w:spacing w:after="0" w:line="219" w:lineRule="exact"/>
        <w:rPr>
          <w:rFonts w:ascii="Times New Roman" w:cs="Times New Roman" w:eastAsia="Times New Roman" w:hAnsi="Times New Roman"/>
          <w:sz w:val="22"/>
          <w:szCs w:val="22"/>
          <w:color w:val="auto"/>
        </w:rPr>
      </w:pPr>
    </w:p>
    <w:p>
      <w:pPr>
        <w:jc w:val="both"/>
        <w:ind w:left="1120" w:firstLine="652"/>
        <w:spacing w:after="0" w:line="249" w:lineRule="auto"/>
        <w:tabs>
          <w:tab w:leader="none" w:pos="2323"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Voluntary Termination; Termination for Cause; Breach of Other Obligations</w:t>
      </w:r>
      <w:r>
        <w:rPr>
          <w:rFonts w:ascii="Times New Roman" w:cs="Times New Roman" w:eastAsia="Times New Roman" w:hAnsi="Times New Roman"/>
          <w:sz w:val="22"/>
          <w:szCs w:val="22"/>
          <w:color w:val="auto"/>
        </w:rPr>
        <w:t>. Any unvested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Units subject to this Award will be canceled and forfeited if Grantee voluntarily terminates as a Service Provider (other than for Good Reason or as a result of Retirement as provided below), if Grantee’s status as a Service Provider is involuntarily terminated by the Company or a Subsidiary for Cause, or if Grantee violates the provisions of Section II.B.3 below. Notwithstanding the foregoing, no termination of Grantee’s employment shall qualify as a termination for Cause unless (x) the Company notifies Grantee in writing of the Company’s intention to terminate Grantee’s employment for Cause within 90 days following the initial existence of the occurrence or event giving rise to Cause, (y) Grantee fails to cure such occurrence or event within 30 days after receipt of such notice from the Company and (z) the Company terminates Grantee’s employment within 45 days after the expiration of Grantee’s cure period in subsection (y).</w:t>
      </w:r>
    </w:p>
    <w:p>
      <w:pPr>
        <w:spacing w:after="0" w:line="183" w:lineRule="exact"/>
        <w:rPr>
          <w:rFonts w:ascii="Times New Roman" w:cs="Times New Roman" w:eastAsia="Times New Roman" w:hAnsi="Times New Roman"/>
          <w:sz w:val="22"/>
          <w:szCs w:val="22"/>
          <w:color w:val="auto"/>
        </w:rPr>
      </w:pPr>
    </w:p>
    <w:p>
      <w:pPr>
        <w:jc w:val="both"/>
        <w:ind w:left="1120" w:firstLine="652"/>
        <w:spacing w:after="0" w:line="258" w:lineRule="auto"/>
        <w:tabs>
          <w:tab w:leader="none" w:pos="2275"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 Disability</w:t>
      </w:r>
      <w:r>
        <w:rPr>
          <w:rFonts w:ascii="Times New Roman" w:cs="Times New Roman" w:eastAsia="Times New Roman" w:hAnsi="Times New Roman"/>
          <w:sz w:val="22"/>
          <w:szCs w:val="22"/>
          <w:color w:val="auto"/>
        </w:rPr>
        <w:t>. If Grantee ceases to be a Service Provider prior to the Vesting Date as a result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death or Disability, Grantee shall fully vest in the Restricted Stock Units subject to this Award that have not already vested as of the date on which Grantee ceases to be a Service Provider due to Grantee’s death or Disability.</w:t>
      </w:r>
    </w:p>
    <w:p>
      <w:pPr>
        <w:spacing w:after="0" w:line="167" w:lineRule="exact"/>
        <w:rPr>
          <w:rFonts w:ascii="Times New Roman" w:cs="Times New Roman" w:eastAsia="Times New Roman" w:hAnsi="Times New Roman"/>
          <w:sz w:val="22"/>
          <w:szCs w:val="22"/>
          <w:color w:val="auto"/>
        </w:rPr>
      </w:pPr>
    </w:p>
    <w:p>
      <w:pPr>
        <w:jc w:val="both"/>
        <w:ind w:left="1120" w:firstLine="652"/>
        <w:spacing w:after="0" w:line="250" w:lineRule="auto"/>
        <w:tabs>
          <w:tab w:leader="none" w:pos="2362"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Qualifying Termination Prior to a Change in Control</w:t>
      </w:r>
      <w:r>
        <w:rPr>
          <w:rFonts w:ascii="Times New Roman" w:cs="Times New Roman" w:eastAsia="Times New Roman" w:hAnsi="Times New Roman"/>
          <w:sz w:val="22"/>
          <w:szCs w:val="22"/>
          <w:color w:val="auto"/>
        </w:rPr>
        <w:t>. If Grantee has a Qualifying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occurs prior to (or more than two years after) a Change in Control and before the Vesting Date, Grantee shall vest in a pro-rata portion of Grantee’s unvested Restricted Stock Units, with the pro-rata amount calculated by (x) multiplying the total number of Restricted Stock Units subject to this Award by a fraction with (i) a numerator equaling the number of whole calendar months that have elapsed from the Date of Grant to the date of Grantee’s Qualifying Termination, and (ii) a denominator equal to 12, and then (y) subtracting the number of Restricted Stock Units that have already vested under this Award.</w:t>
      </w:r>
    </w:p>
    <w:p>
      <w:pPr>
        <w:spacing w:after="0" w:line="180" w:lineRule="exact"/>
        <w:rPr>
          <w:rFonts w:ascii="Times New Roman" w:cs="Times New Roman" w:eastAsia="Times New Roman" w:hAnsi="Times New Roman"/>
          <w:sz w:val="22"/>
          <w:szCs w:val="22"/>
          <w:color w:val="auto"/>
        </w:rPr>
      </w:pPr>
    </w:p>
    <w:p>
      <w:pPr>
        <w:jc w:val="both"/>
        <w:ind w:left="1120" w:right="20" w:firstLine="652"/>
        <w:spacing w:after="0" w:line="258" w:lineRule="auto"/>
        <w:tabs>
          <w:tab w:leader="none" w:pos="2363"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If Grantee ceases to be a Service Provider prior to the Vesting Date due to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Retirement, Grantee shall continue to vest in the Restricted Stock Units subject to this Award to the same extent that Grantee would have vested in such Restricted Stock Units had Grantee continued to be a Service Provider through the Vesting Date.</w:t>
      </w:r>
    </w:p>
    <w:p>
      <w:pPr>
        <w:spacing w:after="0" w:line="167" w:lineRule="exact"/>
        <w:rPr>
          <w:rFonts w:ascii="Times New Roman" w:cs="Times New Roman" w:eastAsia="Times New Roman" w:hAnsi="Times New Roman"/>
          <w:sz w:val="22"/>
          <w:szCs w:val="22"/>
          <w:color w:val="auto"/>
        </w:rPr>
      </w:pPr>
    </w:p>
    <w:p>
      <w:pPr>
        <w:ind w:left="1120" w:right="20" w:firstLine="652"/>
        <w:spacing w:after="0" w:line="275" w:lineRule="auto"/>
        <w:tabs>
          <w:tab w:leader="none" w:pos="2344"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In the event of a Change in Control that occurs prior to the vesting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portion of the Restricted Stock Units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500" w:top="1440" w:right="339" w:bottom="1440" w:gutter="0" w:footer="0" w:header="0"/>
        </w:sectPr>
      </w:pPr>
    </w:p>
    <w:bookmarkStart w:id="118" w:name="page119"/>
    <w:bookmarkEnd w:id="118"/>
    <w:p>
      <w:pPr>
        <w:ind w:left="1120"/>
        <w:spacing w:after="0"/>
        <w:rPr>
          <w:sz w:val="20"/>
          <w:szCs w:val="20"/>
          <w:color w:val="auto"/>
        </w:rPr>
      </w:pPr>
      <w:r>
        <w:rPr>
          <w:rFonts w:ascii="Times New Roman" w:cs="Times New Roman" w:eastAsia="Times New Roman" w:hAnsi="Times New Roman"/>
          <w:sz w:val="22"/>
          <w:szCs w:val="22"/>
          <w:color w:val="auto"/>
        </w:rPr>
        <w:t>this Award, such unvested Restricted Stock Units shall vest in accordance with this Section II.A.1(b)(v).</w:t>
      </w:r>
    </w:p>
    <w:p>
      <w:pPr>
        <w:spacing w:after="0" w:line="220" w:lineRule="exact"/>
        <w:rPr>
          <w:sz w:val="20"/>
          <w:szCs w:val="20"/>
          <w:color w:val="auto"/>
        </w:rPr>
      </w:pPr>
    </w:p>
    <w:p>
      <w:pPr>
        <w:jc w:val="both"/>
        <w:ind w:left="2020" w:firstLine="643"/>
        <w:spacing w:after="0" w:line="251" w:lineRule="auto"/>
        <w:tabs>
          <w:tab w:leader="none" w:pos="3333"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if at any time before the vesting or forfeiture of Restricted Stock Units subject to this Award, and while Grantee is continuously a Service Provider, a Change in Control occurs, then the Restricted Stock Units will become nonforfeitable and payable to Grantee in accordance with Section II.A.2 hereof, except to the extent that a Replacement Award is provided to Grantee in accordance with Section II.A.1(b)(v)(B) to continue, replace or assume the Restricted Stock Units covered by this Award (the “Replaced Award”).</w:t>
      </w:r>
    </w:p>
    <w:p>
      <w:pPr>
        <w:spacing w:after="0" w:line="181" w:lineRule="exact"/>
        <w:rPr>
          <w:rFonts w:ascii="Times New Roman" w:cs="Times New Roman" w:eastAsia="Times New Roman" w:hAnsi="Times New Roman"/>
          <w:sz w:val="22"/>
          <w:szCs w:val="22"/>
          <w:color w:val="auto"/>
        </w:rPr>
      </w:pPr>
    </w:p>
    <w:p>
      <w:pPr>
        <w:jc w:val="both"/>
        <w:ind w:left="2020" w:firstLine="643"/>
        <w:spacing w:after="0" w:line="247" w:lineRule="auto"/>
        <w:tabs>
          <w:tab w:leader="none" w:pos="3205"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“Replacement Award” means an award (1) of the same type (e.g., time-based restricted stock units) as the Replaced Award, (2) that has a value at least equal to the value of the Replaced Award, (3) that relates to publicly traded equity securities of the Company or its successor in the Change in Control or another entity that is affiliated with the Company or its successor following the Change in Control, (3) if Grantee holding the Replaced Award is subject to U.S. federal income tax under the Code, the tax consequences of which to such Grantee under the Code are not less favorable to such Grantee than the tax consequences of the Replaced Award, and (E) the other terms and conditions of which are not less favorable to Grantee holding the Replaced Award than the terms and conditions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II.A.1(b)(v)(B) are satisfied will be made by the Committee, as constituted immediately before the Change in Control, in its sole discretion.</w:t>
      </w:r>
    </w:p>
    <w:p>
      <w:pPr>
        <w:spacing w:after="0" w:line="194" w:lineRule="exact"/>
        <w:rPr>
          <w:rFonts w:ascii="Times New Roman" w:cs="Times New Roman" w:eastAsia="Times New Roman" w:hAnsi="Times New Roman"/>
          <w:sz w:val="22"/>
          <w:szCs w:val="22"/>
          <w:color w:val="auto"/>
        </w:rPr>
      </w:pPr>
    </w:p>
    <w:p>
      <w:pPr>
        <w:jc w:val="both"/>
        <w:ind w:left="2020" w:firstLine="643"/>
        <w:spacing w:after="0" w:line="273" w:lineRule="auto"/>
        <w:tabs>
          <w:tab w:leader="none" w:pos="3176"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receiving a Replacement Award, (1) Grantee experiences a Qualifying Termination with the Company or a Subsidiary (or any of their successors) (as applicable, the “Successor”), or</w:t>
      </w:r>
    </w:p>
    <w:p>
      <w:pPr>
        <w:spacing w:after="0" w:line="1" w:lineRule="exact"/>
        <w:rPr>
          <w:rFonts w:ascii="Times New Roman" w:cs="Times New Roman" w:eastAsia="Times New Roman" w:hAnsi="Times New Roman"/>
          <w:sz w:val="21"/>
          <w:szCs w:val="21"/>
          <w:color w:val="auto"/>
        </w:rPr>
      </w:pPr>
    </w:p>
    <w:p>
      <w:pPr>
        <w:jc w:val="both"/>
        <w:ind w:left="2020" w:hanging="5"/>
        <w:spacing w:after="0" w:line="245" w:lineRule="auto"/>
        <w:tabs>
          <w:tab w:leader="none" w:pos="235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ceases to be a Service Provider as a result of Grantee’s Retirement or Disability, in each case within a period of two years after the Change in Control and during the remaining vesting period for the Replacement Award, the Replacement Award shall become fully vested and nonforfeitable with respect to the time-based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500" w:top="1422" w:right="339" w:bottom="1440" w:gutter="0" w:footer="0" w:header="0"/>
        </w:sectPr>
      </w:pPr>
    </w:p>
    <w:bookmarkStart w:id="119" w:name="page120"/>
    <w:bookmarkEnd w:id="119"/>
    <w:p>
      <w:pPr>
        <w:ind w:left="2020"/>
        <w:spacing w:after="0"/>
        <w:rPr>
          <w:sz w:val="20"/>
          <w:szCs w:val="20"/>
          <w:color w:val="auto"/>
        </w:rPr>
      </w:pPr>
      <w:r>
        <w:rPr>
          <w:rFonts w:ascii="Times New Roman" w:cs="Times New Roman" w:eastAsia="Times New Roman" w:hAnsi="Times New Roman"/>
          <w:sz w:val="22"/>
          <w:szCs w:val="22"/>
          <w:color w:val="auto"/>
        </w:rPr>
        <w:t>covered by such Replacement Award upon such termination or Retirement or Disability.</w:t>
      </w:r>
    </w:p>
    <w:p>
      <w:pPr>
        <w:spacing w:after="0" w:line="220" w:lineRule="exact"/>
        <w:rPr>
          <w:sz w:val="20"/>
          <w:szCs w:val="20"/>
          <w:color w:val="auto"/>
        </w:rPr>
      </w:pPr>
    </w:p>
    <w:p>
      <w:pPr>
        <w:jc w:val="both"/>
        <w:ind w:left="2020" w:firstLine="643"/>
        <w:spacing w:after="0" w:line="256" w:lineRule="auto"/>
        <w:tabs>
          <w:tab w:leader="none" w:pos="326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Replacement Award is provided, notwithstanding anything in this Agreement to the contrary, any outstanding Restricted Stock Units subject to this Award that at the time of the Change in Control are not subject to a “substantial risk of forfeiture” (within the meaning of Section 409A of the Code) will be deemed to be vested and nonforfeitable at the time of such Change in Control.</w:t>
      </w:r>
    </w:p>
    <w:p>
      <w:pPr>
        <w:spacing w:after="0" w:line="176" w:lineRule="exact"/>
        <w:rPr>
          <w:sz w:val="20"/>
          <w:szCs w:val="20"/>
          <w:color w:val="auto"/>
        </w:rPr>
      </w:pPr>
    </w:p>
    <w:p>
      <w:pPr>
        <w:jc w:val="both"/>
        <w:ind w:left="480"/>
        <w:spacing w:after="0" w:line="257" w:lineRule="auto"/>
        <w:rPr>
          <w:sz w:val="20"/>
          <w:szCs w:val="20"/>
          <w:color w:val="auto"/>
        </w:rPr>
      </w:pPr>
      <w:r>
        <w:rPr>
          <w:rFonts w:ascii="Times New Roman" w:cs="Times New Roman" w:eastAsia="Times New Roman" w:hAnsi="Times New Roman"/>
          <w:sz w:val="22"/>
          <w:szCs w:val="22"/>
          <w:color w:val="auto"/>
        </w:rPr>
        <w:t>Any Restricted Stock Units that do not vest in accordance with Section II.A.1(a) or this Section II.A.1(b) shall be canceled and forfeited as of the date Grantee ceases to be a Service Provider. However, in particular, this Award is subject to Section 18(c) of the Plan.</w:t>
      </w:r>
    </w:p>
    <w:p>
      <w:pPr>
        <w:spacing w:after="0" w:line="182" w:lineRule="exact"/>
        <w:rPr>
          <w:sz w:val="20"/>
          <w:szCs w:val="20"/>
          <w:color w:val="auto"/>
        </w:rPr>
      </w:pPr>
    </w:p>
    <w:p>
      <w:pPr>
        <w:ind w:left="640" w:hanging="380"/>
        <w:spacing w:after="0"/>
        <w:tabs>
          <w:tab w:leader="none" w:pos="640"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Settlement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480" w:firstLine="259"/>
        <w:spacing w:after="0" w:line="259" w:lineRule="auto"/>
        <w:tabs>
          <w:tab w:leader="none" w:pos="1246"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II.A.2(b) below, and as soon as administratively practicable following (but no later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thirty (30) days following) the Vesting Date, the Company shall issue Grantee one share of Common Stock for each Restricted Stock Unit that is vested (but has not previously been settled) on the Vesting Date.</w:t>
      </w:r>
    </w:p>
    <w:p>
      <w:pPr>
        <w:spacing w:after="0" w:line="166" w:lineRule="exact"/>
        <w:rPr>
          <w:rFonts w:ascii="Times New Roman" w:cs="Times New Roman" w:eastAsia="Times New Roman" w:hAnsi="Times New Roman"/>
          <w:sz w:val="22"/>
          <w:szCs w:val="22"/>
          <w:color w:val="auto"/>
        </w:rPr>
      </w:pPr>
    </w:p>
    <w:p>
      <w:pPr>
        <w:ind w:left="480" w:firstLine="306"/>
        <w:spacing w:after="0" w:line="275" w:lineRule="auto"/>
        <w:tabs>
          <w:tab w:leader="none" w:pos="1353" w:val="left"/>
        </w:tabs>
        <w:numPr>
          <w:ilvl w:val="2"/>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Payment Events</w:t>
      </w:r>
      <w:r>
        <w:rPr>
          <w:rFonts w:ascii="Times New Roman" w:cs="Times New Roman" w:eastAsia="Times New Roman" w:hAnsi="Times New Roman"/>
          <w:sz w:val="22"/>
          <w:szCs w:val="22"/>
          <w:color w:val="auto"/>
        </w:rPr>
        <w:t>. Notwithstanding Section II.A.2(a), to the extent that the Restricted Stock Units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vested on the dates set forth below, payment with respect to the Restricted Stock Units will be made as follows:</w:t>
      </w:r>
    </w:p>
    <w:p>
      <w:pPr>
        <w:spacing w:after="0" w:line="166" w:lineRule="exact"/>
        <w:rPr>
          <w:rFonts w:ascii="Times New Roman" w:cs="Times New Roman" w:eastAsia="Times New Roman" w:hAnsi="Times New Roman"/>
          <w:sz w:val="22"/>
          <w:szCs w:val="22"/>
          <w:color w:val="auto"/>
        </w:rPr>
      </w:pPr>
    </w:p>
    <w:p>
      <w:pPr>
        <w:jc w:val="both"/>
        <w:ind w:left="1120" w:firstLine="571"/>
        <w:spacing w:after="0" w:line="252" w:lineRule="auto"/>
        <w:tabs>
          <w:tab w:leader="none" w:pos="2246" w:val="left"/>
        </w:tabs>
        <w:numPr>
          <w:ilvl w:val="3"/>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Restricted Stock Units are vested as a result of Section II.A.1(b) (and have not previously been settled) on the date of Grantee’s death, the Company shall issue Grantee one share of Common Stock for each vested Restricted Stock Unit as soon as practicable following (but no later than thirty (30) days following) the date of Grantee’s death;</w:t>
      </w:r>
    </w:p>
    <w:p>
      <w:pPr>
        <w:spacing w:after="0" w:line="179" w:lineRule="exact"/>
        <w:rPr>
          <w:rFonts w:ascii="Times New Roman" w:cs="Times New Roman" w:eastAsia="Times New Roman" w:hAnsi="Times New Roman"/>
          <w:sz w:val="22"/>
          <w:szCs w:val="22"/>
          <w:color w:val="auto"/>
        </w:rPr>
      </w:pPr>
    </w:p>
    <w:p>
      <w:pPr>
        <w:jc w:val="both"/>
        <w:ind w:left="1120" w:firstLine="571"/>
        <w:spacing w:after="0" w:line="250" w:lineRule="auto"/>
        <w:tabs>
          <w:tab w:leader="none" w:pos="2295" w:val="left"/>
        </w:tabs>
        <w:numPr>
          <w:ilvl w:val="3"/>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Restricted Stock Units are vested as a result of Section II.A.1(b) (and have not previously been settled) on the date of a Change in Control, the Company shall issue Grantee one share of Common Stock for each vested Restricted Stock Unit as soon as practicable following (but no later than thirty (30) days following) the date of the Change in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Change in Control would not qualify as a permissible date of distribution under Section 409A(a)(2)(A) of the Code, and the regulations thereunder, and where Section 409A of the Code applies to such distribution, payment for the Restricted Stock Units shall be made upon the earlier of (A) a Change in Control that constitutes a “change in control” for purposes of Section 409A(a)(2)(A)(v) of the Code, or (B) the date that would have otherwise applied pursuant to this Agreement had such Change in Control not occurred;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500" w:top="1422" w:right="339" w:bottom="1440" w:gutter="0" w:footer="0" w:header="0"/>
        </w:sectPr>
      </w:pPr>
    </w:p>
    <w:bookmarkStart w:id="120" w:name="page121"/>
    <w:bookmarkEnd w:id="120"/>
    <w:p>
      <w:pPr>
        <w:jc w:val="both"/>
        <w:ind w:left="1120" w:firstLine="571"/>
        <w:spacing w:after="0" w:line="265" w:lineRule="auto"/>
        <w:tabs>
          <w:tab w:leader="none" w:pos="2343" w:val="left"/>
        </w:tabs>
        <w:numPr>
          <w:ilvl w:val="6"/>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Restricted Stock Units are vested as a result of Section II.A.1(b) (and have not previously been settled) on the date of Grantee’s “separation from service” with the Company and its Subsidiaries (determined in accordance with Section 409A(a)(2)(A)(i) of the Code) within two years following the occurrence of a Change in Control that constitutes a “change in control” for purposes of Section 409A(a)(2)(A)(v) of the Code, the Company shall issue Grantee one share of Common Stock for each vested Restricted Stock Unit as soon as practicable following (but no later than thirty (30) days following) the date of such separation from service.</w:t>
      </w:r>
    </w:p>
    <w:p>
      <w:pPr>
        <w:spacing w:after="0" w:line="164" w:lineRule="exact"/>
        <w:rPr>
          <w:rFonts w:ascii="Times New Roman" w:cs="Times New Roman" w:eastAsia="Times New Roman" w:hAnsi="Times New Roman"/>
          <w:sz w:val="21"/>
          <w:szCs w:val="21"/>
          <w:color w:val="auto"/>
        </w:rPr>
      </w:pPr>
    </w:p>
    <w:p>
      <w:pPr>
        <w:jc w:val="both"/>
        <w:ind w:left="-180" w:firstLine="449"/>
        <w:spacing w:after="0" w:line="250" w:lineRule="auto"/>
        <w:tabs>
          <w:tab w:leader="none" w:pos="643" w:val="left"/>
        </w:tabs>
        <w:numPr>
          <w:ilvl w:val="2"/>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Equivalent Rights</w:t>
      </w:r>
      <w:r>
        <w:rPr>
          <w:rFonts w:ascii="Times New Roman" w:cs="Times New Roman" w:eastAsia="Times New Roman" w:hAnsi="Times New Roman"/>
          <w:sz w:val="22"/>
          <w:szCs w:val="22"/>
          <w:color w:val="auto"/>
        </w:rPr>
        <w:t>. Grantee shall be credited with cash per Restricted Stock Unit equal to the amount of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dividend paid by the Company (if any) to holders of Common Stock generally with a record date occurring on or after the Date of Grant and prior to the time when the Restricted Stock Units are settled in accordance with Section II.A.2 hereof.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Common Stock, as determined by the Committee in its sole discretion, at the same time as the Restricted Stock Units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79" w:lineRule="exact"/>
        <w:rPr>
          <w:rFonts w:ascii="Times New Roman" w:cs="Times New Roman" w:eastAsia="Times New Roman" w:hAnsi="Times New Roman"/>
          <w:sz w:val="22"/>
          <w:szCs w:val="22"/>
          <w:b w:val="1"/>
          <w:bCs w:val="1"/>
          <w:color w:val="auto"/>
        </w:rPr>
      </w:pPr>
    </w:p>
    <w:p>
      <w:pPr>
        <w:ind w:left="-180" w:right="20" w:firstLine="467"/>
        <w:spacing w:after="0" w:line="275" w:lineRule="auto"/>
        <w:tabs>
          <w:tab w:leader="none" w:pos="670" w:val="left"/>
        </w:tabs>
        <w:numPr>
          <w:ilvl w:val="3"/>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as a Stockholder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will not have any rights of a stockholder (including voting and dividend rights)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the Restricted Stock Units covered by this Award (except as otherwise provided in Section II.A.3).</w:t>
      </w:r>
    </w:p>
    <w:p>
      <w:pPr>
        <w:spacing w:after="0" w:line="149" w:lineRule="exact"/>
        <w:rPr>
          <w:rFonts w:ascii="Times New Roman" w:cs="Times New Roman" w:eastAsia="Times New Roman" w:hAnsi="Times New Roman"/>
          <w:sz w:val="22"/>
          <w:szCs w:val="22"/>
          <w:b w:val="1"/>
          <w:bCs w:val="1"/>
          <w:color w:val="auto"/>
        </w:rPr>
      </w:pPr>
    </w:p>
    <w:p>
      <w:pPr>
        <w:ind w:left="-180" w:firstLine="440"/>
        <w:spacing w:after="0" w:line="275" w:lineRule="auto"/>
        <w:tabs>
          <w:tab w:leader="none" w:pos="630" w:val="left"/>
        </w:tabs>
        <w:numPr>
          <w:ilvl w:val="2"/>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 The Restricted Stock Units covered by this Award will be subject to adjustment as provided in Section 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Plan.</w:t>
      </w:r>
    </w:p>
    <w:p>
      <w:pPr>
        <w:spacing w:after="0" w:line="162" w:lineRule="exact"/>
        <w:rPr>
          <w:rFonts w:ascii="Times New Roman" w:cs="Times New Roman" w:eastAsia="Times New Roman" w:hAnsi="Times New Roman"/>
          <w:sz w:val="22"/>
          <w:szCs w:val="22"/>
          <w:b w:val="1"/>
          <w:bCs w:val="1"/>
          <w:color w:val="auto"/>
        </w:rPr>
      </w:pPr>
    </w:p>
    <w:p>
      <w:pPr>
        <w:ind w:left="460" w:hanging="416"/>
        <w:spacing w:after="0"/>
        <w:tabs>
          <w:tab w:leader="none" w:pos="460"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Terms and Conditions</w:t>
      </w:r>
      <w:r>
        <w:rPr>
          <w:rFonts w:ascii="Times New Roman" w:cs="Times New Roman" w:eastAsia="Times New Roman" w:hAnsi="Times New Roman"/>
          <w:sz w:val="22"/>
          <w:szCs w:val="22"/>
          <w:b w:val="1"/>
          <w:bCs w:val="1"/>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180" w:firstLine="494"/>
        <w:spacing w:after="0" w:line="253" w:lineRule="auto"/>
        <w:tabs>
          <w:tab w:leader="none" w:pos="711" w:val="left"/>
        </w:tabs>
        <w:numPr>
          <w:ilvl w:val="4"/>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Except as described below, and subject to the Plan and Section 409A, this Award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Restricted Stock Units subject to 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88" w:lineRule="exact"/>
        <w:rPr>
          <w:rFonts w:ascii="Times New Roman" w:cs="Times New Roman" w:eastAsia="Times New Roman" w:hAnsi="Times New Roman"/>
          <w:sz w:val="22"/>
          <w:szCs w:val="22"/>
          <w:b w:val="1"/>
          <w:bCs w:val="1"/>
          <w:color w:val="auto"/>
        </w:rPr>
      </w:pPr>
    </w:p>
    <w:p>
      <w:pPr>
        <w:jc w:val="both"/>
        <w:ind w:left="-180" w:firstLine="593"/>
        <w:spacing w:after="0" w:line="249" w:lineRule="auto"/>
        <w:tabs>
          <w:tab w:leader="none" w:pos="859" w:val="left"/>
        </w:tabs>
        <w:numPr>
          <w:ilvl w:val="5"/>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the Company is required to withhold federal, state, local or foreign taxes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in connection with any payment made or benefit realized by Grantee under this Agreement, and the amounts available to the Company for such withholding are insufficient, it shall be a condition to the receipt of such payment or the realization of such benefit that Grantee make arrangements satisfactory to the Company for payment of the balance of such taxes or other amounts required to be withheld. If Grantee’s benefit is to be received in the form of shares of Common Stock, then (a) if Grantee is subject to Section 16 of the Exchange Act, Grantee agrees that the Company will withhold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500" w:top="1422" w:right="339" w:bottom="1440" w:gutter="0" w:footer="0" w:header="0"/>
        </w:sectPr>
      </w:pPr>
    </w:p>
    <w:bookmarkStart w:id="121" w:name="page122"/>
    <w:bookmarkEnd w:id="121"/>
    <w:p>
      <w:pPr>
        <w:jc w:val="both"/>
        <w:spacing w:after="0" w:line="250" w:lineRule="auto"/>
        <w:rPr>
          <w:sz w:val="20"/>
          <w:szCs w:val="20"/>
          <w:color w:val="auto"/>
        </w:rPr>
      </w:pPr>
      <w:r>
        <w:rPr>
          <w:rFonts w:ascii="Times New Roman" w:cs="Times New Roman" w:eastAsia="Times New Roman" w:hAnsi="Times New Roman"/>
          <w:sz w:val="22"/>
          <w:szCs w:val="22"/>
          <w:color w:val="auto"/>
        </w:rPr>
        <w:t>Common Stock having a value equal to the amount required to be withheld, and (b) if Grantee is not subject to Section 16 of the Exchange Act, Grantee may elect that all or any part of such withholding requirement be satisfied by the retention by the Company a portion of the Common Stock to be delivered to Grantee, by delivering to the Company other Common Stock held by Grantee, or by tendering sufficient funds in cash or cash equivalent to the Company. The shares of Common Stock used for tax or other withholding will be valued at an amount equal to the fair market value of such shares of Common Stock on the date the benefit is to be included in Grantee’s income. In no event will the fair market value of the shares of Common Stock to be withheld or delivered pursuant to this Section II.B.2 to satisfy applicable withholding taxes or other amounts in connection with the benefit exceed (x) the maximum amount that could be required to be withheld or (y) if so determined by the Committee after the date hereof, the minimum amount required to be withheld.</w:t>
      </w:r>
    </w:p>
    <w:p>
      <w:pPr>
        <w:spacing w:after="0" w:line="176" w:lineRule="exact"/>
        <w:rPr>
          <w:sz w:val="20"/>
          <w:szCs w:val="20"/>
          <w:color w:val="auto"/>
        </w:rPr>
      </w:pPr>
    </w:p>
    <w:p>
      <w:pPr>
        <w:ind w:left="820" w:hanging="380"/>
        <w:spacing w:after="0"/>
        <w:tabs>
          <w:tab w:leader="none" w:pos="820"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p>
    <w:p>
      <w:pPr>
        <w:spacing w:after="0" w:line="219" w:lineRule="exact"/>
        <w:rPr>
          <w:rFonts w:ascii="Times New Roman" w:cs="Times New Roman" w:eastAsia="Times New Roman" w:hAnsi="Times New Roman"/>
          <w:sz w:val="22"/>
          <w:szCs w:val="22"/>
          <w:b w:val="1"/>
          <w:bCs w:val="1"/>
          <w:color w:val="auto"/>
        </w:rPr>
      </w:pPr>
    </w:p>
    <w:p>
      <w:pPr>
        <w:ind w:left="660" w:firstLine="644"/>
        <w:spacing w:after="0" w:line="248" w:lineRule="auto"/>
        <w:tabs>
          <w:tab w:leader="none" w:pos="1953"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Generally. </w:t>
      </w:r>
      <w:r>
        <w:rPr>
          <w:rFonts w:ascii="Times New Roman" w:cs="Times New Roman" w:eastAsia="Times New Roman" w:hAnsi="Times New Roman"/>
          <w:sz w:val="22"/>
          <w:szCs w:val="22"/>
          <w:color w:val="auto"/>
        </w:rPr>
        <w:t>The Company would not be providing Restricted Stock Units or Common Stock to Grantee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Grantee’s 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 Notwithstanding anything herein to the contrary, if Grantee is subject to the restrictive covenants set forth in Section 7 (or any successor provision) of the TriMas Corporation Executive Severance/Change of Control Policy (or any successor policy), then (1) such restrictive covenants, rather than the restrictive covenants in this Section II.B.3, shall apply to Grantee, and (2) Grantee’s violation of such restrictive covenants shall be treated as a violation of the restrictive covenants in this Section II.B.3 for purposes of this Agreement.</w:t>
      </w:r>
    </w:p>
    <w:p>
      <w:pPr>
        <w:spacing w:after="0" w:line="198" w:lineRule="exact"/>
        <w:rPr>
          <w:rFonts w:ascii="Times New Roman" w:cs="Times New Roman" w:eastAsia="Times New Roman" w:hAnsi="Times New Roman"/>
          <w:sz w:val="22"/>
          <w:szCs w:val="22"/>
          <w:color w:val="auto"/>
        </w:rPr>
      </w:pPr>
    </w:p>
    <w:p>
      <w:pPr>
        <w:ind w:left="660" w:right="20" w:firstLine="644"/>
        <w:spacing w:after="0" w:line="248" w:lineRule="auto"/>
        <w:tabs>
          <w:tab w:leader="none" w:pos="1951"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Confidentiality. </w:t>
      </w:r>
      <w:r>
        <w:rPr>
          <w:rFonts w:ascii="Times New Roman" w:cs="Times New Roman" w:eastAsia="Times New Roman" w:hAnsi="Times New Roman"/>
          <w:sz w:val="22"/>
          <w:szCs w:val="22"/>
          <w:color w:val="auto"/>
        </w:rPr>
        <w:t>Recognizing Grantee’s fiduciary duties to the Company, as a condition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II.B.3 shall not result in the forfeiture of Restricted Stock Units or any clawback or recoupment of the Award for the disclosure of a trade secret if that disclosure (1) is made in confidence to a federal, state or local government official or to an attorney for the sole purpose of reporting or investigating a suspected violation of law or (2)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22" w:right="339" w:bottom="1440" w:gutter="0" w:footer="0" w:header="0"/>
        </w:sectPr>
      </w:pPr>
    </w:p>
    <w:bookmarkStart w:id="122" w:name="page123"/>
    <w:bookmarkEnd w:id="122"/>
    <w:p>
      <w:pPr>
        <w:ind w:left="480"/>
        <w:spacing w:after="0" w:line="247" w:lineRule="auto"/>
        <w:rPr>
          <w:sz w:val="20"/>
          <w:szCs w:val="20"/>
          <w:color w:val="auto"/>
        </w:rPr>
      </w:pPr>
      <w:r>
        <w:rPr>
          <w:rFonts w:ascii="Times New Roman" w:cs="Times New Roman" w:eastAsia="Times New Roman" w:hAnsi="Times New Roman"/>
          <w:sz w:val="22"/>
          <w:szCs w:val="22"/>
          <w:color w:val="auto"/>
        </w:rPr>
        <w:t>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(or in any other agreement, contract or arrangement with the Company or its subsidiaries or affiliates, or in any policy, procedure or practice of the Company or its subsidiaries or affiliates (collectively, the “Arrangements”)): (x) nothing in the Arrangements or otherwise limits Grantee’s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(y) nothing in the Arrangements or otherwise prohibits or is intended to restrict or impede Grantee from discussing the terms and conditions of their employment with coworkers or union representatives or exercising protected rights under Section 7 of the National Labor Relations Act, or prevents Grantee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Grantee is not prohibited from providing information (including documents) voluntarily to the Securities and Exchange Commission pursuant to Section 21F of the Exchange Act). The Company nonetheless asserts and does not waive its attorney-client privilege over any information (including documents) appropriately protected by privilege.</w:t>
      </w:r>
    </w:p>
    <w:p>
      <w:pPr>
        <w:spacing w:after="0" w:line="185" w:lineRule="exact"/>
        <w:rPr>
          <w:sz w:val="20"/>
          <w:szCs w:val="20"/>
          <w:color w:val="auto"/>
        </w:rPr>
      </w:pPr>
    </w:p>
    <w:p>
      <w:pPr>
        <w:ind w:left="1760" w:hanging="636"/>
        <w:spacing w:after="0"/>
        <w:tabs>
          <w:tab w:leader="none" w:pos="1760" w:val="left"/>
        </w:tabs>
        <w:numPr>
          <w:ilvl w:val="1"/>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Covenants Against Competition and Solicitation.</w:t>
      </w:r>
    </w:p>
    <w:p>
      <w:pPr>
        <w:spacing w:after="0" w:line="223" w:lineRule="exact"/>
        <w:rPr>
          <w:rFonts w:ascii="Times New Roman" w:cs="Times New Roman" w:eastAsia="Times New Roman" w:hAnsi="Times New Roman"/>
          <w:sz w:val="22"/>
          <w:szCs w:val="22"/>
          <w:b w:val="1"/>
          <w:bCs w:val="1"/>
          <w:color w:val="auto"/>
        </w:rPr>
      </w:pPr>
    </w:p>
    <w:p>
      <w:pPr>
        <w:ind w:left="1120" w:hanging="212"/>
        <w:spacing w:after="0" w:line="250" w:lineRule="auto"/>
        <w:tabs>
          <w:tab w:leader="none" w:pos="132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while Grantee is employed by the Company, and for 12 months thereafter, Grantee shall not engage, either directly or indirectly, as a principal for Grantee’s own account or jointly with others, or as a stockholder in any corporation or joint stock association, or as a partner or member of a general or limited liability entity, or as an employee, officer, director, agent, consultant or in any other advisory capacity in any Competitive Business that designs, develops, manufactures, distributes, sells or markets the type of products or services sold, distributed or provided by the Company, during the one-year period prior to the date of employment termination and with which Grantee was involved and/or oversaw (the “Business”); provided that nothing herein shall prevent Grantee from owning, directly or indirectly, not more than five percent of the outstanding shares of, or any other equity interest in, any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40"/>
          </w:cols>
          <w:pgMar w:left="500" w:top="1422" w:right="359" w:bottom="1440" w:gutter="0" w:footer="0" w:header="0"/>
        </w:sectPr>
      </w:pPr>
    </w:p>
    <w:bookmarkStart w:id="123" w:name="page124"/>
    <w:bookmarkEnd w:id="123"/>
    <w:p>
      <w:pPr>
        <w:ind w:left="1120" w:right="140"/>
        <w:spacing w:after="0" w:line="254" w:lineRule="auto"/>
        <w:rPr>
          <w:sz w:val="20"/>
          <w:szCs w:val="20"/>
          <w:color w:val="auto"/>
        </w:rPr>
      </w:pPr>
      <w:r>
        <w:rPr>
          <w:rFonts w:ascii="Times New Roman" w:cs="Times New Roman" w:eastAsia="Times New Roman" w:hAnsi="Times New Roman"/>
          <w:sz w:val="22"/>
          <w:szCs w:val="22"/>
          <w:color w:val="auto"/>
        </w:rPr>
        <w:t>engaged in the Business and listed or traded on a national securities exchange or in an over-the-counter securities market.</w:t>
      </w:r>
    </w:p>
    <w:p>
      <w:pPr>
        <w:spacing w:after="0" w:line="2" w:lineRule="exact"/>
        <w:rPr>
          <w:sz w:val="20"/>
          <w:szCs w:val="20"/>
          <w:color w:val="auto"/>
        </w:rPr>
      </w:pPr>
    </w:p>
    <w:p>
      <w:pPr>
        <w:ind w:left="1120" w:firstLine="220"/>
        <w:spacing w:after="0" w:line="247" w:lineRule="auto"/>
        <w:tabs>
          <w:tab w:leader="none" w:pos="1816" w:val="left"/>
        </w:tabs>
        <w:numPr>
          <w:ilvl w:val="2"/>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solicit business (relating to the Business) from, attempt to entice away from the Company, or interfere with the Company’s relationship with any entity that is a client or customer of the Company at the time of such solicitation, enticement, or interference, or that was identified or solicited as a client or customer of the Company during the time that Grantee performed services for the Company, unless such entity shall have ceased to have been such a customer for a period of at least six months as of the time of such solicitation.</w:t>
      </w:r>
    </w:p>
    <w:p>
      <w:pPr>
        <w:ind w:left="1120" w:right="180" w:hanging="212"/>
        <w:spacing w:after="0" w:line="245" w:lineRule="auto"/>
        <w:tabs>
          <w:tab w:leader="none" w:pos="144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w:t>
      </w:r>
    </w:p>
    <w:p>
      <w:pPr>
        <w:spacing w:after="0" w:line="214" w:lineRule="exact"/>
        <w:rPr>
          <w:rFonts w:ascii="Times New Roman" w:cs="Times New Roman" w:eastAsia="Times New Roman" w:hAnsi="Times New Roman"/>
          <w:sz w:val="22"/>
          <w:szCs w:val="22"/>
          <w:color w:val="auto"/>
        </w:rPr>
      </w:pPr>
    </w:p>
    <w:p>
      <w:pPr>
        <w:jc w:val="both"/>
        <w:ind w:left="480" w:right="140" w:firstLine="644"/>
        <w:spacing w:after="0" w:line="258" w:lineRule="auto"/>
        <w:tabs>
          <w:tab w:leader="none" w:pos="1771"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Determination by the Board. </w:t>
      </w:r>
      <w:r>
        <w:rPr>
          <w:rFonts w:ascii="Times New Roman" w:cs="Times New Roman" w:eastAsia="Times New Roman" w:hAnsi="Times New Roman"/>
          <w:sz w:val="22"/>
          <w:szCs w:val="22"/>
          <w:color w:val="auto"/>
        </w:rPr>
        <w:t>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167" w:lineRule="exact"/>
        <w:rPr>
          <w:rFonts w:ascii="Times New Roman" w:cs="Times New Roman" w:eastAsia="Times New Roman" w:hAnsi="Times New Roman"/>
          <w:sz w:val="22"/>
          <w:szCs w:val="22"/>
          <w:color w:val="auto"/>
        </w:rPr>
      </w:pPr>
    </w:p>
    <w:p>
      <w:pPr>
        <w:ind w:left="1760" w:hanging="636"/>
        <w:spacing w:after="0"/>
        <w:tabs>
          <w:tab w:leader="none" w:pos="176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Certain Definitions. </w:t>
      </w:r>
      <w:r>
        <w:rPr>
          <w:rFonts w:ascii="Times New Roman" w:cs="Times New Roman" w:eastAsia="Times New Roman" w:hAnsi="Times New Roman"/>
          <w:sz w:val="22"/>
          <w:szCs w:val="22"/>
          <w:color w:val="auto"/>
        </w:rPr>
        <w:t>The following definitions shall apply solely with respect to this Section II.B.3:</w:t>
      </w:r>
    </w:p>
    <w:p>
      <w:pPr>
        <w:spacing w:after="0" w:line="219" w:lineRule="exact"/>
        <w:rPr>
          <w:rFonts w:ascii="Times New Roman" w:cs="Times New Roman" w:eastAsia="Times New Roman" w:hAnsi="Times New Roman"/>
          <w:sz w:val="22"/>
          <w:szCs w:val="22"/>
          <w:color w:val="auto"/>
        </w:rPr>
      </w:pPr>
    </w:p>
    <w:p>
      <w:pPr>
        <w:ind w:left="1120" w:firstLine="622"/>
        <w:spacing w:after="0" w:line="250" w:lineRule="auto"/>
        <w:tabs>
          <w:tab w:leader="none" w:pos="2158" w:val="left"/>
        </w:tabs>
        <w:numPr>
          <w:ilvl w:val="3"/>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80" w:lineRule="exact"/>
        <w:rPr>
          <w:rFonts w:ascii="Times New Roman" w:cs="Times New Roman" w:eastAsia="Times New Roman" w:hAnsi="Times New Roman"/>
          <w:sz w:val="22"/>
          <w:szCs w:val="22"/>
          <w:color w:val="auto"/>
        </w:rPr>
      </w:pPr>
    </w:p>
    <w:p>
      <w:pPr>
        <w:ind w:left="1120" w:right="20" w:firstLine="622"/>
        <w:spacing w:after="0" w:line="265" w:lineRule="auto"/>
        <w:tabs>
          <w:tab w:leader="none" w:pos="2218" w:val="left"/>
        </w:tabs>
        <w:numPr>
          <w:ilvl w:val="3"/>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as evidenced on the Company’s website, in the marketing materials of the Company or by the books and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40"/>
          </w:cols>
          <w:pgMar w:left="500" w:top="1422" w:right="359" w:bottom="1440" w:gutter="0" w:footer="0" w:header="0"/>
        </w:sectPr>
      </w:pPr>
    </w:p>
    <w:bookmarkStart w:id="124" w:name="page125"/>
    <w:bookmarkEnd w:id="124"/>
    <w:p>
      <w:pPr>
        <w:ind w:left="1120"/>
        <w:spacing w:after="0"/>
        <w:rPr>
          <w:sz w:val="20"/>
          <w:szCs w:val="20"/>
          <w:color w:val="auto"/>
        </w:rPr>
      </w:pPr>
      <w:r>
        <w:rPr>
          <w:rFonts w:ascii="Times New Roman" w:cs="Times New Roman" w:eastAsia="Times New Roman" w:hAnsi="Times New Roman"/>
          <w:sz w:val="22"/>
          <w:szCs w:val="22"/>
          <w:color w:val="auto"/>
        </w:rPr>
        <w:t>of the Company, and “engages” includes actively planning to engage in the business.</w:t>
      </w:r>
    </w:p>
    <w:p>
      <w:pPr>
        <w:spacing w:after="0" w:line="216" w:lineRule="exact"/>
        <w:rPr>
          <w:sz w:val="20"/>
          <w:szCs w:val="20"/>
          <w:color w:val="auto"/>
        </w:rPr>
      </w:pPr>
    </w:p>
    <w:p>
      <w:pPr>
        <w:ind w:left="1120" w:firstLine="622"/>
        <w:spacing w:after="0" w:line="248" w:lineRule="auto"/>
        <w:tabs>
          <w:tab w:leader="none" w:pos="2218"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92" w:lineRule="exact"/>
        <w:rPr>
          <w:rFonts w:ascii="Times New Roman" w:cs="Times New Roman" w:eastAsia="Times New Roman" w:hAnsi="Times New Roman"/>
          <w:sz w:val="22"/>
          <w:szCs w:val="22"/>
          <w:color w:val="auto"/>
        </w:rPr>
      </w:pPr>
    </w:p>
    <w:p>
      <w:pPr>
        <w:jc w:val="both"/>
        <w:ind w:left="460" w:firstLine="644"/>
        <w:spacing w:after="0" w:line="253" w:lineRule="auto"/>
        <w:tabs>
          <w:tab w:leader="none" w:pos="175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Tolling. </w:t>
      </w:r>
      <w:r>
        <w:rPr>
          <w:rFonts w:ascii="Times New Roman" w:cs="Times New Roman" w:eastAsia="Times New Roman" w:hAnsi="Times New Roman"/>
          <w:sz w:val="22"/>
          <w:szCs w:val="22"/>
          <w:color w:val="auto"/>
        </w:rPr>
        <w:t>The restricted time periods in Section II.B.3 shall be tolled during any time period that Grantee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violation of such covenants, as determined by a court of competent jurisdiction, so that the Company may realize the full benefit of its bargain. This tolling shall include any time period during which litigation is pending, but during which Grantee has continued to violate such protective covenants.</w:t>
      </w:r>
    </w:p>
    <w:p>
      <w:pPr>
        <w:spacing w:after="0" w:line="175" w:lineRule="exact"/>
        <w:rPr>
          <w:rFonts w:ascii="Times New Roman" w:cs="Times New Roman" w:eastAsia="Times New Roman" w:hAnsi="Times New Roman"/>
          <w:sz w:val="22"/>
          <w:szCs w:val="22"/>
          <w:color w:val="auto"/>
        </w:rPr>
      </w:pPr>
    </w:p>
    <w:p>
      <w:pPr>
        <w:jc w:val="both"/>
        <w:ind w:left="460" w:firstLine="644"/>
        <w:spacing w:after="0" w:line="248" w:lineRule="auto"/>
        <w:tabs>
          <w:tab w:leader="none" w:pos="1755"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Relief, Remedies, and Enforcement. </w:t>
      </w:r>
      <w:r>
        <w:rPr>
          <w:rFonts w:ascii="Times New Roman" w:cs="Times New Roman" w:eastAsia="Times New Roman" w:hAnsi="Times New Roman"/>
          <w:sz w:val="22"/>
          <w:szCs w:val="22"/>
          <w:color w:val="auto"/>
        </w:rPr>
        <w:t>Grantee acknowledges that the covenants contained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are reasonable and necessary to protect the legitimate interests of the Company and that any breach or threatened breach of any such covenants will cause irreparable injury to the Company for which money damages would not provide an adequate remedy. If Grantee breaches, or threatens to commit a breach of, any of the provisions of this Agreement, the Company shall have the right to seek appropriate equitable relief, including a permanent injunction or similar court order enjoining Grantee from violating any of such provisions, and that, pending the hearing and the decision on the application for permanent equitable relief, the Company shall be entitled to a temporary restraining order and a preliminary injunction, without the necessity of showing actual monetary damages or the posting of a bond or other security. No such remedy shall be construed to be the exclusive remedy of the Company and any and all such remedies shall be held and construed to be cumulative and not exclusive of any rights or remedies, whether at law or in equity, otherwise available under the terms of this Agreement, at common law or under federal, state or local statutes, rules and regulations. Grantee further agrees to pay any and all legal fees,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60"/>
          </w:cols>
          <w:pgMar w:left="500" w:top="1422" w:right="339" w:bottom="1440" w:gutter="0" w:footer="0" w:header="0"/>
        </w:sectPr>
      </w:pPr>
    </w:p>
    <w:bookmarkStart w:id="125" w:name="page126"/>
    <w:bookmarkEnd w:id="125"/>
    <w:p>
      <w:pPr>
        <w:ind w:left="460" w:right="20"/>
        <w:spacing w:after="0" w:line="271" w:lineRule="auto"/>
        <w:rPr>
          <w:sz w:val="20"/>
          <w:szCs w:val="20"/>
          <w:color w:val="auto"/>
        </w:rPr>
      </w:pPr>
      <w:r>
        <w:rPr>
          <w:rFonts w:ascii="Times New Roman" w:cs="Times New Roman" w:eastAsia="Times New Roman" w:hAnsi="Times New Roman"/>
          <w:sz w:val="22"/>
          <w:szCs w:val="22"/>
          <w:color w:val="auto"/>
        </w:rPr>
        <w:t>limitation, all attorneys’ fees, court costs, and any other related fees and/or costs incurred by the Company in enforcing this Agreement.</w:t>
      </w:r>
    </w:p>
    <w:p>
      <w:pPr>
        <w:spacing w:after="0" w:line="154" w:lineRule="exact"/>
        <w:rPr>
          <w:sz w:val="20"/>
          <w:szCs w:val="20"/>
          <w:color w:val="auto"/>
        </w:rPr>
      </w:pPr>
    </w:p>
    <w:p>
      <w:pPr>
        <w:ind w:left="460" w:firstLine="644"/>
        <w:spacing w:after="0" w:line="287" w:lineRule="auto"/>
        <w:tabs>
          <w:tab w:leader="none" w:pos="1755" w:val="left"/>
        </w:tabs>
        <w:numPr>
          <w:ilvl w:val="6"/>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37" w:lineRule="exact"/>
        <w:rPr>
          <w:rFonts w:ascii="Times New Roman" w:cs="Times New Roman" w:eastAsia="Times New Roman" w:hAnsi="Times New Roman"/>
          <w:sz w:val="22"/>
          <w:szCs w:val="22"/>
          <w:color w:val="auto"/>
        </w:rPr>
      </w:pPr>
    </w:p>
    <w:p>
      <w:pPr>
        <w:jc w:val="both"/>
        <w:ind w:left="-180" w:firstLine="485"/>
        <w:spacing w:after="0" w:line="252" w:lineRule="auto"/>
        <w:tabs>
          <w:tab w:leader="none" w:pos="697" w:val="left"/>
        </w:tabs>
        <w:numPr>
          <w:ilvl w:val="1"/>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applicable, it is intended that this Agreement and the Plan comply with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Grantee).</w:t>
      </w:r>
    </w:p>
    <w:p>
      <w:pPr>
        <w:spacing w:after="0" w:line="174" w:lineRule="exact"/>
        <w:rPr>
          <w:rFonts w:ascii="Times New Roman" w:cs="Times New Roman" w:eastAsia="Times New Roman" w:hAnsi="Times New Roman"/>
          <w:sz w:val="22"/>
          <w:szCs w:val="22"/>
          <w:b w:val="1"/>
          <w:bCs w:val="1"/>
          <w:color w:val="auto"/>
        </w:rPr>
      </w:pPr>
    </w:p>
    <w:p>
      <w:pPr>
        <w:jc w:val="both"/>
        <w:ind w:left="-180" w:firstLine="530"/>
        <w:spacing w:after="0" w:line="254" w:lineRule="auto"/>
        <w:tabs>
          <w:tab w:leader="none" w:pos="765" w:val="left"/>
        </w:tabs>
        <w:numPr>
          <w:ilvl w:val="2"/>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Continued Right as Service Provider.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the Plan or in this Agreement confers on Grantee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as a Service Provider, or interferes with or restricts in any way the rights of the Company or any Subsidiary or affiliate of the Company, which are hereby expressly reserved, to discharge Grantee at any time for any reason whatsoever, with or without Cause, except to the extent expressly provided otherwise in a written employment agreement between Grantee and the Company or any Subsidiary.</w:t>
      </w:r>
    </w:p>
    <w:p>
      <w:pPr>
        <w:spacing w:after="0" w:line="173" w:lineRule="exact"/>
        <w:rPr>
          <w:rFonts w:ascii="Times New Roman" w:cs="Times New Roman" w:eastAsia="Times New Roman" w:hAnsi="Times New Roman"/>
          <w:sz w:val="22"/>
          <w:szCs w:val="22"/>
          <w:b w:val="1"/>
          <w:bCs w:val="1"/>
          <w:color w:val="auto"/>
        </w:rPr>
      </w:pPr>
    </w:p>
    <w:p>
      <w:pPr>
        <w:jc w:val="both"/>
        <w:ind w:left="-180" w:firstLine="449"/>
        <w:spacing w:after="0" w:line="253" w:lineRule="auto"/>
        <w:tabs>
          <w:tab w:leader="none" w:pos="643"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on Other Benefits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no event will the value, at any time, of the Restricted Stock Units or any other payment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payment 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188" w:lineRule="exact"/>
        <w:rPr>
          <w:rFonts w:ascii="Times New Roman" w:cs="Times New Roman" w:eastAsia="Times New Roman" w:hAnsi="Times New Roman"/>
          <w:sz w:val="22"/>
          <w:szCs w:val="22"/>
          <w:b w:val="1"/>
          <w:bCs w:val="1"/>
          <w:color w:val="auto"/>
        </w:rPr>
      </w:pPr>
    </w:p>
    <w:p>
      <w:pPr>
        <w:jc w:val="both"/>
        <w:ind w:left="-180" w:firstLine="561"/>
        <w:spacing w:after="0" w:line="259" w:lineRule="auto"/>
        <w:tabs>
          <w:tab w:leader="none" w:pos="805" w:val="left"/>
        </w:tabs>
        <w:numPr>
          <w:ilvl w:val="3"/>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If Grantee is or was employed by a subsidiary of the Company, then such subsidiary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intended to be a third-party beneficiary of this Agreement and shall have the right to enforce this Agreement, including, but not limited to, the provisions of Section II.B.3.</w:t>
      </w:r>
    </w:p>
    <w:p>
      <w:pPr>
        <w:spacing w:after="0" w:line="166" w:lineRule="exact"/>
        <w:rPr>
          <w:rFonts w:ascii="Times New Roman" w:cs="Times New Roman" w:eastAsia="Times New Roman" w:hAnsi="Times New Roman"/>
          <w:sz w:val="22"/>
          <w:szCs w:val="22"/>
          <w:b w:val="1"/>
          <w:bCs w:val="1"/>
          <w:color w:val="auto"/>
        </w:rPr>
      </w:pPr>
    </w:p>
    <w:p>
      <w:pPr>
        <w:jc w:val="both"/>
        <w:ind w:left="-180" w:firstLine="584"/>
        <w:spacing w:after="0" w:line="265" w:lineRule="auto"/>
        <w:tabs>
          <w:tab w:leader="none" w:pos="846" w:val="left"/>
        </w:tabs>
        <w:numPr>
          <w:ilvl w:val="4"/>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Unfunded and Unsecured General Creditor</w:t>
      </w:r>
      <w:r>
        <w:rPr>
          <w:rFonts w:ascii="Times New Roman" w:cs="Times New Roman" w:eastAsia="Times New Roman" w:hAnsi="Times New Roman"/>
          <w:sz w:val="22"/>
          <w:szCs w:val="22"/>
          <w:color w:val="auto"/>
        </w:rPr>
        <w:t>. Grantee, as a holder of Restricted Stock Units and rights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has no rights other than those of a general creditor of the Company. The Restricted Stock Units represent an unfunded and unsecured obligation of the Company, subject to the terms and conditions of this Agreement and the Plan.</w:t>
      </w:r>
    </w:p>
    <w:p>
      <w:pPr>
        <w:spacing w:after="0" w:line="161" w:lineRule="exact"/>
        <w:rPr>
          <w:rFonts w:ascii="Times New Roman" w:cs="Times New Roman" w:eastAsia="Times New Roman" w:hAnsi="Times New Roman"/>
          <w:sz w:val="22"/>
          <w:szCs w:val="22"/>
          <w:b w:val="1"/>
          <w:bCs w:val="1"/>
          <w:color w:val="auto"/>
        </w:rPr>
      </w:pPr>
    </w:p>
    <w:p>
      <w:pPr>
        <w:jc w:val="both"/>
        <w:ind w:left="-180" w:firstLine="746"/>
        <w:spacing w:after="0" w:line="253" w:lineRule="auto"/>
        <w:tabs>
          <w:tab w:leader="none" w:pos="1089" w:val="left"/>
        </w:tabs>
        <w:numPr>
          <w:ilvl w:val="5"/>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or the application of any provision hereof to any person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75" w:lineRule="exact"/>
        <w:rPr>
          <w:rFonts w:ascii="Times New Roman" w:cs="Times New Roman" w:eastAsia="Times New Roman" w:hAnsi="Times New Roman"/>
          <w:sz w:val="22"/>
          <w:szCs w:val="22"/>
          <w:b w:val="1"/>
          <w:bCs w:val="1"/>
          <w:color w:val="auto"/>
        </w:rPr>
      </w:pPr>
    </w:p>
    <w:p>
      <w:pPr>
        <w:ind w:left="-180" w:firstLine="534"/>
        <w:spacing w:after="0" w:line="287" w:lineRule="auto"/>
        <w:tabs>
          <w:tab w:leader="none" w:pos="765" w:val="left"/>
        </w:tabs>
        <w:numPr>
          <w:ilvl w:val="2"/>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and Grantee’s participation in the Plan,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500" w:top="1422" w:right="339" w:bottom="1440" w:gutter="0" w:footer="0" w:header="0"/>
        </w:sectPr>
      </w:pPr>
    </w:p>
    <w:bookmarkStart w:id="126" w:name="page127"/>
    <w:bookmarkEnd w:id="126"/>
    <w:p>
      <w:pPr>
        <w:jc w:val="both"/>
        <w:spacing w:after="0" w:line="256" w:lineRule="auto"/>
        <w:rPr>
          <w:sz w:val="20"/>
          <w:szCs w:val="20"/>
          <w:color w:val="auto"/>
        </w:rPr>
      </w:pPr>
      <w:r>
        <w:rPr>
          <w:rFonts w:ascii="Times New Roman" w:cs="Times New Roman" w:eastAsia="Times New Roman" w:hAnsi="Times New Roman"/>
          <w:sz w:val="22"/>
          <w:szCs w:val="22"/>
          <w:color w:val="auto"/>
        </w:rPr>
        <w:t>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2" w:lineRule="exact"/>
        <w:rPr>
          <w:sz w:val="20"/>
          <w:szCs w:val="20"/>
          <w:color w:val="auto"/>
        </w:rPr>
      </w:pPr>
    </w:p>
    <w:p>
      <w:pPr>
        <w:ind w:left="920" w:hanging="480"/>
        <w:spacing w:after="0"/>
        <w:tabs>
          <w:tab w:leader="none" w:pos="920"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Nature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accepting this Award, Grantee acknowledges that:</w:t>
      </w:r>
    </w:p>
    <w:p>
      <w:pPr>
        <w:spacing w:after="0" w:line="223" w:lineRule="exact"/>
        <w:rPr>
          <w:rFonts w:ascii="Times New Roman" w:cs="Times New Roman" w:eastAsia="Times New Roman" w:hAnsi="Times New Roman"/>
          <w:sz w:val="22"/>
          <w:szCs w:val="22"/>
          <w:b w:val="1"/>
          <w:bCs w:val="1"/>
          <w:color w:val="auto"/>
        </w:rPr>
      </w:pPr>
    </w:p>
    <w:p>
      <w:pPr>
        <w:ind w:left="660" w:right="20" w:firstLine="227"/>
        <w:spacing w:after="0" w:line="295" w:lineRule="auto"/>
        <w:tabs>
          <w:tab w:leader="none" w:pos="1361" w:val="left"/>
        </w:tabs>
        <w:numPr>
          <w:ilvl w:val="2"/>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it is discretionary in nature and it may be modified, amended, suspended or terminated by the Company at any time unless otherwise provided in the Plan or this Agreement;</w:t>
      </w:r>
    </w:p>
    <w:p>
      <w:pPr>
        <w:spacing w:after="0" w:line="135" w:lineRule="exact"/>
        <w:rPr>
          <w:rFonts w:ascii="Times New Roman" w:cs="Times New Roman" w:eastAsia="Times New Roman" w:hAnsi="Times New Roman"/>
          <w:sz w:val="21"/>
          <w:szCs w:val="21"/>
          <w:color w:val="auto"/>
        </w:rPr>
      </w:pPr>
    </w:p>
    <w:p>
      <w:pPr>
        <w:jc w:val="both"/>
        <w:ind w:left="660" w:firstLine="266"/>
        <w:spacing w:after="0" w:line="263" w:lineRule="auto"/>
        <w:tabs>
          <w:tab w:leader="none" w:pos="1452" w:val="left"/>
        </w:tabs>
        <w:numPr>
          <w:ilvl w:val="4"/>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167" w:lineRule="exact"/>
        <w:rPr>
          <w:rFonts w:ascii="Times New Roman" w:cs="Times New Roman" w:eastAsia="Times New Roman" w:hAnsi="Times New Roman"/>
          <w:sz w:val="22"/>
          <w:szCs w:val="22"/>
          <w:color w:val="auto"/>
        </w:rPr>
      </w:pPr>
    </w:p>
    <w:p>
      <w:pPr>
        <w:ind w:left="660" w:firstLine="348"/>
        <w:spacing w:after="0" w:line="271" w:lineRule="auto"/>
        <w:tabs>
          <w:tab w:leader="none" w:pos="1604" w:val="left"/>
        </w:tabs>
        <w:numPr>
          <w:ilvl w:val="5"/>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 grants, if any, will be at the sole discretion of the Committee;</w:t>
      </w:r>
    </w:p>
    <w:p>
      <w:pPr>
        <w:spacing w:after="0" w:line="157" w:lineRule="exact"/>
        <w:rPr>
          <w:rFonts w:ascii="Times New Roman" w:cs="Times New Roman" w:eastAsia="Times New Roman" w:hAnsi="Times New Roman"/>
          <w:sz w:val="22"/>
          <w:szCs w:val="22"/>
          <w:color w:val="auto"/>
        </w:rPr>
      </w:pPr>
    </w:p>
    <w:p>
      <w:pPr>
        <w:ind w:left="1340" w:hanging="468"/>
        <w:spacing w:after="0"/>
        <w:tabs>
          <w:tab w:leader="none" w:pos="1340" w:val="left"/>
        </w:tabs>
        <w:numPr>
          <w:ilvl w:val="3"/>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is voluntarily participating in the Plan;</w:t>
      </w:r>
    </w:p>
    <w:p>
      <w:pPr>
        <w:spacing w:after="0" w:line="219" w:lineRule="exact"/>
        <w:rPr>
          <w:rFonts w:ascii="Times New Roman" w:cs="Times New Roman" w:eastAsia="Times New Roman" w:hAnsi="Times New Roman"/>
          <w:sz w:val="22"/>
          <w:szCs w:val="22"/>
          <w:color w:val="auto"/>
        </w:rPr>
      </w:pPr>
    </w:p>
    <w:p>
      <w:pPr>
        <w:jc w:val="both"/>
        <w:ind w:left="660" w:firstLine="231"/>
        <w:spacing w:after="0" w:line="263" w:lineRule="auto"/>
        <w:tabs>
          <w:tab w:leader="none" w:pos="1371" w:val="left"/>
        </w:tabs>
        <w:numPr>
          <w:ilvl w:val="3"/>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Common Stock subject to the Restricted Stock Units are an extraordinary item that does not constitute compensation of any kind for services of any kind rendered to the Company or Grantee’s employer, and which is outside the scope of Grantee’s employment contract, if any;</w:t>
      </w:r>
    </w:p>
    <w:p>
      <w:pPr>
        <w:spacing w:after="0" w:line="167" w:lineRule="exact"/>
        <w:rPr>
          <w:rFonts w:ascii="Times New Roman" w:cs="Times New Roman" w:eastAsia="Times New Roman" w:hAnsi="Times New Roman"/>
          <w:sz w:val="22"/>
          <w:szCs w:val="22"/>
          <w:color w:val="auto"/>
        </w:rPr>
      </w:pPr>
    </w:p>
    <w:p>
      <w:pPr>
        <w:ind w:left="660" w:right="20" w:firstLine="216"/>
        <w:spacing w:after="0" w:line="271" w:lineRule="auto"/>
        <w:tabs>
          <w:tab w:leader="none" w:pos="1316"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Common Stock subject to the Restricted Stock Units are not intended to replace any pension rights or compensation;</w:t>
      </w:r>
    </w:p>
    <w:p>
      <w:pPr>
        <w:spacing w:after="0" w:line="157" w:lineRule="exact"/>
        <w:rPr>
          <w:rFonts w:ascii="Times New Roman" w:cs="Times New Roman" w:eastAsia="Times New Roman" w:hAnsi="Times New Roman"/>
          <w:sz w:val="22"/>
          <w:szCs w:val="22"/>
          <w:color w:val="auto"/>
        </w:rPr>
      </w:pPr>
    </w:p>
    <w:p>
      <w:pPr>
        <w:ind w:left="1340" w:hanging="468"/>
        <w:spacing w:after="0"/>
        <w:tabs>
          <w:tab w:leader="none" w:pos="134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Common Stock is unknown and cannot be predicted with certainty;</w:t>
      </w:r>
    </w:p>
    <w:p>
      <w:pPr>
        <w:spacing w:after="0" w:line="233" w:lineRule="exact"/>
        <w:rPr>
          <w:rFonts w:ascii="Times New Roman" w:cs="Times New Roman" w:eastAsia="Times New Roman" w:hAnsi="Times New Roman"/>
          <w:sz w:val="22"/>
          <w:szCs w:val="22"/>
          <w:color w:val="auto"/>
        </w:rPr>
      </w:pPr>
    </w:p>
    <w:p>
      <w:pPr>
        <w:jc w:val="both"/>
        <w:ind w:left="660" w:firstLine="212"/>
        <w:spacing w:after="0" w:line="275" w:lineRule="auto"/>
        <w:tabs>
          <w:tab w:leader="none" w:pos="1344"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Restricted Stock Units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55" w:lineRule="exact"/>
        <w:rPr>
          <w:rFonts w:ascii="Times New Roman" w:cs="Times New Roman" w:eastAsia="Times New Roman" w:hAnsi="Times New Roman"/>
          <w:sz w:val="21"/>
          <w:szCs w:val="21"/>
          <w:color w:val="auto"/>
        </w:rPr>
      </w:pPr>
    </w:p>
    <w:p>
      <w:pPr>
        <w:jc w:val="both"/>
        <w:ind w:left="660" w:firstLine="264"/>
        <w:spacing w:after="0" w:line="253" w:lineRule="auto"/>
        <w:tabs>
          <w:tab w:leader="none" w:pos="1400" w:val="left"/>
        </w:tabs>
        <w:numPr>
          <w:ilvl w:val="2"/>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the Restricted Stock Units, no claim or entitlement to compensation or damages shall arise from forfeiture of the Restricted Stock Units resulting from termination of Grantee’s employment with the Company or Grantee’s employer (for any reason whatsoever and whether or not in breach of local labor laws) and Grantee irrevocably releases the Company and Grantee’s employer from any such claim that may arise; if, notwithstanding the foregoing, any such claim is found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22" w:right="339" w:bottom="1440" w:gutter="0" w:footer="0" w:header="0"/>
        </w:sectPr>
      </w:pPr>
    </w:p>
    <w:bookmarkStart w:id="127" w:name="page128"/>
    <w:bookmarkEnd w:id="127"/>
    <w:p>
      <w:pPr>
        <w:ind w:left="480" w:right="20"/>
        <w:spacing w:after="0" w:line="271" w:lineRule="auto"/>
        <w:rPr>
          <w:sz w:val="20"/>
          <w:szCs w:val="20"/>
          <w:color w:val="auto"/>
        </w:rPr>
      </w:pPr>
      <w:r>
        <w:rPr>
          <w:rFonts w:ascii="Times New Roman" w:cs="Times New Roman" w:eastAsia="Times New Roman" w:hAnsi="Times New Roman"/>
          <w:sz w:val="22"/>
          <w:szCs w:val="22"/>
          <w:color w:val="auto"/>
        </w:rPr>
        <w:t>by a court of competent jurisdiction to have arisen, Grantee shall be deemed irrevocably to have waived any entitlement to pursue such claim; and</w:t>
      </w:r>
    </w:p>
    <w:p>
      <w:pPr>
        <w:spacing w:after="0" w:line="158" w:lineRule="exact"/>
        <w:rPr>
          <w:sz w:val="20"/>
          <w:szCs w:val="20"/>
          <w:color w:val="auto"/>
        </w:rPr>
      </w:pPr>
    </w:p>
    <w:p>
      <w:pPr>
        <w:jc w:val="both"/>
        <w:ind w:left="480" w:firstLine="225"/>
        <w:spacing w:after="0" w:line="268" w:lineRule="auto"/>
        <w:tabs>
          <w:tab w:leader="none" w:pos="1143" w:val="left"/>
        </w:tabs>
        <w:numPr>
          <w:ilvl w:val="4"/>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Grantee ceases to be a Service Provider (whether or not in breach of local labor laws), Grantee’s right to vest in the Restricted Stock Units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Restricted Stock Units.</w:t>
      </w:r>
    </w:p>
    <w:p>
      <w:pPr>
        <w:spacing w:after="0" w:line="159" w:lineRule="exact"/>
        <w:rPr>
          <w:rFonts w:ascii="Times New Roman" w:cs="Times New Roman" w:eastAsia="Times New Roman" w:hAnsi="Times New Roman"/>
          <w:sz w:val="21"/>
          <w:szCs w:val="21"/>
          <w:color w:val="auto"/>
        </w:rPr>
      </w:pPr>
    </w:p>
    <w:p>
      <w:pPr>
        <w:ind w:left="740" w:hanging="480"/>
        <w:spacing w:after="0"/>
        <w:tabs>
          <w:tab w:leader="none" w:pos="740" w:val="left"/>
        </w:tabs>
        <w:numPr>
          <w:ilvl w:val="1"/>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Addenda for Certain Participants</w:t>
      </w:r>
      <w:r>
        <w:rPr>
          <w:rFonts w:ascii="Times New Roman" w:cs="Times New Roman" w:eastAsia="Times New Roman" w:hAnsi="Times New Roman"/>
          <w:sz w:val="22"/>
          <w:szCs w:val="22"/>
          <w:b w:val="1"/>
          <w:bCs w:val="1"/>
          <w:color w:val="auto"/>
        </w:rPr>
        <w:t>.</w:t>
      </w:r>
    </w:p>
    <w:p>
      <w:pPr>
        <w:spacing w:after="0" w:line="233" w:lineRule="exact"/>
        <w:rPr>
          <w:rFonts w:ascii="Times New Roman" w:cs="Times New Roman" w:eastAsia="Times New Roman" w:hAnsi="Times New Roman"/>
          <w:sz w:val="22"/>
          <w:szCs w:val="22"/>
          <w:b w:val="1"/>
          <w:bCs w:val="1"/>
          <w:color w:val="auto"/>
        </w:rPr>
      </w:pPr>
    </w:p>
    <w:p>
      <w:pPr>
        <w:jc w:val="both"/>
        <w:ind w:left="480" w:firstLine="644"/>
        <w:spacing w:after="0" w:line="250" w:lineRule="auto"/>
        <w:tabs>
          <w:tab w:leader="none" w:pos="1611" w:val="left"/>
        </w:tabs>
        <w:numPr>
          <w:ilvl w:val="5"/>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Non-U.S. Participants</w:t>
      </w:r>
      <w:r>
        <w:rPr>
          <w:rFonts w:ascii="Times New Roman" w:cs="Times New Roman" w:eastAsia="Times New Roman" w:hAnsi="Times New Roman"/>
          <w:sz w:val="22"/>
          <w:szCs w:val="22"/>
          <w:color w:val="auto"/>
        </w:rPr>
        <w:t>. Notwithstanding any provisions in this Agreement, the Restricted Stock Units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also be subject to the special terms and conditions set forth in the Non-U.S. Addendum attached as Appendix B to this Agreement for Grantees who reside in any country covered therein. Moreover, if Grantee relocates to one of the countries included in the Non-U.S. Addendum, the special terms and conditions for such country will apply to Grantee to the extent the Company determines that the application of such terms and conditions are necessary or advisable in order to comply with local law or facilitate the administration of the Plan. The Non-U.S. Addendum attached hereto as Appendix B constitutes part of this Agreement.</w:t>
      </w:r>
    </w:p>
    <w:p>
      <w:pPr>
        <w:spacing w:after="0" w:line="180" w:lineRule="exact"/>
        <w:rPr>
          <w:rFonts w:ascii="Times New Roman" w:cs="Times New Roman" w:eastAsia="Times New Roman" w:hAnsi="Times New Roman"/>
          <w:sz w:val="22"/>
          <w:szCs w:val="22"/>
          <w:color w:val="auto"/>
        </w:rPr>
      </w:pPr>
    </w:p>
    <w:p>
      <w:pPr>
        <w:jc w:val="both"/>
        <w:ind w:left="480" w:firstLine="644"/>
        <w:spacing w:after="0" w:line="254" w:lineRule="auto"/>
        <w:tabs>
          <w:tab w:leader="none" w:pos="1596" w:val="left"/>
        </w:tabs>
        <w:numPr>
          <w:ilvl w:val="5"/>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California Participants</w:t>
      </w:r>
      <w:r>
        <w:rPr>
          <w:rFonts w:ascii="Times New Roman" w:cs="Times New Roman" w:eastAsia="Times New Roman" w:hAnsi="Times New Roman"/>
          <w:sz w:val="22"/>
          <w:szCs w:val="22"/>
          <w:color w:val="auto"/>
        </w:rPr>
        <w:t>. Notwithstanding any provisions in this Agreement, the Restricted Stock Units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also be subject to the special terms and conditions set forth in the California Addendum attached as Appendix C to this Agreement if Grantee is employed and/or resides in California or if the Company determines that the application of such terms and conditions is necessary or advisable in order to comply with applicable law. The California Addendum attached hereto as Appendix C constitutes part of this Agreement.</w:t>
      </w:r>
    </w:p>
    <w:p>
      <w:pPr>
        <w:spacing w:after="0" w:line="173" w:lineRule="exact"/>
        <w:rPr>
          <w:rFonts w:ascii="Times New Roman" w:cs="Times New Roman" w:eastAsia="Times New Roman" w:hAnsi="Times New Roman"/>
          <w:sz w:val="22"/>
          <w:szCs w:val="22"/>
          <w:color w:val="auto"/>
        </w:rPr>
      </w:pPr>
    </w:p>
    <w:p>
      <w:pPr>
        <w:jc w:val="both"/>
        <w:ind w:left="-180" w:firstLine="494"/>
        <w:spacing w:after="0" w:line="254" w:lineRule="auto"/>
        <w:tabs>
          <w:tab w:leader="none" w:pos="819" w:val="left"/>
        </w:tabs>
        <w:numPr>
          <w:ilvl w:val="3"/>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amendment to the Plan shall be deemed to be an amendment to this Agreement to the extent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amendment is applicable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73" w:lineRule="exact"/>
        <w:rPr>
          <w:rFonts w:ascii="Times New Roman" w:cs="Times New Roman" w:eastAsia="Times New Roman" w:hAnsi="Times New Roman"/>
          <w:sz w:val="22"/>
          <w:szCs w:val="22"/>
          <w:b w:val="1"/>
          <w:bCs w:val="1"/>
          <w:color w:val="auto"/>
        </w:rPr>
      </w:pPr>
    </w:p>
    <w:p>
      <w:pPr>
        <w:jc w:val="both"/>
        <w:ind w:left="-180" w:firstLine="467"/>
        <w:spacing w:after="0" w:line="253" w:lineRule="auto"/>
        <w:tabs>
          <w:tab w:leader="none" w:pos="778" w:val="left"/>
        </w:tabs>
        <w:numPr>
          <w:ilvl w:val="2"/>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subject to the terms and conditions of the Plan. In the event of any inconsistency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175" w:lineRule="exact"/>
        <w:rPr>
          <w:rFonts w:ascii="Times New Roman" w:cs="Times New Roman" w:eastAsia="Times New Roman" w:hAnsi="Times New Roman"/>
          <w:sz w:val="22"/>
          <w:szCs w:val="22"/>
          <w:b w:val="1"/>
          <w:bCs w:val="1"/>
          <w:color w:val="auto"/>
        </w:rPr>
      </w:pPr>
    </w:p>
    <w:p>
      <w:pPr>
        <w:ind w:left="-180" w:firstLine="449"/>
        <w:spacing w:after="0" w:line="287" w:lineRule="auto"/>
        <w:tabs>
          <w:tab w:leader="none" w:pos="751" w:val="left"/>
        </w:tabs>
        <w:numPr>
          <w:ilvl w:val="1"/>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 Choice of Forum; Jury Trial 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governed by and construed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laws of the State of Michigan,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60"/>
          </w:cols>
          <w:pgMar w:left="500" w:top="1422" w:right="339" w:bottom="1440" w:gutter="0" w:footer="0" w:header="0"/>
        </w:sectPr>
      </w:pPr>
    </w:p>
    <w:bookmarkStart w:id="128" w:name="page129"/>
    <w:bookmarkEnd w:id="128"/>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notwithstanding conflict of law provisions. Grantee further agrees that any action by Grantee to challenge the enforceability of this Agreement must be brought or litigated exclusively in the appropriate state or federal court located in the State of Michigan. Grantee also agrees that any action by the Company to enforce this Agreement, as well as any related disputes or litigation related to this Agreement, may be brought in the appropriate state or federal court located in the State of Michigan. Grantee agrees and consents to the personal jurisdiction and venue of the federal or state courts of Michigan for resolution of any disputes or litigation arising under or in connection with this Agreement or any challenge to this Agreement and waives any objections or defenses to personal jurisdiction or venue in any such proceeding before any such court. </w:t>
      </w:r>
      <w:r>
        <w:rPr>
          <w:rFonts w:ascii="Times New Roman" w:cs="Times New Roman" w:eastAsia="Times New Roman" w:hAnsi="Times New Roman"/>
          <w:sz w:val="21"/>
          <w:szCs w:val="21"/>
          <w:b w:val="1"/>
          <w:bCs w:val="1"/>
          <w:color w:val="auto"/>
        </w:rPr>
        <w:t>GRANTEE AGREE THAT, TO THE</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b w:val="1"/>
          <w:bCs w:val="1"/>
          <w:color w:val="auto"/>
        </w:rPr>
        <w:t>FULLEST EXTENT PERMITTED BY LAW, EACH PARTY WAIVES ANY RIGHT TO TRIAL BY JURY WITH RESPECT TO ANY PROCEEDING ARISING OUT OF OR RELATING TO THIS AGREEMENT.</w:t>
      </w:r>
    </w:p>
    <w:p>
      <w:pPr>
        <w:spacing w:after="0" w:line="164" w:lineRule="exact"/>
        <w:rPr>
          <w:sz w:val="20"/>
          <w:szCs w:val="20"/>
          <w:color w:val="auto"/>
        </w:rPr>
      </w:pPr>
    </w:p>
    <w:p>
      <w:pPr>
        <w:ind w:left="920" w:hanging="480"/>
        <w:spacing w:after="0"/>
        <w:tabs>
          <w:tab w:leader="none" w:pos="920" w:val="left"/>
        </w:tabs>
        <w:numPr>
          <w:ilvl w:val="0"/>
          <w:numId w:val="1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Clawback Policy</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left="640" w:firstLine="644"/>
        <w:spacing w:after="0" w:line="247" w:lineRule="auto"/>
        <w:tabs>
          <w:tab w:leader="none" w:pos="1864"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Grantee acknowledges and agrees that this Agreement and the Award described herein (and any settlement thereof) are subject to the terms and conditions of the Company’s clawback policy or policies as may be in effect from time to time, including specifically to implement Section 10D of the Exchange Act and any applicable rules or regulations promulgated thereunder (including applicable rules and regulations of any national securities exchange on which the Common Stock at any point may be traded) (the “Compensation Recovery Policy”), and that, to the extent the Compensation Recovery Policy, by its terms, is applicable to the Award, applicable terms of this Agreement will be (if necessary) deemed superseded by and subject to the terms and conditions of the Compensation Recovery Policy from and after the effective date thereof. Further, by accepting the Award covered by this Agreement, Grantee (i) consents to be bound by the terms of the Compensation Recovery Policy, as applicable, (ii) agrees and acknowledges that Grantee is obligated to and will cooperate with, and will provide any and all assistance necessary to, the Company in any effort to recover or recoup any compensation or other amounts subject to clawback or recovery pursuant to the Compensation Recovery Policy and/or applicable laws, rules, regulations, stock exchange listing standards or other Company policy, and (iii) agrees that the Company may enforce its rights under the Compensation Recovery Policy through any and all reasonable means permitted under applicable law as it deems necessary or desirable under the Compensation Recovery Policy, in each case from and after the effective dates thereof. Such cooperation and assistance shall include, but is not limited to, executing, completing and submitting any documentation necessary to facilitate the recovery or recoupment by the Company from Grantee of any such amounts, including from Grantee’s accounts or from any other compensation, to the extent permissible under Section 409A of the Code.</w:t>
      </w:r>
    </w:p>
    <w:p>
      <w:pPr>
        <w:spacing w:after="0" w:line="183" w:lineRule="exact"/>
        <w:rPr>
          <w:rFonts w:ascii="Times New Roman" w:cs="Times New Roman" w:eastAsia="Times New Roman" w:hAnsi="Times New Roman"/>
          <w:sz w:val="22"/>
          <w:szCs w:val="22"/>
          <w:color w:val="auto"/>
        </w:rPr>
      </w:pPr>
    </w:p>
    <w:p>
      <w:pPr>
        <w:jc w:val="both"/>
        <w:ind w:left="640" w:firstLine="644"/>
        <w:spacing w:after="0" w:line="263" w:lineRule="auto"/>
        <w:tabs>
          <w:tab w:leader="none" w:pos="1804"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violation of Section II.B.3 of this Agreement prior to the Vesting Date and thereafter, as determined by the Board, shall result in the forfeiture of the Restricted Stock Units, and clawback and recoupment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22" w:right="339" w:bottom="1440" w:gutter="0" w:footer="0" w:header="0"/>
        </w:sectPr>
      </w:pPr>
    </w:p>
    <w:bookmarkStart w:id="129" w:name="page130"/>
    <w:bookmarkEnd w:id="129"/>
    <w:p>
      <w:pPr>
        <w:ind w:left="460"/>
        <w:spacing w:after="0" w:line="271" w:lineRule="auto"/>
        <w:rPr>
          <w:sz w:val="20"/>
          <w:szCs w:val="20"/>
          <w:color w:val="auto"/>
        </w:rPr>
      </w:pPr>
      <w:r>
        <w:rPr>
          <w:rFonts w:ascii="Times New Roman" w:cs="Times New Roman" w:eastAsia="Times New Roman" w:hAnsi="Times New Roman"/>
          <w:sz w:val="22"/>
          <w:szCs w:val="22"/>
          <w:color w:val="auto"/>
        </w:rPr>
        <w:t>shares of Common Stock issued or transferred to Grantee in settlement of the Restricted Stock Units (plus dividend equivalent payments).</w:t>
      </w:r>
    </w:p>
    <w:p>
      <w:pPr>
        <w:spacing w:after="0" w:line="15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60"/>
          </w:cols>
          <w:pgMar w:left="500" w:top="1422" w:right="339" w:bottom="1440" w:gutter="0" w:footer="0" w:header="0"/>
        </w:sectPr>
      </w:pPr>
    </w:p>
    <w:bookmarkStart w:id="130" w:name="page131"/>
    <w:bookmarkEnd w:id="130"/>
    <w:p>
      <w:pPr>
        <w:ind w:firstLine="648"/>
        <w:spacing w:after="0" w:line="271" w:lineRule="auto"/>
        <w:rPr>
          <w:sz w:val="20"/>
          <w:szCs w:val="20"/>
          <w:color w:val="auto"/>
        </w:rPr>
      </w:pPr>
      <w:r>
        <w:rPr>
          <w:rFonts w:ascii="Times New Roman" w:cs="Times New Roman" w:eastAsia="Times New Roman" w:hAnsi="Times New Roman"/>
          <w:sz w:val="22"/>
          <w:szCs w:val="22"/>
          <w:color w:val="auto"/>
        </w:rPr>
        <w:t>This Agreement may be executed in two or more counterparts, each of which is deemed an original and all of which constitute one document.</w:t>
      </w:r>
    </w:p>
    <w:p>
      <w:pPr>
        <w:spacing w:after="0" w:line="1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Dated as of: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Thomas A. Amato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 &amp; CEO</w:t>
      </w:r>
    </w:p>
    <w:p>
      <w:pPr>
        <w:spacing w:after="0" w:line="200" w:lineRule="exact"/>
        <w:rPr>
          <w:sz w:val="20"/>
          <w:szCs w:val="20"/>
          <w:color w:val="auto"/>
        </w:rPr>
      </w:pPr>
    </w:p>
    <w:p>
      <w:pPr>
        <w:sectPr>
          <w:pgSz w:w="11900" w:h="16838" w:orient="portrait"/>
          <w:cols w:equalWidth="0" w:num="2">
            <w:col w:w="4220" w:space="720"/>
            <w:col w:w="6300"/>
          </w:cols>
          <w:pgMar w:left="320" w:top="1422" w:right="339" w:bottom="1440" w:gutter="0" w:footer="0" w:header="0"/>
          <w:type w:val="continuous"/>
        </w:sectPr>
      </w:pPr>
    </w:p>
    <w:p>
      <w:pPr>
        <w:spacing w:after="0" w:line="200" w:lineRule="exact"/>
        <w:rPr>
          <w:sz w:val="20"/>
          <w:szCs w:val="20"/>
          <w:color w:val="auto"/>
        </w:rPr>
      </w:pPr>
    </w:p>
    <w:p>
      <w:pPr>
        <w:spacing w:after="0" w:line="399"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75"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b w:val="1"/>
          <w:bCs w:val="1"/>
          <w:color w:val="auto"/>
        </w:rPr>
        <w:t>BY CLICKING THE “ACCEPT” BUTTON BELOW, GRANTEE ACKNOWLEDGES RECEIPT OF A COPY OF THE PLAN AND REPRESENTS THAT GRANTEE IS FAMILIAR WITH THE TERMS AND PROVISIONS OF THE PLAN. GRANTEE ACCEPTS THIS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22" w:right="339" w:bottom="1440" w:gutter="0" w:footer="0" w:header="0"/>
          <w:type w:val="continuous"/>
        </w:sectPr>
      </w:pPr>
    </w:p>
    <w:bookmarkStart w:id="131" w:name="page132"/>
    <w:bookmarkEnd w:id="131"/>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GLOSSARY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w:t>
      </w:r>
    </w:p>
    <w:p>
      <w:pPr>
        <w:spacing w:after="0" w:line="243" w:lineRule="exact"/>
        <w:rPr>
          <w:sz w:val="20"/>
          <w:szCs w:val="20"/>
          <w:color w:val="auto"/>
        </w:rPr>
      </w:pPr>
    </w:p>
    <w:p>
      <w:pPr>
        <w:jc w:val="both"/>
        <w:ind w:left="100"/>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(a) Grantee’s conviction of or plea of guilty or nolo contendere to a crime constituting a felony under the laws of the United States or any State thereof or any other jurisdiction in which the Company or its Subsidiaries conduct business; (b) Grantee’s willful misconduct in the performance of his or her duties to the Company or its Subsidiaries and failure to cure such breach within thirty (30) days following written notice thereof from the Company; (c) Grantee’s willful failure or refusal to follow directions from the Board (or direct reporting executive) and failure to cure such breach within thirty (30) days following written notice thereof from the Board; or (d) Grantee’s breach of fiduciary duty to the Company or its Subsidiaries for personal profit. Any failure by the Company or a Subsidiary of the Company to notify Grantee after the first occurrence of an event constituting Cause shall not preclude any subsequent occurrences of such event (or a similar event) from constituting Cause.</w:t>
      </w:r>
    </w:p>
    <w:p>
      <w:pPr>
        <w:spacing w:after="0" w:line="192" w:lineRule="exact"/>
        <w:rPr>
          <w:sz w:val="20"/>
          <w:szCs w:val="20"/>
          <w:color w:val="auto"/>
        </w:rPr>
      </w:pPr>
    </w:p>
    <w:p>
      <w:pPr>
        <w:jc w:val="both"/>
        <w:ind w:left="10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(and similar terms) means Grantee’s 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199" w:lineRule="exact"/>
        <w:rPr>
          <w:sz w:val="20"/>
          <w:szCs w:val="20"/>
          <w:color w:val="auto"/>
        </w:rPr>
      </w:pPr>
    </w:p>
    <w:p>
      <w:pPr>
        <w:ind w:left="1400" w:hanging="644"/>
        <w:spacing w:after="0" w:line="271" w:lineRule="auto"/>
        <w:tabs>
          <w:tab w:leader="none" w:pos="125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contracted, suffered, or incurred while Grantee was engaged in, or resulted from Grantee having engaged in, a felonious activity;</w:t>
      </w:r>
    </w:p>
    <w:p>
      <w:pPr>
        <w:spacing w:after="0" w:line="198" w:lineRule="exact"/>
        <w:rPr>
          <w:rFonts w:ascii="Times New Roman" w:cs="Times New Roman" w:eastAsia="Times New Roman" w:hAnsi="Times New Roman"/>
          <w:sz w:val="22"/>
          <w:szCs w:val="22"/>
          <w:color w:val="auto"/>
        </w:rPr>
      </w:pPr>
    </w:p>
    <w:p>
      <w:pPr>
        <w:ind w:left="1400" w:right="20" w:hanging="644"/>
        <w:spacing w:after="0" w:line="271" w:lineRule="auto"/>
        <w:tabs>
          <w:tab w:leader="none" w:pos="131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an intentionally self-inflicted injury or an addiction to drugs, alcohol, or substances which are not administered under the direction of a licensed physician as part of a medical treatment plan; or</w:t>
      </w:r>
    </w:p>
    <w:p>
      <w:pPr>
        <w:spacing w:after="0" w:line="184" w:lineRule="exact"/>
        <w:rPr>
          <w:rFonts w:ascii="Times New Roman" w:cs="Times New Roman" w:eastAsia="Times New Roman" w:hAnsi="Times New Roman"/>
          <w:sz w:val="22"/>
          <w:szCs w:val="22"/>
          <w:color w:val="auto"/>
        </w:rPr>
      </w:pPr>
    </w:p>
    <w:p>
      <w:pPr>
        <w:ind w:left="1400" w:hanging="644"/>
        <w:spacing w:after="0" w:line="257" w:lineRule="auto"/>
        <w:tabs>
          <w:tab w:leader="none" w:pos="120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213" w:lineRule="exact"/>
        <w:rPr>
          <w:sz w:val="20"/>
          <w:szCs w:val="20"/>
          <w:color w:val="auto"/>
        </w:rPr>
      </w:pPr>
    </w:p>
    <w:p>
      <w:pPr>
        <w:jc w:val="both"/>
        <w:ind w:left="760"/>
        <w:spacing w:after="0" w:line="250" w:lineRule="auto"/>
        <w:rPr>
          <w:sz w:val="20"/>
          <w:szCs w:val="20"/>
          <w:color w:val="auto"/>
        </w:rPr>
      </w:pPr>
      <w:r>
        <w:rPr>
          <w:rFonts w:ascii="Times New Roman" w:cs="Times New Roman" w:eastAsia="Times New Roman" w:hAnsi="Times New Roman"/>
          <w:sz w:val="22"/>
          <w:szCs w:val="22"/>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40"/>
          </w:cols>
          <w:pgMar w:left="220" w:top="1418" w:right="339" w:bottom="1440" w:gutter="0" w:footer="0" w:header="0"/>
        </w:sectPr>
      </w:pPr>
    </w:p>
    <w:bookmarkStart w:id="132" w:name="page133"/>
    <w:bookmarkEnd w:id="132"/>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 to submit to any medical examination properly requested by the Committee or the Company, then in any such event Grantee shall be deemed to have recovered from such Disability.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w:t>
      </w:r>
    </w:p>
    <w:p>
      <w:pPr>
        <w:spacing w:after="0" w:line="251" w:lineRule="exact"/>
        <w:rPr>
          <w:sz w:val="20"/>
          <w:szCs w:val="20"/>
          <w:color w:val="auto"/>
        </w:rPr>
      </w:pPr>
    </w:p>
    <w:p>
      <w:pPr>
        <w:ind w:left="1160" w:hanging="504"/>
        <w:spacing w:after="0"/>
        <w:tabs>
          <w:tab w:leader="none" w:pos="116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and permanent diminution in Grantee’s duties or responsibilities;</w:t>
      </w:r>
    </w:p>
    <w:p>
      <w:pPr>
        <w:spacing w:after="0" w:line="246" w:lineRule="exact"/>
        <w:rPr>
          <w:rFonts w:ascii="Times New Roman" w:cs="Times New Roman" w:eastAsia="Times New Roman" w:hAnsi="Times New Roman"/>
          <w:sz w:val="22"/>
          <w:szCs w:val="22"/>
          <w:color w:val="auto"/>
        </w:rPr>
      </w:pPr>
    </w:p>
    <w:p>
      <w:pPr>
        <w:ind w:left="1300" w:hanging="644"/>
        <w:spacing w:after="0" w:line="271" w:lineRule="auto"/>
        <w:tabs>
          <w:tab w:leader="none" w:pos="1255"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aggregate value of base salary and bonus opportunity provided to Grantee by the Company; or</w:t>
      </w:r>
    </w:p>
    <w:p>
      <w:pPr>
        <w:spacing w:after="0" w:line="184"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permanent reassignment of Grantee to another primary office more than 50 miles from the current office location.</w:t>
      </w:r>
    </w:p>
    <w:p>
      <w:pPr>
        <w:spacing w:after="0" w:line="258"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Grantee must notify the Company of Grantee’s intention to invoke termination for Good Reason within 90 days after Grantee has knowledge of such event and provide the Company 30 days’ opportunity for cure, and Grantee must actually terminate Grantee’s employment with the Company prior to the 365th day following such occurrence or such event shall not constitute Good Reason. Grantee may not invoke termination for Good Reason if Cause exists or Grantee has violated Section II.B.3 of the Agreement at the time of such termination.</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“Qualifying Termination” </w:t>
      </w:r>
      <w:r>
        <w:rPr>
          <w:rFonts w:ascii="Times New Roman" w:cs="Times New Roman" w:eastAsia="Times New Roman" w:hAnsi="Times New Roman"/>
          <w:sz w:val="22"/>
          <w:szCs w:val="22"/>
          <w:color w:val="auto"/>
        </w:rPr>
        <w:t>means a termination of Grantee’s status as a Service Provider with the Company or a Subsidiary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reason other than:</w:t>
      </w:r>
    </w:p>
    <w:p>
      <w:pPr>
        <w:spacing w:after="0" w:line="141" w:lineRule="exact"/>
        <w:rPr>
          <w:sz w:val="20"/>
          <w:szCs w:val="20"/>
          <w:color w:val="auto"/>
        </w:rPr>
      </w:pPr>
    </w:p>
    <w:p>
      <w:pPr>
        <w:ind w:left="1120" w:hanging="464"/>
        <w:spacing w:after="0"/>
        <w:tabs>
          <w:tab w:leader="none" w:pos="112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19"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w:t>
      </w:r>
    </w:p>
    <w:p>
      <w:pPr>
        <w:spacing w:after="0" w:line="219"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w:t>
      </w:r>
    </w:p>
    <w:p>
      <w:pPr>
        <w:spacing w:after="0" w:line="219"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Grantee without Good Reason; or</w:t>
      </w:r>
    </w:p>
    <w:p>
      <w:pPr>
        <w:spacing w:after="0" w:line="23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w:t>
      </w:r>
    </w:p>
    <w:p>
      <w:pPr>
        <w:spacing w:after="0" w:line="2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means termination of Grantee’s status as a Service Provider after attaining age 60 and five years of service with the Company and its Subsidiaries, provided that Grantee provides written notice of the date of such Retirement to the Chief Executive Officer of the Company at least 90 days prior to the date of such Retirement (further provided that, for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21" w:right="339" w:bottom="1440" w:gutter="0" w:footer="0" w:header="0"/>
        </w:sectPr>
      </w:pPr>
    </w:p>
    <w:bookmarkStart w:id="133" w:name="page134"/>
    <w:bookmarkEnd w:id="133"/>
    <w:p>
      <w:pPr>
        <w:spacing w:after="0" w:line="271" w:lineRule="auto"/>
        <w:rPr>
          <w:sz w:val="20"/>
          <w:szCs w:val="20"/>
          <w:color w:val="auto"/>
        </w:rPr>
      </w:pPr>
      <w:r>
        <w:rPr>
          <w:rFonts w:ascii="Times New Roman" w:cs="Times New Roman" w:eastAsia="Times New Roman" w:hAnsi="Times New Roman"/>
          <w:sz w:val="22"/>
          <w:szCs w:val="22"/>
          <w:color w:val="auto"/>
        </w:rPr>
        <w:t>determining satisfaction of the years of service requirement described herein, years of service with a Subsidiary shall only include service provided by Grantee after such Subsidiary becomes a subsidiary of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individual actively providing services to the Company or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20"/>
          </w:cols>
          <w:pgMar w:left="320" w:top="1421" w:right="35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NON-U.S. ADDENDUM</w:t>
      </w:r>
    </w:p>
    <w:p>
      <w:pPr>
        <w:spacing w:after="0" w:line="247"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b w:val="1"/>
          <w:bCs w:val="1"/>
          <w:color w:val="auto"/>
        </w:rPr>
        <w:t>Additional Terms and Conditions for Equity Grants Under the TriMas Corporation 2023 Equity and Incentive Compensation Plan, as amended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February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This Addendum includes additional terms and conditions that govern the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granted to you under the TriMas Corporation 2023 Equity and Incentive Compensation Plan (referred to as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if you reside in the United Kingdom. Certain capitalized terms used but not defined in this Addendum have the meanings set forth in the Plan and/or your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UNITED KINGDOM</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60" w:lineRule="exact"/>
        <w:rPr>
          <w:sz w:val="20"/>
          <w:szCs w:val="20"/>
          <w:color w:val="auto"/>
        </w:rPr>
      </w:pPr>
    </w:p>
    <w:p>
      <w:pPr>
        <w:ind w:right="80"/>
        <w:spacing w:after="0" w:line="339" w:lineRule="auto"/>
        <w:rPr>
          <w:sz w:val="20"/>
          <w:szCs w:val="20"/>
          <w:color w:val="auto"/>
        </w:rPr>
      </w:pPr>
      <w:r>
        <w:rPr>
          <w:rFonts w:ascii="Times New Roman" w:cs="Times New Roman" w:eastAsia="Times New Roman" w:hAnsi="Times New Roman"/>
          <w:sz w:val="21"/>
          <w:szCs w:val="21"/>
          <w:b w:val="1"/>
          <w:bCs w:val="1"/>
          <w:color w:val="auto"/>
        </w:rPr>
        <w:t>UK Sub-Plan</w:t>
      </w:r>
      <w:r>
        <w:rPr>
          <w:rFonts w:ascii="Times New Roman" w:cs="Times New Roman" w:eastAsia="Times New Roman" w:hAnsi="Times New Roman"/>
          <w:sz w:val="21"/>
          <w:szCs w:val="21"/>
          <w:color w:val="auto"/>
        </w:rPr>
        <w:t>. Your grant of Restricted Stock Units is being made pursuant to the UK Sub-Plan, which contains additional terms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conditions that govern your Restricted Stock Units and participation in the Plan. Please review that document carefully.</w:t>
      </w:r>
    </w:p>
    <w:p>
      <w:pPr>
        <w:spacing w:after="0" w:line="155"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22"/>
          <w:szCs w:val="22"/>
          <w:b w:val="1"/>
          <w:bCs w:val="1"/>
          <w:color w:val="auto"/>
        </w:rPr>
        <w:t xml:space="preserve">Disability. </w:t>
      </w:r>
      <w:r>
        <w:rPr>
          <w:rFonts w:ascii="Times New Roman" w:cs="Times New Roman" w:eastAsia="Times New Roman" w:hAnsi="Times New Roman"/>
          <w:sz w:val="22"/>
          <w:szCs w:val="22"/>
          <w:color w:val="auto"/>
        </w:rPr>
        <w:t>For purposes of the Agreement, the definition of “Disability” in Appendix A hereto shall be qualified by the inclusion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following phrase after the word “means”: “, subject to and in compliance with the requirements of laws of the United Kingdom,”.</w:t>
      </w:r>
    </w:p>
    <w:p>
      <w:pPr>
        <w:spacing w:after="0" w:line="186"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For purposes of the Agreement, the definition of “Retirement” in Appendix A hereto shall not apply. Further,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use of the capitalized term “Retirement” in the Agreement is hereby amended to read as “retirement”.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 Equivalent Rights</w:t>
      </w:r>
      <w:r>
        <w:rPr>
          <w:rFonts w:ascii="Times New Roman" w:cs="Times New Roman" w:eastAsia="Times New Roman" w:hAnsi="Times New Roman"/>
          <w:sz w:val="22"/>
          <w:szCs w:val="22"/>
          <w:color w:val="auto"/>
        </w:rPr>
        <w:t>. Section II.A.3 of the Agreement is hereby amended in its entirety to read as follows:</w:t>
      </w:r>
    </w:p>
    <w:p>
      <w:pPr>
        <w:spacing w:after="0" w:line="291" w:lineRule="exact"/>
        <w:rPr>
          <w:sz w:val="20"/>
          <w:szCs w:val="20"/>
          <w:color w:val="auto"/>
        </w:rPr>
      </w:pPr>
    </w:p>
    <w:p>
      <w:pPr>
        <w:ind w:left="660"/>
        <w:spacing w:after="0" w:line="309" w:lineRule="auto"/>
        <w:rPr>
          <w:sz w:val="20"/>
          <w:szCs w:val="20"/>
          <w:color w:val="auto"/>
        </w:rPr>
      </w:pPr>
      <w:r>
        <w:rPr>
          <w:rFonts w:ascii="Times New Roman" w:cs="Times New Roman" w:eastAsia="Times New Roman" w:hAnsi="Times New Roman"/>
          <w:sz w:val="22"/>
          <w:szCs w:val="22"/>
          <w:color w:val="auto"/>
        </w:rPr>
        <w:t>“Grantee shall be notionally credited with cash per Restricted Stock Unit equal to the amount of each cash dividend paid by the Company (if any) to holders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17" w:right="339" w:bottom="1440" w:gutter="0" w:footer="0" w:header="0"/>
        </w:sectPr>
      </w:pPr>
    </w:p>
    <w:bookmarkStart w:id="135" w:name="page136"/>
    <w:bookmarkEnd w:id="135"/>
    <w:p>
      <w:pPr>
        <w:jc w:val="both"/>
        <w:ind w:left="660"/>
        <w:spacing w:after="0" w:line="287" w:lineRule="auto"/>
        <w:rPr>
          <w:sz w:val="20"/>
          <w:szCs w:val="20"/>
          <w:color w:val="auto"/>
        </w:rPr>
      </w:pPr>
      <w:r>
        <w:rPr>
          <w:rFonts w:ascii="Times New Roman" w:cs="Times New Roman" w:eastAsia="Times New Roman" w:hAnsi="Times New Roman"/>
          <w:sz w:val="22"/>
          <w:szCs w:val="22"/>
          <w:color w:val="auto"/>
        </w:rPr>
        <w:t>generally with a record date occurring on or after the Date of Grant and prior to the time when the Restricted Stock Units are settled in accordance with Section II.A.2 hereof. Any amounts notionally credited pursuant to the immediately preceding sentence shall be subject to the same applicable terms and conditions (including vesting, payment or forfeitability) as apply to the Restricted Stock Units based on which the dividend equivalents were notionally credited, and such amounts shall be paid in Common Stock at the same time as the Restricted Stock Units to which they relate. The number of shares so paid in Common Stock shall be rounded down to the nearest whole number and shall be determined by dividing the amounts so notionally credited by the Market Value per Share on the payment date. Notwithstanding the foregoing provisions of this Section II.A.3, Grantee shall not be entitled to the cash notionally credited at any time to the Restricted Stock Units (or the Common Stock representing the same, as the case may be) either legally or beneficially unless and until Grantee becomes entitled to receive the actual Common Stock in respect of this Award pursuant to Section II.A.2 of this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Withholding</w:t>
      </w:r>
      <w:r>
        <w:rPr>
          <w:rFonts w:ascii="Times New Roman" w:cs="Times New Roman" w:eastAsia="Times New Roman" w:hAnsi="Times New Roman"/>
          <w:sz w:val="22"/>
          <w:szCs w:val="22"/>
          <w:color w:val="auto"/>
        </w:rPr>
        <w:t>. Section II.B.2 of the Agreement is hereby amended in its entirety to read as follows:</w:t>
      </w:r>
    </w:p>
    <w:p>
      <w:pPr>
        <w:spacing w:after="0" w:line="2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“Grantee hereby indemnifies the Company, Grantee’s employer or any other person in respect of:</w:t>
      </w:r>
    </w:p>
    <w:p>
      <w:pPr>
        <w:spacing w:after="0" w:line="247" w:lineRule="exact"/>
        <w:rPr>
          <w:sz w:val="20"/>
          <w:szCs w:val="20"/>
          <w:color w:val="auto"/>
        </w:rPr>
      </w:pPr>
    </w:p>
    <w:p>
      <w:pPr>
        <w:ind w:left="1960" w:right="640" w:hanging="656"/>
        <w:spacing w:after="0" w:line="256" w:lineRule="auto"/>
        <w:tabs>
          <w:tab w:leader="none" w:pos="1751"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of income tax for which the Company, Grantee’s employer or any other person is obliged to account under the Pay-As-You-Earn system and any amounts of employee’s national insurance contributions arising from the vesting of this Award (or which would not otherwise have arisen but for the grant of this Award to Grantee); and</w:t>
      </w:r>
    </w:p>
    <w:p>
      <w:pPr>
        <w:spacing w:after="0" w:line="203" w:lineRule="exact"/>
        <w:rPr>
          <w:rFonts w:ascii="Times New Roman" w:cs="Times New Roman" w:eastAsia="Times New Roman" w:hAnsi="Times New Roman"/>
          <w:sz w:val="22"/>
          <w:szCs w:val="22"/>
          <w:color w:val="auto"/>
        </w:rPr>
      </w:pPr>
    </w:p>
    <w:p>
      <w:pPr>
        <w:jc w:val="right"/>
        <w:ind w:left="1960" w:right="640" w:hanging="656"/>
        <w:spacing w:after="0" w:line="260" w:lineRule="auto"/>
        <w:tabs>
          <w:tab w:leader="none" w:pos="1797"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amount of income tax for which the Company, Grantee’s employer or any other person is obliged to account under the Pay-As-You-Earn system and any amounts of employee’s national insurance contributions arising in respect of, or in connection with the holding or disposal by Grantee of the shares of Common Stock acquired pursuant to this Award or the conversion of such shares of Common Stock into securities of another description whilst such shares of Common Stock are held</w:t>
      </w:r>
    </w:p>
    <w:p>
      <w:pPr>
        <w:ind w:left="1960"/>
        <w:spacing w:after="0"/>
        <w:rPr>
          <w:sz w:val="20"/>
          <w:szCs w:val="20"/>
          <w:color w:val="auto"/>
        </w:rPr>
      </w:pPr>
      <w:r>
        <w:rPr>
          <w:rFonts w:ascii="Times New Roman" w:cs="Times New Roman" w:eastAsia="Times New Roman" w:hAnsi="Times New Roman"/>
          <w:sz w:val="22"/>
          <w:szCs w:val="22"/>
          <w:color w:val="auto"/>
        </w:rPr>
        <w:t>by Grantee,</w:t>
      </w:r>
    </w:p>
    <w:p>
      <w:pPr>
        <w:spacing w:after="0" w:line="15" w:lineRule="exact"/>
        <w:rPr>
          <w:sz w:val="20"/>
          <w:szCs w:val="20"/>
          <w:color w:val="auto"/>
        </w:rPr>
      </w:pPr>
    </w:p>
    <w:p>
      <w:pPr>
        <w:jc w:val="both"/>
        <w:ind w:left="660" w:right="660" w:hanging="381"/>
        <w:spacing w:after="0" w:line="245" w:lineRule="auto"/>
        <w:rPr>
          <w:sz w:val="20"/>
          <w:szCs w:val="20"/>
          <w:color w:val="auto"/>
        </w:rPr>
      </w:pPr>
      <w:r>
        <w:rPr>
          <w:rFonts w:ascii="Times New Roman" w:cs="Times New Roman" w:eastAsia="Times New Roman" w:hAnsi="Times New Roman"/>
          <w:sz w:val="22"/>
          <w:szCs w:val="22"/>
          <w:color w:val="auto"/>
        </w:rPr>
        <w:t>and in pursuance of such indemnity, Grantee hereby agrees that he or she shall pay to the Company (or to such other entity as directed by it) such amount as shall be notified to Grantee by the Company as being due on any occasion under such indemnity, within seven days after being so notified. To the extent that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35" w:right="339" w:bottom="1440" w:gutter="0" w:footer="0" w:header="0"/>
        </w:sectPr>
      </w:pPr>
    </w:p>
    <w:bookmarkStart w:id="136" w:name="page137"/>
    <w:bookmarkEnd w:id="136"/>
    <w:p>
      <w:pPr>
        <w:jc w:val="both"/>
        <w:ind w:left="480" w:right="580"/>
        <w:spacing w:after="0" w:line="250" w:lineRule="auto"/>
        <w:rPr>
          <w:sz w:val="20"/>
          <w:szCs w:val="20"/>
          <w:color w:val="auto"/>
        </w:rPr>
      </w:pPr>
      <w:r>
        <w:rPr>
          <w:rFonts w:ascii="Times New Roman" w:cs="Times New Roman" w:eastAsia="Times New Roman" w:hAnsi="Times New Roman"/>
          <w:sz w:val="22"/>
          <w:szCs w:val="22"/>
          <w:color w:val="auto"/>
        </w:rPr>
        <w:t>fails to pay any amount so notified to him or her by the Company within seven days after such notification, Grantee hereby agrees that the Company may withhold, or procure the withholding, from any salary, wages, payment or payments due to Grantee from the Company or Grantee’s employer an amount which is equal to the amount notified to Grantee, sell or procure the sale of sufficient of the shares of Common Stock acquired by Grantee pursuant to this 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w:t>
      </w:r>
    </w:p>
    <w:p>
      <w:pPr>
        <w:spacing w:after="0" w:line="207" w:lineRule="exact"/>
        <w:rPr>
          <w:sz w:val="20"/>
          <w:szCs w:val="20"/>
          <w:color w:val="auto"/>
        </w:rPr>
      </w:pPr>
    </w:p>
    <w:p>
      <w:pPr>
        <w:ind w:left="480"/>
        <w:spacing w:after="0" w:line="248" w:lineRule="auto"/>
        <w:rPr>
          <w:sz w:val="20"/>
          <w:szCs w:val="20"/>
          <w:color w:val="auto"/>
        </w:rPr>
      </w:pPr>
      <w:r>
        <w:rPr>
          <w:rFonts w:ascii="Times New Roman" w:cs="Times New Roman" w:eastAsia="Times New Roman" w:hAnsi="Times New Roman"/>
          <w:sz w:val="22"/>
          <w:szCs w:val="22"/>
          <w:color w:val="auto"/>
        </w:rPr>
        <w:t>Grantee acknowledges and agrees that the Company may increase the number of shares of Common Stock to be withheld by, or to be delivered to, the Company in order to satisfy any income tax or employees national insurance contributions required by applicable law to be withheld upon the issuance, vesting or delivery of any shares of Common Stock, dividends or dividend equivalent payments of any kind from any payments due to Grantee to such number of shares of Common Stock that has an aggregate fair market value sufficient to satisfy no more than the maximum statutory withholding obligations calculated on the basis of the aggregate fair market value of the shares of Common Stock underlying the vesting (or, as the case may be, vested) RSUs,</w:t>
      </w:r>
    </w:p>
    <w:p>
      <w:pPr>
        <w:spacing w:after="0" w:line="5" w:lineRule="exact"/>
        <w:rPr>
          <w:sz w:val="20"/>
          <w:szCs w:val="20"/>
          <w:color w:val="auto"/>
        </w:rPr>
      </w:pPr>
    </w:p>
    <w:p>
      <w:pPr>
        <w:ind w:left="480" w:right="160"/>
        <w:spacing w:after="0" w:line="248" w:lineRule="auto"/>
        <w:rPr>
          <w:sz w:val="20"/>
          <w:szCs w:val="20"/>
          <w:color w:val="auto"/>
        </w:rPr>
      </w:pPr>
      <w:r>
        <w:rPr>
          <w:rFonts w:ascii="Times New Roman" w:cs="Times New Roman" w:eastAsia="Times New Roman" w:hAnsi="Times New Roman"/>
          <w:sz w:val="22"/>
          <w:szCs w:val="22"/>
          <w:color w:val="auto"/>
        </w:rPr>
        <w:t>provided that an amount equal to the difference between the aggregate fair market value of any such shares of Common Stock so withheld by, or delivered to, the Company and the statutory total tax withholding obligations (including any statutory withholding for social security contributions) is reimbursed to Grantee as soon as reasonably practicable following the remittance of any such statutory total tax withholdings to the relevant tax authorities.</w:t>
      </w:r>
    </w:p>
    <w:p>
      <w:pPr>
        <w:spacing w:after="0" w:line="211" w:lineRule="exact"/>
        <w:rPr>
          <w:sz w:val="20"/>
          <w:szCs w:val="20"/>
          <w:color w:val="auto"/>
        </w:rPr>
      </w:pPr>
    </w:p>
    <w:p>
      <w:pPr>
        <w:jc w:val="both"/>
        <w:ind w:left="480" w:right="560" w:hanging="406"/>
        <w:spacing w:after="0" w:line="251" w:lineRule="auto"/>
        <w:rPr>
          <w:sz w:val="20"/>
          <w:szCs w:val="20"/>
          <w:color w:val="auto"/>
        </w:rPr>
      </w:pPr>
      <w:r>
        <w:rPr>
          <w:rFonts w:ascii="Times New Roman" w:cs="Times New Roman" w:eastAsia="Times New Roman" w:hAnsi="Times New Roman"/>
          <w:sz w:val="22"/>
          <w:szCs w:val="22"/>
          <w:color w:val="auto"/>
        </w:rPr>
        <w:t>In the alternative to satisfying the indemnity in (i) above, Grantee hereby agrees that the Company may withhold from the total number of shares of Common Stock that become issuable to Grantee on vesting of this Award a number of shares of Common Stock with an aggregate Market Value per Share on the date of withholding equal to the amount due under (i) above as determined by the Company, in which case Grantee will be taken to have forfeited the right to be issued the number of shares of Common Stock so withheld in order to make good the amounts due under (i) above.</w:t>
      </w:r>
    </w:p>
    <w:p>
      <w:pPr>
        <w:spacing w:after="0" w:line="222" w:lineRule="exact"/>
        <w:rPr>
          <w:sz w:val="20"/>
          <w:szCs w:val="20"/>
          <w:color w:val="auto"/>
        </w:rPr>
      </w:pPr>
    </w:p>
    <w:p>
      <w:pPr>
        <w:jc w:val="both"/>
        <w:ind w:left="480" w:right="580" w:hanging="419"/>
        <w:spacing w:after="0" w:line="257" w:lineRule="auto"/>
        <w:rPr>
          <w:sz w:val="20"/>
          <w:szCs w:val="20"/>
          <w:color w:val="auto"/>
        </w:rPr>
      </w:pPr>
      <w:r>
        <w:rPr>
          <w:rFonts w:ascii="Times New Roman" w:cs="Times New Roman" w:eastAsia="Times New Roman" w:hAnsi="Times New Roman"/>
          <w:sz w:val="22"/>
          <w:szCs w:val="22"/>
          <w:color w:val="auto"/>
        </w:rPr>
        <w:t>The Company will not be obliged to deliver any shares of Common Stock to Grantee pursuant to this Award if Grantee fails to comply with his or her obligations under the foregoing provisions of this Section II.B.2 and Grantee shall not be entitled to receive the delivery of such shares of Common Stock.</w:t>
      </w:r>
    </w:p>
    <w:p>
      <w:pPr>
        <w:spacing w:after="0" w:line="200" w:lineRule="exact"/>
        <w:rPr>
          <w:sz w:val="20"/>
          <w:szCs w:val="20"/>
          <w:color w:val="auto"/>
        </w:rPr>
      </w:pPr>
    </w:p>
    <w:p>
      <w:pPr>
        <w:jc w:val="both"/>
        <w:ind w:left="480" w:right="580" w:hanging="401"/>
        <w:spacing w:after="0" w:line="257" w:lineRule="auto"/>
        <w:rPr>
          <w:sz w:val="20"/>
          <w:szCs w:val="20"/>
          <w:color w:val="auto"/>
        </w:rPr>
      </w:pPr>
      <w:r>
        <w:rPr>
          <w:rFonts w:ascii="Times New Roman" w:cs="Times New Roman" w:eastAsia="Times New Roman" w:hAnsi="Times New Roman"/>
          <w:sz w:val="22"/>
          <w:szCs w:val="22"/>
          <w:color w:val="auto"/>
        </w:rPr>
        <w:t>It is a further condition of delivery of any shares of Common Stock pursuant to the vesting of this Award that Grantee will, if required to do so by the Company, enter into a joint election under section 431(1) of the United Kingdom Income Tax (Earnings and Pensions) Act 2003 (“</w:t>
      </w:r>
      <w:r>
        <w:rPr>
          <w:rFonts w:ascii="Times New Roman" w:cs="Times New Roman" w:eastAsia="Times New Roman" w:hAnsi="Times New Roman"/>
          <w:sz w:val="22"/>
          <w:szCs w:val="22"/>
          <w:u w:val="single" w:color="auto"/>
          <w:color w:val="auto"/>
        </w:rPr>
        <w:t>ITEPA</w:t>
      </w:r>
      <w:r>
        <w:rPr>
          <w:rFonts w:ascii="Times New Roman" w:cs="Times New Roman" w:eastAsia="Times New Roman" w:hAnsi="Times New Roman"/>
          <w:sz w:val="22"/>
          <w:szCs w:val="22"/>
          <w:color w:val="auto"/>
        </w:rPr>
        <w:t>”), the effect of which is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80"/>
          </w:cols>
          <w:pgMar w:left="500" w:top="1421" w:right="419" w:bottom="1440" w:gutter="0" w:footer="0" w:header="0"/>
        </w:sectPr>
      </w:pPr>
    </w:p>
    <w:bookmarkStart w:id="137" w:name="page138"/>
    <w:bookmarkEnd w:id="137"/>
    <w:p>
      <w:pPr>
        <w:ind w:left="660" w:right="620"/>
        <w:spacing w:after="0" w:line="271" w:lineRule="auto"/>
        <w:rPr>
          <w:sz w:val="20"/>
          <w:szCs w:val="20"/>
          <w:color w:val="auto"/>
        </w:rPr>
      </w:pPr>
      <w:r>
        <w:rPr>
          <w:rFonts w:ascii="Times New Roman" w:cs="Times New Roman" w:eastAsia="Times New Roman" w:hAnsi="Times New Roman"/>
          <w:sz w:val="22"/>
          <w:szCs w:val="22"/>
          <w:color w:val="auto"/>
        </w:rPr>
        <w:t>Common Stock will be treated as if they were not restricted securities and that sections 425 to 430 of ITEPA will not apply to those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Whistleblower Protection. </w:t>
      </w:r>
      <w:r>
        <w:rPr>
          <w:rFonts w:ascii="Times New Roman" w:cs="Times New Roman" w:eastAsia="Times New Roman" w:hAnsi="Times New Roman"/>
          <w:sz w:val="22"/>
          <w:szCs w:val="22"/>
          <w:color w:val="auto"/>
        </w:rPr>
        <w:t>The last two sentences of Section II.B.3(b) are hereby amended in their entirety to read as follows:</w:t>
      </w:r>
    </w:p>
    <w:p>
      <w:pPr>
        <w:spacing w:after="0" w:line="264" w:lineRule="exact"/>
        <w:rPr>
          <w:sz w:val="20"/>
          <w:szCs w:val="20"/>
          <w:color w:val="auto"/>
        </w:rPr>
      </w:pPr>
    </w:p>
    <w:p>
      <w:pPr>
        <w:ind w:left="660"/>
        <w:spacing w:after="0" w:line="247" w:lineRule="auto"/>
        <w:rPr>
          <w:sz w:val="20"/>
          <w:szCs w:val="20"/>
          <w:color w:val="auto"/>
        </w:rPr>
      </w:pPr>
      <w:r>
        <w:rPr>
          <w:rFonts w:ascii="Times New Roman" w:cs="Times New Roman" w:eastAsia="Times New Roman" w:hAnsi="Times New Roman"/>
          <w:sz w:val="22"/>
          <w:szCs w:val="22"/>
          <w:color w:val="auto"/>
        </w:rPr>
        <w:t>“Notwithstanding anything in this Agreement to the contrary (or in any other agreement, contract or arrangement with the Company or its subsidiaries or affiliates, or in any policy, procedure or practice of the Company or its subsidiaries or affiliates (collectively, the “Arrangements”)): (x) nothing in the Arrangements or otherwise limits Grantee’s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(y) nothing in the Arrangements or otherwise prevents Grantee, in accordance with applicable law, from (i) making a protected disclosure under section 43A of the Employment Rights Act 1996; (ii) making a disclosure to a regulator regarding any misconduct, wrongdoing or serious breach of regulatory requirements, or reporting a criminal offence to any law enforcement agency; (iii) co-operating with any law enforcement agency regarding a criminal investigation or prosecution; or (iv) otherwise testifying or participating in any investigation or proceeding by any governmental authorities regarding possible legal violations, and for purpose of clarity Grantee is not prohibited from providing information (including documents) voluntarily to the Securities and Exchange Commission pursuant to Section 21F of the Exchange Act. The Company nonetheless asserts and does not waive its attorney-client privilege over any information (including documents) appropriately protected by privilege.”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Restrictive Covenants. </w:t>
      </w:r>
      <w:r>
        <w:rPr>
          <w:rFonts w:ascii="Times New Roman" w:cs="Times New Roman" w:eastAsia="Times New Roman" w:hAnsi="Times New Roman"/>
          <w:sz w:val="22"/>
          <w:szCs w:val="22"/>
          <w:color w:val="auto"/>
        </w:rPr>
        <w:t>Section II.B.3(c) is hereby amended in its entirety to read as follows:</w:t>
      </w:r>
    </w:p>
    <w:p>
      <w:pPr>
        <w:spacing w:after="0" w:line="260" w:lineRule="exact"/>
        <w:rPr>
          <w:sz w:val="20"/>
          <w:szCs w:val="20"/>
          <w:color w:val="auto"/>
        </w:rPr>
      </w:pPr>
    </w:p>
    <w:p>
      <w:pPr>
        <w:jc w:val="both"/>
        <w:ind w:left="660" w:right="600" w:hanging="330"/>
        <w:spacing w:after="0" w:line="252" w:lineRule="auto"/>
        <w:tabs>
          <w:tab w:leader="none" w:pos="6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b w:val="1"/>
          <w:bCs w:val="1"/>
          <w:color w:val="auto"/>
        </w:rPr>
        <w:t xml:space="preserve">Covenants Against Competition and Solicitation. </w:t>
      </w:r>
      <w:r>
        <w:rPr>
          <w:rFonts w:ascii="Times New Roman" w:cs="Times New Roman" w:eastAsia="Times New Roman" w:hAnsi="Times New Roman"/>
          <w:sz w:val="22"/>
          <w:szCs w:val="22"/>
          <w:color w:val="auto"/>
        </w:rPr>
        <w:t>Each of the restrictions set out in this Section II.B.3(c)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constitutes an entirely separate, severable and independent obligation of Grantee. They are entered into in order to safeguard the legitimate business interests of the Company and particularly the goodwill of the Company in connection with its clients, suppliers and employees. Each separate restriction applies whether Grantee undertakes the activity in question directly or indirectly through a third party and whether it is undertaken on his own behalf or on behalf of, or in conjunction with, any firm, company or person.</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Grantee covenants that Grantee will not for the Restricted Period:</w:t>
      </w:r>
    </w:p>
    <w:p>
      <w:pPr>
        <w:spacing w:after="0" w:line="220" w:lineRule="exact"/>
        <w:rPr>
          <w:sz w:val="20"/>
          <w:szCs w:val="20"/>
          <w:color w:val="auto"/>
        </w:rPr>
      </w:pPr>
    </w:p>
    <w:p>
      <w:pPr>
        <w:ind w:left="1280" w:right="620" w:hanging="644"/>
        <w:spacing w:after="0" w:line="271" w:lineRule="auto"/>
        <w:tabs>
          <w:tab w:leader="none" w:pos="1193"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entice or solicit or endeavour to entice or solicit away from the Company or any Group Company any Relevant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00"/>
          </w:cols>
          <w:pgMar w:left="320" w:top="1421" w:right="379" w:bottom="1440" w:gutter="0" w:footer="0" w:header="0"/>
        </w:sectPr>
      </w:pPr>
    </w:p>
    <w:bookmarkStart w:id="138" w:name="page139"/>
    <w:bookmarkEnd w:id="138"/>
    <w:p>
      <w:pPr>
        <w:ind w:left="1100" w:hanging="644"/>
        <w:spacing w:after="0" w:line="271" w:lineRule="auto"/>
        <w:tabs>
          <w:tab w:leader="none" w:pos="1142"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 or otherwise engage or otherwise facilitate the employment or engagement of any Relevant Employee;</w:t>
      </w:r>
    </w:p>
    <w:p>
      <w:pPr>
        <w:spacing w:after="0" w:line="157" w:lineRule="exact"/>
        <w:rPr>
          <w:rFonts w:ascii="Times New Roman" w:cs="Times New Roman" w:eastAsia="Times New Roman" w:hAnsi="Times New Roman"/>
          <w:sz w:val="22"/>
          <w:szCs w:val="22"/>
          <w:color w:val="auto"/>
        </w:rPr>
      </w:pPr>
    </w:p>
    <w:p>
      <w:pPr>
        <w:ind w:left="1000" w:hanging="544"/>
        <w:spacing w:after="0"/>
        <w:tabs>
          <w:tab w:leader="none" w:pos="100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endeavour to supply Restricted Goods or Services to any Relevant Customer;</w:t>
      </w:r>
    </w:p>
    <w:p>
      <w:pPr>
        <w:spacing w:after="0" w:line="233" w:lineRule="exact"/>
        <w:rPr>
          <w:rFonts w:ascii="Times New Roman" w:cs="Times New Roman" w:eastAsia="Times New Roman" w:hAnsi="Times New Roman"/>
          <w:sz w:val="22"/>
          <w:szCs w:val="22"/>
          <w:color w:val="auto"/>
        </w:rPr>
      </w:pPr>
    </w:p>
    <w:p>
      <w:pPr>
        <w:ind w:left="980" w:hanging="524"/>
        <w:spacing w:after="0"/>
        <w:tabs>
          <w:tab w:leader="none" w:pos="98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supply or be involved with the supply of Restricted Goods or Services to any Relevant Customer;</w:t>
      </w:r>
    </w:p>
    <w:p>
      <w:pPr>
        <w:spacing w:after="0" w:line="219" w:lineRule="exact"/>
        <w:rPr>
          <w:rFonts w:ascii="Times New Roman" w:cs="Times New Roman" w:eastAsia="Times New Roman" w:hAnsi="Times New Roman"/>
          <w:sz w:val="22"/>
          <w:szCs w:val="22"/>
          <w:color w:val="auto"/>
        </w:rPr>
      </w:pPr>
    </w:p>
    <w:p>
      <w:pPr>
        <w:ind w:left="920" w:hanging="464"/>
        <w:spacing w:after="0"/>
        <w:tabs>
          <w:tab w:leader="none" w:pos="92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any business dealings with any Relevant Customer on behalf of a Relevant Business;</w:t>
      </w:r>
    </w:p>
    <w:p>
      <w:pPr>
        <w:spacing w:after="0" w:line="219" w:lineRule="exact"/>
        <w:rPr>
          <w:rFonts w:ascii="Times New Roman" w:cs="Times New Roman" w:eastAsia="Times New Roman" w:hAnsi="Times New Roman"/>
          <w:sz w:val="22"/>
          <w:szCs w:val="22"/>
          <w:color w:val="auto"/>
        </w:rPr>
      </w:pPr>
    </w:p>
    <w:p>
      <w:pPr>
        <w:ind w:left="980" w:hanging="524"/>
        <w:spacing w:after="0"/>
        <w:tabs>
          <w:tab w:leader="none" w:pos="98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principal or agent in any Relevant Business within the Restricted Area;</w:t>
      </w:r>
    </w:p>
    <w:p>
      <w:pPr>
        <w:spacing w:after="0" w:line="219" w:lineRule="exact"/>
        <w:rPr>
          <w:rFonts w:ascii="Times New Roman" w:cs="Times New Roman" w:eastAsia="Times New Roman" w:hAnsi="Times New Roman"/>
          <w:sz w:val="22"/>
          <w:szCs w:val="22"/>
          <w:color w:val="auto"/>
        </w:rPr>
      </w:pPr>
    </w:p>
    <w:p>
      <w:pPr>
        <w:ind w:left="1040" w:hanging="584"/>
        <w:spacing w:after="0"/>
        <w:tabs>
          <w:tab w:leader="none" w:pos="104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partner or member in any Relevant Business within the Restricted Area;</w:t>
      </w:r>
    </w:p>
    <w:p>
      <w:pPr>
        <w:spacing w:after="0" w:line="219" w:lineRule="exact"/>
        <w:rPr>
          <w:rFonts w:ascii="Times New Roman" w:cs="Times New Roman" w:eastAsia="Times New Roman" w:hAnsi="Times New Roman"/>
          <w:sz w:val="22"/>
          <w:szCs w:val="22"/>
          <w:color w:val="auto"/>
        </w:rPr>
      </w:pPr>
    </w:p>
    <w:p>
      <w:pPr>
        <w:ind w:left="1100" w:right="20" w:hanging="644"/>
        <w:spacing w:after="0" w:line="284" w:lineRule="auto"/>
        <w:tabs>
          <w:tab w:leader="none" w:pos="1129"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employed or engaged as a worker in any Relevant Business that operates or seeks to operate within the Restricted Area;</w:t>
      </w:r>
    </w:p>
    <w:p>
      <w:pPr>
        <w:spacing w:after="0" w:line="143" w:lineRule="exact"/>
        <w:rPr>
          <w:rFonts w:ascii="Times New Roman" w:cs="Times New Roman" w:eastAsia="Times New Roman" w:hAnsi="Times New Roman"/>
          <w:sz w:val="22"/>
          <w:szCs w:val="22"/>
          <w:color w:val="auto"/>
        </w:rPr>
      </w:pPr>
    </w:p>
    <w:p>
      <w:pPr>
        <w:ind w:left="1100" w:hanging="644"/>
        <w:spacing w:after="0" w:line="271" w:lineRule="auto"/>
        <w:tabs>
          <w:tab w:leader="none" w:pos="1042"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engaged as a consultant (directly or through another entity) or adviser to any Relevant Business within the Restricted Area;</w:t>
      </w:r>
    </w:p>
    <w:p>
      <w:pPr>
        <w:spacing w:after="0" w:line="157" w:lineRule="exact"/>
        <w:rPr>
          <w:rFonts w:ascii="Times New Roman" w:cs="Times New Roman" w:eastAsia="Times New Roman" w:hAnsi="Times New Roman"/>
          <w:sz w:val="22"/>
          <w:szCs w:val="22"/>
          <w:color w:val="auto"/>
        </w:rPr>
      </w:pPr>
    </w:p>
    <w:p>
      <w:pPr>
        <w:ind w:left="920" w:hanging="464"/>
        <w:spacing w:after="0"/>
        <w:tabs>
          <w:tab w:leader="none" w:pos="92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director of any Relevant Business within the Restricted Area;</w:t>
      </w:r>
    </w:p>
    <w:p>
      <w:pPr>
        <w:spacing w:after="0" w:line="219" w:lineRule="exact"/>
        <w:rPr>
          <w:rFonts w:ascii="Times New Roman" w:cs="Times New Roman" w:eastAsia="Times New Roman" w:hAnsi="Times New Roman"/>
          <w:sz w:val="22"/>
          <w:szCs w:val="22"/>
          <w:color w:val="auto"/>
        </w:rPr>
      </w:pPr>
    </w:p>
    <w:p>
      <w:pPr>
        <w:ind w:left="980" w:hanging="524"/>
        <w:spacing w:after="0"/>
        <w:tabs>
          <w:tab w:leader="none" w:pos="98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 material financial interest in any Relevant Business within the Restricted Area;</w:t>
      </w:r>
    </w:p>
    <w:p>
      <w:pPr>
        <w:spacing w:after="0" w:line="219" w:lineRule="exact"/>
        <w:rPr>
          <w:rFonts w:ascii="Times New Roman" w:cs="Times New Roman" w:eastAsia="Times New Roman" w:hAnsi="Times New Roman"/>
          <w:sz w:val="22"/>
          <w:szCs w:val="22"/>
          <w:color w:val="auto"/>
        </w:rPr>
      </w:pPr>
    </w:p>
    <w:p>
      <w:pPr>
        <w:jc w:val="both"/>
        <w:ind w:left="1100" w:right="20" w:hanging="644"/>
        <w:spacing w:after="0" w:line="253" w:lineRule="auto"/>
        <w:tabs>
          <w:tab w:leader="none" w:pos="1049"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 shareholding in any Relevant Business within the Restricted Area, disregarding any financial interest of a person in securities which are listed or dealt in on any Recognised Stock Exchange if that person, Grantee and any person connected with Grantee are interested in securities which amount to less than five per cent of the issued securities of that class and which, in all circumstances, carry less than five per cent of the voting rights (if any) attaching to the issued securities of that class; and</w:t>
      </w:r>
    </w:p>
    <w:p>
      <w:pPr>
        <w:spacing w:after="0" w:line="178" w:lineRule="exact"/>
        <w:rPr>
          <w:rFonts w:ascii="Times New Roman" w:cs="Times New Roman" w:eastAsia="Times New Roman" w:hAnsi="Times New Roman"/>
          <w:sz w:val="22"/>
          <w:szCs w:val="22"/>
          <w:color w:val="auto"/>
        </w:rPr>
      </w:pPr>
    </w:p>
    <w:p>
      <w:pPr>
        <w:ind w:left="1100" w:right="20" w:hanging="644"/>
        <w:spacing w:after="0" w:line="284" w:lineRule="auto"/>
        <w:tabs>
          <w:tab w:leader="none" w:pos="114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 person with significant control (under part 21A of the United Kingdom Companies Act 2006) in any Relevant Business within the Restricted Area.</w:t>
      </w:r>
    </w:p>
    <w:p>
      <w:pPr>
        <w:spacing w:after="0" w:line="144" w:lineRule="exact"/>
        <w:rPr>
          <w:sz w:val="20"/>
          <w:szCs w:val="20"/>
          <w:color w:val="auto"/>
        </w:rPr>
      </w:pPr>
    </w:p>
    <w:p>
      <w:pPr>
        <w:jc w:val="both"/>
        <w:ind w:left="480"/>
        <w:spacing w:after="0" w:line="257" w:lineRule="auto"/>
        <w:rPr>
          <w:sz w:val="20"/>
          <w:szCs w:val="20"/>
          <w:color w:val="auto"/>
        </w:rPr>
      </w:pPr>
      <w:r>
        <w:rPr>
          <w:rFonts w:ascii="Times New Roman" w:cs="Times New Roman" w:eastAsia="Times New Roman" w:hAnsi="Times New Roman"/>
          <w:sz w:val="22"/>
          <w:szCs w:val="22"/>
          <w:color w:val="auto"/>
        </w:rPr>
        <w:t>The restrictions above only apply in respect of business activities which compete or seek to compete with the Company and nothing in these provisions seeks to prevent Grantee in connection with activities which do not compete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420"/>
          </w:cols>
          <w:pgMar w:left="500" w:top="1421" w:right="979" w:bottom="1440" w:gutter="0" w:footer="0" w:header="0"/>
        </w:sectPr>
      </w:pPr>
    </w:p>
    <w:bookmarkStart w:id="139" w:name="page140"/>
    <w:bookmarkEnd w:id="139"/>
    <w:p>
      <w:pPr>
        <w:jc w:val="both"/>
        <w:ind w:left="660" w:right="620"/>
        <w:spacing w:after="0" w:line="253" w:lineRule="auto"/>
        <w:rPr>
          <w:sz w:val="20"/>
          <w:szCs w:val="20"/>
          <w:color w:val="auto"/>
        </w:rPr>
      </w:pPr>
      <w:r>
        <w:rPr>
          <w:rFonts w:ascii="Times New Roman" w:cs="Times New Roman" w:eastAsia="Times New Roman" w:hAnsi="Times New Roman"/>
          <w:sz w:val="22"/>
          <w:szCs w:val="22"/>
          <w:color w:val="auto"/>
        </w:rPr>
        <w:t>While the restrictions above are considered by Grantee and the Company to be reasonable in all the circumstances, it is recognized that such restrictions may fail for unforeseen reasons and, it is therefore agreed that if any of the restrictions are held to be void, but would be valid if part of the wording were deleted or if the periods (if any) specified were reduced or the areas dealt with reduced in scope, such restrictions shall apply with such modifications as may be necessary to make them valid and effective.”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Section II.B.3(e) is hereby amended in its entirety to read as follows:</w:t>
      </w:r>
    </w:p>
    <w:p>
      <w:pPr>
        <w:spacing w:after="0" w:line="247" w:lineRule="exact"/>
        <w:rPr>
          <w:sz w:val="20"/>
          <w:szCs w:val="20"/>
          <w:color w:val="auto"/>
        </w:rPr>
      </w:pPr>
    </w:p>
    <w:p>
      <w:pPr>
        <w:jc w:val="both"/>
        <w:ind w:left="1300" w:right="620"/>
        <w:spacing w:after="0" w:line="250" w:lineRule="auto"/>
        <w:rPr>
          <w:sz w:val="20"/>
          <w:szCs w:val="20"/>
          <w:color w:val="auto"/>
        </w:rPr>
      </w:pPr>
      <w:r>
        <w:rPr>
          <w:rFonts w:ascii="Times New Roman" w:cs="Times New Roman" w:eastAsia="Times New Roman" w:hAnsi="Times New Roman"/>
          <w:sz w:val="22"/>
          <w:szCs w:val="22"/>
          <w:color w:val="auto"/>
        </w:rPr>
        <w:t>“(1)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207" w:lineRule="exact"/>
        <w:rPr>
          <w:sz w:val="20"/>
          <w:szCs w:val="20"/>
          <w:color w:val="auto"/>
        </w:rPr>
      </w:pPr>
    </w:p>
    <w:p>
      <w:pPr>
        <w:ind w:left="1300" w:right="100" w:firstLine="4"/>
        <w:spacing w:after="0" w:line="258" w:lineRule="auto"/>
        <w:tabs>
          <w:tab w:leader="none" w:pos="176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as evidenced on the Company’s website, in the marketing materials of the Company or by the books and records of the Company, and “engages” includes actively planning to engage in the business.</w:t>
      </w:r>
    </w:p>
    <w:p>
      <w:pPr>
        <w:spacing w:after="0" w:line="167" w:lineRule="exact"/>
        <w:rPr>
          <w:rFonts w:ascii="Times New Roman" w:cs="Times New Roman" w:eastAsia="Times New Roman" w:hAnsi="Times New Roman"/>
          <w:sz w:val="22"/>
          <w:szCs w:val="22"/>
          <w:color w:val="auto"/>
        </w:rPr>
      </w:pPr>
    </w:p>
    <w:p>
      <w:pPr>
        <w:ind w:left="1300" w:firstLine="4"/>
        <w:spacing w:after="0" w:line="248" w:lineRule="auto"/>
        <w:tabs>
          <w:tab w:leader="none" w:pos="176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220"/>
          </w:cols>
          <w:pgMar w:left="320" w:top="1421" w:right="359" w:bottom="1440" w:gutter="0" w:footer="0" w:header="0"/>
        </w:sectPr>
      </w:pPr>
    </w:p>
    <w:bookmarkStart w:id="140" w:name="page141"/>
    <w:bookmarkEnd w:id="140"/>
    <w:p>
      <w:pPr>
        <w:ind w:left="1300"/>
        <w:spacing w:after="0"/>
        <w:rPr>
          <w:sz w:val="20"/>
          <w:szCs w:val="20"/>
          <w:color w:val="auto"/>
        </w:rPr>
      </w:pPr>
      <w:r>
        <w:rPr>
          <w:rFonts w:ascii="Times New Roman" w:cs="Times New Roman" w:eastAsia="Times New Roman" w:hAnsi="Times New Roman"/>
          <w:sz w:val="22"/>
          <w:szCs w:val="22"/>
          <w:color w:val="auto"/>
        </w:rPr>
        <w:t>Grantee can establish was already in the public domain at the time of disclosure through no fault of Grantee.</w:t>
      </w:r>
    </w:p>
    <w:p>
      <w:pPr>
        <w:spacing w:after="0" w:line="216" w:lineRule="exact"/>
        <w:rPr>
          <w:sz w:val="20"/>
          <w:szCs w:val="20"/>
          <w:color w:val="auto"/>
        </w:rPr>
      </w:pPr>
    </w:p>
    <w:p>
      <w:pPr>
        <w:jc w:val="both"/>
        <w:ind w:left="1300" w:right="660" w:firstLine="4"/>
        <w:spacing w:after="0" w:line="265" w:lineRule="auto"/>
        <w:tabs>
          <w:tab w:leader="none" w:pos="188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Area</w:t>
      </w:r>
      <w:r>
        <w:rPr>
          <w:rFonts w:ascii="Times New Roman" w:cs="Times New Roman" w:eastAsia="Times New Roman" w:hAnsi="Times New Roman"/>
          <w:sz w:val="22"/>
          <w:szCs w:val="22"/>
          <w:color w:val="auto"/>
        </w:rPr>
        <w:t>” means the United Kingdom and any other country in the world where, on the Relevant Date, the Company carries on a Relevant Business and with which Grantee had material involvement during the 12 months prior to the Relevant Date.</w:t>
      </w:r>
    </w:p>
    <w:p>
      <w:pPr>
        <w:spacing w:after="0" w:line="161" w:lineRule="exact"/>
        <w:rPr>
          <w:rFonts w:ascii="Times New Roman" w:cs="Times New Roman" w:eastAsia="Times New Roman" w:hAnsi="Times New Roman"/>
          <w:sz w:val="22"/>
          <w:szCs w:val="22"/>
          <w:color w:val="auto"/>
        </w:rPr>
      </w:pPr>
    </w:p>
    <w:p>
      <w:pPr>
        <w:ind w:left="1300" w:right="660" w:firstLine="4"/>
        <w:spacing w:after="0" w:line="275" w:lineRule="auto"/>
        <w:tabs>
          <w:tab w:leader="none" w:pos="187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Business</w:t>
      </w:r>
      <w:r>
        <w:rPr>
          <w:rFonts w:ascii="Times New Roman" w:cs="Times New Roman" w:eastAsia="Times New Roman" w:hAnsi="Times New Roman"/>
          <w:sz w:val="22"/>
          <w:szCs w:val="22"/>
          <w:color w:val="auto"/>
        </w:rPr>
        <w:t>” means any business or part of a business involving the supply of Restricted Goods or Services.</w:t>
      </w:r>
    </w:p>
    <w:p>
      <w:pPr>
        <w:spacing w:after="0" w:line="149" w:lineRule="exact"/>
        <w:rPr>
          <w:rFonts w:ascii="Times New Roman" w:cs="Times New Roman" w:eastAsia="Times New Roman" w:hAnsi="Times New Roman"/>
          <w:sz w:val="22"/>
          <w:szCs w:val="22"/>
          <w:color w:val="auto"/>
        </w:rPr>
      </w:pPr>
    </w:p>
    <w:p>
      <w:pPr>
        <w:jc w:val="both"/>
        <w:ind w:left="1300" w:right="660" w:firstLine="4"/>
        <w:spacing w:after="0" w:line="258" w:lineRule="auto"/>
        <w:tabs>
          <w:tab w:leader="none" w:pos="1768"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Customer</w:t>
      </w:r>
      <w:r>
        <w:rPr>
          <w:rFonts w:ascii="Times New Roman" w:cs="Times New Roman" w:eastAsia="Times New Roman" w:hAnsi="Times New Roman"/>
          <w:sz w:val="22"/>
          <w:szCs w:val="22"/>
          <w:color w:val="auto"/>
        </w:rPr>
        <w:t>” means a person, firm or company who in the twelve months immediately before the Relevant Date conducted a business relationship (including, without limitation, the provision of services and the negotiation for the same) with the Company and with whom Grantee had significant contact in the course of Grantee’s employment with the Company.</w:t>
      </w:r>
    </w:p>
    <w:p>
      <w:pPr>
        <w:spacing w:after="0" w:line="167" w:lineRule="exact"/>
        <w:rPr>
          <w:rFonts w:ascii="Times New Roman" w:cs="Times New Roman" w:eastAsia="Times New Roman" w:hAnsi="Times New Roman"/>
          <w:sz w:val="22"/>
          <w:szCs w:val="22"/>
          <w:color w:val="auto"/>
        </w:rPr>
      </w:pPr>
    </w:p>
    <w:p>
      <w:pPr>
        <w:jc w:val="both"/>
        <w:ind w:left="1300" w:right="660" w:firstLine="4"/>
        <w:spacing w:after="0" w:line="259" w:lineRule="auto"/>
        <w:tabs>
          <w:tab w:leader="none" w:pos="1768"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Date</w:t>
      </w:r>
      <w:r>
        <w:rPr>
          <w:rFonts w:ascii="Times New Roman" w:cs="Times New Roman" w:eastAsia="Times New Roman" w:hAnsi="Times New Roman"/>
          <w:sz w:val="22"/>
          <w:szCs w:val="22"/>
          <w:color w:val="auto"/>
        </w:rPr>
        <w:t>” means the earlier of (x) the date of termination of Grantee’s employment, and (y) the start of any period of garden leave or exclusion under Grantee’s contract of employment with the Company.</w:t>
      </w:r>
    </w:p>
    <w:p>
      <w:pPr>
        <w:spacing w:after="0" w:line="166" w:lineRule="exact"/>
        <w:rPr>
          <w:rFonts w:ascii="Times New Roman" w:cs="Times New Roman" w:eastAsia="Times New Roman" w:hAnsi="Times New Roman"/>
          <w:sz w:val="22"/>
          <w:szCs w:val="22"/>
          <w:color w:val="auto"/>
        </w:rPr>
      </w:pPr>
    </w:p>
    <w:p>
      <w:pPr>
        <w:jc w:val="both"/>
        <w:ind w:left="1300" w:right="660" w:firstLine="4"/>
        <w:spacing w:after="0" w:line="265" w:lineRule="auto"/>
        <w:tabs>
          <w:tab w:leader="none" w:pos="1808"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Employee</w:t>
      </w:r>
      <w:r>
        <w:rPr>
          <w:rFonts w:ascii="Times New Roman" w:cs="Times New Roman" w:eastAsia="Times New Roman" w:hAnsi="Times New Roman"/>
          <w:sz w:val="22"/>
          <w:szCs w:val="22"/>
          <w:color w:val="auto"/>
        </w:rPr>
        <w:t>” means any senior employee who has significant customer or client contact, or valuable technical skills, and with whom Grantee has had significant contact during the course of his employment with the Company.</w:t>
      </w:r>
    </w:p>
    <w:p>
      <w:pPr>
        <w:spacing w:after="0" w:line="161" w:lineRule="exact"/>
        <w:rPr>
          <w:rFonts w:ascii="Times New Roman" w:cs="Times New Roman" w:eastAsia="Times New Roman" w:hAnsi="Times New Roman"/>
          <w:sz w:val="22"/>
          <w:szCs w:val="22"/>
          <w:color w:val="auto"/>
        </w:rPr>
      </w:pPr>
    </w:p>
    <w:p>
      <w:pPr>
        <w:jc w:val="both"/>
        <w:ind w:left="1300" w:right="640" w:firstLine="4"/>
        <w:spacing w:after="0" w:line="259" w:lineRule="auto"/>
        <w:tabs>
          <w:tab w:leader="none" w:pos="1822"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Goods or Services</w:t>
      </w:r>
      <w:r>
        <w:rPr>
          <w:rFonts w:ascii="Times New Roman" w:cs="Times New Roman" w:eastAsia="Times New Roman" w:hAnsi="Times New Roman"/>
          <w:sz w:val="22"/>
          <w:szCs w:val="22"/>
          <w:color w:val="auto"/>
        </w:rPr>
        <w:t>” means products for customers in the consumer products, aerospace, industrial, petrochemical, refinery and oil and gas end markets, and the design, manufacture and marketing thereof.</w:t>
      </w:r>
    </w:p>
    <w:p>
      <w:pPr>
        <w:spacing w:after="0" w:line="179" w:lineRule="exact"/>
        <w:rPr>
          <w:rFonts w:ascii="Times New Roman" w:cs="Times New Roman" w:eastAsia="Times New Roman" w:hAnsi="Times New Roman"/>
          <w:sz w:val="22"/>
          <w:szCs w:val="22"/>
          <w:color w:val="auto"/>
        </w:rPr>
      </w:pPr>
    </w:p>
    <w:p>
      <w:pPr>
        <w:jc w:val="both"/>
        <w:ind w:left="1300" w:right="660" w:firstLine="4"/>
        <w:spacing w:after="0" w:line="253" w:lineRule="auto"/>
        <w:tabs>
          <w:tab w:leader="none" w:pos="197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Period</w:t>
      </w:r>
      <w:r>
        <w:rPr>
          <w:rFonts w:ascii="Times New Roman" w:cs="Times New Roman" w:eastAsia="Times New Roman" w:hAnsi="Times New Roman"/>
          <w:sz w:val="22"/>
          <w:szCs w:val="22"/>
          <w:color w:val="auto"/>
        </w:rPr>
        <w:t>” means: (x) for restrictions set forth in clauses (i) to (v) of Section II.B.3(c), during Grantee’s employment and for a period of twelve months after the Relevant Date; and (y) for restrictions set forth in clauses (vi) to (xiii) of Section II.B.3(c), during Grantee’s employment and for a period of nine months after the Relevant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Data Privacy</w:t>
      </w:r>
      <w:r>
        <w:rPr>
          <w:rFonts w:ascii="Times New Roman" w:cs="Times New Roman" w:eastAsia="Times New Roman" w:hAnsi="Times New Roman"/>
          <w:sz w:val="22"/>
          <w:szCs w:val="22"/>
          <w:color w:val="auto"/>
        </w:rPr>
        <w:t>. A new Section II.B.16 is added to the Agreement to read as follows:</w:t>
      </w:r>
    </w:p>
    <w:p>
      <w:pPr>
        <w:spacing w:after="0" w:line="264" w:lineRule="exact"/>
        <w:rPr>
          <w:sz w:val="20"/>
          <w:szCs w:val="20"/>
          <w:color w:val="auto"/>
        </w:rPr>
      </w:pPr>
    </w:p>
    <w:p>
      <w:pPr>
        <w:jc w:val="both"/>
        <w:ind w:left="1300"/>
        <w:spacing w:after="0" w:line="252" w:lineRule="auto"/>
        <w:rPr>
          <w:sz w:val="20"/>
          <w:szCs w:val="20"/>
          <w:color w:val="auto"/>
        </w:rPr>
      </w:pPr>
      <w:r>
        <w:rPr>
          <w:rFonts w:ascii="Times New Roman" w:cs="Times New Roman" w:eastAsia="Times New Roman" w:hAnsi="Times New Roman"/>
          <w:sz w:val="22"/>
          <w:szCs w:val="22"/>
          <w:color w:val="auto"/>
        </w:rPr>
        <w:t>The Company and Rieke Packaging Systems Limited (the “Grantee’s Employer”), (together the “Relevant TriMas Companies”) will process the Grantee’s personal data in connection with the Plan. For the purposes of data protection legislation, the Relevant TriMas Companies will each act as independent controllers in relation to such personal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240"/>
          </w:cols>
          <w:pgMar w:left="320" w:top="1421" w:right="339" w:bottom="1440" w:gutter="0" w:footer="0" w:header="0"/>
        </w:sectPr>
      </w:pPr>
    </w:p>
    <w:bookmarkStart w:id="141" w:name="page142"/>
    <w:bookmarkEnd w:id="141"/>
    <w:p>
      <w:pPr>
        <w:ind w:left="1120"/>
        <w:spacing w:after="0"/>
        <w:rPr>
          <w:sz w:val="20"/>
          <w:szCs w:val="20"/>
          <w:color w:val="auto"/>
        </w:rPr>
      </w:pPr>
      <w:r>
        <w:rPr>
          <w:rFonts w:ascii="Times New Roman" w:cs="Times New Roman" w:eastAsia="Times New Roman" w:hAnsi="Times New Roman"/>
          <w:sz w:val="22"/>
          <w:szCs w:val="22"/>
          <w:b w:val="1"/>
          <w:bCs w:val="1"/>
          <w:color w:val="auto"/>
        </w:rPr>
        <w:t>Categories of Personal Data</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The categories of personal data that we will process in connection with the Plan are the Grantee’s:</w:t>
      </w:r>
    </w:p>
    <w:p>
      <w:pPr>
        <w:spacing w:after="0" w:line="220" w:lineRule="exact"/>
        <w:rPr>
          <w:sz w:val="20"/>
          <w:szCs w:val="20"/>
          <w:color w:val="auto"/>
        </w:rPr>
      </w:pPr>
    </w:p>
    <w:p>
      <w:pPr>
        <w:ind w:left="1760" w:hanging="312"/>
        <w:spacing w:after="0"/>
        <w:tabs>
          <w:tab w:leader="none" w:pos="17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name;</w:t>
      </w:r>
    </w:p>
    <w:p>
      <w:pPr>
        <w:spacing w:after="0" w:line="233"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date of birth;</w:t>
      </w:r>
    </w:p>
    <w:p>
      <w:pPr>
        <w:spacing w:after="0" w:line="219"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job title;</w:t>
      </w:r>
    </w:p>
    <w:p>
      <w:pPr>
        <w:spacing w:after="0" w:line="219"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home address (and, if different, mailing address) and postal code;</w:t>
      </w:r>
    </w:p>
    <w:p>
      <w:pPr>
        <w:spacing w:after="0" w:line="219"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telephone number;</w:t>
      </w:r>
    </w:p>
    <w:p>
      <w:pPr>
        <w:spacing w:after="0" w:line="219"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social insurance, national insurance, US taxpayer and/or foreign tax identification number;</w:t>
      </w:r>
    </w:p>
    <w:p>
      <w:pPr>
        <w:spacing w:after="0" w:line="233"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salary;</w:t>
      </w:r>
    </w:p>
    <w:p>
      <w:pPr>
        <w:spacing w:after="0" w:line="219"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country of citizenship and nationality;</w:t>
      </w:r>
    </w:p>
    <w:p>
      <w:pPr>
        <w:spacing w:after="0" w:line="219"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Common Stock or directorships held in any of the Relevant TriMas Companies;</w:t>
      </w:r>
    </w:p>
    <w:p>
      <w:pPr>
        <w:spacing w:after="0" w:line="219" w:lineRule="exact"/>
        <w:rPr>
          <w:rFonts w:ascii="Times New Roman" w:cs="Times New Roman" w:eastAsia="Times New Roman" w:hAnsi="Times New Roman"/>
          <w:sz w:val="18"/>
          <w:szCs w:val="18"/>
          <w:color w:val="auto"/>
        </w:rPr>
      </w:pPr>
    </w:p>
    <w:p>
      <w:pPr>
        <w:ind w:left="1780" w:hanging="332"/>
        <w:spacing w:after="0" w:line="271" w:lineRule="auto"/>
        <w:tabs>
          <w:tab w:leader="none" w:pos="177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details of all awards or any other entitlement to Common Stock awarded, cancelled, exercised, vested, unvested or outstanding in Grantee’s favour; and</w:t>
      </w:r>
    </w:p>
    <w:p>
      <w:pPr>
        <w:spacing w:after="0" w:line="157" w:lineRule="exact"/>
        <w:rPr>
          <w:rFonts w:ascii="Times New Roman" w:cs="Times New Roman" w:eastAsia="Times New Roman" w:hAnsi="Times New Roman"/>
          <w:sz w:val="18"/>
          <w:szCs w:val="18"/>
          <w:color w:val="auto"/>
        </w:rPr>
      </w:pPr>
    </w:p>
    <w:p>
      <w:pPr>
        <w:ind w:left="1780" w:hanging="332"/>
        <w:spacing w:after="0" w:line="284" w:lineRule="auto"/>
        <w:tabs>
          <w:tab w:leader="none" w:pos="177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reference number (where relevant to link the Grantee’s benefits under the Plan to other documentation issued to or from the US Department of the Treasury Internal Revenue Service).</w:t>
      </w:r>
    </w:p>
    <w:p>
      <w:pPr>
        <w:spacing w:after="0" w:line="144" w:lineRule="exact"/>
        <w:rPr>
          <w:sz w:val="20"/>
          <w:szCs w:val="20"/>
          <w:color w:val="auto"/>
        </w:rPr>
      </w:pPr>
    </w:p>
    <w:p>
      <w:pPr>
        <w:ind w:left="1120"/>
        <w:spacing w:after="0" w:line="271" w:lineRule="auto"/>
        <w:rPr>
          <w:sz w:val="20"/>
          <w:szCs w:val="20"/>
          <w:color w:val="auto"/>
        </w:rPr>
      </w:pPr>
      <w:r>
        <w:rPr>
          <w:rFonts w:ascii="Times New Roman" w:cs="Times New Roman" w:eastAsia="Times New Roman" w:hAnsi="Times New Roman"/>
          <w:sz w:val="22"/>
          <w:szCs w:val="22"/>
          <w:color w:val="auto"/>
        </w:rPr>
        <w:t>The processing of the personal data set out above is mandatory in order for the Relevant TriMas Companies to provide and administer the Plan.</w:t>
      </w:r>
    </w:p>
    <w:p>
      <w:pPr>
        <w:spacing w:after="0" w:line="1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Purposes of Processing Personal Data</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The Relevant TriMas Companies will process the Grantee’s personal data for the purposes of:</w:t>
      </w:r>
    </w:p>
    <w:p>
      <w:pPr>
        <w:spacing w:after="0" w:line="233" w:lineRule="exact"/>
        <w:rPr>
          <w:sz w:val="20"/>
          <w:szCs w:val="20"/>
          <w:color w:val="auto"/>
        </w:rPr>
      </w:pPr>
    </w:p>
    <w:p>
      <w:pPr>
        <w:ind w:left="1780" w:right="20" w:hanging="332"/>
        <w:spacing w:after="0" w:line="271" w:lineRule="auto"/>
        <w:tabs>
          <w:tab w:leader="none" w:pos="177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administering and maintaining the Plan relating to the Grantee and records associated with the Plan (including maintaining a database of Participants in the Plan);</w:t>
      </w:r>
    </w:p>
    <w:p>
      <w:pPr>
        <w:spacing w:after="0" w:line="157" w:lineRule="exact"/>
        <w:rPr>
          <w:rFonts w:ascii="Times New Roman" w:cs="Times New Roman" w:eastAsia="Times New Roman" w:hAnsi="Times New Roman"/>
          <w:sz w:val="18"/>
          <w:szCs w:val="18"/>
          <w:color w:val="auto"/>
        </w:rPr>
      </w:pPr>
    </w:p>
    <w:p>
      <w:pPr>
        <w:ind w:left="1780" w:hanging="332"/>
        <w:spacing w:after="0" w:line="271" w:lineRule="auto"/>
        <w:tabs>
          <w:tab w:leader="none" w:pos="177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information to (i) trustees of any employee benefit trust or (ii) the third party administrators involved directly or indirectly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060"/>
          </w:cols>
          <w:pgMar w:left="500" w:top="1417" w:right="339" w:bottom="1440" w:gutter="0" w:footer="0" w:header="0"/>
        </w:sectPr>
      </w:pPr>
    </w:p>
    <w:bookmarkStart w:id="142" w:name="page143"/>
    <w:bookmarkEnd w:id="142"/>
    <w:p>
      <w:pPr>
        <w:ind w:left="1780"/>
        <w:spacing w:after="0"/>
        <w:rPr>
          <w:sz w:val="20"/>
          <w:szCs w:val="20"/>
          <w:color w:val="auto"/>
        </w:rPr>
      </w:pPr>
      <w:r>
        <w:rPr>
          <w:rFonts w:ascii="Times New Roman" w:cs="Times New Roman" w:eastAsia="Times New Roman" w:hAnsi="Times New Roman"/>
          <w:sz w:val="22"/>
          <w:szCs w:val="22"/>
          <w:color w:val="auto"/>
        </w:rPr>
        <w:t>operation of the Plan (as set out in the “Sharing Personal Data with Third Parties” section below);</w:t>
      </w:r>
    </w:p>
    <w:p>
      <w:pPr>
        <w:spacing w:after="0" w:line="220" w:lineRule="exact"/>
        <w:rPr>
          <w:sz w:val="20"/>
          <w:szCs w:val="20"/>
          <w:color w:val="auto"/>
        </w:rPr>
      </w:pPr>
    </w:p>
    <w:p>
      <w:pPr>
        <w:ind w:left="1780" w:right="20" w:hanging="332"/>
        <w:spacing w:after="0" w:line="271" w:lineRule="auto"/>
        <w:tabs>
          <w:tab w:leader="none" w:pos="177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information relating to Grantee in connection with the operation of the Plan to HM Revenue and Customs in the United Kingdom as required by law;</w:t>
      </w:r>
    </w:p>
    <w:p>
      <w:pPr>
        <w:spacing w:after="0" w:line="171" w:lineRule="exact"/>
        <w:rPr>
          <w:rFonts w:ascii="Times New Roman" w:cs="Times New Roman" w:eastAsia="Times New Roman" w:hAnsi="Times New Roman"/>
          <w:sz w:val="18"/>
          <w:szCs w:val="18"/>
          <w:color w:val="auto"/>
        </w:rPr>
      </w:pPr>
    </w:p>
    <w:p>
      <w:pPr>
        <w:jc w:val="both"/>
        <w:ind w:left="1780" w:hanging="332"/>
        <w:spacing w:after="0" w:line="257" w:lineRule="auto"/>
        <w:tabs>
          <w:tab w:leader="none" w:pos="177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enable any potential purchasers of the business and/or assets of any of the Relevant TriMas Companies and/or their Subsidiaries to (i) complete due diligence on, and value, the business and/or assets; and (ii) use such personal data for the operation of their business;</w:t>
      </w:r>
    </w:p>
    <w:p>
      <w:pPr>
        <w:spacing w:after="0" w:line="172"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obtaining legal and other professional advice; and</w:t>
      </w:r>
    </w:p>
    <w:p>
      <w:pPr>
        <w:spacing w:after="0" w:line="219"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establishing, exercising or defending legal rights.</w:t>
      </w:r>
    </w:p>
    <w:p>
      <w:pPr>
        <w:spacing w:after="0" w:line="22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Legal Basis for Processing Personal Data</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The processing of the Grantee’s personal data:</w:t>
      </w:r>
    </w:p>
    <w:p>
      <w:pPr>
        <w:spacing w:after="0" w:line="220" w:lineRule="exact"/>
        <w:rPr>
          <w:sz w:val="20"/>
          <w:szCs w:val="20"/>
          <w:color w:val="auto"/>
        </w:rPr>
      </w:pPr>
    </w:p>
    <w:p>
      <w:pPr>
        <w:jc w:val="both"/>
        <w:ind w:left="1780" w:hanging="332"/>
        <w:spacing w:after="0" w:line="257" w:lineRule="auto"/>
        <w:tabs>
          <w:tab w:leader="none" w:pos="177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relation to the information provided to HM Revenue and Customs in the United Kingdom and the Department of the Treasury Internal Revenue Service in the United States of America, is necessary for compliance with a legal obligation to which the Relevant TriMas Companies are subject;</w:t>
      </w:r>
    </w:p>
    <w:p>
      <w:pPr>
        <w:spacing w:after="0" w:line="172" w:lineRule="exact"/>
        <w:rPr>
          <w:rFonts w:ascii="Times New Roman" w:cs="Times New Roman" w:eastAsia="Times New Roman" w:hAnsi="Times New Roman"/>
          <w:sz w:val="18"/>
          <w:szCs w:val="18"/>
          <w:color w:val="auto"/>
        </w:rPr>
      </w:pPr>
    </w:p>
    <w:p>
      <w:pPr>
        <w:jc w:val="both"/>
        <w:ind w:left="1780" w:hanging="332"/>
        <w:spacing w:after="0" w:line="256" w:lineRule="auto"/>
        <w:tabs>
          <w:tab w:leader="none" w:pos="177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relation to (i) obtaining legal and other professional advice; and (ii) establishing, exercising or defending legal rights, is pursuant to the Relevant TriMas Companies’ legitimate interests of commencing and/or handling any legal proceedings (including prospective legal proceedings), for obtaining legal advice or for establishing, exercising or defending legal rights;</w:t>
      </w:r>
    </w:p>
    <w:p>
      <w:pPr>
        <w:spacing w:after="0" w:line="176" w:lineRule="exact"/>
        <w:rPr>
          <w:rFonts w:ascii="Times New Roman" w:cs="Times New Roman" w:eastAsia="Times New Roman" w:hAnsi="Times New Roman"/>
          <w:sz w:val="18"/>
          <w:szCs w:val="18"/>
          <w:color w:val="auto"/>
        </w:rPr>
      </w:pPr>
    </w:p>
    <w:p>
      <w:pPr>
        <w:ind w:left="1780" w:hanging="332"/>
        <w:spacing w:after="0" w:line="271" w:lineRule="auto"/>
        <w:tabs>
          <w:tab w:leader="none" w:pos="177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respect of all other personal data set out above, is necessary for the performance of the Restricted Stock Units Agreement between the Grantee and TriMas Corporation.</w:t>
      </w:r>
    </w:p>
    <w:p>
      <w:pPr>
        <w:spacing w:after="0" w:line="171" w:lineRule="exact"/>
        <w:rPr>
          <w:sz w:val="20"/>
          <w:szCs w:val="20"/>
          <w:color w:val="auto"/>
        </w:rPr>
      </w:pPr>
    </w:p>
    <w:p>
      <w:pPr>
        <w:ind w:left="1120" w:right="20"/>
        <w:spacing w:after="0" w:line="271" w:lineRule="auto"/>
        <w:rPr>
          <w:sz w:val="20"/>
          <w:szCs w:val="20"/>
          <w:color w:val="auto"/>
        </w:rPr>
      </w:pPr>
      <w:r>
        <w:rPr>
          <w:rFonts w:ascii="Times New Roman" w:cs="Times New Roman" w:eastAsia="Times New Roman" w:hAnsi="Times New Roman"/>
          <w:sz w:val="22"/>
          <w:szCs w:val="22"/>
          <w:color w:val="auto"/>
        </w:rPr>
        <w:t>The Relevant TriMas Companies will also process the Grantee’s personal data as necessary to comply with any legal obligations to which the Relevant TriMas Companies are subject.</w:t>
      </w:r>
    </w:p>
    <w:p>
      <w:pPr>
        <w:spacing w:after="0" w:line="1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Sharing Personal Data with Third Parties</w:t>
      </w:r>
    </w:p>
    <w:p>
      <w:pPr>
        <w:spacing w:after="0" w:line="224" w:lineRule="exact"/>
        <w:rPr>
          <w:sz w:val="20"/>
          <w:szCs w:val="20"/>
          <w:color w:val="auto"/>
        </w:rPr>
      </w:pPr>
    </w:p>
    <w:p>
      <w:pPr>
        <w:ind w:left="1120" w:right="20"/>
        <w:spacing w:after="0" w:line="271" w:lineRule="auto"/>
        <w:rPr>
          <w:sz w:val="20"/>
          <w:szCs w:val="20"/>
          <w:color w:val="auto"/>
        </w:rPr>
      </w:pPr>
      <w:r>
        <w:rPr>
          <w:rFonts w:ascii="Times New Roman" w:cs="Times New Roman" w:eastAsia="Times New Roman" w:hAnsi="Times New Roman"/>
          <w:sz w:val="22"/>
          <w:szCs w:val="22"/>
          <w:color w:val="auto"/>
        </w:rPr>
        <w:t>The Grantee’s personal details as set out above will be transferred between the Grantee’s Employer and the Company in order to administer and maintain the Plan and records associated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1060"/>
          </w:cols>
          <w:pgMar w:left="500" w:top="1421" w:right="339" w:bottom="1440" w:gutter="0" w:footer="0" w:header="0"/>
        </w:sectPr>
      </w:pPr>
    </w:p>
    <w:bookmarkStart w:id="143" w:name="page144"/>
    <w:bookmarkEnd w:id="143"/>
    <w:p>
      <w:pPr>
        <w:jc w:val="both"/>
        <w:ind w:left="1120"/>
        <w:spacing w:after="0" w:line="251" w:lineRule="auto"/>
        <w:rPr>
          <w:sz w:val="20"/>
          <w:szCs w:val="20"/>
          <w:color w:val="auto"/>
        </w:rPr>
      </w:pPr>
      <w:r>
        <w:rPr>
          <w:rFonts w:ascii="Times New Roman" w:cs="Times New Roman" w:eastAsia="Times New Roman" w:hAnsi="Times New Roman"/>
          <w:sz w:val="22"/>
          <w:szCs w:val="22"/>
          <w:color w:val="auto"/>
        </w:rPr>
        <w:t>The Company is based in the United States of America which is not designated by the European Commission as providing an adequate level of protection for personal data. As such, the Grantee’s Employer and the Company have entered into a data transfer agreement governed by standard data protection clauses adopted by the Commission to safeguard personal data in respect of these transfers. The Grantee can obtain a copy of this data transfer agreement by contacting the TriMas Corporate Benefits Group at 248-631-5450 or 38505 Woodward Avenue, Suite 200, Bloomfield Hills, Michigan 48304.</w:t>
      </w:r>
    </w:p>
    <w:p>
      <w:pPr>
        <w:spacing w:after="0" w:line="181" w:lineRule="exact"/>
        <w:rPr>
          <w:sz w:val="20"/>
          <w:szCs w:val="20"/>
          <w:color w:val="auto"/>
        </w:rPr>
      </w:pPr>
    </w:p>
    <w:p>
      <w:pPr>
        <w:jc w:val="both"/>
        <w:ind w:left="1120"/>
        <w:spacing w:after="0" w:line="249" w:lineRule="auto"/>
        <w:rPr>
          <w:sz w:val="20"/>
          <w:szCs w:val="20"/>
          <w:color w:val="auto"/>
        </w:rPr>
      </w:pPr>
      <w:r>
        <w:rPr>
          <w:rFonts w:ascii="Times New Roman" w:cs="Times New Roman" w:eastAsia="Times New Roman" w:hAnsi="Times New Roman"/>
          <w:sz w:val="22"/>
          <w:szCs w:val="22"/>
          <w:color w:val="auto"/>
        </w:rPr>
        <w:t xml:space="preserve">The Relevant TriMas Companies will also share the Grantee’s personal data with National Financial Services LLC, Fidelity Stock Plan Services LLC and Fidelity Brokerage Services LLC (part of the FMR LLC group of companies) which are based in the United States of America. The Company has entered into a data transfer agreement governed by standard data protection clauses adopted by the Commission to safeguard personal data in respect of these transfers. The Grantee can obtain a copy of this data transfer agreement by either, (1) contacting your local human resources representative, (2) contacting Fidelity Stock Plan Services by calling 1-800-544-9354 (Domestic) or 1-800-544-0275 (International), and (3) by logging into Grantee’s Fidelity account at </w:t>
      </w:r>
      <w:r>
        <w:rPr>
          <w:rFonts w:ascii="Times New Roman" w:cs="Times New Roman" w:eastAsia="Times New Roman" w:hAnsi="Times New Roman"/>
          <w:sz w:val="22"/>
          <w:szCs w:val="22"/>
          <w:u w:val="single" w:color="auto"/>
          <w:color w:val="auto"/>
        </w:rPr>
        <w:t>www.netbenefits.fidelity.com</w:t>
      </w:r>
      <w:r>
        <w:rPr>
          <w:rFonts w:ascii="Times New Roman" w:cs="Times New Roman" w:eastAsia="Times New Roman" w:hAnsi="Times New Roman"/>
          <w:sz w:val="22"/>
          <w:szCs w:val="22"/>
          <w:color w:val="auto"/>
        </w:rPr>
        <w:t xml:space="preserve"> and visiting the Plan &amp; Grant Documents section of the Grantee’s account.</w:t>
      </w:r>
    </w:p>
    <w:p>
      <w:pPr>
        <w:spacing w:after="0" w:line="195" w:lineRule="exact"/>
        <w:rPr>
          <w:sz w:val="20"/>
          <w:szCs w:val="20"/>
          <w:color w:val="auto"/>
        </w:rPr>
      </w:pPr>
    </w:p>
    <w:p>
      <w:pPr>
        <w:jc w:val="both"/>
        <w:ind w:left="1120"/>
        <w:spacing w:after="0" w:line="257" w:lineRule="auto"/>
        <w:rPr>
          <w:sz w:val="20"/>
          <w:szCs w:val="20"/>
          <w:color w:val="auto"/>
        </w:rPr>
      </w:pPr>
      <w:r>
        <w:rPr>
          <w:rFonts w:ascii="Times New Roman" w:cs="Times New Roman" w:eastAsia="Times New Roman" w:hAnsi="Times New Roman"/>
          <w:sz w:val="22"/>
          <w:szCs w:val="22"/>
          <w:color w:val="auto"/>
        </w:rPr>
        <w:t>In the event that the Relevant TriMas Companies sell any part(s) of their business and/or assets, they will also disclose the Grantee’s personal data to actual or potential purchasers of parts of its business or assets, and their respective advisers and insurers for the potential purchaser’s legitimate interests of:</w:t>
      </w:r>
    </w:p>
    <w:p>
      <w:pPr>
        <w:spacing w:after="0" w:line="173" w:lineRule="exact"/>
        <w:rPr>
          <w:sz w:val="20"/>
          <w:szCs w:val="20"/>
          <w:color w:val="auto"/>
        </w:rPr>
      </w:pPr>
    </w:p>
    <w:p>
      <w:pPr>
        <w:ind w:left="1760" w:hanging="312"/>
        <w:spacing w:after="0"/>
        <w:tabs>
          <w:tab w:leader="none" w:pos="17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enabling potential purchasers to complete due diligence on, and value, the business and/or assets;</w:t>
      </w:r>
    </w:p>
    <w:p>
      <w:pPr>
        <w:spacing w:after="0" w:line="219" w:lineRule="exact"/>
        <w:rPr>
          <w:rFonts w:ascii="Times New Roman" w:cs="Times New Roman" w:eastAsia="Times New Roman" w:hAnsi="Times New Roman"/>
          <w:sz w:val="18"/>
          <w:szCs w:val="18"/>
          <w:color w:val="auto"/>
        </w:rPr>
      </w:pPr>
    </w:p>
    <w:p>
      <w:pPr>
        <w:ind w:left="1780" w:right="20" w:hanging="332"/>
        <w:spacing w:after="0" w:line="284" w:lineRule="auto"/>
        <w:tabs>
          <w:tab w:leader="none" w:pos="177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transferring the personal data in connection with any relevant sale and the transfer of the Relevant TriMas Company’s contractual rights and/or obligations; and</w:t>
      </w:r>
    </w:p>
    <w:p>
      <w:pPr>
        <w:spacing w:after="0" w:line="143"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use of such personal data by a purchaser for the operation of its business.</w:t>
      </w:r>
    </w:p>
    <w:p>
      <w:pPr>
        <w:spacing w:after="0" w:line="2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The Relevant TriMas Companies will also share the Grantee’s personal data with:</w:t>
      </w:r>
    </w:p>
    <w:p>
      <w:pPr>
        <w:spacing w:after="0" w:line="220" w:lineRule="exact"/>
        <w:rPr>
          <w:sz w:val="20"/>
          <w:szCs w:val="20"/>
          <w:color w:val="auto"/>
        </w:rPr>
      </w:pPr>
    </w:p>
    <w:p>
      <w:pPr>
        <w:ind w:left="1760" w:hanging="312"/>
        <w:spacing w:after="0"/>
        <w:tabs>
          <w:tab w:leader="none" w:pos="17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its professional advisors, auditors, service providers;</w:t>
      </w:r>
    </w:p>
    <w:p>
      <w:pPr>
        <w:spacing w:after="0" w:line="219" w:lineRule="exact"/>
        <w:rPr>
          <w:rFonts w:ascii="Times New Roman" w:cs="Times New Roman" w:eastAsia="Times New Roman" w:hAnsi="Times New Roman"/>
          <w:sz w:val="18"/>
          <w:szCs w:val="18"/>
          <w:color w:val="auto"/>
        </w:rPr>
      </w:pPr>
    </w:p>
    <w:p>
      <w:pPr>
        <w:jc w:val="both"/>
        <w:ind w:left="1780" w:hanging="332"/>
        <w:spacing w:after="0" w:line="263" w:lineRule="auto"/>
        <w:tabs>
          <w:tab w:leader="none" w:pos="177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HM Revenue and Customs in the United Kingdom and the Department of the Treasury Internal Revenue Service in the United States of America and other regulators, and governmental and law enforcement agencies; and</w:t>
      </w:r>
    </w:p>
    <w:p>
      <w:pPr>
        <w:spacing w:after="0" w:line="167" w:lineRule="exact"/>
        <w:rPr>
          <w:rFonts w:ascii="Times New Roman" w:cs="Times New Roman" w:eastAsia="Times New Roman" w:hAnsi="Times New Roman"/>
          <w:sz w:val="18"/>
          <w:szCs w:val="18"/>
          <w:color w:val="auto"/>
        </w:rPr>
      </w:pPr>
    </w:p>
    <w:p>
      <w:pPr>
        <w:ind w:left="1780" w:hanging="332"/>
        <w:spacing w:after="0" w:line="271" w:lineRule="auto"/>
        <w:tabs>
          <w:tab w:leader="none" w:pos="177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third parties if it is under a duty to disclose or share the Grantee’s personal data in order to comply with any laws, regulations or good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1060"/>
          </w:cols>
          <w:pgMar w:left="500" w:top="1421" w:right="339" w:bottom="1440" w:gutter="0" w:footer="0" w:header="0"/>
        </w:sectPr>
      </w:pPr>
    </w:p>
    <w:bookmarkStart w:id="144" w:name="page145"/>
    <w:bookmarkEnd w:id="144"/>
    <w:p>
      <w:pPr>
        <w:ind w:left="1780"/>
        <w:spacing w:after="0" w:line="271" w:lineRule="auto"/>
        <w:rPr>
          <w:sz w:val="20"/>
          <w:szCs w:val="20"/>
          <w:color w:val="auto"/>
        </w:rPr>
      </w:pPr>
      <w:r>
        <w:rPr>
          <w:rFonts w:ascii="Times New Roman" w:cs="Times New Roman" w:eastAsia="Times New Roman" w:hAnsi="Times New Roman"/>
          <w:sz w:val="22"/>
          <w:szCs w:val="22"/>
          <w:color w:val="auto"/>
        </w:rPr>
        <w:t>obligations, or in order to enforce or to protect its rights, property or safety, or that of its customers or other persons with whom it has a business relationship.</w:t>
      </w:r>
    </w:p>
    <w:p>
      <w:pPr>
        <w:spacing w:after="0" w:line="1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Retention of Personal Data</w:t>
      </w:r>
    </w:p>
    <w:p>
      <w:pPr>
        <w:spacing w:after="0" w:line="237" w:lineRule="exact"/>
        <w:rPr>
          <w:sz w:val="20"/>
          <w:szCs w:val="20"/>
          <w:color w:val="auto"/>
        </w:rPr>
      </w:pPr>
    </w:p>
    <w:p>
      <w:pPr>
        <w:jc w:val="both"/>
        <w:ind w:left="1120"/>
        <w:spacing w:after="0" w:line="271" w:lineRule="auto"/>
        <w:rPr>
          <w:sz w:val="20"/>
          <w:szCs w:val="20"/>
          <w:color w:val="auto"/>
        </w:rPr>
      </w:pPr>
      <w:r>
        <w:rPr>
          <w:rFonts w:ascii="Times New Roman" w:cs="Times New Roman" w:eastAsia="Times New Roman" w:hAnsi="Times New Roman"/>
          <w:sz w:val="22"/>
          <w:szCs w:val="22"/>
          <w:color w:val="auto"/>
        </w:rPr>
        <w:t>The Relevant TriMas Companies will retain the Grantee’s personal data for the duration of the Plan and for a further period of eight years after the Grantee ceases to be a member of the Plan.</w:t>
      </w:r>
    </w:p>
    <w:p>
      <w:pPr>
        <w:spacing w:after="0" w:line="158" w:lineRule="exact"/>
        <w:rPr>
          <w:sz w:val="20"/>
          <w:szCs w:val="20"/>
          <w:color w:val="auto"/>
        </w:rPr>
      </w:pPr>
    </w:p>
    <w:p>
      <w:pPr>
        <w:jc w:val="both"/>
        <w:ind w:left="1120"/>
        <w:spacing w:after="0" w:line="257" w:lineRule="auto"/>
        <w:rPr>
          <w:sz w:val="20"/>
          <w:szCs w:val="20"/>
          <w:color w:val="auto"/>
        </w:rPr>
      </w:pPr>
      <w:r>
        <w:rPr>
          <w:rFonts w:ascii="Times New Roman" w:cs="Times New Roman" w:eastAsia="Times New Roman" w:hAnsi="Times New Roman"/>
          <w:sz w:val="22"/>
          <w:szCs w:val="22"/>
          <w:color w:val="auto"/>
        </w:rPr>
        <w:t>The Relevant TriMas Companies will retain the Grantee’s personal data for longer than the period specified above if required by law, to defend or exercise legal rights (such as defending legal claims) or to comply with regulatory obligations.</w:t>
      </w:r>
    </w:p>
    <w:p>
      <w:pPr>
        <w:spacing w:after="0" w:line="1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The Grantee’s Rights</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In order to control the use of their personal data, each Grantee has the following controls over their personal data:</w:t>
      </w:r>
    </w:p>
    <w:p>
      <w:pPr>
        <w:spacing w:after="0" w:line="231" w:lineRule="exact"/>
        <w:rPr>
          <w:sz w:val="20"/>
          <w:szCs w:val="20"/>
          <w:color w:val="auto"/>
        </w:rPr>
      </w:pPr>
    </w:p>
    <w:p>
      <w:pPr>
        <w:ind w:left="1780" w:right="20" w:hanging="332"/>
        <w:spacing w:after="0" w:line="271" w:lineRule="auto"/>
        <w:tabs>
          <w:tab w:leader="none" w:pos="177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Each Grantee may request access to or copies of the personal data that the Relevant TriMas Companies hold about them by contacting their local human resources representative;</w:t>
      </w:r>
    </w:p>
    <w:p>
      <w:pPr>
        <w:spacing w:after="0" w:line="157" w:lineRule="exact"/>
        <w:rPr>
          <w:rFonts w:ascii="Times New Roman" w:cs="Times New Roman" w:eastAsia="Times New Roman" w:hAnsi="Times New Roman"/>
          <w:sz w:val="18"/>
          <w:szCs w:val="18"/>
          <w:color w:val="auto"/>
        </w:rPr>
      </w:pPr>
    </w:p>
    <w:p>
      <w:pPr>
        <w:jc w:val="both"/>
        <w:ind w:left="1780" w:hanging="332"/>
        <w:spacing w:after="0" w:line="253" w:lineRule="auto"/>
        <w:tabs>
          <w:tab w:leader="none" w:pos="177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Grantee believes that any information the Relevant TriMas Companies hold about them is incorrect or incomplete, the Grantee should contact their local human resources representative as soon as possible. The Relevant TriMas Companies will take steps to seek to correct or update any information if they are satisfied that the information they hold is inaccurate. In certain circumstances, the Grantee may also request that the Relevant TriMas Companies restrict their processing;</w:t>
      </w:r>
    </w:p>
    <w:p>
      <w:pPr>
        <w:spacing w:after="0" w:line="178" w:lineRule="exact"/>
        <w:rPr>
          <w:rFonts w:ascii="Times New Roman" w:cs="Times New Roman" w:eastAsia="Times New Roman" w:hAnsi="Times New Roman"/>
          <w:sz w:val="18"/>
          <w:szCs w:val="18"/>
          <w:color w:val="auto"/>
        </w:rPr>
      </w:pPr>
    </w:p>
    <w:p>
      <w:pPr>
        <w:jc w:val="both"/>
        <w:ind w:left="1780" w:hanging="332"/>
        <w:spacing w:after="0" w:line="256" w:lineRule="auto"/>
        <w:tabs>
          <w:tab w:leader="none" w:pos="177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Each grantee may request that their personal data be deleted where it is no longer necessary for the purposes for which it is being processed and provided there is no other lawful basis for which the Relevant TriMas Companies may continue to process such personal data. The Grantee can exercise this right by contacting their local human resources representative;</w:t>
      </w:r>
    </w:p>
    <w:p>
      <w:pPr>
        <w:spacing w:after="0" w:line="176" w:lineRule="exact"/>
        <w:rPr>
          <w:rFonts w:ascii="Times New Roman" w:cs="Times New Roman" w:eastAsia="Times New Roman" w:hAnsi="Times New Roman"/>
          <w:sz w:val="18"/>
          <w:szCs w:val="18"/>
          <w:color w:val="auto"/>
        </w:rPr>
      </w:pPr>
    </w:p>
    <w:p>
      <w:pPr>
        <w:jc w:val="both"/>
        <w:ind w:left="1780" w:hanging="332"/>
        <w:spacing w:after="0" w:line="253" w:lineRule="auto"/>
        <w:tabs>
          <w:tab w:leader="none" w:pos="177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Relevant TriMas Companies are processing the Grantee’s personal data to meet their legitimate interests (as set out above), the Grantee may object to the processing of their personal information by the Relevant TriMas Companies. If the Relevant TriMas Companies are unable to demonstrate their legitimate grounds for that processing, they will no longer process the Grantee’s personal information for those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w:t>
      </w:r>
    </w:p>
    <w:p>
      <w:pPr>
        <w:sectPr>
          <w:pgSz w:w="11900" w:h="16838" w:orient="portrait"/>
          <w:cols w:equalWidth="0" w:num="1">
            <w:col w:w="11060"/>
          </w:cols>
          <w:pgMar w:left="500" w:top="1421" w:right="339" w:bottom="1440" w:gutter="0" w:footer="0" w:header="0"/>
        </w:sectPr>
      </w:pPr>
    </w:p>
    <w:bookmarkStart w:id="145" w:name="page146"/>
    <w:bookmarkEnd w:id="145"/>
    <w:p>
      <w:pPr>
        <w:jc w:val="both"/>
        <w:ind w:left="1960" w:hanging="332"/>
        <w:spacing w:after="0" w:line="256" w:lineRule="auto"/>
        <w:tabs>
          <w:tab w:leader="none" w:pos="195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Where the Grantee has provided the Relevant TriMas Companies with their personal data that the Relevant TriMas Companies process using automated means, the Grantee may be entitled to a copy of that personal data in a structured, commonly-used and machine readable format. The Grantee can exercise this right by contacting their local human resources representative.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 xml:space="preserve">The Grantee should contact their local human resources representative in relation to any concerns about how their personal data is processed and the Relevant TriMas Companies will try to resolve the Grantee’s concerns. However, if the Grantee considers that the Relevant TriMas Companies is in breach of its obligations under data protection laws, the Grantee may lodge a complaint with the Information Commissioner’s Office in the United Kingdom (such as by accessing </w:t>
      </w:r>
      <w:r>
        <w:rPr>
          <w:rFonts w:ascii="Times New Roman" w:cs="Times New Roman" w:eastAsia="Times New Roman" w:hAnsi="Times New Roman"/>
          <w:sz w:val="21"/>
          <w:szCs w:val="21"/>
          <w:u w:val="single" w:color="auto"/>
          <w:color w:val="0000FF"/>
        </w:rPr>
        <w:t>https://ico.org.uk/concerns/</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Loss of Office or Employment</w:t>
      </w:r>
      <w:r>
        <w:rPr>
          <w:rFonts w:ascii="Times New Roman" w:cs="Times New Roman" w:eastAsia="Times New Roman" w:hAnsi="Times New Roman"/>
          <w:sz w:val="22"/>
          <w:szCs w:val="22"/>
          <w:color w:val="auto"/>
        </w:rPr>
        <w:t>. A new Section II.B.17 is added to the Agreement to read as follows:</w:t>
      </w:r>
    </w:p>
    <w:p>
      <w:pPr>
        <w:spacing w:after="0" w:line="251" w:lineRule="exact"/>
        <w:rPr>
          <w:sz w:val="20"/>
          <w:szCs w:val="20"/>
          <w:color w:val="auto"/>
        </w:rPr>
      </w:pPr>
    </w:p>
    <w:p>
      <w:pPr>
        <w:jc w:val="both"/>
        <w:ind w:left="1300" w:right="640"/>
        <w:spacing w:after="0" w:line="250" w:lineRule="auto"/>
        <w:rPr>
          <w:sz w:val="20"/>
          <w:szCs w:val="20"/>
          <w:color w:val="auto"/>
        </w:rPr>
      </w:pPr>
      <w:r>
        <w:rPr>
          <w:rFonts w:ascii="Times New Roman" w:cs="Times New Roman" w:eastAsia="Times New Roman" w:hAnsi="Times New Roman"/>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this Award or the Plan which he might otherwise have enjoyed whether such compensation is claimed by way of damages for wrongful dismissal or other breach of contract or by way of compensation for loss of office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xii</w:t>
      </w:r>
    </w:p>
    <w:p>
      <w:pPr>
        <w:sectPr>
          <w:pgSz w:w="11900" w:h="16838" w:orient="portrait"/>
          <w:cols w:equalWidth="0" w:num="1">
            <w:col w:w="11240"/>
          </w:cols>
          <w:pgMar w:left="320" w:top="1421"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22"/>
          <w:szCs w:val="22"/>
          <w:b w:val="1"/>
          <w:bCs w:val="1"/>
          <w:color w:val="auto"/>
        </w:rPr>
        <w:t>APPENDIX 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CALIFORNIA ADDENDUM</w:t>
      </w:r>
    </w:p>
    <w:p>
      <w:pPr>
        <w:spacing w:after="0" w:line="247"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b w:val="1"/>
          <w:bCs w:val="1"/>
          <w:color w:val="auto"/>
        </w:rPr>
        <w:t>Additional Terms and Conditions for Equity Grants Under the TriMas Corporation 2023 Equity and Incentive Compensation Plan,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Addendum includes additional terms and conditions that govern the Restricted Stock Units granted to you under the TriMas Corporation 2023 Equity and Incentive Compensation Plan (referred to as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if you are employed and/or reside in California or if the Company determines that the application of such terms and conditions is necessary or advisable in order to comply with applicable law. Certain capitalized terms used but not defined in this Addendum have the meanings set forth in the Plan and/or your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 Section II.B.3 of the Agreement is hereby amended in its entirety to read as follows:</w:t>
      </w:r>
    </w:p>
    <w:p>
      <w:pPr>
        <w:spacing w:after="0" w:line="247" w:lineRule="exact"/>
        <w:rPr>
          <w:sz w:val="20"/>
          <w:szCs w:val="20"/>
          <w:color w:val="auto"/>
        </w:rPr>
      </w:pPr>
    </w:p>
    <w:p>
      <w:pPr>
        <w:ind w:left="220"/>
        <w:spacing w:after="0"/>
        <w:tabs>
          <w:tab w:leader="none" w:pos="68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3.</w:t>
      </w:r>
      <w:r>
        <w:rPr>
          <w:sz w:val="20"/>
          <w:szCs w:val="20"/>
          <w:color w:val="auto"/>
        </w:rPr>
        <w:tab/>
      </w:r>
      <w:r>
        <w:rPr>
          <w:rFonts w:ascii="Times New Roman" w:cs="Times New Roman" w:eastAsia="Times New Roman" w:hAnsi="Times New Roman"/>
          <w:sz w:val="21"/>
          <w:szCs w:val="21"/>
          <w:b w:val="1"/>
          <w:bCs w:val="1"/>
          <w:u w:val="single" w:color="auto"/>
          <w:color w:val="auto"/>
        </w:rPr>
        <w:t>Restrictive Covenants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40" w:firstLine="644"/>
        <w:spacing w:after="0" w:line="258" w:lineRule="auto"/>
        <w:tabs>
          <w:tab w:leader="none" w:pos="1936"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Restricted Stock Units or Common Stock to Grantee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Grantee’s 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w:t>
      </w:r>
    </w:p>
    <w:p>
      <w:pPr>
        <w:spacing w:after="0" w:line="167" w:lineRule="exact"/>
        <w:rPr>
          <w:rFonts w:ascii="Times New Roman" w:cs="Times New Roman" w:eastAsia="Times New Roman" w:hAnsi="Times New Roman"/>
          <w:sz w:val="22"/>
          <w:szCs w:val="22"/>
          <w:color w:val="auto"/>
        </w:rPr>
      </w:pPr>
    </w:p>
    <w:p>
      <w:pPr>
        <w:jc w:val="both"/>
        <w:ind w:left="640" w:firstLine="644"/>
        <w:spacing w:after="0" w:line="248" w:lineRule="auto"/>
        <w:tabs>
          <w:tab w:leader="none" w:pos="1935"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 Recognizing Grantee’s fiduciary duties to the Company, as a condition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II.B.3 shall not result in the forfeiture of Restricted Stock Units or any clawback or recoupment of the Award for the disclosure of a trade secret if that disclosure (1) is made in confidence to a federal, state or local government official or to an attorney for the sole purpose of reporting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17" w:right="339" w:bottom="1440" w:gutter="0" w:footer="0" w:header="0"/>
        </w:sectPr>
      </w:pPr>
    </w:p>
    <w:bookmarkStart w:id="147" w:name="page148"/>
    <w:bookmarkEnd w:id="147"/>
    <w:p>
      <w:pPr>
        <w:jc w:val="both"/>
        <w:ind w:left="460"/>
        <w:spacing w:after="0" w:line="246" w:lineRule="auto"/>
        <w:rPr>
          <w:sz w:val="20"/>
          <w:szCs w:val="20"/>
          <w:color w:val="auto"/>
        </w:rPr>
      </w:pPr>
      <w:r>
        <w:rPr>
          <w:rFonts w:ascii="Times New Roman" w:cs="Times New Roman" w:eastAsia="Times New Roman" w:hAnsi="Times New Roman"/>
          <w:sz w:val="22"/>
          <w:szCs w:val="22"/>
          <w:color w:val="auto"/>
        </w:rPr>
        <w:t>investigating a suspected violation of law or (2)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(or in any other agreement, contract or arrangement with the Company or its subsidiaries or affiliates, or in any policy, procedure or practice of the Company or its subsidiaries or affiliates (collectively, the “Arrangements”)): (x) nothing in the Arrangements or otherwise limits Grantee’s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(y) nothing in the Arrangements or otherwise prohibits or is intended to restrict or impede Grantee from discussing the terms and conditions of their employment with coworkers or union representatives or exercising protected rights under Section 7 of the National Labor Relations Act, or prevents Grantee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Grantee is not prohibited from providing information (including documents) voluntarily to the Securities and Exchange Commission pursuant to Section 21F of the Exchange Act). The Company nonetheless asserts and does not waive its attorney-client privilege over any information (including documents) appropriately protected by privilege.</w:t>
      </w:r>
    </w:p>
    <w:p>
      <w:pPr>
        <w:spacing w:after="0" w:line="212" w:lineRule="exact"/>
        <w:rPr>
          <w:sz w:val="20"/>
          <w:szCs w:val="20"/>
          <w:color w:val="auto"/>
        </w:rPr>
      </w:pPr>
    </w:p>
    <w:p>
      <w:pPr>
        <w:jc w:val="both"/>
        <w:ind w:left="460" w:firstLine="644"/>
        <w:spacing w:after="0" w:line="263" w:lineRule="auto"/>
        <w:tabs>
          <w:tab w:leader="none" w:pos="1756"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Covenant Against Solicitation</w:t>
      </w:r>
      <w:r>
        <w:rPr>
          <w:rFonts w:ascii="Times New Roman" w:cs="Times New Roman" w:eastAsia="Times New Roman" w:hAnsi="Times New Roman"/>
          <w:sz w:val="21"/>
          <w:szCs w:val="21"/>
          <w:color w:val="auto"/>
        </w:rPr>
        <w:t>. Grantee further understands and agrees that while Grantee is employed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 The “Business” shall mean the design, development, manufacture, distribution, sale or marketing of the type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60"/>
          </w:cols>
          <w:pgMar w:left="500" w:top="1421" w:right="339" w:bottom="1440" w:gutter="0" w:footer="0" w:header="0"/>
        </w:sectPr>
      </w:pPr>
    </w:p>
    <w:bookmarkStart w:id="148" w:name="page149"/>
    <w:bookmarkEnd w:id="148"/>
    <w:p>
      <w:pPr>
        <w:ind w:left="640"/>
        <w:spacing w:after="0" w:line="271" w:lineRule="auto"/>
        <w:rPr>
          <w:sz w:val="20"/>
          <w:szCs w:val="20"/>
          <w:color w:val="auto"/>
        </w:rPr>
      </w:pPr>
      <w:r>
        <w:rPr>
          <w:rFonts w:ascii="Times New Roman" w:cs="Times New Roman" w:eastAsia="Times New Roman" w:hAnsi="Times New Roman"/>
          <w:sz w:val="22"/>
          <w:szCs w:val="22"/>
          <w:color w:val="auto"/>
        </w:rPr>
        <w:t>products or services sold, distributed or provided by the Company during the one-year period prior to the date of employment termination and with which Grantee was involved and/or oversaw.</w:t>
      </w:r>
    </w:p>
    <w:p>
      <w:pPr>
        <w:spacing w:after="0" w:line="154" w:lineRule="exact"/>
        <w:rPr>
          <w:sz w:val="20"/>
          <w:szCs w:val="20"/>
          <w:color w:val="auto"/>
        </w:rPr>
      </w:pPr>
    </w:p>
    <w:p>
      <w:pPr>
        <w:jc w:val="both"/>
        <w:ind w:left="640" w:firstLine="644"/>
        <w:spacing w:after="0" w:line="258" w:lineRule="auto"/>
        <w:tabs>
          <w:tab w:leader="none" w:pos="1935"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167" w:lineRule="exact"/>
        <w:rPr>
          <w:rFonts w:ascii="Times New Roman" w:cs="Times New Roman" w:eastAsia="Times New Roman" w:hAnsi="Times New Roman"/>
          <w:sz w:val="22"/>
          <w:szCs w:val="22"/>
          <w:color w:val="auto"/>
        </w:rPr>
      </w:pPr>
    </w:p>
    <w:p>
      <w:pPr>
        <w:ind w:left="1940" w:hanging="656"/>
        <w:spacing w:after="0"/>
        <w:tabs>
          <w:tab w:leader="none" w:pos="194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219" w:lineRule="exact"/>
        <w:rPr>
          <w:rFonts w:ascii="Times New Roman" w:cs="Times New Roman" w:eastAsia="Times New Roman" w:hAnsi="Times New Roman"/>
          <w:sz w:val="22"/>
          <w:szCs w:val="22"/>
          <w:color w:val="auto"/>
        </w:rPr>
      </w:pPr>
    </w:p>
    <w:p>
      <w:pPr>
        <w:jc w:val="both"/>
        <w:ind w:left="1300" w:firstLine="622"/>
        <w:spacing w:after="0" w:line="250" w:lineRule="auto"/>
        <w:tabs>
          <w:tab w:leader="none" w:pos="244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93" w:lineRule="exact"/>
        <w:rPr>
          <w:rFonts w:ascii="Times New Roman" w:cs="Times New Roman" w:eastAsia="Times New Roman" w:hAnsi="Times New Roman"/>
          <w:sz w:val="22"/>
          <w:szCs w:val="22"/>
          <w:color w:val="auto"/>
        </w:rPr>
      </w:pPr>
    </w:p>
    <w:p>
      <w:pPr>
        <w:jc w:val="both"/>
        <w:ind w:left="1300" w:firstLine="622"/>
        <w:spacing w:after="0" w:line="248" w:lineRule="auto"/>
        <w:tabs>
          <w:tab w:leader="none" w:pos="2589"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79" w:lineRule="exact"/>
        <w:rPr>
          <w:rFonts w:ascii="Times New Roman" w:cs="Times New Roman" w:eastAsia="Times New Roman" w:hAnsi="Times New Roman"/>
          <w:sz w:val="22"/>
          <w:szCs w:val="22"/>
          <w:color w:val="auto"/>
        </w:rPr>
      </w:pPr>
    </w:p>
    <w:p>
      <w:pPr>
        <w:ind w:left="640" w:firstLine="644"/>
        <w:spacing w:after="0" w:line="275" w:lineRule="auto"/>
        <w:tabs>
          <w:tab w:leader="none" w:pos="1885"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w:t>
      </w:r>
      <w:r>
        <w:rPr>
          <w:rFonts w:ascii="Times New Roman" w:cs="Times New Roman" w:eastAsia="Times New Roman" w:hAnsi="Times New Roman"/>
          <w:sz w:val="22"/>
          <w:szCs w:val="22"/>
          <w:color w:val="auto"/>
        </w:rPr>
        <w:t>. A new Section II.B.16 is added to the Agreement to read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421" w:right="339" w:bottom="1440" w:gutter="0" w:footer="0" w:header="0"/>
        </w:sectPr>
      </w:pPr>
    </w:p>
    <w:bookmarkStart w:id="149" w:name="page150"/>
    <w:bookmarkEnd w:id="149"/>
    <w:p>
      <w:pPr>
        <w:spacing w:after="0" w:line="221" w:lineRule="exact"/>
        <w:rPr>
          <w:sz w:val="20"/>
          <w:szCs w:val="20"/>
          <w:color w:val="auto"/>
        </w:rPr>
      </w:pPr>
    </w:p>
    <w:p>
      <w:pPr>
        <w:jc w:val="both"/>
        <w:ind w:firstLine="594"/>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Privacy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Company respects Grantee’s privacy. In order to administer Grantee’s equity award, the Company collects and uses certain personal information about Grantee, including Grantee’s prior equity grant information where applicable. If Grantee is a California resident, Grantee should refer to the Company’s California Consumer Privacy Act Notice for more information about the personal information the Company collects about Grantee and the purposes for which the Company will use such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40"/>
          </w:cols>
          <w:pgMar w:left="320" w:top="1440"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Retention Restricted Stock Units Award</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Two-Year (Ratable) Vest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EQUITY AND INCENTIVE COMPENSATION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TriMas Corporation (the “Company”), as permitted by the TriMas Corporation 2023 Equity and Incentive Compensation Plan (“Plan”), and as provided for by the Committee, has granted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Unless otherwise defined in this Agreement or in Appendix A to this Agreement, the terms used in this Agreement have the same meanings as defined in the Plan.</w:t>
      </w:r>
    </w:p>
    <w:p>
      <w:pPr>
        <w:spacing w:after="0" w:line="154" w:lineRule="exact"/>
        <w:rPr>
          <w:sz w:val="20"/>
          <w:szCs w:val="20"/>
          <w:color w:val="auto"/>
        </w:rPr>
      </w:pPr>
    </w:p>
    <w:p>
      <w:pPr>
        <w:ind w:left="360" w:hanging="352"/>
        <w:spacing w:after="0"/>
        <w:tabs>
          <w:tab w:leader="none" w:pos="360" w:val="left"/>
        </w:tabs>
        <w:numPr>
          <w:ilvl w:val="0"/>
          <w:numId w:val="1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 OF AWARD</w:t>
      </w:r>
    </w:p>
    <w:p>
      <w:pPr>
        <w:sectPr>
          <w:pgSz w:w="11900" w:h="16838" w:orient="portrait"/>
          <w:cols w:equalWidth="0" w:num="1">
            <w:col w:w="11240"/>
          </w:cols>
          <w:pgMar w:left="320" w:top="121" w:right="339" w:bottom="1440" w:gutter="0" w:footer="0" w:header="0"/>
        </w:sectPr>
      </w:pPr>
    </w:p>
    <w:p>
      <w:pPr>
        <w:spacing w:after="0" w:line="3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[specify Grantee’s name]</w:t>
      </w:r>
    </w:p>
    <w:p>
      <w:pPr>
        <w:spacing w:after="0" w:line="173" w:lineRule="exact"/>
        <w:rPr>
          <w:sz w:val="20"/>
          <w:szCs w:val="20"/>
          <w:color w:val="auto"/>
        </w:rPr>
      </w:pPr>
    </w:p>
    <w:p>
      <w:pPr>
        <w:sectPr>
          <w:pgSz w:w="11900" w:h="16838" w:orient="portrait"/>
          <w:cols w:equalWidth="0" w:num="2">
            <w:col w:w="5740" w:space="720"/>
            <w:col w:w="4780"/>
          </w:cols>
          <w:pgMar w:left="320" w:top="121"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1"/>
          <w:szCs w:val="21"/>
          <w:b w:val="1"/>
          <w:bCs w:val="1"/>
          <w:color w:val="auto"/>
        </w:rPr>
        <w:t>Date of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As of [enter date]</w:t>
      </w:r>
    </w:p>
    <w:p>
      <w:pPr>
        <w:spacing w:after="0" w:line="173" w:lineRule="exact"/>
        <w:rPr>
          <w:sz w:val="20"/>
          <w:szCs w:val="20"/>
          <w:color w:val="auto"/>
        </w:rPr>
      </w:pPr>
    </w:p>
    <w:p>
      <w:pPr>
        <w:sectPr>
          <w:pgSz w:w="11900" w:h="16838" w:orient="portrait"/>
          <w:cols w:equalWidth="0" w:num="2">
            <w:col w:w="5740" w:space="720"/>
            <w:col w:w="4780"/>
          </w:cols>
          <w:pgMar w:left="320" w:top="121"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1"/>
          <w:szCs w:val="21"/>
          <w:b w:val="1"/>
          <w:bCs w:val="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[grant date]</w:t>
      </w:r>
    </w:p>
    <w:p>
      <w:pPr>
        <w:spacing w:after="0" w:line="173" w:lineRule="exact"/>
        <w:rPr>
          <w:sz w:val="20"/>
          <w:szCs w:val="20"/>
          <w:color w:val="auto"/>
        </w:rPr>
      </w:pPr>
    </w:p>
    <w:p>
      <w:pPr>
        <w:sectPr>
          <w:pgSz w:w="11900" w:h="16838" w:orient="portrait"/>
          <w:cols w:equalWidth="0" w:num="2">
            <w:col w:w="5740" w:space="720"/>
            <w:col w:w="4780"/>
          </w:cols>
          <w:pgMar w:left="320" w:top="121"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1"/>
          <w:szCs w:val="21"/>
          <w:b w:val="1"/>
          <w:bCs w:val="1"/>
          <w:color w:val="auto"/>
        </w:rPr>
        <w:t>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[number of Restricted Stock Units]</w:t>
      </w:r>
    </w:p>
    <w:p>
      <w:pPr>
        <w:spacing w:after="0" w:line="200" w:lineRule="exact"/>
        <w:rPr>
          <w:sz w:val="20"/>
          <w:szCs w:val="20"/>
          <w:color w:val="auto"/>
        </w:rPr>
      </w:pPr>
    </w:p>
    <w:p>
      <w:pPr>
        <w:sectPr>
          <w:pgSz w:w="11900" w:h="16838" w:orient="portrait"/>
          <w:cols w:equalWidth="0" w:num="2">
            <w:col w:w="5740" w:space="720"/>
            <w:col w:w="4780"/>
          </w:cols>
          <w:pgMar w:left="320" w:top="121" w:right="33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ind w:left="420" w:hanging="412"/>
        <w:spacing w:after="0"/>
        <w:tabs>
          <w:tab w:leader="none" w:pos="42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AGREEMENT</w:t>
      </w:r>
    </w:p>
    <w:p>
      <w:pPr>
        <w:spacing w:after="0" w:line="206" w:lineRule="exact"/>
        <w:rPr>
          <w:rFonts w:ascii="Times New Roman" w:cs="Times New Roman" w:eastAsia="Times New Roman" w:hAnsi="Times New Roman"/>
          <w:sz w:val="22"/>
          <w:szCs w:val="22"/>
          <w:color w:val="auto"/>
        </w:rPr>
      </w:pPr>
    </w:p>
    <w:p>
      <w:pPr>
        <w:jc w:val="both"/>
        <w:ind w:firstLine="231"/>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b w:val="1"/>
          <w:bCs w:val="1"/>
          <w:u w:val="single" w:color="auto"/>
          <w:color w:val="auto"/>
        </w:rPr>
        <w:t>Grant of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granted to Grantee (who, pursuant to this Award is a Participant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the number of Restricted Stock Units set forth above, subject to the terms of this Agreement. The Restricted Stock Units granted under this Agreement are payable only in shares of Common Stock as described in Section II.A.2. Notwithstanding anything to the contrary anywhere else in this Agreement, the Restricted Stock Units evidenced by this Award are subject to the terms and provisions of the Plan, which are incorporated by reference into this Agreement.</w:t>
      </w:r>
    </w:p>
    <w:p>
      <w:pPr>
        <w:spacing w:after="0" w:line="185" w:lineRule="exact"/>
        <w:rPr>
          <w:rFonts w:ascii="Times New Roman" w:cs="Times New Roman" w:eastAsia="Times New Roman" w:hAnsi="Times New Roman"/>
          <w:sz w:val="22"/>
          <w:szCs w:val="22"/>
          <w:color w:val="auto"/>
        </w:rPr>
      </w:pPr>
    </w:p>
    <w:p>
      <w:pPr>
        <w:ind w:left="820" w:hanging="380"/>
        <w:spacing w:after="0"/>
        <w:tabs>
          <w:tab w:leader="none" w:pos="820" w:val="left"/>
        </w:tabs>
        <w:numPr>
          <w:ilvl w:val="2"/>
          <w:numId w:val="1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660" w:firstLine="644"/>
        <w:spacing w:after="0" w:line="265" w:lineRule="auto"/>
        <w:tabs>
          <w:tab w:leader="none" w:pos="1953" w:val="left"/>
        </w:tabs>
        <w:numPr>
          <w:ilvl w:val="3"/>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II.A.1(b), the Restricted Stock Units will vest in two substantially equal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installments on the first two anniversaries of the Date of Grant (each, a “Vesting Date”), subject generally to Grantee’s continued status as a Service Provider through each such Vesting Date.</w:t>
      </w:r>
    </w:p>
    <w:p>
      <w:pPr>
        <w:sectPr>
          <w:pgSz w:w="11900" w:h="16838" w:orient="portrait"/>
          <w:cols w:equalWidth="0" w:num="1">
            <w:col w:w="11240"/>
          </w:cols>
          <w:pgMar w:left="320" w:top="121" w:right="339" w:bottom="1440" w:gutter="0" w:footer="0" w:header="0"/>
          <w:type w:val="continuous"/>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760" w:hanging="636"/>
        <w:spacing w:after="0"/>
        <w:tabs>
          <w:tab w:leader="none" w:pos="176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Service; Forfeiture</w:t>
      </w:r>
      <w:r>
        <w:rPr>
          <w:rFonts w:ascii="Times New Roman" w:cs="Times New Roman" w:eastAsia="Times New Roman" w:hAnsi="Times New Roman"/>
          <w:sz w:val="22"/>
          <w:szCs w:val="22"/>
          <w:color w:val="auto"/>
        </w:rPr>
        <w:t>. Notwithstanding any other provision of this Agreement:</w:t>
      </w:r>
    </w:p>
    <w:p>
      <w:pPr>
        <w:spacing w:after="0" w:line="219" w:lineRule="exact"/>
        <w:rPr>
          <w:rFonts w:ascii="Times New Roman" w:cs="Times New Roman" w:eastAsia="Times New Roman" w:hAnsi="Times New Roman"/>
          <w:sz w:val="22"/>
          <w:szCs w:val="22"/>
          <w:color w:val="auto"/>
        </w:rPr>
      </w:pPr>
    </w:p>
    <w:p>
      <w:pPr>
        <w:jc w:val="both"/>
        <w:ind w:left="1120" w:firstLine="652"/>
        <w:spacing w:after="0" w:line="263" w:lineRule="auto"/>
        <w:tabs>
          <w:tab w:leader="none" w:pos="2323"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Voluntary Termination; Termination for Cause; Breach of Other Obligations</w:t>
      </w:r>
      <w:r>
        <w:rPr>
          <w:rFonts w:ascii="Times New Roman" w:cs="Times New Roman" w:eastAsia="Times New Roman" w:hAnsi="Times New Roman"/>
          <w:sz w:val="21"/>
          <w:szCs w:val="21"/>
          <w:color w:val="auto"/>
        </w:rPr>
        <w:t>. Any unvested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Restricted Stock Units subject to this Award will be canceled and forfeited if Grantee voluntarily terminates as a Service Provider, if Grantee’s status as a Service Provider is involuntarily terminated by the Company or a Subsidiary for Cause, or if Grantee violates the provisions of Section II.B.3 below. Notwithstanding the foregoing, no termination of Grantee’s employment shall qualify as a termination for Cause unless (x) the Company notifies Grantee in writing of the Company’s intention to terminate Grantee’s employment for Cause within 90 days following the initial existence of the occurrence or event giving rise to Cause, (y) Grantee fails to cure such occurrence or event within 30 days after receipt of such notice from the Company and (z) the Company terminates Grantee’s employment within 45 days after the expiration of Grantee’s cure period in subsection (y).</w:t>
      </w:r>
    </w:p>
    <w:p>
      <w:pPr>
        <w:spacing w:after="0" w:line="169" w:lineRule="exact"/>
        <w:rPr>
          <w:rFonts w:ascii="Times New Roman" w:cs="Times New Roman" w:eastAsia="Times New Roman" w:hAnsi="Times New Roman"/>
          <w:sz w:val="21"/>
          <w:szCs w:val="21"/>
          <w:color w:val="auto"/>
        </w:rPr>
      </w:pPr>
    </w:p>
    <w:p>
      <w:pPr>
        <w:jc w:val="both"/>
        <w:ind w:left="1120" w:firstLine="652"/>
        <w:spacing w:after="0" w:line="253" w:lineRule="auto"/>
        <w:tabs>
          <w:tab w:leader="none" w:pos="2261"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 Disability</w:t>
      </w:r>
      <w:r>
        <w:rPr>
          <w:rFonts w:ascii="Times New Roman" w:cs="Times New Roman" w:eastAsia="Times New Roman" w:hAnsi="Times New Roman"/>
          <w:sz w:val="22"/>
          <w:szCs w:val="22"/>
          <w:color w:val="auto"/>
        </w:rPr>
        <w:t>. If Grantee ceases to be a Service Provider prior to any Vesting Date as a result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death or Disability, Grantee shall fully vest in the Restricted Stock Units subject to this Award that have not already vested as of the date on which Grantee ceases to be a Service Provider due to Grantee’s death or Disability.</w:t>
      </w:r>
    </w:p>
    <w:p>
      <w:pPr>
        <w:spacing w:after="0" w:line="188" w:lineRule="exact"/>
        <w:rPr>
          <w:rFonts w:ascii="Times New Roman" w:cs="Times New Roman" w:eastAsia="Times New Roman" w:hAnsi="Times New Roman"/>
          <w:sz w:val="22"/>
          <w:szCs w:val="22"/>
          <w:color w:val="auto"/>
        </w:rPr>
      </w:pPr>
    </w:p>
    <w:p>
      <w:pPr>
        <w:jc w:val="both"/>
        <w:ind w:left="1120" w:firstLine="652"/>
        <w:spacing w:after="0" w:line="248" w:lineRule="auto"/>
        <w:tabs>
          <w:tab w:leader="none" w:pos="2335"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without Cause Prior to a Change in Control</w:t>
      </w:r>
      <w:r>
        <w:rPr>
          <w:rFonts w:ascii="Times New Roman" w:cs="Times New Roman" w:eastAsia="Times New Roman" w:hAnsi="Times New Roman"/>
          <w:sz w:val="22"/>
          <w:szCs w:val="22"/>
          <w:color w:val="auto"/>
        </w:rPr>
        <w:t>. If Grantee experiences an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termination of Grantee’s status as a Service Provider by the Company or a Subsidiary without Cause that occurs prior to (or more than two years after) a Change in Control and before the final Vesting Date, Grantee shall continue to vest in the Restricted Stock Units subject to this Award to the same extent that Grantee would have vested in such Restricted Stock Units had Grantee continued to be a Service Provider through the final Vesting Date;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(x) within 30 days following the date of the termination of Grantee’s status as a Service Provider, Grantee executes and does not revoke a general release of claims against the Company, its current and former affiliates, shareholders, directors, officers, employees, representatives, and agents and their successors and assigns, in a form reasonably acceptable to the Company which will be provided by the Company to Grantee on the date of termination, and (y) Grantee continues to comply with the provisions of Section II.B.3 below. If Grantee does not execute (or revokes) such release or violates the provisions of Section II.B.3 below,any Restricted Stock Units subject to this Award and not yet settled will be canceled and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500" w:top="1440" w:right="339" w:bottom="1440" w:gutter="0" w:footer="0" w:header="0"/>
        </w:sectPr>
      </w:pPr>
    </w:p>
    <w:bookmarkStart w:id="152" w:name="page153"/>
    <w:bookmarkEnd w:id="152"/>
    <w:p>
      <w:pPr>
        <w:spacing w:after="0" w:line="194" w:lineRule="exact"/>
        <w:rPr>
          <w:sz w:val="20"/>
          <w:szCs w:val="20"/>
          <w:color w:val="auto"/>
        </w:rPr>
      </w:pPr>
    </w:p>
    <w:p>
      <w:pPr>
        <w:jc w:val="both"/>
        <w:ind w:left="1120" w:firstLine="652"/>
        <w:spacing w:after="0" w:line="259" w:lineRule="auto"/>
        <w:tabs>
          <w:tab w:leader="none" w:pos="2404"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In the event of a Change in Control that occurs prior to the vesting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portion of the Restricted Stock Units subject to this Award, such unvested Restricted Stock Units shall vest in accordance with this Section II.A.1(b)(iv).</w:t>
      </w:r>
    </w:p>
    <w:p>
      <w:pPr>
        <w:spacing w:after="0" w:line="183" w:lineRule="exact"/>
        <w:rPr>
          <w:rFonts w:ascii="Times New Roman" w:cs="Times New Roman" w:eastAsia="Times New Roman" w:hAnsi="Times New Roman"/>
          <w:sz w:val="22"/>
          <w:szCs w:val="22"/>
          <w:color w:val="auto"/>
        </w:rPr>
      </w:pPr>
    </w:p>
    <w:p>
      <w:pPr>
        <w:jc w:val="both"/>
        <w:ind w:left="2020" w:firstLine="643"/>
        <w:spacing w:after="0" w:line="251" w:lineRule="auto"/>
        <w:tabs>
          <w:tab w:leader="none" w:pos="3333" w:val="left"/>
        </w:tabs>
        <w:numPr>
          <w:ilvl w:val="2"/>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if at any time before the vesting or forfeiture of Restricted Stock Units subject to this Award, and while Grantee is continuously a Service Provider, a Change in Control occurs, then the Restricted Stock Units will become nonforfeitable and payable to Grantee in accordance with Section II.A.2 hereof, except to the extent that a Replacement Award is provided to Grantee in accordance with Section II.A.1(b)(iv)(B) to continue, replace or assume the Restricted Stock Units covered by this Award (the “Replaced Award”).</w:t>
      </w:r>
    </w:p>
    <w:p>
      <w:pPr>
        <w:spacing w:after="0" w:line="181" w:lineRule="exact"/>
        <w:rPr>
          <w:rFonts w:ascii="Times New Roman" w:cs="Times New Roman" w:eastAsia="Times New Roman" w:hAnsi="Times New Roman"/>
          <w:sz w:val="22"/>
          <w:szCs w:val="22"/>
          <w:color w:val="auto"/>
        </w:rPr>
      </w:pPr>
    </w:p>
    <w:p>
      <w:pPr>
        <w:jc w:val="both"/>
        <w:ind w:left="2020" w:firstLine="643"/>
        <w:spacing w:after="0" w:line="247" w:lineRule="auto"/>
        <w:tabs>
          <w:tab w:leader="none" w:pos="3205" w:val="left"/>
        </w:tabs>
        <w:numPr>
          <w:ilvl w:val="2"/>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“Replacement Award” means an award (1) of the same type (e.g., time-based restricted stock units) as the Replaced Award, (2) that has a value at least equal to the value of the Replaced Award, (3) that relates to publicly traded equity securities of the Company or its successor in the Change in Control or another entity that is affiliated with the Company or its successor following the Change in Control, (3) if Grantee holding the Replaced Award is subject to U.S. federal income tax under the Code, the tax consequences of which to such Grantee under the Code are not less favorable to such Grantee than the tax consequences of the Replaced Award, and (E) the other terms and conditions of which are not less favorable to Grantee holding the Replaced Award than the terms and conditions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II.A.1(b)(iv)(B) are satisfied will be made by the Committee, as constituted immediately before the Change in Control, in its sole discretion.</w:t>
      </w:r>
    </w:p>
    <w:p>
      <w:pPr>
        <w:spacing w:after="0" w:line="194" w:lineRule="exact"/>
        <w:rPr>
          <w:rFonts w:ascii="Times New Roman" w:cs="Times New Roman" w:eastAsia="Times New Roman" w:hAnsi="Times New Roman"/>
          <w:sz w:val="22"/>
          <w:szCs w:val="22"/>
          <w:color w:val="auto"/>
        </w:rPr>
      </w:pPr>
    </w:p>
    <w:p>
      <w:pPr>
        <w:jc w:val="both"/>
        <w:ind w:left="2020" w:firstLine="643"/>
        <w:spacing w:after="0" w:line="266" w:lineRule="auto"/>
        <w:tabs>
          <w:tab w:leader="none" w:pos="3176" w:val="left"/>
        </w:tabs>
        <w:numPr>
          <w:ilvl w:val="2"/>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receiving a Replacement Award, (1) Grantee experiences a Qualifying Termination with the Company or a Subsidiary (or any of their successors) (as applicable, the “Successor”), or</w:t>
      </w:r>
    </w:p>
    <w:p>
      <w:pPr>
        <w:spacing w:after="0" w:line="1" w:lineRule="exact"/>
        <w:rPr>
          <w:rFonts w:ascii="Times New Roman" w:cs="Times New Roman" w:eastAsia="Times New Roman" w:hAnsi="Times New Roman"/>
          <w:sz w:val="21"/>
          <w:szCs w:val="21"/>
          <w:color w:val="auto"/>
        </w:rPr>
      </w:pPr>
    </w:p>
    <w:p>
      <w:pPr>
        <w:jc w:val="both"/>
        <w:ind w:left="2020" w:hanging="5"/>
        <w:spacing w:after="0" w:line="245" w:lineRule="auto"/>
        <w:tabs>
          <w:tab w:leader="none" w:pos="2353"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ceases to be a Service Provider as a result of Grantee’s Disability, in each case within a period of two years after the Change in Control and during the remaining vesting period for the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500" w:top="1440" w:right="339" w:bottom="1440" w:gutter="0" w:footer="0" w:header="0"/>
        </w:sectPr>
      </w:pPr>
    </w:p>
    <w:bookmarkStart w:id="153" w:name="page154"/>
    <w:bookmarkEnd w:id="153"/>
    <w:p>
      <w:pPr>
        <w:spacing w:after="0" w:line="198" w:lineRule="exact"/>
        <w:rPr>
          <w:sz w:val="20"/>
          <w:szCs w:val="20"/>
          <w:color w:val="auto"/>
        </w:rPr>
      </w:pPr>
    </w:p>
    <w:p>
      <w:pPr>
        <w:ind w:left="2020"/>
        <w:spacing w:after="0" w:line="271" w:lineRule="auto"/>
        <w:rPr>
          <w:sz w:val="20"/>
          <w:szCs w:val="20"/>
          <w:color w:val="auto"/>
        </w:rPr>
      </w:pPr>
      <w:r>
        <w:rPr>
          <w:rFonts w:ascii="Times New Roman" w:cs="Times New Roman" w:eastAsia="Times New Roman" w:hAnsi="Times New Roman"/>
          <w:sz w:val="22"/>
          <w:szCs w:val="22"/>
          <w:color w:val="auto"/>
        </w:rPr>
        <w:t>Award, the Replacement Award shall become fully vested and nonforfeitable with respect to the time-based restricted stock units covered by such Replacement Award upon such termination or Disability.</w:t>
      </w:r>
    </w:p>
    <w:p>
      <w:pPr>
        <w:spacing w:after="0" w:line="158" w:lineRule="exact"/>
        <w:rPr>
          <w:sz w:val="20"/>
          <w:szCs w:val="20"/>
          <w:color w:val="auto"/>
        </w:rPr>
      </w:pPr>
    </w:p>
    <w:p>
      <w:pPr>
        <w:jc w:val="both"/>
        <w:ind w:left="2020" w:firstLine="643"/>
        <w:spacing w:after="0" w:line="256" w:lineRule="auto"/>
        <w:tabs>
          <w:tab w:leader="none" w:pos="326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Replacement Award is provided, notwithstanding anything in this Agreement to the contrary, any outstanding Restricted Stock Units subject to this Award that at the time of the Change in Control are not subject to a “substantial risk of forfeiture” (within the meaning of Section 409A of the Code) will be deemed to be vested and nonforfeitable at the time of such Change in Control.</w:t>
      </w:r>
    </w:p>
    <w:p>
      <w:pPr>
        <w:spacing w:after="0" w:line="176" w:lineRule="exact"/>
        <w:rPr>
          <w:sz w:val="20"/>
          <w:szCs w:val="20"/>
          <w:color w:val="auto"/>
        </w:rPr>
      </w:pPr>
    </w:p>
    <w:p>
      <w:pPr>
        <w:jc w:val="both"/>
        <w:ind w:left="480"/>
        <w:spacing w:after="0" w:line="263" w:lineRule="auto"/>
        <w:rPr>
          <w:sz w:val="20"/>
          <w:szCs w:val="20"/>
          <w:color w:val="auto"/>
        </w:rPr>
      </w:pPr>
      <w:r>
        <w:rPr>
          <w:rFonts w:ascii="Times New Roman" w:cs="Times New Roman" w:eastAsia="Times New Roman" w:hAnsi="Times New Roman"/>
          <w:sz w:val="22"/>
          <w:szCs w:val="22"/>
          <w:color w:val="auto"/>
        </w:rPr>
        <w:t>Any Restricted Stock Units that do not vest in accordance with Section II.A.1(a) or this Section II.A.1(b) shall be canceled and forfeited as of the date Grantee ceases to be a Service Provider. However, in particular, this Award is subject to Section 18(c) of the Plan.</w:t>
      </w:r>
    </w:p>
    <w:p>
      <w:pPr>
        <w:spacing w:after="0" w:line="163" w:lineRule="exact"/>
        <w:rPr>
          <w:sz w:val="20"/>
          <w:szCs w:val="20"/>
          <w:color w:val="auto"/>
        </w:rPr>
      </w:pPr>
    </w:p>
    <w:p>
      <w:pPr>
        <w:ind w:left="640" w:hanging="380"/>
        <w:spacing w:after="0"/>
        <w:tabs>
          <w:tab w:leader="none" w:pos="640" w:val="left"/>
        </w:tabs>
        <w:numPr>
          <w:ilvl w:val="0"/>
          <w:numId w:val="1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Settlement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480" w:firstLine="259"/>
        <w:spacing w:after="0" w:line="259" w:lineRule="auto"/>
        <w:tabs>
          <w:tab w:leader="none" w:pos="1246"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II.A.2(b) below, and as soon as administratively practicable following (but no later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thirty (30) days following) each applicable Vesting Date, the Company shall issue Grantee one share of Common Stock for each Restricted Stock Unit that is vested (but has not previously been settled) on such Vesting Date.</w:t>
      </w:r>
    </w:p>
    <w:p>
      <w:pPr>
        <w:spacing w:after="0" w:line="166" w:lineRule="exact"/>
        <w:rPr>
          <w:rFonts w:ascii="Times New Roman" w:cs="Times New Roman" w:eastAsia="Times New Roman" w:hAnsi="Times New Roman"/>
          <w:sz w:val="22"/>
          <w:szCs w:val="22"/>
          <w:color w:val="auto"/>
        </w:rPr>
      </w:pPr>
    </w:p>
    <w:p>
      <w:pPr>
        <w:ind w:left="480" w:firstLine="306"/>
        <w:spacing w:after="0" w:line="287" w:lineRule="auto"/>
        <w:tabs>
          <w:tab w:leader="none" w:pos="1353" w:val="left"/>
        </w:tabs>
        <w:numPr>
          <w:ilvl w:val="2"/>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Payment Events</w:t>
      </w:r>
      <w:r>
        <w:rPr>
          <w:rFonts w:ascii="Times New Roman" w:cs="Times New Roman" w:eastAsia="Times New Roman" w:hAnsi="Times New Roman"/>
          <w:sz w:val="22"/>
          <w:szCs w:val="22"/>
          <w:color w:val="auto"/>
        </w:rPr>
        <w:t>. Notwithstanding Section II.A.2(a), to the extent that the Restricted Stock Units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vested on the dates set forth below, payment with respect to the Restricted Stock Units will be made as follows:</w:t>
      </w:r>
    </w:p>
    <w:p>
      <w:pPr>
        <w:spacing w:after="0" w:line="141" w:lineRule="exact"/>
        <w:rPr>
          <w:rFonts w:ascii="Times New Roman" w:cs="Times New Roman" w:eastAsia="Times New Roman" w:hAnsi="Times New Roman"/>
          <w:sz w:val="22"/>
          <w:szCs w:val="22"/>
          <w:color w:val="auto"/>
        </w:rPr>
      </w:pPr>
    </w:p>
    <w:p>
      <w:pPr>
        <w:jc w:val="both"/>
        <w:ind w:left="1120" w:firstLine="571"/>
        <w:spacing w:after="0" w:line="252" w:lineRule="auto"/>
        <w:tabs>
          <w:tab w:leader="none" w:pos="2246" w:val="left"/>
        </w:tabs>
        <w:numPr>
          <w:ilvl w:val="3"/>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Restricted Stock Units are vested as a result of Section II.A.1(b) (and have not previously been settled) on the date of Grantee’s death, the Company shall issue Grantee one share of Common Stock for each vested Restricted Stock Unit as soon as practicable following (but no later than thirty (30) days following) the date of Grantee’s death;</w:t>
      </w:r>
    </w:p>
    <w:p>
      <w:pPr>
        <w:spacing w:after="0" w:line="192" w:lineRule="exact"/>
        <w:rPr>
          <w:rFonts w:ascii="Times New Roman" w:cs="Times New Roman" w:eastAsia="Times New Roman" w:hAnsi="Times New Roman"/>
          <w:sz w:val="22"/>
          <w:szCs w:val="22"/>
          <w:color w:val="auto"/>
        </w:rPr>
      </w:pPr>
    </w:p>
    <w:p>
      <w:pPr>
        <w:jc w:val="both"/>
        <w:ind w:left="1120" w:firstLine="571"/>
        <w:spacing w:after="0" w:line="249" w:lineRule="auto"/>
        <w:tabs>
          <w:tab w:leader="none" w:pos="2295" w:val="left"/>
        </w:tabs>
        <w:numPr>
          <w:ilvl w:val="3"/>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Restricted Stock Units are vested as a result of Section II.A.1(b) (and have not previously been settled) on the date of a Change in Control, the Company shall issue Grantee one share of Common Stock for each vested Restricted Stock Unit as soon as practicable following (but no later than thirty (30) days following) the date of the Change in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Change in Control would not qualify as a permissible date of distribution under Section 409A(a)(2)(A) of the Code, and the regulations thereunder, and where Section 409A of the Code applies to such distribution, payment for the Restricted Stock Units shall be made upon the earlier of (A) a Change in Control that constitutes a “change in control” for purposes of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500" w:top="1440" w:right="339" w:bottom="1440" w:gutter="0" w:footer="0" w:header="0"/>
        </w:sectPr>
      </w:pPr>
    </w:p>
    <w:bookmarkStart w:id="154" w:name="page155"/>
    <w:bookmarkEnd w:id="154"/>
    <w:p>
      <w:pPr>
        <w:spacing w:after="0" w:line="198" w:lineRule="exact"/>
        <w:rPr>
          <w:sz w:val="20"/>
          <w:szCs w:val="20"/>
          <w:color w:val="auto"/>
        </w:rPr>
      </w:pPr>
    </w:p>
    <w:p>
      <w:pPr>
        <w:ind w:left="1120"/>
        <w:spacing w:after="0" w:line="271" w:lineRule="auto"/>
        <w:rPr>
          <w:sz w:val="20"/>
          <w:szCs w:val="20"/>
          <w:color w:val="auto"/>
        </w:rPr>
      </w:pPr>
      <w:r>
        <w:rPr>
          <w:rFonts w:ascii="Times New Roman" w:cs="Times New Roman" w:eastAsia="Times New Roman" w:hAnsi="Times New Roman"/>
          <w:sz w:val="22"/>
          <w:szCs w:val="22"/>
          <w:color w:val="auto"/>
        </w:rPr>
        <w:t>409A(a)(2)(A)(v) of the Code, or (B) the date that would have otherwise applied pursuant to this Agreement had such Change in Control not occurred; and</w:t>
      </w:r>
    </w:p>
    <w:p>
      <w:pPr>
        <w:spacing w:after="0" w:line="158" w:lineRule="exact"/>
        <w:rPr>
          <w:sz w:val="20"/>
          <w:szCs w:val="20"/>
          <w:color w:val="auto"/>
        </w:rPr>
      </w:pPr>
    </w:p>
    <w:p>
      <w:pPr>
        <w:jc w:val="both"/>
        <w:ind w:left="1120" w:firstLine="571"/>
        <w:spacing w:after="0" w:line="265" w:lineRule="auto"/>
        <w:tabs>
          <w:tab w:leader="none" w:pos="2343" w:val="left"/>
        </w:tabs>
        <w:numPr>
          <w:ilvl w:val="6"/>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Restricted Stock Units are vested as a result of Section II.A.1(b) (and have not previously been settled) on the date of Grantee’s “separation from service” with the Company and its Subsidiaries (determined in accordance with Section 409A(a)(2)(A)(i) of the Code) within two years following the occurrence of a Change in Control that constitutes a “change in control” for purposes of Section 409A(a)(2)(A)(v) of the Code, the Company shall issue Grantee one share of Common Stock for each vested Restricted Stock Unit as soon as practicable following (but no later than thirty (30) days following) the date of such separation from service.</w:t>
      </w:r>
    </w:p>
    <w:p>
      <w:pPr>
        <w:spacing w:after="0" w:line="178" w:lineRule="exact"/>
        <w:rPr>
          <w:rFonts w:ascii="Times New Roman" w:cs="Times New Roman" w:eastAsia="Times New Roman" w:hAnsi="Times New Roman"/>
          <w:sz w:val="21"/>
          <w:szCs w:val="21"/>
          <w:color w:val="auto"/>
        </w:rPr>
      </w:pPr>
    </w:p>
    <w:p>
      <w:pPr>
        <w:jc w:val="both"/>
        <w:ind w:left="-180" w:firstLine="449"/>
        <w:spacing w:after="0" w:line="248" w:lineRule="auto"/>
        <w:tabs>
          <w:tab w:leader="none" w:pos="643" w:val="left"/>
        </w:tabs>
        <w:numPr>
          <w:ilvl w:val="2"/>
          <w:numId w:val="1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Equivalent Rights</w:t>
      </w:r>
      <w:r>
        <w:rPr>
          <w:rFonts w:ascii="Times New Roman" w:cs="Times New Roman" w:eastAsia="Times New Roman" w:hAnsi="Times New Roman"/>
          <w:sz w:val="22"/>
          <w:szCs w:val="22"/>
          <w:color w:val="auto"/>
        </w:rPr>
        <w:t>. Grantee shall be credited with cash per Restricted Stock Unit equal to the amount of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dividend paid by the Company (if any) to holders of Common Stock generally with a record date occurring on or after the Date of Grant and prior to the time when the Restricted Stock Units are settled in accordance with Section II.A.2 hereof.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Common Stock, as determined by the Committee in its sole discretion, at the same time as the Restricted Stock Units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85" w:lineRule="exact"/>
        <w:rPr>
          <w:rFonts w:ascii="Times New Roman" w:cs="Times New Roman" w:eastAsia="Times New Roman" w:hAnsi="Times New Roman"/>
          <w:sz w:val="22"/>
          <w:szCs w:val="22"/>
          <w:b w:val="1"/>
          <w:bCs w:val="1"/>
          <w:color w:val="auto"/>
        </w:rPr>
      </w:pPr>
    </w:p>
    <w:p>
      <w:pPr>
        <w:ind w:left="-180" w:right="20" w:firstLine="467"/>
        <w:spacing w:after="0" w:line="275" w:lineRule="auto"/>
        <w:tabs>
          <w:tab w:leader="none" w:pos="670" w:val="left"/>
        </w:tabs>
        <w:numPr>
          <w:ilvl w:val="3"/>
          <w:numId w:val="1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as a Stockholder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will not have any rights of a stockholder (including voting and dividend rights)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the Restricted Stock Units covered by this Award (except as otherwise provided in Section II.A.3).</w:t>
      </w:r>
    </w:p>
    <w:p>
      <w:pPr>
        <w:spacing w:after="0" w:line="162" w:lineRule="exact"/>
        <w:rPr>
          <w:rFonts w:ascii="Times New Roman" w:cs="Times New Roman" w:eastAsia="Times New Roman" w:hAnsi="Times New Roman"/>
          <w:sz w:val="22"/>
          <w:szCs w:val="22"/>
          <w:b w:val="1"/>
          <w:bCs w:val="1"/>
          <w:color w:val="auto"/>
        </w:rPr>
      </w:pPr>
    </w:p>
    <w:p>
      <w:pPr>
        <w:ind w:left="-180" w:firstLine="440"/>
        <w:spacing w:after="0" w:line="275" w:lineRule="auto"/>
        <w:tabs>
          <w:tab w:leader="none" w:pos="630" w:val="left"/>
        </w:tabs>
        <w:numPr>
          <w:ilvl w:val="2"/>
          <w:numId w:val="1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 The Restricted Stock Units covered by this Award will be subject to adjustment as provided in Section 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Plan.</w:t>
      </w:r>
    </w:p>
    <w:p>
      <w:pPr>
        <w:spacing w:after="0" w:line="149" w:lineRule="exact"/>
        <w:rPr>
          <w:rFonts w:ascii="Times New Roman" w:cs="Times New Roman" w:eastAsia="Times New Roman" w:hAnsi="Times New Roman"/>
          <w:sz w:val="22"/>
          <w:szCs w:val="22"/>
          <w:b w:val="1"/>
          <w:bCs w:val="1"/>
          <w:color w:val="auto"/>
        </w:rPr>
      </w:pPr>
    </w:p>
    <w:p>
      <w:pPr>
        <w:ind w:left="460" w:hanging="416"/>
        <w:spacing w:after="0"/>
        <w:tabs>
          <w:tab w:leader="none" w:pos="460" w:val="left"/>
        </w:tabs>
        <w:numPr>
          <w:ilvl w:val="0"/>
          <w:numId w:val="1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Terms and Conditions</w:t>
      </w:r>
      <w:r>
        <w:rPr>
          <w:rFonts w:ascii="Times New Roman" w:cs="Times New Roman" w:eastAsia="Times New Roman" w:hAnsi="Times New Roman"/>
          <w:sz w:val="22"/>
          <w:szCs w:val="22"/>
          <w:b w:val="1"/>
          <w:bCs w:val="1"/>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180" w:firstLine="494"/>
        <w:spacing w:after="0" w:line="258" w:lineRule="auto"/>
        <w:tabs>
          <w:tab w:leader="none" w:pos="711" w:val="left"/>
        </w:tabs>
        <w:numPr>
          <w:ilvl w:val="4"/>
          <w:numId w:val="1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Except as described below, and subject to the Plan and Section 409A, this Award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Restricted Stock Units subject to 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67" w:lineRule="exact"/>
        <w:rPr>
          <w:rFonts w:ascii="Times New Roman" w:cs="Times New Roman" w:eastAsia="Times New Roman" w:hAnsi="Times New Roman"/>
          <w:sz w:val="22"/>
          <w:szCs w:val="22"/>
          <w:b w:val="1"/>
          <w:bCs w:val="1"/>
          <w:color w:val="auto"/>
        </w:rPr>
      </w:pPr>
    </w:p>
    <w:p>
      <w:pPr>
        <w:jc w:val="both"/>
        <w:ind w:left="-180" w:firstLine="593"/>
        <w:spacing w:after="0" w:line="253" w:lineRule="auto"/>
        <w:tabs>
          <w:tab w:leader="none" w:pos="859" w:val="left"/>
        </w:tabs>
        <w:numPr>
          <w:ilvl w:val="5"/>
          <w:numId w:val="1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the Company is required to withhold federal, state, local or foreign taxes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in connection with any payment made or benefit realized by Grantee under this Agreement, and the amounts available to the Company for such withholding are insufficient, it shall be a condition to the receipt of such payment or the realization of such benefit that Grantee make arrangements satisfactory to the Company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500" w:top="1440" w:right="339" w:bottom="1440" w:gutter="0" w:footer="0" w:header="0"/>
        </w:sectPr>
      </w:pPr>
    </w:p>
    <w:bookmarkStart w:id="155" w:name="page156"/>
    <w:bookmarkEnd w:id="155"/>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payment of the balance of such taxes or other amounts required to be withheld. If Grantee’s benefit is to be received in the form of shares of Common Stock, then (a) if Grantee is subject to Section 16 of the Exchange Act, Grantee agrees that the Company will withhold shares of Common Stock having a value equal to the amount required to be withheld, and (b) if Grantee is not subject to Section 16 of the Exchange Act, Grantee may elect that all or any part of such withholding requirement be satisfied by the retention by the Company a portion of the Common Stock to be delivered to Grantee, by delivering to the Company other Common Stock held by Grantee, or by tendering sufficient funds in cash or cash equivalent to the Company. The shares of Common Stock used for tax or other withholding will be valued at an amount equal to the fair market value of such shares of Common Stock on the date the benefit is to be included in Grantee’s income. In no event will the fair market value of the shares of Common Stock to be withheld or delivered pursuant to this Section II.B.2 to satisfy applicable withholding taxes or other amounts in connection with the benefit exceed (x) the maximum amount that could be required to be withheld or (y) if so determined by the Committee after the date hereof, the minimum amount required to be withheld.</w:t>
      </w:r>
    </w:p>
    <w:p>
      <w:pPr>
        <w:spacing w:after="0" w:line="172" w:lineRule="exact"/>
        <w:rPr>
          <w:sz w:val="20"/>
          <w:szCs w:val="20"/>
          <w:color w:val="auto"/>
        </w:rPr>
      </w:pPr>
    </w:p>
    <w:p>
      <w:pPr>
        <w:ind w:left="820" w:hanging="380"/>
        <w:spacing w:after="0"/>
        <w:tabs>
          <w:tab w:leader="none" w:pos="820" w:val="left"/>
        </w:tabs>
        <w:numPr>
          <w:ilvl w:val="0"/>
          <w:numId w:val="1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p>
    <w:p>
      <w:pPr>
        <w:spacing w:after="0" w:line="219" w:lineRule="exact"/>
        <w:rPr>
          <w:rFonts w:ascii="Times New Roman" w:cs="Times New Roman" w:eastAsia="Times New Roman" w:hAnsi="Times New Roman"/>
          <w:sz w:val="22"/>
          <w:szCs w:val="22"/>
          <w:b w:val="1"/>
          <w:bCs w:val="1"/>
          <w:color w:val="auto"/>
        </w:rPr>
      </w:pPr>
    </w:p>
    <w:p>
      <w:pPr>
        <w:ind w:left="660" w:firstLine="644"/>
        <w:spacing w:after="0" w:line="250" w:lineRule="auto"/>
        <w:tabs>
          <w:tab w:leader="none" w:pos="1953"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Restricted Stock Units or Common Stock to Grantee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Grantee’s 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 Notwithstanding anything herein to the contrary, if Grantee is subject to the restrictive covenants set forth in Section 7 (or any successor provision) of the TriMas Corporation Executive Severance/Change of Control Policy (or any successor policy), then (1) such restrictive covenants, rather than the restrictive covenants in this Section II.B.3, shall apply to Grantee, and (2) Grantee’s violation of such restrictive covenants shall be treated as a violation of the restrictive covenants in this Section II.B.3 for purposes of this Agreement.</w:t>
      </w:r>
    </w:p>
    <w:p>
      <w:pPr>
        <w:spacing w:after="0" w:line="179" w:lineRule="exact"/>
        <w:rPr>
          <w:rFonts w:ascii="Times New Roman" w:cs="Times New Roman" w:eastAsia="Times New Roman" w:hAnsi="Times New Roman"/>
          <w:sz w:val="22"/>
          <w:szCs w:val="22"/>
          <w:color w:val="auto"/>
        </w:rPr>
      </w:pPr>
    </w:p>
    <w:p>
      <w:pPr>
        <w:ind w:left="660" w:right="20" w:firstLine="644"/>
        <w:spacing w:after="0" w:line="249" w:lineRule="auto"/>
        <w:tabs>
          <w:tab w:leader="none" w:pos="1951"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Confidentiality. </w:t>
      </w:r>
      <w:r>
        <w:rPr>
          <w:rFonts w:ascii="Times New Roman" w:cs="Times New Roman" w:eastAsia="Times New Roman" w:hAnsi="Times New Roman"/>
          <w:sz w:val="22"/>
          <w:szCs w:val="22"/>
          <w:color w:val="auto"/>
        </w:rPr>
        <w:t>Recognizing Grantee’s fiduciary duties to the Company, as a condition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II.B.3 shall not result in the forfeiture of Restricted Stock Units or any clawback or recoupment of the Award for the disclosure of a trade secret if that disclosure (1) is made in confidence to a federal, state or local government official or to an attorney for the sole purpose of reporting or investigating a suspected violation of law or (2) is made in a complaint or other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98" w:lineRule="exact"/>
        <w:rPr>
          <w:sz w:val="20"/>
          <w:szCs w:val="20"/>
          <w:color w:val="auto"/>
        </w:rPr>
      </w:pPr>
    </w:p>
    <w:p>
      <w:pPr>
        <w:ind w:left="480"/>
        <w:spacing w:after="0" w:line="246" w:lineRule="auto"/>
        <w:rPr>
          <w:sz w:val="20"/>
          <w:szCs w:val="20"/>
          <w:color w:val="auto"/>
        </w:rPr>
      </w:pPr>
      <w:r>
        <w:rPr>
          <w:rFonts w:ascii="Times New Roman" w:cs="Times New Roman" w:eastAsia="Times New Roman" w:hAnsi="Times New Roman"/>
          <w:sz w:val="22"/>
          <w:szCs w:val="22"/>
          <w:color w:val="auto"/>
        </w:rPr>
        <w:t>filed in a lawsuit or other proceeding, if such filing is 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Without limiting the generality of the foregoing, notwithstanding anything to the contrary in this Agreement (or in any other agreement, contract or arrangement with the Company or its subsidiaries or affiliates, or in any policy, procedure or practice of the Company or its subsidiaries or affiliates (collectively, the “Arrangements”)): (x) nothing in this Agreement prohibits or is intended to restrict or impede Grantee from discussing the terms and conditions of their employment with coworkers or union representatives or exercising protected rights under Section 7 of the National Labor Relations Act; (y) nothing in the Arrangements or otherwise limits Grantee’s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(z) nothing in the Arrangements or otherwise prevents Grantee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Grantee is not prohibited from providing information (including documents) voluntarily to the Securities and Exchange Commission pursuant to Section 21F of the Exchange Act. The Company nonetheless asserts and does not waive its attorney-client privilege over any information appropriately protected by privilege.</w:t>
      </w:r>
    </w:p>
    <w:p>
      <w:pPr>
        <w:spacing w:after="0" w:line="212" w:lineRule="exact"/>
        <w:rPr>
          <w:sz w:val="20"/>
          <w:szCs w:val="20"/>
          <w:color w:val="auto"/>
        </w:rPr>
      </w:pPr>
    </w:p>
    <w:p>
      <w:pPr>
        <w:ind w:left="1760" w:hanging="636"/>
        <w:spacing w:after="0"/>
        <w:tabs>
          <w:tab w:leader="none" w:pos="1760" w:val="left"/>
        </w:tabs>
        <w:numPr>
          <w:ilvl w:val="1"/>
          <w:numId w:val="1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Covenants Against Competition and Solicitation.</w:t>
      </w:r>
    </w:p>
    <w:p>
      <w:pPr>
        <w:spacing w:after="0" w:line="223" w:lineRule="exact"/>
        <w:rPr>
          <w:rFonts w:ascii="Times New Roman" w:cs="Times New Roman" w:eastAsia="Times New Roman" w:hAnsi="Times New Roman"/>
          <w:sz w:val="22"/>
          <w:szCs w:val="22"/>
          <w:b w:val="1"/>
          <w:bCs w:val="1"/>
          <w:color w:val="auto"/>
        </w:rPr>
      </w:pPr>
    </w:p>
    <w:p>
      <w:pPr>
        <w:ind w:left="1120" w:hanging="212"/>
        <w:spacing w:after="0" w:line="263" w:lineRule="auto"/>
        <w:tabs>
          <w:tab w:leader="none" w:pos="1324"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agrees that, while Grantee is employed by the Company, and for 12 months thereafter, Grantee shall not engage, either directly or indirectly, as a principal for Grantee’s own account or jointly with others, or as a stockholder in any corporation or joint stock association, or as a partner or member of a general or limited liability entity, or as an employee, officer, director, agent, consultant or in any other advisory capacity in any Competitive Business that designs, develops, manufactures, distributes, sells or markets the type of products or services sold, distributed or provided by the Company, during the one-year period prior to the date of employment termination and with which Grantee was involved and/or oversaw (the “Business”); provided that nothing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40"/>
          </w:cols>
          <w:pgMar w:left="500" w:top="1440" w:right="359" w:bottom="1440" w:gutter="0" w:footer="0" w:header="0"/>
        </w:sectPr>
      </w:pPr>
    </w:p>
    <w:bookmarkStart w:id="157" w:name="page158"/>
    <w:bookmarkEnd w:id="157"/>
    <w:p>
      <w:pPr>
        <w:spacing w:after="0" w:line="198" w:lineRule="exact"/>
        <w:rPr>
          <w:sz w:val="20"/>
          <w:szCs w:val="20"/>
          <w:color w:val="auto"/>
        </w:rPr>
      </w:pPr>
    </w:p>
    <w:p>
      <w:pPr>
        <w:jc w:val="both"/>
        <w:ind w:left="1120" w:right="420"/>
        <w:spacing w:after="0" w:line="257" w:lineRule="auto"/>
        <w:rPr>
          <w:sz w:val="20"/>
          <w:szCs w:val="20"/>
          <w:color w:val="auto"/>
        </w:rPr>
      </w:pPr>
      <w:r>
        <w:rPr>
          <w:rFonts w:ascii="Times New Roman" w:cs="Times New Roman" w:eastAsia="Times New Roman" w:hAnsi="Times New Roman"/>
          <w:sz w:val="22"/>
          <w:szCs w:val="22"/>
          <w:color w:val="auto"/>
        </w:rPr>
        <w:t>herein shall prevent Grantee from owning, directly or indirectly, not more than five percent of the outstanding shares of, or any other equity interest in, any entity engaged in the Business and listed or traded on a national securities exchange or in an over-the-counter securities market.</w:t>
      </w:r>
    </w:p>
    <w:p>
      <w:pPr>
        <w:spacing w:after="0" w:line="186" w:lineRule="exact"/>
        <w:rPr>
          <w:sz w:val="20"/>
          <w:szCs w:val="20"/>
          <w:color w:val="auto"/>
        </w:rPr>
      </w:pPr>
    </w:p>
    <w:p>
      <w:pPr>
        <w:ind w:left="1120" w:firstLine="220"/>
        <w:spacing w:after="0" w:line="250" w:lineRule="auto"/>
        <w:tabs>
          <w:tab w:leader="none" w:pos="1816" w:val="left"/>
        </w:tabs>
        <w:numPr>
          <w:ilvl w:val="2"/>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solicit business (relating to the Business) from, attempt to entice away from the Company, or interfere with the Company’s relationship with any entity that is a client or customer of the Company at the time of such solicitation, enticement, or interference, or that was identified or solicited as a client or customer of the Company during the time that Grantee performed services for the Company, unless such entity shall have ceased to have been such a customer for a period of at least six months as of the time of such solicitation.</w:t>
      </w:r>
    </w:p>
    <w:p>
      <w:pPr>
        <w:spacing w:after="0" w:line="180" w:lineRule="exact"/>
        <w:rPr>
          <w:rFonts w:ascii="Times New Roman" w:cs="Times New Roman" w:eastAsia="Times New Roman" w:hAnsi="Times New Roman"/>
          <w:sz w:val="22"/>
          <w:szCs w:val="22"/>
          <w:color w:val="auto"/>
        </w:rPr>
      </w:pPr>
    </w:p>
    <w:p>
      <w:pPr>
        <w:ind w:left="1120" w:right="180" w:hanging="212"/>
        <w:spacing w:after="0" w:line="249" w:lineRule="auto"/>
        <w:tabs>
          <w:tab w:leader="none" w:pos="1444"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w:t>
      </w:r>
    </w:p>
    <w:p>
      <w:pPr>
        <w:spacing w:after="0" w:line="177" w:lineRule="exact"/>
        <w:rPr>
          <w:rFonts w:ascii="Times New Roman" w:cs="Times New Roman" w:eastAsia="Times New Roman" w:hAnsi="Times New Roman"/>
          <w:sz w:val="22"/>
          <w:szCs w:val="22"/>
          <w:color w:val="auto"/>
        </w:rPr>
      </w:pPr>
    </w:p>
    <w:p>
      <w:pPr>
        <w:jc w:val="both"/>
        <w:ind w:left="480" w:right="140" w:firstLine="644"/>
        <w:spacing w:after="0" w:line="258" w:lineRule="auto"/>
        <w:tabs>
          <w:tab w:leader="none" w:pos="1771"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Determination by the Board. </w:t>
      </w:r>
      <w:r>
        <w:rPr>
          <w:rFonts w:ascii="Times New Roman" w:cs="Times New Roman" w:eastAsia="Times New Roman" w:hAnsi="Times New Roman"/>
          <w:sz w:val="22"/>
          <w:szCs w:val="22"/>
          <w:color w:val="auto"/>
        </w:rPr>
        <w:t>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167" w:lineRule="exact"/>
        <w:rPr>
          <w:rFonts w:ascii="Times New Roman" w:cs="Times New Roman" w:eastAsia="Times New Roman" w:hAnsi="Times New Roman"/>
          <w:sz w:val="22"/>
          <w:szCs w:val="22"/>
          <w:color w:val="auto"/>
        </w:rPr>
      </w:pPr>
    </w:p>
    <w:p>
      <w:pPr>
        <w:ind w:left="1760" w:hanging="636"/>
        <w:spacing w:after="0"/>
        <w:tabs>
          <w:tab w:leader="none" w:pos="1760"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Certain Definitions. </w:t>
      </w:r>
      <w:r>
        <w:rPr>
          <w:rFonts w:ascii="Times New Roman" w:cs="Times New Roman" w:eastAsia="Times New Roman" w:hAnsi="Times New Roman"/>
          <w:sz w:val="22"/>
          <w:szCs w:val="22"/>
          <w:color w:val="auto"/>
        </w:rPr>
        <w:t>The following definitions shall apply solely with respect to this Section II.B.3:</w:t>
      </w:r>
    </w:p>
    <w:p>
      <w:pPr>
        <w:spacing w:after="0" w:line="219" w:lineRule="exact"/>
        <w:rPr>
          <w:rFonts w:ascii="Times New Roman" w:cs="Times New Roman" w:eastAsia="Times New Roman" w:hAnsi="Times New Roman"/>
          <w:sz w:val="22"/>
          <w:szCs w:val="22"/>
          <w:color w:val="auto"/>
        </w:rPr>
      </w:pPr>
    </w:p>
    <w:p>
      <w:pPr>
        <w:ind w:left="1120" w:firstLine="622"/>
        <w:spacing w:after="0" w:line="250" w:lineRule="auto"/>
        <w:tabs>
          <w:tab w:leader="none" w:pos="2158" w:val="left"/>
        </w:tabs>
        <w:numPr>
          <w:ilvl w:val="3"/>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40"/>
          </w:cols>
          <w:pgMar w:left="500" w:top="1440" w:right="359" w:bottom="1440" w:gutter="0" w:footer="0" w:header="0"/>
        </w:sectPr>
      </w:pPr>
    </w:p>
    <w:bookmarkStart w:id="158" w:name="page159"/>
    <w:bookmarkEnd w:id="158"/>
    <w:p>
      <w:pPr>
        <w:spacing w:after="0" w:line="194" w:lineRule="exact"/>
        <w:rPr>
          <w:sz w:val="20"/>
          <w:szCs w:val="20"/>
          <w:color w:val="auto"/>
        </w:rPr>
      </w:pPr>
    </w:p>
    <w:p>
      <w:pPr>
        <w:ind w:left="1120" w:right="40" w:firstLine="622"/>
        <w:spacing w:after="0" w:line="258" w:lineRule="auto"/>
        <w:tabs>
          <w:tab w:leader="none" w:pos="2218"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as evidenced on the Company’s website, in the marketing materials of the Company or by the books and records of the Company, and “engages” includes actively planning to engage in the business.</w:t>
      </w:r>
    </w:p>
    <w:p>
      <w:pPr>
        <w:spacing w:after="0" w:line="168" w:lineRule="exact"/>
        <w:rPr>
          <w:sz w:val="20"/>
          <w:szCs w:val="20"/>
          <w:color w:val="auto"/>
        </w:rPr>
      </w:pPr>
    </w:p>
    <w:p>
      <w:pPr>
        <w:ind w:left="1120" w:firstLine="622"/>
        <w:spacing w:after="0" w:line="248" w:lineRule="auto"/>
        <w:tabs>
          <w:tab w:leader="none" w:pos="2218"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79" w:lineRule="exact"/>
        <w:rPr>
          <w:rFonts w:ascii="Times New Roman" w:cs="Times New Roman" w:eastAsia="Times New Roman" w:hAnsi="Times New Roman"/>
          <w:sz w:val="22"/>
          <w:szCs w:val="22"/>
          <w:color w:val="auto"/>
        </w:rPr>
      </w:pPr>
    </w:p>
    <w:p>
      <w:pPr>
        <w:jc w:val="both"/>
        <w:ind w:left="460" w:firstLine="644"/>
        <w:spacing w:after="0" w:line="258" w:lineRule="auto"/>
        <w:tabs>
          <w:tab w:leader="none" w:pos="1759"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Tolling. </w:t>
      </w:r>
      <w:r>
        <w:rPr>
          <w:rFonts w:ascii="Times New Roman" w:cs="Times New Roman" w:eastAsia="Times New Roman" w:hAnsi="Times New Roman"/>
          <w:sz w:val="22"/>
          <w:szCs w:val="22"/>
          <w:color w:val="auto"/>
        </w:rPr>
        <w:t>The restricted time periods in Section II.B.3 shall be tolled during any time period that Grantee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violation of such covenants, as determined by a court of competent jurisdiction, so that the Company may realize the full benefit of its bargain. This tolling shall include any time period during which litigation is pending, but during which Grantee has continued to violate such protective covenants.</w:t>
      </w:r>
    </w:p>
    <w:p>
      <w:pPr>
        <w:spacing w:after="0" w:line="167" w:lineRule="exact"/>
        <w:rPr>
          <w:rFonts w:ascii="Times New Roman" w:cs="Times New Roman" w:eastAsia="Times New Roman" w:hAnsi="Times New Roman"/>
          <w:sz w:val="22"/>
          <w:szCs w:val="22"/>
          <w:color w:val="auto"/>
        </w:rPr>
      </w:pPr>
    </w:p>
    <w:p>
      <w:pPr>
        <w:jc w:val="both"/>
        <w:ind w:left="460" w:firstLine="644"/>
        <w:spacing w:after="0" w:line="249" w:lineRule="auto"/>
        <w:tabs>
          <w:tab w:leader="none" w:pos="1755"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Relief, Remedies, and Enforcement. </w:t>
      </w:r>
      <w:r>
        <w:rPr>
          <w:rFonts w:ascii="Times New Roman" w:cs="Times New Roman" w:eastAsia="Times New Roman" w:hAnsi="Times New Roman"/>
          <w:sz w:val="22"/>
          <w:szCs w:val="22"/>
          <w:color w:val="auto"/>
        </w:rPr>
        <w:t>Grantee acknowledges that the covenants contained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are reasonable and necessary to protect the legitimate interests of the Company and that any breach or threatened breach of any such covenants will cause irreparable injury to the Company for which money damages would not provide an adequate remedy. If Grantee breaches, or threatens to commit a breach of, any of the provisions of this Agreement, the Company shall have the right to seek appropriate equitable relief, including a permanent injunction or similar court order enjoining Grantee from violating any of such provisions, and that, pending the hearing and the decision on the application for permanent equitable relief, the Company shall be entitled to a temporary restraining order and a preliminary injunction, without the necessity of showing actual monetary damages or the posting of a bond or other security. No such remedy shall be construed to be the exclusive remedy of the Company and any and all such remedies shall be held and construed to be cumulative and not exclusive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60"/>
          </w:cols>
          <w:pgMar w:left="500" w:top="1440" w:right="339" w:bottom="1440" w:gutter="0" w:footer="0" w:header="0"/>
        </w:sectPr>
      </w:pPr>
    </w:p>
    <w:bookmarkStart w:id="159" w:name="page160"/>
    <w:bookmarkEnd w:id="159"/>
    <w:p>
      <w:pPr>
        <w:spacing w:after="0" w:line="198" w:lineRule="exact"/>
        <w:rPr>
          <w:sz w:val="20"/>
          <w:szCs w:val="20"/>
          <w:color w:val="auto"/>
        </w:rPr>
      </w:pPr>
    </w:p>
    <w:p>
      <w:pPr>
        <w:jc w:val="both"/>
        <w:ind w:left="460"/>
        <w:spacing w:after="0" w:line="256" w:lineRule="auto"/>
        <w:rPr>
          <w:sz w:val="20"/>
          <w:szCs w:val="20"/>
          <w:color w:val="auto"/>
        </w:rPr>
      </w:pPr>
      <w:r>
        <w:rPr>
          <w:rFonts w:ascii="Times New Roman" w:cs="Times New Roman" w:eastAsia="Times New Roman" w:hAnsi="Times New Roman"/>
          <w:sz w:val="22"/>
          <w:szCs w:val="22"/>
          <w:color w:val="auto"/>
        </w:rPr>
        <w:t>any rights or remedies, whether at law or in equity, otherwise available under the terms of this Agreement, at common law or under federal, state or local statutes, rules and regulations. Grantee further agrees to pay any and all legal fees, including without limitation, all attorneys’ fees, court costs, and any other related fees and/or costs incurred by the Company in enforcing this Agreement.</w:t>
      </w:r>
    </w:p>
    <w:p>
      <w:pPr>
        <w:spacing w:after="0" w:line="172" w:lineRule="exact"/>
        <w:rPr>
          <w:sz w:val="20"/>
          <w:szCs w:val="20"/>
          <w:color w:val="auto"/>
        </w:rPr>
      </w:pPr>
    </w:p>
    <w:p>
      <w:pPr>
        <w:ind w:left="460" w:firstLine="644"/>
        <w:spacing w:after="0" w:line="275" w:lineRule="auto"/>
        <w:tabs>
          <w:tab w:leader="none" w:pos="1755" w:val="left"/>
        </w:tabs>
        <w:numPr>
          <w:ilvl w:val="6"/>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49" w:lineRule="exact"/>
        <w:rPr>
          <w:rFonts w:ascii="Times New Roman" w:cs="Times New Roman" w:eastAsia="Times New Roman" w:hAnsi="Times New Roman"/>
          <w:sz w:val="22"/>
          <w:szCs w:val="22"/>
          <w:color w:val="auto"/>
        </w:rPr>
      </w:pPr>
    </w:p>
    <w:p>
      <w:pPr>
        <w:jc w:val="both"/>
        <w:ind w:left="-180" w:firstLine="485"/>
        <w:spacing w:after="0" w:line="252" w:lineRule="auto"/>
        <w:tabs>
          <w:tab w:leader="none" w:pos="697" w:val="left"/>
        </w:tabs>
        <w:numPr>
          <w:ilvl w:val="1"/>
          <w:numId w:val="1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applicable, it is intended that this Agreement and the Plan comply with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Grantee).</w:t>
      </w:r>
    </w:p>
    <w:p>
      <w:pPr>
        <w:spacing w:after="0" w:line="174" w:lineRule="exact"/>
        <w:rPr>
          <w:rFonts w:ascii="Times New Roman" w:cs="Times New Roman" w:eastAsia="Times New Roman" w:hAnsi="Times New Roman"/>
          <w:sz w:val="22"/>
          <w:szCs w:val="22"/>
          <w:b w:val="1"/>
          <w:bCs w:val="1"/>
          <w:color w:val="auto"/>
        </w:rPr>
      </w:pPr>
    </w:p>
    <w:p>
      <w:pPr>
        <w:jc w:val="both"/>
        <w:ind w:left="-180" w:firstLine="530"/>
        <w:spacing w:after="0" w:line="254" w:lineRule="auto"/>
        <w:tabs>
          <w:tab w:leader="none" w:pos="765" w:val="left"/>
        </w:tabs>
        <w:numPr>
          <w:ilvl w:val="2"/>
          <w:numId w:val="1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Continued Right as Service Provider.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the Plan or in this Agreement confers on Grantee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as a Service Provider, or interferes with or restricts in any way the rights of the Company or any Subsidiary or affiliate of the Company, which are hereby expressly reserved, to discharge Grantee at any time for any reason whatsoever, with or without Cause, except to the extent expressly provided otherwise in a written employment agreement between Grantee and the Company or any Subsidiary.</w:t>
      </w:r>
    </w:p>
    <w:p>
      <w:pPr>
        <w:spacing w:after="0" w:line="173" w:lineRule="exact"/>
        <w:rPr>
          <w:rFonts w:ascii="Times New Roman" w:cs="Times New Roman" w:eastAsia="Times New Roman" w:hAnsi="Times New Roman"/>
          <w:sz w:val="22"/>
          <w:szCs w:val="22"/>
          <w:b w:val="1"/>
          <w:bCs w:val="1"/>
          <w:color w:val="auto"/>
        </w:rPr>
      </w:pPr>
    </w:p>
    <w:p>
      <w:pPr>
        <w:jc w:val="both"/>
        <w:ind w:left="-180" w:firstLine="449"/>
        <w:spacing w:after="0" w:line="258" w:lineRule="auto"/>
        <w:tabs>
          <w:tab w:leader="none" w:pos="643" w:val="left"/>
        </w:tabs>
        <w:numPr>
          <w:ilvl w:val="0"/>
          <w:numId w:val="1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on Other Benefits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no event will the value, at any time, of the Restricted Stock Units or any other payment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payment 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167" w:lineRule="exact"/>
        <w:rPr>
          <w:rFonts w:ascii="Times New Roman" w:cs="Times New Roman" w:eastAsia="Times New Roman" w:hAnsi="Times New Roman"/>
          <w:sz w:val="22"/>
          <w:szCs w:val="22"/>
          <w:b w:val="1"/>
          <w:bCs w:val="1"/>
          <w:color w:val="auto"/>
        </w:rPr>
      </w:pPr>
    </w:p>
    <w:p>
      <w:pPr>
        <w:jc w:val="both"/>
        <w:ind w:left="-180" w:firstLine="561"/>
        <w:spacing w:after="0" w:line="259" w:lineRule="auto"/>
        <w:tabs>
          <w:tab w:leader="none" w:pos="805" w:val="left"/>
        </w:tabs>
        <w:numPr>
          <w:ilvl w:val="3"/>
          <w:numId w:val="1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If Grantee is or was employed by a subsidiary of the Company, then such subsidiary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intended to be a third-party beneficiary of this Agreement and shall have the right to enforce this Agreement, including, but not limited to, the provisions of Section II.B.3.</w:t>
      </w:r>
    </w:p>
    <w:p>
      <w:pPr>
        <w:spacing w:after="0" w:line="179" w:lineRule="exact"/>
        <w:rPr>
          <w:rFonts w:ascii="Times New Roman" w:cs="Times New Roman" w:eastAsia="Times New Roman" w:hAnsi="Times New Roman"/>
          <w:sz w:val="22"/>
          <w:szCs w:val="22"/>
          <w:b w:val="1"/>
          <w:bCs w:val="1"/>
          <w:color w:val="auto"/>
        </w:rPr>
      </w:pPr>
    </w:p>
    <w:p>
      <w:pPr>
        <w:jc w:val="both"/>
        <w:ind w:left="-180" w:firstLine="584"/>
        <w:spacing w:after="0" w:line="259" w:lineRule="auto"/>
        <w:tabs>
          <w:tab w:leader="none" w:pos="846" w:val="left"/>
        </w:tabs>
        <w:numPr>
          <w:ilvl w:val="4"/>
          <w:numId w:val="1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Unfunded and Unsecured General Creditor</w:t>
      </w:r>
      <w:r>
        <w:rPr>
          <w:rFonts w:ascii="Times New Roman" w:cs="Times New Roman" w:eastAsia="Times New Roman" w:hAnsi="Times New Roman"/>
          <w:sz w:val="22"/>
          <w:szCs w:val="22"/>
          <w:color w:val="auto"/>
        </w:rPr>
        <w:t>. Grantee, as a holder of Restricted Stock Units and rights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has no rights other than those of a general creditor of the Company. The Restricted Stock Units represent an unfunded and unsecured obligation of the Company, subject to the terms and conditions of this Agreement and the Plan.</w:t>
      </w:r>
    </w:p>
    <w:p>
      <w:pPr>
        <w:spacing w:after="0" w:line="166" w:lineRule="exact"/>
        <w:rPr>
          <w:rFonts w:ascii="Times New Roman" w:cs="Times New Roman" w:eastAsia="Times New Roman" w:hAnsi="Times New Roman"/>
          <w:sz w:val="22"/>
          <w:szCs w:val="22"/>
          <w:b w:val="1"/>
          <w:bCs w:val="1"/>
          <w:color w:val="auto"/>
        </w:rPr>
      </w:pPr>
    </w:p>
    <w:p>
      <w:pPr>
        <w:jc w:val="both"/>
        <w:ind w:left="-180" w:firstLine="746"/>
        <w:spacing w:after="0" w:line="258" w:lineRule="auto"/>
        <w:tabs>
          <w:tab w:leader="none" w:pos="1089" w:val="left"/>
        </w:tabs>
        <w:numPr>
          <w:ilvl w:val="5"/>
          <w:numId w:val="1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or the application of any provision hereof to any person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500" w:top="1440" w:right="339" w:bottom="1440" w:gutter="0" w:footer="0" w:header="0"/>
        </w:sectPr>
      </w:pPr>
    </w:p>
    <w:bookmarkStart w:id="160" w:name="page161"/>
    <w:bookmarkEnd w:id="160"/>
    <w:p>
      <w:pPr>
        <w:spacing w:after="0" w:line="194" w:lineRule="exact"/>
        <w:rPr>
          <w:sz w:val="20"/>
          <w:szCs w:val="20"/>
          <w:color w:val="auto"/>
        </w:rPr>
      </w:pPr>
    </w:p>
    <w:p>
      <w:pPr>
        <w:jc w:val="both"/>
        <w:ind w:left="-180" w:firstLine="534"/>
        <w:spacing w:after="0" w:line="254" w:lineRule="auto"/>
        <w:tabs>
          <w:tab w:leader="none" w:pos="765" w:val="left"/>
        </w:tabs>
        <w:numPr>
          <w:ilvl w:val="0"/>
          <w:numId w:val="1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and 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3" w:lineRule="exact"/>
        <w:rPr>
          <w:sz w:val="20"/>
          <w:szCs w:val="20"/>
          <w:color w:val="auto"/>
        </w:rPr>
      </w:pPr>
    </w:p>
    <w:p>
      <w:pPr>
        <w:ind w:left="740" w:hanging="480"/>
        <w:spacing w:after="0"/>
        <w:tabs>
          <w:tab w:leader="none" w:pos="740" w:val="left"/>
        </w:tabs>
        <w:numPr>
          <w:ilvl w:val="0"/>
          <w:numId w:val="1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Nature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accepting this Award, Grantee acknowledges that:</w:t>
      </w:r>
    </w:p>
    <w:p>
      <w:pPr>
        <w:spacing w:after="0" w:line="223" w:lineRule="exact"/>
        <w:rPr>
          <w:rFonts w:ascii="Times New Roman" w:cs="Times New Roman" w:eastAsia="Times New Roman" w:hAnsi="Times New Roman"/>
          <w:sz w:val="22"/>
          <w:szCs w:val="22"/>
          <w:b w:val="1"/>
          <w:bCs w:val="1"/>
          <w:color w:val="auto"/>
        </w:rPr>
      </w:pPr>
    </w:p>
    <w:p>
      <w:pPr>
        <w:ind w:left="480" w:right="20" w:firstLine="227"/>
        <w:spacing w:after="0" w:line="295" w:lineRule="auto"/>
        <w:tabs>
          <w:tab w:leader="none" w:pos="1181" w:val="left"/>
        </w:tabs>
        <w:numPr>
          <w:ilvl w:val="2"/>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it is discretionary in nature and it may be modified, amended, suspended or terminated by the Company at any time unless otherwise provided in the Plan or this Agreement;</w:t>
      </w:r>
    </w:p>
    <w:p>
      <w:pPr>
        <w:spacing w:after="0" w:line="148" w:lineRule="exact"/>
        <w:rPr>
          <w:rFonts w:ascii="Times New Roman" w:cs="Times New Roman" w:eastAsia="Times New Roman" w:hAnsi="Times New Roman"/>
          <w:sz w:val="21"/>
          <w:szCs w:val="21"/>
          <w:color w:val="auto"/>
        </w:rPr>
      </w:pPr>
    </w:p>
    <w:p>
      <w:pPr>
        <w:jc w:val="both"/>
        <w:ind w:left="480" w:firstLine="266"/>
        <w:spacing w:after="0" w:line="257" w:lineRule="auto"/>
        <w:tabs>
          <w:tab w:leader="none" w:pos="1272" w:val="left"/>
        </w:tabs>
        <w:numPr>
          <w:ilvl w:val="4"/>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172" w:lineRule="exact"/>
        <w:rPr>
          <w:rFonts w:ascii="Times New Roman" w:cs="Times New Roman" w:eastAsia="Times New Roman" w:hAnsi="Times New Roman"/>
          <w:sz w:val="22"/>
          <w:szCs w:val="22"/>
          <w:color w:val="auto"/>
        </w:rPr>
      </w:pPr>
    </w:p>
    <w:p>
      <w:pPr>
        <w:ind w:left="480" w:firstLine="348"/>
        <w:spacing w:after="0" w:line="271" w:lineRule="auto"/>
        <w:tabs>
          <w:tab w:leader="none" w:pos="1424" w:val="left"/>
        </w:tabs>
        <w:numPr>
          <w:ilvl w:val="5"/>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 grants, if any, will be at the sole discretion of the Committee;</w:t>
      </w:r>
    </w:p>
    <w:p>
      <w:pPr>
        <w:spacing w:after="0" w:line="157" w:lineRule="exact"/>
        <w:rPr>
          <w:rFonts w:ascii="Times New Roman" w:cs="Times New Roman" w:eastAsia="Times New Roman" w:hAnsi="Times New Roman"/>
          <w:sz w:val="22"/>
          <w:szCs w:val="22"/>
          <w:color w:val="auto"/>
        </w:rPr>
      </w:pPr>
    </w:p>
    <w:p>
      <w:pPr>
        <w:ind w:left="1160" w:hanging="468"/>
        <w:spacing w:after="0"/>
        <w:tabs>
          <w:tab w:leader="none" w:pos="1160" w:val="left"/>
        </w:tabs>
        <w:numPr>
          <w:ilvl w:val="3"/>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is voluntarily participating in the Plan;</w:t>
      </w:r>
    </w:p>
    <w:p>
      <w:pPr>
        <w:spacing w:after="0" w:line="233" w:lineRule="exact"/>
        <w:rPr>
          <w:rFonts w:ascii="Times New Roman" w:cs="Times New Roman" w:eastAsia="Times New Roman" w:hAnsi="Times New Roman"/>
          <w:sz w:val="22"/>
          <w:szCs w:val="22"/>
          <w:color w:val="auto"/>
        </w:rPr>
      </w:pPr>
    </w:p>
    <w:p>
      <w:pPr>
        <w:jc w:val="both"/>
        <w:ind w:left="480" w:firstLine="231"/>
        <w:spacing w:after="0" w:line="257" w:lineRule="auto"/>
        <w:tabs>
          <w:tab w:leader="none" w:pos="1191" w:val="left"/>
        </w:tabs>
        <w:numPr>
          <w:ilvl w:val="3"/>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Common Stock subject to the Restricted Stock Units are an extraordinary item that does not constitute compensation of any kind for services of any kind rendered to the Company or Grantee’s employer, and which is outside the scope of Grantee’s employment contract, if any;</w:t>
      </w:r>
    </w:p>
    <w:p>
      <w:pPr>
        <w:spacing w:after="0" w:line="172" w:lineRule="exact"/>
        <w:rPr>
          <w:rFonts w:ascii="Times New Roman" w:cs="Times New Roman" w:eastAsia="Times New Roman" w:hAnsi="Times New Roman"/>
          <w:sz w:val="22"/>
          <w:szCs w:val="22"/>
          <w:color w:val="auto"/>
        </w:rPr>
      </w:pPr>
    </w:p>
    <w:p>
      <w:pPr>
        <w:ind w:left="480" w:right="20" w:firstLine="216"/>
        <w:spacing w:after="0" w:line="271" w:lineRule="auto"/>
        <w:tabs>
          <w:tab w:leader="none" w:pos="1136"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Common Stock subject to the Restricted Stock Units are not intended to replace any pension rights or compensation;</w:t>
      </w:r>
    </w:p>
    <w:p>
      <w:pPr>
        <w:spacing w:after="0" w:line="171" w:lineRule="exact"/>
        <w:rPr>
          <w:rFonts w:ascii="Times New Roman" w:cs="Times New Roman" w:eastAsia="Times New Roman" w:hAnsi="Times New Roman"/>
          <w:sz w:val="22"/>
          <w:szCs w:val="22"/>
          <w:color w:val="auto"/>
        </w:rPr>
      </w:pPr>
    </w:p>
    <w:p>
      <w:pPr>
        <w:ind w:left="1160" w:hanging="468"/>
        <w:spacing w:after="0"/>
        <w:tabs>
          <w:tab w:leader="none" w:pos="1160"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Common Stock is unknown and cannot be predicted with certainty;</w:t>
      </w:r>
    </w:p>
    <w:p>
      <w:pPr>
        <w:spacing w:after="0" w:line="219" w:lineRule="exact"/>
        <w:rPr>
          <w:rFonts w:ascii="Times New Roman" w:cs="Times New Roman" w:eastAsia="Times New Roman" w:hAnsi="Times New Roman"/>
          <w:sz w:val="22"/>
          <w:szCs w:val="22"/>
          <w:color w:val="auto"/>
        </w:rPr>
      </w:pPr>
    </w:p>
    <w:p>
      <w:pPr>
        <w:jc w:val="both"/>
        <w:ind w:left="480" w:firstLine="212"/>
        <w:spacing w:after="0" w:line="275" w:lineRule="auto"/>
        <w:tabs>
          <w:tab w:leader="none" w:pos="1164" w:val="left"/>
        </w:tabs>
        <w:numPr>
          <w:ilvl w:val="1"/>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Restricted Stock Units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55" w:lineRule="exact"/>
        <w:rPr>
          <w:rFonts w:ascii="Times New Roman" w:cs="Times New Roman" w:eastAsia="Times New Roman" w:hAnsi="Times New Roman"/>
          <w:sz w:val="21"/>
          <w:szCs w:val="21"/>
          <w:color w:val="auto"/>
        </w:rPr>
      </w:pPr>
    </w:p>
    <w:p>
      <w:pPr>
        <w:jc w:val="both"/>
        <w:ind w:left="480" w:firstLine="264"/>
        <w:spacing w:after="0" w:line="256" w:lineRule="auto"/>
        <w:tabs>
          <w:tab w:leader="none" w:pos="1220" w:val="left"/>
        </w:tabs>
        <w:numPr>
          <w:ilvl w:val="2"/>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the Restricted Stock Units, no claim or entitlement to compensation or damages shall arise from forfeiture of the Restricted Stock Units resulting from termination of Grantee’s employment with the Company or Grantee’s employer (for any reason whatsoever and whether or not in breach of local labor laws) and Grantee irrevocably releases the Company and Grantee’s employer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60"/>
          </w:cols>
          <w:pgMar w:left="500" w:top="1440" w:right="339" w:bottom="1440" w:gutter="0" w:footer="0" w:header="0"/>
        </w:sectPr>
      </w:pPr>
    </w:p>
    <w:bookmarkStart w:id="161" w:name="page162"/>
    <w:bookmarkEnd w:id="161"/>
    <w:p>
      <w:pPr>
        <w:spacing w:after="0" w:line="198" w:lineRule="exact"/>
        <w:rPr>
          <w:sz w:val="20"/>
          <w:szCs w:val="20"/>
          <w:color w:val="auto"/>
        </w:rPr>
      </w:pPr>
    </w:p>
    <w:p>
      <w:pPr>
        <w:ind w:left="480"/>
        <w:spacing w:after="0" w:line="295" w:lineRule="auto"/>
        <w:rPr>
          <w:sz w:val="20"/>
          <w:szCs w:val="20"/>
          <w:color w:val="auto"/>
        </w:rPr>
      </w:pPr>
      <w:r>
        <w:rPr>
          <w:rFonts w:ascii="Times New Roman" w:cs="Times New Roman" w:eastAsia="Times New Roman" w:hAnsi="Times New Roman"/>
          <w:sz w:val="21"/>
          <w:szCs w:val="21"/>
          <w:color w:val="auto"/>
        </w:rPr>
        <w:t>any such claim that may arise; if, notwithstanding the foregoing, any such claim is found by a court of competent jurisdiction to have arisen, Grantee shall be deemed irrevocably to have waived any entitlement to pursue such claim; and</w:t>
      </w:r>
    </w:p>
    <w:p>
      <w:pPr>
        <w:spacing w:after="0" w:line="135" w:lineRule="exact"/>
        <w:rPr>
          <w:sz w:val="20"/>
          <w:szCs w:val="20"/>
          <w:color w:val="auto"/>
        </w:rPr>
      </w:pPr>
    </w:p>
    <w:p>
      <w:pPr>
        <w:jc w:val="both"/>
        <w:ind w:left="480" w:firstLine="225"/>
        <w:spacing w:after="0" w:line="268" w:lineRule="auto"/>
        <w:tabs>
          <w:tab w:leader="none" w:pos="1143" w:val="left"/>
        </w:tabs>
        <w:numPr>
          <w:ilvl w:val="3"/>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Grantee ceases to be a Service Provider (whether or not in breach of local labor laws), Grantee’s right to vest in the Restricted Stock Units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Restricted Stock Units.</w:t>
      </w:r>
    </w:p>
    <w:p>
      <w:pPr>
        <w:spacing w:after="0" w:line="159" w:lineRule="exact"/>
        <w:rPr>
          <w:rFonts w:ascii="Times New Roman" w:cs="Times New Roman" w:eastAsia="Times New Roman" w:hAnsi="Times New Roman"/>
          <w:sz w:val="21"/>
          <w:szCs w:val="21"/>
          <w:color w:val="auto"/>
        </w:rPr>
      </w:pPr>
    </w:p>
    <w:p>
      <w:pPr>
        <w:ind w:left="740" w:hanging="480"/>
        <w:spacing w:after="0"/>
        <w:tabs>
          <w:tab w:leader="none" w:pos="740" w:val="left"/>
        </w:tabs>
        <w:numPr>
          <w:ilvl w:val="0"/>
          <w:numId w:val="1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Addenda for Certain Participants</w:t>
      </w:r>
      <w:r>
        <w:rPr>
          <w:rFonts w:ascii="Times New Roman" w:cs="Times New Roman" w:eastAsia="Times New Roman" w:hAnsi="Times New Roman"/>
          <w:sz w:val="22"/>
          <w:szCs w:val="22"/>
          <w:b w:val="1"/>
          <w:bCs w:val="1"/>
          <w:color w:val="auto"/>
        </w:rPr>
        <w:t>.</w:t>
      </w:r>
    </w:p>
    <w:p>
      <w:pPr>
        <w:spacing w:after="0" w:line="233" w:lineRule="exact"/>
        <w:rPr>
          <w:rFonts w:ascii="Times New Roman" w:cs="Times New Roman" w:eastAsia="Times New Roman" w:hAnsi="Times New Roman"/>
          <w:sz w:val="22"/>
          <w:szCs w:val="22"/>
          <w:b w:val="1"/>
          <w:bCs w:val="1"/>
          <w:color w:val="auto"/>
        </w:rPr>
      </w:pPr>
    </w:p>
    <w:p>
      <w:pPr>
        <w:jc w:val="both"/>
        <w:ind w:left="480" w:firstLine="644"/>
        <w:spacing w:after="0" w:line="250" w:lineRule="auto"/>
        <w:tabs>
          <w:tab w:leader="none" w:pos="1611" w:val="left"/>
        </w:tabs>
        <w:numPr>
          <w:ilvl w:val="4"/>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Non-U.S. Participants</w:t>
      </w:r>
      <w:r>
        <w:rPr>
          <w:rFonts w:ascii="Times New Roman" w:cs="Times New Roman" w:eastAsia="Times New Roman" w:hAnsi="Times New Roman"/>
          <w:sz w:val="22"/>
          <w:szCs w:val="22"/>
          <w:color w:val="auto"/>
        </w:rPr>
        <w:t>. Notwithstanding any provisions in this Agreement, the Restricted Stock Units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also be subject to the special terms and conditions set forth in the Non-U.S. Addendum attached as Appendix B to this Agreement for Grantees who reside in any country covered therein. Moreover, if Grantee relocates to one of the countries included in the Non-U.S. Addendum, the special terms and conditions for such country will apply to Grantee to the extent the Company determines that the application of such terms and conditions are necessary or advisable in order to comply with local law or facilitate the administration of the Plan. The Non-U.S. Addendum attached hereto as Appendix B constitutes part of this Agreement.</w:t>
      </w:r>
    </w:p>
    <w:p>
      <w:pPr>
        <w:spacing w:after="0" w:line="180" w:lineRule="exact"/>
        <w:rPr>
          <w:rFonts w:ascii="Times New Roman" w:cs="Times New Roman" w:eastAsia="Times New Roman" w:hAnsi="Times New Roman"/>
          <w:sz w:val="22"/>
          <w:szCs w:val="22"/>
          <w:color w:val="auto"/>
        </w:rPr>
      </w:pPr>
    </w:p>
    <w:p>
      <w:pPr>
        <w:jc w:val="both"/>
        <w:ind w:left="480" w:firstLine="644"/>
        <w:spacing w:after="0" w:line="254" w:lineRule="auto"/>
        <w:tabs>
          <w:tab w:leader="none" w:pos="1596" w:val="left"/>
        </w:tabs>
        <w:numPr>
          <w:ilvl w:val="4"/>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California Participants</w:t>
      </w:r>
      <w:r>
        <w:rPr>
          <w:rFonts w:ascii="Times New Roman" w:cs="Times New Roman" w:eastAsia="Times New Roman" w:hAnsi="Times New Roman"/>
          <w:sz w:val="22"/>
          <w:szCs w:val="22"/>
          <w:color w:val="auto"/>
        </w:rPr>
        <w:t>. Notwithstanding any provisions in this Agreement, the Restricted Stock Units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also be subject to the special terms and conditions set forth in the California Addendum attached as Appendix C to this Agreement if Grantee is employed and/or resides in California or if the Company determines that the application of such terms and conditions is necessary or advisable in order to comply with applicable law. The California Addendum attached hereto as Appendix C constitutes part of this Agreement.</w:t>
      </w:r>
    </w:p>
    <w:p>
      <w:pPr>
        <w:spacing w:after="0" w:line="173" w:lineRule="exact"/>
        <w:rPr>
          <w:rFonts w:ascii="Times New Roman" w:cs="Times New Roman" w:eastAsia="Times New Roman" w:hAnsi="Times New Roman"/>
          <w:sz w:val="22"/>
          <w:szCs w:val="22"/>
          <w:color w:val="auto"/>
        </w:rPr>
      </w:pPr>
    </w:p>
    <w:p>
      <w:pPr>
        <w:jc w:val="both"/>
        <w:ind w:left="-180" w:firstLine="494"/>
        <w:spacing w:after="0" w:line="254" w:lineRule="auto"/>
        <w:tabs>
          <w:tab w:leader="none" w:pos="819" w:val="left"/>
        </w:tabs>
        <w:numPr>
          <w:ilvl w:val="2"/>
          <w:numId w:val="1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amendment to the Plan shall be deemed to be an amendment to this Agreement to the extent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amendment is applicable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73" w:lineRule="exact"/>
        <w:rPr>
          <w:rFonts w:ascii="Times New Roman" w:cs="Times New Roman" w:eastAsia="Times New Roman" w:hAnsi="Times New Roman"/>
          <w:sz w:val="22"/>
          <w:szCs w:val="22"/>
          <w:b w:val="1"/>
          <w:bCs w:val="1"/>
          <w:color w:val="auto"/>
        </w:rPr>
      </w:pPr>
    </w:p>
    <w:p>
      <w:pPr>
        <w:jc w:val="both"/>
        <w:ind w:left="-180" w:firstLine="467"/>
        <w:spacing w:after="0" w:line="253" w:lineRule="auto"/>
        <w:tabs>
          <w:tab w:leader="none" w:pos="778" w:val="left"/>
        </w:tabs>
        <w:numPr>
          <w:ilvl w:val="1"/>
          <w:numId w:val="1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subject to the terms and conditions of the Plan. In the event of any inconsistency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60"/>
          </w:cols>
          <w:pgMar w:left="500" w:top="1440" w:right="339" w:bottom="1440" w:gutter="0" w:footer="0" w:header="0"/>
        </w:sectPr>
      </w:pPr>
    </w:p>
    <w:bookmarkStart w:id="162" w:name="page163"/>
    <w:bookmarkEnd w:id="162"/>
    <w:p>
      <w:pPr>
        <w:spacing w:after="0" w:line="194" w:lineRule="exact"/>
        <w:rPr>
          <w:sz w:val="20"/>
          <w:szCs w:val="20"/>
          <w:color w:val="auto"/>
        </w:rPr>
      </w:pPr>
    </w:p>
    <w:p>
      <w:pPr>
        <w:jc w:val="both"/>
        <w:ind w:firstLine="449"/>
        <w:spacing w:after="0" w:line="260" w:lineRule="auto"/>
        <w:tabs>
          <w:tab w:leader="none" w:pos="931" w:val="left"/>
        </w:tabs>
        <w:numPr>
          <w:ilvl w:val="0"/>
          <w:numId w:val="1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 Choice of Forum; Jury Trial Waiver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is governed by and construed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with the laws of the State of Michigan, notwithstanding conflict of law provisions. Grantee further agrees that any action by Grantee to challenge the enforceability of this Agreement must be brought or litigated exclusively in the appropriate state or federal court located in the State of Michigan. Grantee also agrees that any action by the Company to enforce this Agreement, as well as any related disputes or litigation related to this Agreement, may be brought in the appropriate state or federal court located in the State of Michigan. Grantee agrees and consents to the personal jurisdiction and venue of the federal or state courts of Michigan for resolution of any disputes or litigation arising under or in connection with this Agreement or any challenge to this Agreement and waives any objections or defenses to personal jurisdiction or venue in any such proceeding before any such court. </w:t>
      </w:r>
      <w:r>
        <w:rPr>
          <w:rFonts w:ascii="Times New Roman" w:cs="Times New Roman" w:eastAsia="Times New Roman" w:hAnsi="Times New Roman"/>
          <w:sz w:val="21"/>
          <w:szCs w:val="21"/>
          <w:b w:val="1"/>
          <w:bCs w:val="1"/>
          <w:color w:val="auto"/>
        </w:rPr>
        <w:t>GRANTEE AGREE THAT, TO THE FULLEST EXTENT PERMITTED BY LAW, EACH PARTY WAIVES ANY</w:t>
      </w:r>
    </w:p>
    <w:p>
      <w:pPr>
        <w:spacing w:after="0" w:line="9" w:lineRule="exact"/>
        <w:rPr>
          <w:rFonts w:ascii="Times New Roman" w:cs="Times New Roman" w:eastAsia="Times New Roman" w:hAnsi="Times New Roman"/>
          <w:sz w:val="21"/>
          <w:szCs w:val="21"/>
          <w:b w:val="1"/>
          <w:bCs w:val="1"/>
          <w:color w:val="auto"/>
        </w:rPr>
      </w:pPr>
    </w:p>
    <w:p>
      <w:pPr>
        <w:spacing w:after="0" w:line="248"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RIGHT TO TRIAL BY JURY WITH RESPECT TO ANY PROCEEDING ARISING OUT OF OR RELATING TO THIS AGREEMENT.</w:t>
      </w:r>
    </w:p>
    <w:p>
      <w:pPr>
        <w:spacing w:after="0" w:line="178" w:lineRule="exact"/>
        <w:rPr>
          <w:rFonts w:ascii="Times New Roman" w:cs="Times New Roman" w:eastAsia="Times New Roman" w:hAnsi="Times New Roman"/>
          <w:sz w:val="21"/>
          <w:szCs w:val="21"/>
          <w:b w:val="1"/>
          <w:bCs w:val="1"/>
          <w:color w:val="auto"/>
        </w:rPr>
      </w:pPr>
    </w:p>
    <w:p>
      <w:pPr>
        <w:ind w:left="920" w:hanging="480"/>
        <w:spacing w:after="0"/>
        <w:tabs>
          <w:tab w:leader="none" w:pos="920" w:val="left"/>
        </w:tabs>
        <w:numPr>
          <w:ilvl w:val="0"/>
          <w:numId w:val="1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Clawback Policy</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left="640" w:firstLine="644"/>
        <w:spacing w:after="0" w:line="247" w:lineRule="auto"/>
        <w:tabs>
          <w:tab w:leader="none" w:pos="1864"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Grantee acknowledges and agrees that this Agreement and the Award described herein (and any settlement thereof) are subject to the terms and conditions of the Company’s clawback policy or policies as may be in effect from time to time, including specifically to implement Section 10D of the Exchange Act and any applicable rules or regulations promulgated thereunder (including applicable rules and regulations of any national securities exchange on which the Common Stock at any point may be traded) (the “Compensation Recovery Policy”), and that, to the extent the Compensation Recovery Policy, by its terms, is applicable to the Award, applicable terms of this Agreement will be (if necessary) deemed superseded by and subject to the terms and conditions of the Compensation Recovery Policy from and after the effective date thereof. Further, by accepting the Award covered by this Agreement, Grantee (i) consents to be bound by the terms of the Compensation Recovery Policy, as applicable, (ii) agrees and acknowledges that Grantee is obligated to and will cooperate with, and will provide any and all assistance necessary to, the Company in any effort to recover or recoup any compensation or other amounts subject to clawback or recovery pursuant to the Compensation Recovery Policy and/or applicable laws, rules, regulations, stock exchange listing standards or other Company policy, and (iii) agrees that the Company may enforce its rights under the Compensation Recovery Policy through any and all reasonable means permitted under applicable law as it deems necessary or desirable under the Compensation Recovery Policy, in each case from and after the effective dates thereof. Such cooperation and assistance shall include, but is not limited to, executing, completing and submitting any documentation necessary to facilitate the recovery or recoupment by the Company from Grantee of any such amounts, including from Grantee’s accounts or from any other compensation, to the extent permissible under Section 409A of the Code.</w:t>
      </w:r>
    </w:p>
    <w:p>
      <w:pPr>
        <w:spacing w:after="0" w:line="196" w:lineRule="exact"/>
        <w:rPr>
          <w:rFonts w:ascii="Times New Roman" w:cs="Times New Roman" w:eastAsia="Times New Roman" w:hAnsi="Times New Roman"/>
          <w:sz w:val="22"/>
          <w:szCs w:val="22"/>
          <w:color w:val="auto"/>
        </w:rPr>
      </w:pPr>
    </w:p>
    <w:p>
      <w:pPr>
        <w:ind w:left="640" w:firstLine="644"/>
        <w:spacing w:after="0" w:line="271" w:lineRule="auto"/>
        <w:tabs>
          <w:tab w:leader="none" w:pos="1788"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violation of Section II.B.3 of this Agreement prior to the final Vesting Date and thereafter, as determined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98" w:lineRule="exact"/>
        <w:rPr>
          <w:sz w:val="20"/>
          <w:szCs w:val="20"/>
          <w:color w:val="auto"/>
        </w:rPr>
      </w:pPr>
    </w:p>
    <w:p>
      <w:pPr>
        <w:ind w:left="460"/>
        <w:spacing w:after="0" w:line="271" w:lineRule="auto"/>
        <w:rPr>
          <w:sz w:val="20"/>
          <w:szCs w:val="20"/>
          <w:color w:val="auto"/>
        </w:rPr>
      </w:pPr>
      <w:r>
        <w:rPr>
          <w:rFonts w:ascii="Times New Roman" w:cs="Times New Roman" w:eastAsia="Times New Roman" w:hAnsi="Times New Roman"/>
          <w:sz w:val="22"/>
          <w:szCs w:val="22"/>
          <w:color w:val="auto"/>
        </w:rPr>
        <w:t>shall result in the forfeiture of the Restricted Stock Units, and clawback and recoupment of any shares of Common Stock issued or transferred to Grantee in settlement of the Restricted Stock Units (plus dividend equivalent payments).</w:t>
      </w:r>
    </w:p>
    <w:p>
      <w:pPr>
        <w:spacing w:after="0" w:line="15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40"/>
          </w:cols>
          <w:pgMar w:left="500" w:top="1440" w:right="359" w:bottom="1440" w:gutter="0" w:footer="0" w:header="0"/>
        </w:sectPr>
      </w:pPr>
    </w:p>
    <w:bookmarkStart w:id="164" w:name="page165"/>
    <w:bookmarkEnd w:id="164"/>
    <w:p>
      <w:pPr>
        <w:spacing w:after="0" w:line="19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This Agreement may be executed in two or more counterparts, each of which is deemed an original and all of which constitute one document.</w:t>
      </w:r>
    </w:p>
    <w:p>
      <w:pPr>
        <w:spacing w:after="0" w:line="1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Dated as of: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Thomas A. Amato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 &amp; CEO</w:t>
      </w:r>
    </w:p>
    <w:p>
      <w:pPr>
        <w:spacing w:after="0" w:line="200" w:lineRule="exact"/>
        <w:rPr>
          <w:sz w:val="20"/>
          <w:szCs w:val="20"/>
          <w:color w:val="auto"/>
        </w:rPr>
      </w:pPr>
    </w:p>
    <w:p>
      <w:pPr>
        <w:sectPr>
          <w:pgSz w:w="11900" w:h="16838" w:orient="portrait"/>
          <w:cols w:equalWidth="0" w:num="2">
            <w:col w:w="4220" w:space="720"/>
            <w:col w:w="630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75"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b w:val="1"/>
          <w:bCs w:val="1"/>
          <w:color w:val="auto"/>
        </w:rPr>
        <w:t>BY CLICKING THE “ACCEPT” BUTTON BELOW, GRANTEE ACKNOWLEDGES RECEIPT OF A COPY OF THE PLAN AND REPRESENTS THAT GRANTEE IS FAMILIAR WITH THE TERMS AND PROVISIONS OF THE PLAN. GRANTEE ACCEPTS THIS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type w:val="continuous"/>
        </w:sectPr>
      </w:pPr>
    </w:p>
    <w:bookmarkStart w:id="165" w:name="page166"/>
    <w:bookmarkEnd w:id="165"/>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GLOSSARY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w:t>
      </w:r>
    </w:p>
    <w:p>
      <w:pPr>
        <w:spacing w:after="0" w:line="243" w:lineRule="exact"/>
        <w:rPr>
          <w:sz w:val="20"/>
          <w:szCs w:val="20"/>
          <w:color w:val="auto"/>
        </w:rPr>
      </w:pPr>
    </w:p>
    <w:p>
      <w:pPr>
        <w:jc w:val="both"/>
        <w:ind w:left="100"/>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(a) Grantee’s conviction of or plea of guilty or nolo contendere to a crime constituting a felony under the laws of the United States or any State thereof or any other jurisdiction in which the Company or its Subsidiaries conduct business; (b) Grantee’s willful misconduct in the performance of his or her duties to the Company or its Subsidiaries and failure to cure such breach within thirty (30) days following written notice thereof from the Company; (c) Grantee’s willful failure or refusal to follow directions from the Board (or direct reporting executive) and failure to cure such breach within thirty (30) days following written notice thereof from the Board; or (d) Grantee’s breach of fiduciary duty to the Company or its Subsidiaries for personal profit. Any failure by the Company or a Subsidiary of the Company to notify Grantee after the first occurrence of an event constituting Cause shall not preclude any subsequent occurrences of such event (or a similar event) from constituting Cause.</w:t>
      </w:r>
    </w:p>
    <w:p>
      <w:pPr>
        <w:spacing w:after="0" w:line="192" w:lineRule="exact"/>
        <w:rPr>
          <w:sz w:val="20"/>
          <w:szCs w:val="20"/>
          <w:color w:val="auto"/>
        </w:rPr>
      </w:pPr>
    </w:p>
    <w:p>
      <w:pPr>
        <w:jc w:val="both"/>
        <w:ind w:left="10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(and similar terms) means Grantee’s 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199" w:lineRule="exact"/>
        <w:rPr>
          <w:sz w:val="20"/>
          <w:szCs w:val="20"/>
          <w:color w:val="auto"/>
        </w:rPr>
      </w:pPr>
    </w:p>
    <w:p>
      <w:pPr>
        <w:ind w:left="1400" w:hanging="644"/>
        <w:spacing w:after="0" w:line="271" w:lineRule="auto"/>
        <w:tabs>
          <w:tab w:leader="none" w:pos="1251"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contracted, suffered, or incurred while Grantee was engaged in, or resulted from Grantee having engaged in, a felonious activity;</w:t>
      </w:r>
    </w:p>
    <w:p>
      <w:pPr>
        <w:spacing w:after="0" w:line="198" w:lineRule="exact"/>
        <w:rPr>
          <w:rFonts w:ascii="Times New Roman" w:cs="Times New Roman" w:eastAsia="Times New Roman" w:hAnsi="Times New Roman"/>
          <w:sz w:val="22"/>
          <w:szCs w:val="22"/>
          <w:color w:val="auto"/>
        </w:rPr>
      </w:pPr>
    </w:p>
    <w:p>
      <w:pPr>
        <w:ind w:left="1400" w:right="20" w:hanging="644"/>
        <w:spacing w:after="0" w:line="271" w:lineRule="auto"/>
        <w:tabs>
          <w:tab w:leader="none" w:pos="1314"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an intentionally self-inflicted injury or an addiction to drugs, alcohol, or substances which are not administered under the direction of a licensed physician as part of a medical treatment plan; or</w:t>
      </w:r>
    </w:p>
    <w:p>
      <w:pPr>
        <w:spacing w:after="0" w:line="184" w:lineRule="exact"/>
        <w:rPr>
          <w:rFonts w:ascii="Times New Roman" w:cs="Times New Roman" w:eastAsia="Times New Roman" w:hAnsi="Times New Roman"/>
          <w:sz w:val="22"/>
          <w:szCs w:val="22"/>
          <w:color w:val="auto"/>
        </w:rPr>
      </w:pPr>
    </w:p>
    <w:p>
      <w:pPr>
        <w:ind w:left="1400" w:hanging="644"/>
        <w:spacing w:after="0" w:line="257" w:lineRule="auto"/>
        <w:tabs>
          <w:tab w:leader="none" w:pos="1208"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213" w:lineRule="exact"/>
        <w:rPr>
          <w:sz w:val="20"/>
          <w:szCs w:val="20"/>
          <w:color w:val="auto"/>
        </w:rPr>
      </w:pPr>
    </w:p>
    <w:p>
      <w:pPr>
        <w:jc w:val="both"/>
        <w:ind w:left="760"/>
        <w:spacing w:after="0" w:line="250" w:lineRule="auto"/>
        <w:rPr>
          <w:sz w:val="20"/>
          <w:szCs w:val="20"/>
          <w:color w:val="auto"/>
        </w:rPr>
      </w:pPr>
      <w:r>
        <w:rPr>
          <w:rFonts w:ascii="Times New Roman" w:cs="Times New Roman" w:eastAsia="Times New Roman" w:hAnsi="Times New Roman"/>
          <w:sz w:val="22"/>
          <w:szCs w:val="22"/>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40"/>
          </w:cols>
          <w:pgMar w:left="220" w:top="1418" w:right="339" w:bottom="1440" w:gutter="0" w:footer="0" w:header="0"/>
        </w:sectPr>
      </w:pPr>
    </w:p>
    <w:bookmarkStart w:id="166" w:name="page167"/>
    <w:bookmarkEnd w:id="166"/>
    <w:p>
      <w:pPr>
        <w:spacing w:after="0" w:line="198"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 to submit to any medical examination properly requested by the Committee or the Company, then in any such event Grantee shall be deemed to have recovered from such Disability.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w:t>
      </w:r>
    </w:p>
    <w:p>
      <w:pPr>
        <w:spacing w:after="0" w:line="251" w:lineRule="exact"/>
        <w:rPr>
          <w:sz w:val="20"/>
          <w:szCs w:val="20"/>
          <w:color w:val="auto"/>
        </w:rPr>
      </w:pPr>
    </w:p>
    <w:p>
      <w:pPr>
        <w:ind w:left="1160" w:hanging="504"/>
        <w:spacing w:after="0"/>
        <w:tabs>
          <w:tab w:leader="none" w:pos="116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and permanent diminution in Grantee’s duties or responsibilities;</w:t>
      </w:r>
    </w:p>
    <w:p>
      <w:pPr>
        <w:spacing w:after="0" w:line="246" w:lineRule="exact"/>
        <w:rPr>
          <w:rFonts w:ascii="Times New Roman" w:cs="Times New Roman" w:eastAsia="Times New Roman" w:hAnsi="Times New Roman"/>
          <w:sz w:val="22"/>
          <w:szCs w:val="22"/>
          <w:color w:val="auto"/>
        </w:rPr>
      </w:pPr>
    </w:p>
    <w:p>
      <w:pPr>
        <w:ind w:left="1300" w:hanging="644"/>
        <w:spacing w:after="0" w:line="271" w:lineRule="auto"/>
        <w:tabs>
          <w:tab w:leader="none" w:pos="1255"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aggregate value of base salary and bonus opportunity provided to Grantee by the Company; or</w:t>
      </w:r>
    </w:p>
    <w:p>
      <w:pPr>
        <w:spacing w:after="0" w:line="184"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permanent reassignment of Grantee to another primary office more than 50 miles from the current office location.</w:t>
      </w:r>
    </w:p>
    <w:p>
      <w:pPr>
        <w:spacing w:after="0" w:line="258"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Grantee must notify the Company of Grantee’s intention to invoke termination for Good Reason within 90 days after Grantee has knowledge of such event and provide the Company 30 days’ opportunity for cure, and Grantee must actually terminate Grantee’s employment with the Company prior to the 365th day following such occurrence or such event shall not constitute Good Reason. Grantee may not invoke termination for Good Reason if Cause exists or Grantee has violated Section II.B.3 of the Agreement at the time of such termination.</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“Qualifying Termination” </w:t>
      </w:r>
      <w:r>
        <w:rPr>
          <w:rFonts w:ascii="Times New Roman" w:cs="Times New Roman" w:eastAsia="Times New Roman" w:hAnsi="Times New Roman"/>
          <w:sz w:val="22"/>
          <w:szCs w:val="22"/>
          <w:color w:val="auto"/>
        </w:rPr>
        <w:t>means a termination of Grantee’s status as a Service Provider with the Company or a Subsidiary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reason other than:</w:t>
      </w:r>
    </w:p>
    <w:p>
      <w:pPr>
        <w:spacing w:after="0" w:line="141" w:lineRule="exact"/>
        <w:rPr>
          <w:sz w:val="20"/>
          <w:szCs w:val="20"/>
          <w:color w:val="auto"/>
        </w:rPr>
      </w:pPr>
    </w:p>
    <w:p>
      <w:pPr>
        <w:ind w:left="1120" w:hanging="464"/>
        <w:spacing w:after="0"/>
        <w:tabs>
          <w:tab w:leader="none" w:pos="112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19"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w:t>
      </w:r>
    </w:p>
    <w:p>
      <w:pPr>
        <w:spacing w:after="0" w:line="219"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or</w:t>
      </w:r>
    </w:p>
    <w:p>
      <w:pPr>
        <w:spacing w:after="0" w:line="219"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Grantee without Good Reason.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individual actively providing services to the Company or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40"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NON-U.S. ADDENDUM</w:t>
      </w:r>
    </w:p>
    <w:p>
      <w:pPr>
        <w:spacing w:after="0" w:line="247"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b w:val="1"/>
          <w:bCs w:val="1"/>
          <w:color w:val="auto"/>
        </w:rPr>
        <w:t>Additional Terms and Conditions for Equity Grants Under the TriMas Corporation 2023 Equity and Incentive Compensation Plan, as amended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This Addendum includes additional terms and conditions that govern the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granted to you under the TriMas Corporation 2023 Equity and Incentive Compensation Plan (referred to as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if you reside in the United Kingdom. Certain capitalized terms used but not defined in this Addendum have the meanings set forth in the Plan and/or your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UNITED KINGDOM</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60" w:lineRule="exact"/>
        <w:rPr>
          <w:sz w:val="20"/>
          <w:szCs w:val="20"/>
          <w:color w:val="auto"/>
        </w:rPr>
      </w:pPr>
    </w:p>
    <w:p>
      <w:pPr>
        <w:ind w:right="80"/>
        <w:spacing w:after="0" w:line="339" w:lineRule="auto"/>
        <w:rPr>
          <w:sz w:val="20"/>
          <w:szCs w:val="20"/>
          <w:color w:val="auto"/>
        </w:rPr>
      </w:pPr>
      <w:r>
        <w:rPr>
          <w:rFonts w:ascii="Times New Roman" w:cs="Times New Roman" w:eastAsia="Times New Roman" w:hAnsi="Times New Roman"/>
          <w:sz w:val="21"/>
          <w:szCs w:val="21"/>
          <w:b w:val="1"/>
          <w:bCs w:val="1"/>
          <w:color w:val="auto"/>
        </w:rPr>
        <w:t>UK Sub-Plan</w:t>
      </w:r>
      <w:r>
        <w:rPr>
          <w:rFonts w:ascii="Times New Roman" w:cs="Times New Roman" w:eastAsia="Times New Roman" w:hAnsi="Times New Roman"/>
          <w:sz w:val="21"/>
          <w:szCs w:val="21"/>
          <w:color w:val="auto"/>
        </w:rPr>
        <w:t>. Your grant of Restricted Stock Units is being made pursuant to the UK Sub-Plan, which contains additional terms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conditions that govern your Restricted Stock Units and participation in the Plan. Please review that document carefully.</w:t>
      </w:r>
    </w:p>
    <w:p>
      <w:pPr>
        <w:spacing w:after="0" w:line="155"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22"/>
          <w:szCs w:val="22"/>
          <w:b w:val="1"/>
          <w:bCs w:val="1"/>
          <w:color w:val="auto"/>
        </w:rPr>
        <w:t xml:space="preserve">Disability. </w:t>
      </w:r>
      <w:r>
        <w:rPr>
          <w:rFonts w:ascii="Times New Roman" w:cs="Times New Roman" w:eastAsia="Times New Roman" w:hAnsi="Times New Roman"/>
          <w:sz w:val="22"/>
          <w:szCs w:val="22"/>
          <w:color w:val="auto"/>
        </w:rPr>
        <w:t>For purposes of the Agreement, the definition of “Disability” in Appendix A hereto shall be qualified by the inclusion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following phrase after the word “means”: “, subject to and in compliance with the requirements of laws of the United Kingdom,”.</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 Equivalent Rights</w:t>
      </w:r>
      <w:r>
        <w:rPr>
          <w:rFonts w:ascii="Times New Roman" w:cs="Times New Roman" w:eastAsia="Times New Roman" w:hAnsi="Times New Roman"/>
          <w:sz w:val="22"/>
          <w:szCs w:val="22"/>
          <w:color w:val="auto"/>
        </w:rPr>
        <w:t>. Section II.A.3 of the Agreement is hereby amended in its entirety to read as follows:</w:t>
      </w:r>
    </w:p>
    <w:p>
      <w:pPr>
        <w:spacing w:after="0" w:line="291" w:lineRule="exact"/>
        <w:rPr>
          <w:sz w:val="20"/>
          <w:szCs w:val="20"/>
          <w:color w:val="auto"/>
        </w:rPr>
      </w:pPr>
    </w:p>
    <w:p>
      <w:pPr>
        <w:jc w:val="both"/>
        <w:ind w:left="660"/>
        <w:spacing w:after="0" w:line="295" w:lineRule="auto"/>
        <w:rPr>
          <w:sz w:val="20"/>
          <w:szCs w:val="20"/>
          <w:color w:val="auto"/>
        </w:rPr>
      </w:pPr>
      <w:r>
        <w:rPr>
          <w:rFonts w:ascii="Times New Roman" w:cs="Times New Roman" w:eastAsia="Times New Roman" w:hAnsi="Times New Roman"/>
          <w:sz w:val="22"/>
          <w:szCs w:val="22"/>
          <w:color w:val="auto"/>
        </w:rPr>
        <w:t>“Grantee shall be notionally credited with cash per Restricted Stock Unit equal to the amount of each cash dividend paid by the Company (if any) to holders of Common Stock generally with a record date occurring on or after the Date of Grant and prior to the time when the Restricted Stock Units are settled in accordance with Section II.A.2 hereof. Any amounts notionally credited pursuant to the immediately preceding sentence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18" w:right="339" w:bottom="1440" w:gutter="0" w:footer="0" w:header="0"/>
        </w:sectPr>
      </w:pPr>
    </w:p>
    <w:bookmarkStart w:id="168" w:name="page169"/>
    <w:bookmarkEnd w:id="168"/>
    <w:p>
      <w:pPr>
        <w:spacing w:after="0" w:line="212" w:lineRule="exact"/>
        <w:rPr>
          <w:sz w:val="20"/>
          <w:szCs w:val="20"/>
          <w:color w:val="auto"/>
        </w:rPr>
      </w:pPr>
    </w:p>
    <w:p>
      <w:pPr>
        <w:jc w:val="both"/>
        <w:ind w:left="660"/>
        <w:spacing w:after="0" w:line="288" w:lineRule="auto"/>
        <w:rPr>
          <w:sz w:val="20"/>
          <w:szCs w:val="20"/>
          <w:color w:val="auto"/>
        </w:rPr>
      </w:pPr>
      <w:r>
        <w:rPr>
          <w:rFonts w:ascii="Times New Roman" w:cs="Times New Roman" w:eastAsia="Times New Roman" w:hAnsi="Times New Roman"/>
          <w:sz w:val="22"/>
          <w:szCs w:val="22"/>
          <w:color w:val="auto"/>
        </w:rPr>
        <w:t>subject to the same applicable terms and conditions (including vesting, payment or forfeitability) as apply to the Restricted Stock Units based on which the dividend equivalents were notionally credited, and such amounts shall be paid in Common Stock at the same time as the Restricted Stock Units to which they relate. The number of shares so paid in Common Stock shall be rounded down to the nearest whole number and shall be determined by dividing the amounts so notionally credited by the Market Value per Share on the payment date. Notwithstanding the foregoing provisions of this Section II.A.3, Grantee shall not be entitled to the cash notionally credited at any time to the Restricted Stock Units (or the Common Stock representing the same, as the case may be) either legally or beneficially unless and until Grantee becomes entitled to receive the actual Common Stock in respect of this Award pursuant to Section II.A.2 of this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Withholding</w:t>
      </w:r>
      <w:r>
        <w:rPr>
          <w:rFonts w:ascii="Times New Roman" w:cs="Times New Roman" w:eastAsia="Times New Roman" w:hAnsi="Times New Roman"/>
          <w:sz w:val="22"/>
          <w:szCs w:val="22"/>
          <w:color w:val="auto"/>
        </w:rPr>
        <w:t>. Section II.B.2 of the Agreement is hereby amended in its entirety to read as follows:</w:t>
      </w:r>
    </w:p>
    <w:p>
      <w:pPr>
        <w:spacing w:after="0" w:line="2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“Grantee hereby indemnifies the Company, Grantee’s employer or any other person in respect of:</w:t>
      </w:r>
    </w:p>
    <w:p>
      <w:pPr>
        <w:spacing w:after="0" w:line="247" w:lineRule="exact"/>
        <w:rPr>
          <w:sz w:val="20"/>
          <w:szCs w:val="20"/>
          <w:color w:val="auto"/>
        </w:rPr>
      </w:pPr>
    </w:p>
    <w:p>
      <w:pPr>
        <w:ind w:left="1960" w:right="640" w:hanging="656"/>
        <w:spacing w:after="0" w:line="256" w:lineRule="auto"/>
        <w:tabs>
          <w:tab w:leader="none" w:pos="175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of income tax for which the Company, Grantee’s employer or any other person is obliged to account under the Pay-As-You-Earn system and any amounts of employee’s national insurance contributions arising from the vesting of this Award (or which would not otherwise have arisen but for the grant of this Award to Grantee); and</w:t>
      </w:r>
    </w:p>
    <w:p>
      <w:pPr>
        <w:spacing w:after="0" w:line="203" w:lineRule="exact"/>
        <w:rPr>
          <w:rFonts w:ascii="Times New Roman" w:cs="Times New Roman" w:eastAsia="Times New Roman" w:hAnsi="Times New Roman"/>
          <w:sz w:val="22"/>
          <w:szCs w:val="22"/>
          <w:color w:val="auto"/>
        </w:rPr>
      </w:pPr>
    </w:p>
    <w:p>
      <w:pPr>
        <w:jc w:val="right"/>
        <w:ind w:left="1960" w:right="640" w:hanging="656"/>
        <w:spacing w:after="0" w:line="264" w:lineRule="auto"/>
        <w:tabs>
          <w:tab w:leader="none" w:pos="1797"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amount of income tax for which the Company, Grantee’s employer or any other person is obliged to account under the Pay-As-You-Earn system and any amounts of employee’s national insurance contributions arising in respect of, or in connection with the holding or disposal by Grantee of the shares of Common Stock acquired pursuant to this Award or the conversion of such shares of</w:t>
      </w:r>
    </w:p>
    <w:p>
      <w:pPr>
        <w:spacing w:after="0" w:line="1" w:lineRule="exact"/>
        <w:rPr>
          <w:sz w:val="20"/>
          <w:szCs w:val="20"/>
          <w:color w:val="auto"/>
        </w:rPr>
      </w:pPr>
    </w:p>
    <w:p>
      <w:pPr>
        <w:ind w:left="1960" w:right="660"/>
        <w:spacing w:after="0" w:line="243" w:lineRule="auto"/>
        <w:rPr>
          <w:sz w:val="20"/>
          <w:szCs w:val="20"/>
          <w:color w:val="auto"/>
        </w:rPr>
      </w:pPr>
      <w:r>
        <w:rPr>
          <w:rFonts w:ascii="Times New Roman" w:cs="Times New Roman" w:eastAsia="Times New Roman" w:hAnsi="Times New Roman"/>
          <w:sz w:val="22"/>
          <w:szCs w:val="22"/>
          <w:color w:val="auto"/>
        </w:rPr>
        <w:t>Common Stock into securities of another description whilst such shares of Common Stock are held by Grantee,</w:t>
      </w:r>
    </w:p>
    <w:p>
      <w:pPr>
        <w:spacing w:after="0" w:line="1" w:lineRule="exact"/>
        <w:rPr>
          <w:sz w:val="20"/>
          <w:szCs w:val="20"/>
          <w:color w:val="auto"/>
        </w:rPr>
      </w:pPr>
    </w:p>
    <w:p>
      <w:pPr>
        <w:jc w:val="both"/>
        <w:ind w:left="660" w:right="640" w:hanging="381"/>
        <w:spacing w:after="0" w:line="246" w:lineRule="auto"/>
        <w:rPr>
          <w:sz w:val="20"/>
          <w:szCs w:val="20"/>
          <w:color w:val="auto"/>
        </w:rPr>
      </w:pPr>
      <w:r>
        <w:rPr>
          <w:rFonts w:ascii="Times New Roman" w:cs="Times New Roman" w:eastAsia="Times New Roman" w:hAnsi="Times New Roman"/>
          <w:sz w:val="22"/>
          <w:szCs w:val="22"/>
          <w:color w:val="auto"/>
        </w:rPr>
        <w:t>and in pursuance of such indemnity, Grantee hereby agrees that he or she shall pay to the Company (or to such other entity as directed by it) such amount as shall be notified to Grantee by the Company as being due on any occasion under such indemnity, within seven days after being so notified. To the extent that Grantee fails to pay any amount so notified to him or her by the Company within seven days after such notification, Grantee hereby agrees that the Company may withhold, or procure the withholding, from any salary, wages, payment or payments due to Grantee from the Company or Grantee’s employer an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98" w:lineRule="exact"/>
        <w:rPr>
          <w:sz w:val="20"/>
          <w:szCs w:val="20"/>
          <w:color w:val="auto"/>
        </w:rPr>
      </w:pPr>
    </w:p>
    <w:p>
      <w:pPr>
        <w:jc w:val="both"/>
        <w:ind w:left="660" w:right="20"/>
        <w:spacing w:after="0" w:line="253" w:lineRule="auto"/>
        <w:rPr>
          <w:sz w:val="20"/>
          <w:szCs w:val="20"/>
          <w:color w:val="auto"/>
        </w:rPr>
      </w:pPr>
      <w:r>
        <w:rPr>
          <w:rFonts w:ascii="Times New Roman" w:cs="Times New Roman" w:eastAsia="Times New Roman" w:hAnsi="Times New Roman"/>
          <w:sz w:val="22"/>
          <w:szCs w:val="22"/>
          <w:color w:val="auto"/>
        </w:rPr>
        <w:t>which is equal to the amount notified to Grantee, sell or procure the sale of sufficient of the shares of Common Stock acquired by Grantee pursuant to this 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w:t>
      </w:r>
    </w:p>
    <w:p>
      <w:pPr>
        <w:spacing w:after="0" w:line="206" w:lineRule="exact"/>
        <w:rPr>
          <w:sz w:val="20"/>
          <w:szCs w:val="20"/>
          <w:color w:val="auto"/>
        </w:rPr>
      </w:pPr>
    </w:p>
    <w:p>
      <w:pPr>
        <w:jc w:val="both"/>
        <w:ind w:left="660" w:hanging="406"/>
        <w:spacing w:after="0" w:line="251" w:lineRule="auto"/>
        <w:rPr>
          <w:sz w:val="20"/>
          <w:szCs w:val="20"/>
          <w:color w:val="auto"/>
        </w:rPr>
      </w:pPr>
      <w:r>
        <w:rPr>
          <w:rFonts w:ascii="Times New Roman" w:cs="Times New Roman" w:eastAsia="Times New Roman" w:hAnsi="Times New Roman"/>
          <w:sz w:val="22"/>
          <w:szCs w:val="22"/>
          <w:color w:val="auto"/>
        </w:rPr>
        <w:t>In the alternative to satisfying the indemnity in (i) above, Grantee hereby agrees that the Company may withhold from the total number of shares of Common Stock that become issuable to Grantee on vesting of this Award a number of shares of Common Stock with an aggregate Market Value per Share on the date of withholding equal to the amount due under (i) above as determined by the Company, in which case Grantee will be taken to have forfeited the right to be issued the number of shares of Common Stock so withheld in order to make good the amounts due under (i) above.</w:t>
      </w:r>
    </w:p>
    <w:p>
      <w:pPr>
        <w:spacing w:after="0" w:line="208" w:lineRule="exact"/>
        <w:rPr>
          <w:sz w:val="20"/>
          <w:szCs w:val="20"/>
          <w:color w:val="auto"/>
        </w:rPr>
      </w:pPr>
    </w:p>
    <w:p>
      <w:pPr>
        <w:jc w:val="both"/>
        <w:ind w:left="660" w:right="20" w:hanging="419"/>
        <w:spacing w:after="0" w:line="257" w:lineRule="auto"/>
        <w:rPr>
          <w:sz w:val="20"/>
          <w:szCs w:val="20"/>
          <w:color w:val="auto"/>
        </w:rPr>
      </w:pPr>
      <w:r>
        <w:rPr>
          <w:rFonts w:ascii="Times New Roman" w:cs="Times New Roman" w:eastAsia="Times New Roman" w:hAnsi="Times New Roman"/>
          <w:sz w:val="22"/>
          <w:szCs w:val="22"/>
          <w:color w:val="auto"/>
        </w:rPr>
        <w:t>The Company will not be obliged to deliver any shares of Common Stock to Grantee pursuant to this Award if Grantee fails to comply with his or her obligations under the foregoing provisions of this Section II.B.2 and Grantee shall not be entitled to receive the delivery of such shares of Common Stock.</w:t>
      </w:r>
    </w:p>
    <w:p>
      <w:pPr>
        <w:spacing w:after="0" w:line="213" w:lineRule="exact"/>
        <w:rPr>
          <w:sz w:val="20"/>
          <w:szCs w:val="20"/>
          <w:color w:val="auto"/>
        </w:rPr>
      </w:pPr>
    </w:p>
    <w:p>
      <w:pPr>
        <w:jc w:val="both"/>
        <w:ind w:left="660" w:right="20" w:hanging="401"/>
        <w:spacing w:after="0" w:line="250" w:lineRule="auto"/>
        <w:rPr>
          <w:sz w:val="20"/>
          <w:szCs w:val="20"/>
          <w:color w:val="auto"/>
        </w:rPr>
      </w:pPr>
      <w:r>
        <w:rPr>
          <w:rFonts w:ascii="Times New Roman" w:cs="Times New Roman" w:eastAsia="Times New Roman" w:hAnsi="Times New Roman"/>
          <w:sz w:val="22"/>
          <w:szCs w:val="22"/>
          <w:color w:val="auto"/>
        </w:rPr>
        <w:t>It is a further condition of delivery of any shares of Common Stock pursuant to the vesting of this Award that Grantee will, if required to do so by the Company, enter into a joint election under section 431(1) of the United Kingdom Income Tax (Earnings and Pensions) Act 2003 (“</w:t>
      </w:r>
      <w:r>
        <w:rPr>
          <w:rFonts w:ascii="Times New Roman" w:cs="Times New Roman" w:eastAsia="Times New Roman" w:hAnsi="Times New Roman"/>
          <w:sz w:val="22"/>
          <w:szCs w:val="22"/>
          <w:u w:val="single" w:color="auto"/>
          <w:color w:val="auto"/>
        </w:rPr>
        <w:t>ITEPA</w:t>
      </w:r>
      <w:r>
        <w:rPr>
          <w:rFonts w:ascii="Times New Roman" w:cs="Times New Roman" w:eastAsia="Times New Roman" w:hAnsi="Times New Roman"/>
          <w:sz w:val="22"/>
          <w:szCs w:val="22"/>
          <w:color w:val="auto"/>
        </w:rPr>
        <w:t>”), the effect of which is that the Common Stock will be treated as if they were not restricted securities and that sections 425 to 430 of ITEPA will not apply to those shares.”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Whistleblower Protection. </w:t>
      </w:r>
      <w:r>
        <w:rPr>
          <w:rFonts w:ascii="Times New Roman" w:cs="Times New Roman" w:eastAsia="Times New Roman" w:hAnsi="Times New Roman"/>
          <w:sz w:val="22"/>
          <w:szCs w:val="22"/>
          <w:color w:val="auto"/>
        </w:rPr>
        <w:t>The last sentence of Section II.B.3(b) is hereby amended in its entirety to read as follows:</w:t>
      </w:r>
    </w:p>
    <w:p>
      <w:pPr>
        <w:spacing w:after="0" w:line="251"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“Notwithstanding anything in this Agreement to the contrary, nothing in this Agreement prevents Grantee, in accordance with applicable law, from (i) making a protected disclosure under section 43A of the Employment Rights Act 1996; (ii) making a disclosure to a regulator regarding any misconduct, wrongdoing or serious breach of regulatory requirements, or reporting a criminal offence to any law enforcement agency; (iii) co-operating with any law enforcement agency regarding a criminal investigation or prosecution; or (iv)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Restrictive Covenants. </w:t>
      </w:r>
      <w:r>
        <w:rPr>
          <w:rFonts w:ascii="Times New Roman" w:cs="Times New Roman" w:eastAsia="Times New Roman" w:hAnsi="Times New Roman"/>
          <w:sz w:val="22"/>
          <w:szCs w:val="22"/>
          <w:color w:val="auto"/>
        </w:rPr>
        <w:t>Section II.B.3(c) is hereby amended in its entirety to read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600"/>
          </w:cols>
          <w:pgMar w:left="320" w:top="1440" w:right="979" w:bottom="1440" w:gutter="0" w:footer="0" w:header="0"/>
        </w:sectPr>
      </w:pPr>
    </w:p>
    <w:bookmarkStart w:id="170" w:name="page171"/>
    <w:bookmarkEnd w:id="170"/>
    <w:p>
      <w:pPr>
        <w:spacing w:after="0" w:line="194" w:lineRule="exact"/>
        <w:rPr>
          <w:sz w:val="20"/>
          <w:szCs w:val="20"/>
          <w:color w:val="auto"/>
        </w:rPr>
      </w:pPr>
    </w:p>
    <w:p>
      <w:pPr>
        <w:jc w:val="both"/>
        <w:ind w:left="480" w:hanging="330"/>
        <w:spacing w:after="0" w:line="252" w:lineRule="auto"/>
        <w:tabs>
          <w:tab w:leader="none" w:pos="46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b w:val="1"/>
          <w:bCs w:val="1"/>
          <w:color w:val="auto"/>
        </w:rPr>
        <w:t xml:space="preserve">Covenants Against Competition and Solicitation. </w:t>
      </w:r>
      <w:r>
        <w:rPr>
          <w:rFonts w:ascii="Times New Roman" w:cs="Times New Roman" w:eastAsia="Times New Roman" w:hAnsi="Times New Roman"/>
          <w:sz w:val="22"/>
          <w:szCs w:val="22"/>
          <w:color w:val="auto"/>
        </w:rPr>
        <w:t>Each of the restrictions set out in this Section II.B.3(c)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constitutes an entirely separate, severable and independent obligation of Grantee. They are entered into in order to safeguard the legitimate business interests of the Company and particularly the goodwill of the Company in connection with its clients, suppliers and employees. Each separate restriction applies whether Grantee undertakes the activity in question directly or indirectly through a third party and whether it is undertaken on his own behalf or on behalf of, or in conjunction with, any firm, company or person.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Grantee covenants that Grantee will not for the Restricted Period:</w:t>
      </w:r>
    </w:p>
    <w:p>
      <w:pPr>
        <w:spacing w:after="0" w:line="220" w:lineRule="exact"/>
        <w:rPr>
          <w:sz w:val="20"/>
          <w:szCs w:val="20"/>
          <w:color w:val="auto"/>
        </w:rPr>
      </w:pPr>
    </w:p>
    <w:p>
      <w:pPr>
        <w:ind w:left="1100" w:right="20" w:hanging="644"/>
        <w:spacing w:after="0" w:line="284" w:lineRule="auto"/>
        <w:tabs>
          <w:tab w:leader="none" w:pos="1013"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entice or solicit or endeavour to entice or solicit away from the Company or any Group Company any Relevant Employee;</w:t>
      </w:r>
    </w:p>
    <w:p>
      <w:pPr>
        <w:spacing w:after="0" w:line="143" w:lineRule="exact"/>
        <w:rPr>
          <w:rFonts w:ascii="Times New Roman" w:cs="Times New Roman" w:eastAsia="Times New Roman" w:hAnsi="Times New Roman"/>
          <w:sz w:val="22"/>
          <w:szCs w:val="22"/>
          <w:color w:val="auto"/>
        </w:rPr>
      </w:pPr>
    </w:p>
    <w:p>
      <w:pPr>
        <w:ind w:left="1100" w:hanging="644"/>
        <w:spacing w:after="0" w:line="271" w:lineRule="auto"/>
        <w:tabs>
          <w:tab w:leader="none" w:pos="1142"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 or otherwise engage or otherwise facilitate the employment or engagement of any Relevant Employee;</w:t>
      </w:r>
    </w:p>
    <w:p>
      <w:pPr>
        <w:spacing w:after="0" w:line="157" w:lineRule="exact"/>
        <w:rPr>
          <w:rFonts w:ascii="Times New Roman" w:cs="Times New Roman" w:eastAsia="Times New Roman" w:hAnsi="Times New Roman"/>
          <w:sz w:val="22"/>
          <w:szCs w:val="22"/>
          <w:color w:val="auto"/>
        </w:rPr>
      </w:pPr>
    </w:p>
    <w:p>
      <w:pPr>
        <w:ind w:left="1000" w:hanging="544"/>
        <w:spacing w:after="0"/>
        <w:tabs>
          <w:tab w:leader="none" w:pos="100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endeavour to supply Restricted Goods or Services to any Relevant Customer;</w:t>
      </w:r>
    </w:p>
    <w:p>
      <w:pPr>
        <w:spacing w:after="0" w:line="219" w:lineRule="exact"/>
        <w:rPr>
          <w:rFonts w:ascii="Times New Roman" w:cs="Times New Roman" w:eastAsia="Times New Roman" w:hAnsi="Times New Roman"/>
          <w:sz w:val="22"/>
          <w:szCs w:val="22"/>
          <w:color w:val="auto"/>
        </w:rPr>
      </w:pPr>
    </w:p>
    <w:p>
      <w:pPr>
        <w:ind w:left="980" w:hanging="524"/>
        <w:spacing w:after="0"/>
        <w:tabs>
          <w:tab w:leader="none" w:pos="98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supply or be involved with the supply of Restricted Goods or Services to any Relevant Customer;</w:t>
      </w:r>
    </w:p>
    <w:p>
      <w:pPr>
        <w:spacing w:after="0" w:line="219" w:lineRule="exact"/>
        <w:rPr>
          <w:rFonts w:ascii="Times New Roman" w:cs="Times New Roman" w:eastAsia="Times New Roman" w:hAnsi="Times New Roman"/>
          <w:sz w:val="22"/>
          <w:szCs w:val="22"/>
          <w:color w:val="auto"/>
        </w:rPr>
      </w:pPr>
    </w:p>
    <w:p>
      <w:pPr>
        <w:ind w:left="920" w:hanging="464"/>
        <w:spacing w:after="0"/>
        <w:tabs>
          <w:tab w:leader="none" w:pos="92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any business dealings with any Relevant Customer on behalf of a Relevant Business;</w:t>
      </w:r>
    </w:p>
    <w:p>
      <w:pPr>
        <w:spacing w:after="0" w:line="233" w:lineRule="exact"/>
        <w:rPr>
          <w:rFonts w:ascii="Times New Roman" w:cs="Times New Roman" w:eastAsia="Times New Roman" w:hAnsi="Times New Roman"/>
          <w:sz w:val="22"/>
          <w:szCs w:val="22"/>
          <w:color w:val="auto"/>
        </w:rPr>
      </w:pPr>
    </w:p>
    <w:p>
      <w:pPr>
        <w:ind w:left="980" w:hanging="524"/>
        <w:spacing w:after="0"/>
        <w:tabs>
          <w:tab w:leader="none" w:pos="98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principal or agent in any Relevant Business within the Restricted Area;</w:t>
      </w:r>
    </w:p>
    <w:p>
      <w:pPr>
        <w:spacing w:after="0" w:line="219" w:lineRule="exact"/>
        <w:rPr>
          <w:rFonts w:ascii="Times New Roman" w:cs="Times New Roman" w:eastAsia="Times New Roman" w:hAnsi="Times New Roman"/>
          <w:sz w:val="22"/>
          <w:szCs w:val="22"/>
          <w:color w:val="auto"/>
        </w:rPr>
      </w:pPr>
    </w:p>
    <w:p>
      <w:pPr>
        <w:ind w:left="1040" w:hanging="584"/>
        <w:spacing w:after="0"/>
        <w:tabs>
          <w:tab w:leader="none" w:pos="104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partner or member in any Relevant Business within the Restricted Area;</w:t>
      </w:r>
    </w:p>
    <w:p>
      <w:pPr>
        <w:spacing w:after="0" w:line="219" w:lineRule="exact"/>
        <w:rPr>
          <w:rFonts w:ascii="Times New Roman" w:cs="Times New Roman" w:eastAsia="Times New Roman" w:hAnsi="Times New Roman"/>
          <w:sz w:val="22"/>
          <w:szCs w:val="22"/>
          <w:color w:val="auto"/>
        </w:rPr>
      </w:pPr>
    </w:p>
    <w:p>
      <w:pPr>
        <w:ind w:left="1100" w:right="20" w:hanging="644"/>
        <w:spacing w:after="0" w:line="271" w:lineRule="auto"/>
        <w:tabs>
          <w:tab w:leader="none" w:pos="1129"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employed or engaged as a worker in any Relevant Business that operates or seeks to operate within the Restricted Area;</w:t>
      </w:r>
    </w:p>
    <w:p>
      <w:pPr>
        <w:spacing w:after="0" w:line="157" w:lineRule="exact"/>
        <w:rPr>
          <w:rFonts w:ascii="Times New Roman" w:cs="Times New Roman" w:eastAsia="Times New Roman" w:hAnsi="Times New Roman"/>
          <w:sz w:val="22"/>
          <w:szCs w:val="22"/>
          <w:color w:val="auto"/>
        </w:rPr>
      </w:pPr>
    </w:p>
    <w:p>
      <w:pPr>
        <w:ind w:left="1100" w:hanging="644"/>
        <w:spacing w:after="0" w:line="284" w:lineRule="auto"/>
        <w:tabs>
          <w:tab w:leader="none" w:pos="1042"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engaged as a consultant (directly or through another entity) or adviser to any Relevant Business within the Restricted Area;</w:t>
      </w:r>
    </w:p>
    <w:p>
      <w:pPr>
        <w:spacing w:after="0" w:line="143" w:lineRule="exact"/>
        <w:rPr>
          <w:rFonts w:ascii="Times New Roman" w:cs="Times New Roman" w:eastAsia="Times New Roman" w:hAnsi="Times New Roman"/>
          <w:sz w:val="22"/>
          <w:szCs w:val="22"/>
          <w:color w:val="auto"/>
        </w:rPr>
      </w:pPr>
    </w:p>
    <w:p>
      <w:pPr>
        <w:ind w:left="920" w:hanging="464"/>
        <w:spacing w:after="0"/>
        <w:tabs>
          <w:tab w:leader="none" w:pos="92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director of any Relevant Business within the Restricted Area;</w:t>
      </w:r>
    </w:p>
    <w:p>
      <w:pPr>
        <w:spacing w:after="0" w:line="219" w:lineRule="exact"/>
        <w:rPr>
          <w:rFonts w:ascii="Times New Roman" w:cs="Times New Roman" w:eastAsia="Times New Roman" w:hAnsi="Times New Roman"/>
          <w:sz w:val="22"/>
          <w:szCs w:val="22"/>
          <w:color w:val="auto"/>
        </w:rPr>
      </w:pPr>
    </w:p>
    <w:p>
      <w:pPr>
        <w:ind w:left="980" w:hanging="524"/>
        <w:spacing w:after="0"/>
        <w:tabs>
          <w:tab w:leader="none" w:pos="98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 material financial interest in any Relevant Business within the Restricted Area;</w:t>
      </w:r>
    </w:p>
    <w:p>
      <w:pPr>
        <w:spacing w:after="0" w:line="219" w:lineRule="exact"/>
        <w:rPr>
          <w:rFonts w:ascii="Times New Roman" w:cs="Times New Roman" w:eastAsia="Times New Roman" w:hAnsi="Times New Roman"/>
          <w:sz w:val="22"/>
          <w:szCs w:val="22"/>
          <w:color w:val="auto"/>
        </w:rPr>
      </w:pPr>
    </w:p>
    <w:p>
      <w:pPr>
        <w:ind w:left="1100" w:right="20" w:hanging="644"/>
        <w:spacing w:after="0" w:line="271" w:lineRule="auto"/>
        <w:tabs>
          <w:tab w:leader="none" w:pos="1049"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 shareholding in any Relevant Business within the Restricted Area, disregarding any financial interest of a person in securities which are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420"/>
          </w:cols>
          <w:pgMar w:left="500" w:top="1440" w:right="979" w:bottom="1440" w:gutter="0" w:footer="0" w:header="0"/>
        </w:sectPr>
      </w:pPr>
    </w:p>
    <w:bookmarkStart w:id="171" w:name="page172"/>
    <w:bookmarkEnd w:id="171"/>
    <w:p>
      <w:pPr>
        <w:spacing w:after="0" w:line="198" w:lineRule="exact"/>
        <w:rPr>
          <w:sz w:val="20"/>
          <w:szCs w:val="20"/>
          <w:color w:val="auto"/>
        </w:rPr>
      </w:pPr>
    </w:p>
    <w:p>
      <w:pPr>
        <w:jc w:val="both"/>
        <w:ind w:left="1280" w:right="580"/>
        <w:spacing w:after="0" w:line="256" w:lineRule="auto"/>
        <w:rPr>
          <w:sz w:val="20"/>
          <w:szCs w:val="20"/>
          <w:color w:val="auto"/>
        </w:rPr>
      </w:pPr>
      <w:r>
        <w:rPr>
          <w:rFonts w:ascii="Times New Roman" w:cs="Times New Roman" w:eastAsia="Times New Roman" w:hAnsi="Times New Roman"/>
          <w:sz w:val="22"/>
          <w:szCs w:val="22"/>
          <w:color w:val="auto"/>
        </w:rPr>
        <w:t>or dealt in on any Recognised Stock Exchange if that person, Grantee and any person connected with Grantee are interested in securities which amount to less than five per cent of the issued securities of that class and which, in all circumstances, carry less than five per cent of the voting rights (if any) attaching to the issued securities of that class; and</w:t>
      </w:r>
    </w:p>
    <w:p>
      <w:pPr>
        <w:spacing w:after="0" w:line="176" w:lineRule="exact"/>
        <w:rPr>
          <w:sz w:val="20"/>
          <w:szCs w:val="20"/>
          <w:color w:val="auto"/>
        </w:rPr>
      </w:pPr>
    </w:p>
    <w:p>
      <w:pPr>
        <w:ind w:left="1280" w:right="600" w:hanging="644"/>
        <w:spacing w:after="0" w:line="271" w:lineRule="auto"/>
        <w:tabs>
          <w:tab w:leader="none" w:pos="1321"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 person with significant control (under part 21A of the United Kingdom Companies Act 2006) in any Relevant Business within the Restricted Area.</w:t>
      </w:r>
    </w:p>
    <w:p>
      <w:pPr>
        <w:spacing w:after="0" w:line="158" w:lineRule="exact"/>
        <w:rPr>
          <w:sz w:val="20"/>
          <w:szCs w:val="20"/>
          <w:color w:val="auto"/>
        </w:rPr>
      </w:pPr>
    </w:p>
    <w:p>
      <w:pPr>
        <w:jc w:val="both"/>
        <w:ind w:left="660" w:right="580"/>
        <w:spacing w:after="0" w:line="263" w:lineRule="auto"/>
        <w:rPr>
          <w:sz w:val="20"/>
          <w:szCs w:val="20"/>
          <w:color w:val="auto"/>
        </w:rPr>
      </w:pPr>
      <w:r>
        <w:rPr>
          <w:rFonts w:ascii="Times New Roman" w:cs="Times New Roman" w:eastAsia="Times New Roman" w:hAnsi="Times New Roman"/>
          <w:sz w:val="22"/>
          <w:szCs w:val="22"/>
          <w:color w:val="auto"/>
        </w:rPr>
        <w:t>The restrictions above only apply in respect of business activities which compete or seek to compete with the Company and nothing in these provisions seeks to prevent Grantee in connection with activities which do not compete with the Company.</w:t>
      </w:r>
    </w:p>
    <w:p>
      <w:pPr>
        <w:spacing w:after="0" w:line="167" w:lineRule="exact"/>
        <w:rPr>
          <w:sz w:val="20"/>
          <w:szCs w:val="20"/>
          <w:color w:val="auto"/>
        </w:rPr>
      </w:pPr>
    </w:p>
    <w:p>
      <w:pPr>
        <w:jc w:val="both"/>
        <w:ind w:left="660" w:right="580"/>
        <w:spacing w:after="0" w:line="250" w:lineRule="auto"/>
        <w:rPr>
          <w:sz w:val="20"/>
          <w:szCs w:val="20"/>
          <w:color w:val="auto"/>
        </w:rPr>
      </w:pPr>
      <w:r>
        <w:rPr>
          <w:rFonts w:ascii="Times New Roman" w:cs="Times New Roman" w:eastAsia="Times New Roman" w:hAnsi="Times New Roman"/>
          <w:sz w:val="22"/>
          <w:szCs w:val="22"/>
          <w:color w:val="auto"/>
        </w:rPr>
        <w:t>While the restrictions above are considered by Grantee and the Company to be reasonable in all the circumstances, it is recognized that such restrictions may fail for unforeseen reasons and, it is therefore agreed that if any of the restrictions are held to be void, but would be valid if part of the wording were deleted or if the periods (if any) specified were reduced or the areas dealt with reduced in scope, such restrictions shall apply with such modifications as may be necessary to make them valid and effective.”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Section II.B.3(e) is hereby amended in its entirety to read as follows:</w:t>
      </w:r>
    </w:p>
    <w:p>
      <w:pPr>
        <w:spacing w:after="0" w:line="247" w:lineRule="exact"/>
        <w:rPr>
          <w:sz w:val="20"/>
          <w:szCs w:val="20"/>
          <w:color w:val="auto"/>
        </w:rPr>
      </w:pPr>
    </w:p>
    <w:p>
      <w:pPr>
        <w:jc w:val="both"/>
        <w:ind w:left="1300" w:right="580"/>
        <w:spacing w:after="0" w:line="250" w:lineRule="auto"/>
        <w:rPr>
          <w:sz w:val="20"/>
          <w:szCs w:val="20"/>
          <w:color w:val="auto"/>
        </w:rPr>
      </w:pPr>
      <w:r>
        <w:rPr>
          <w:rFonts w:ascii="Times New Roman" w:cs="Times New Roman" w:eastAsia="Times New Roman" w:hAnsi="Times New Roman"/>
          <w:sz w:val="22"/>
          <w:szCs w:val="22"/>
          <w:color w:val="auto"/>
        </w:rPr>
        <w:t>“(1)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207" w:lineRule="exact"/>
        <w:rPr>
          <w:sz w:val="20"/>
          <w:szCs w:val="20"/>
          <w:color w:val="auto"/>
        </w:rPr>
      </w:pPr>
    </w:p>
    <w:p>
      <w:pPr>
        <w:ind w:left="1300" w:right="60" w:firstLine="4"/>
        <w:spacing w:after="0" w:line="258" w:lineRule="auto"/>
        <w:tabs>
          <w:tab w:leader="none" w:pos="1768"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as evidenced on the Company’s website, in the marketing materials of the Company or by the books and records of the Company, and “engages” includes actively planning to engage in the business.</w:t>
      </w:r>
    </w:p>
    <w:p>
      <w:pPr>
        <w:spacing w:after="0" w:line="167" w:lineRule="exact"/>
        <w:rPr>
          <w:rFonts w:ascii="Times New Roman" w:cs="Times New Roman" w:eastAsia="Times New Roman" w:hAnsi="Times New Roman"/>
          <w:sz w:val="22"/>
          <w:szCs w:val="22"/>
          <w:color w:val="auto"/>
        </w:rPr>
      </w:pPr>
    </w:p>
    <w:p>
      <w:pPr>
        <w:ind w:left="1300" w:firstLine="4"/>
        <w:spacing w:after="0" w:line="259" w:lineRule="auto"/>
        <w:tabs>
          <w:tab w:leader="none" w:pos="1768"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80"/>
          </w:cols>
          <w:pgMar w:left="320" w:top="1440" w:right="399" w:bottom="1440" w:gutter="0" w:footer="0" w:header="0"/>
        </w:sectPr>
      </w:pPr>
    </w:p>
    <w:bookmarkStart w:id="172" w:name="page173"/>
    <w:bookmarkEnd w:id="172"/>
    <w:p>
      <w:pPr>
        <w:spacing w:after="0" w:line="198" w:lineRule="exact"/>
        <w:rPr>
          <w:sz w:val="20"/>
          <w:szCs w:val="20"/>
          <w:color w:val="auto"/>
        </w:rPr>
      </w:pPr>
    </w:p>
    <w:p>
      <w:pPr>
        <w:ind w:left="1120"/>
        <w:spacing w:after="0" w:line="248" w:lineRule="auto"/>
        <w:rPr>
          <w:sz w:val="20"/>
          <w:szCs w:val="20"/>
          <w:color w:val="auto"/>
        </w:rPr>
      </w:pPr>
      <w:r>
        <w:rPr>
          <w:rFonts w:ascii="Times New Roman" w:cs="Times New Roman" w:eastAsia="Times New Roman" w:hAnsi="Times New Roman"/>
          <w:sz w:val="22"/>
          <w:szCs w:val="22"/>
          <w:color w:val="auto"/>
        </w:rPr>
        <w:t>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85" w:lineRule="exact"/>
        <w:rPr>
          <w:sz w:val="20"/>
          <w:szCs w:val="20"/>
          <w:color w:val="auto"/>
        </w:rPr>
      </w:pPr>
    </w:p>
    <w:p>
      <w:pPr>
        <w:jc w:val="both"/>
        <w:ind w:left="1120" w:right="560" w:firstLine="4"/>
        <w:spacing w:after="0" w:line="259" w:lineRule="auto"/>
        <w:tabs>
          <w:tab w:leader="none" w:pos="1709"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Area</w:t>
      </w:r>
      <w:r>
        <w:rPr>
          <w:rFonts w:ascii="Times New Roman" w:cs="Times New Roman" w:eastAsia="Times New Roman" w:hAnsi="Times New Roman"/>
          <w:sz w:val="22"/>
          <w:szCs w:val="22"/>
          <w:color w:val="auto"/>
        </w:rPr>
        <w:t>” means the United Kingdom and any other country in the world where, on the Relevant Date, the Company carries on a Relevant Business and with which Grantee had material involvement during the 12 months prior to the Relevant Date.</w:t>
      </w:r>
    </w:p>
    <w:p>
      <w:pPr>
        <w:spacing w:after="0" w:line="179" w:lineRule="exact"/>
        <w:rPr>
          <w:rFonts w:ascii="Times New Roman" w:cs="Times New Roman" w:eastAsia="Times New Roman" w:hAnsi="Times New Roman"/>
          <w:sz w:val="22"/>
          <w:szCs w:val="22"/>
          <w:color w:val="auto"/>
        </w:rPr>
      </w:pPr>
    </w:p>
    <w:p>
      <w:pPr>
        <w:ind w:left="1120" w:right="560" w:firstLine="4"/>
        <w:spacing w:after="0" w:line="275" w:lineRule="auto"/>
        <w:tabs>
          <w:tab w:leader="none" w:pos="1696"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Business</w:t>
      </w:r>
      <w:r>
        <w:rPr>
          <w:rFonts w:ascii="Times New Roman" w:cs="Times New Roman" w:eastAsia="Times New Roman" w:hAnsi="Times New Roman"/>
          <w:sz w:val="22"/>
          <w:szCs w:val="22"/>
          <w:color w:val="auto"/>
        </w:rPr>
        <w:t>” means any business or part of a business involving the supply of Restricted Goods or Services.</w:t>
      </w:r>
    </w:p>
    <w:p>
      <w:pPr>
        <w:spacing w:after="0" w:line="149" w:lineRule="exact"/>
        <w:rPr>
          <w:rFonts w:ascii="Times New Roman" w:cs="Times New Roman" w:eastAsia="Times New Roman" w:hAnsi="Times New Roman"/>
          <w:sz w:val="22"/>
          <w:szCs w:val="22"/>
          <w:color w:val="auto"/>
        </w:rPr>
      </w:pPr>
    </w:p>
    <w:p>
      <w:pPr>
        <w:jc w:val="both"/>
        <w:ind w:left="1120" w:right="560" w:firstLine="4"/>
        <w:spacing w:after="0" w:line="258" w:lineRule="auto"/>
        <w:tabs>
          <w:tab w:leader="none" w:pos="1588"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Customer</w:t>
      </w:r>
      <w:r>
        <w:rPr>
          <w:rFonts w:ascii="Times New Roman" w:cs="Times New Roman" w:eastAsia="Times New Roman" w:hAnsi="Times New Roman"/>
          <w:sz w:val="22"/>
          <w:szCs w:val="22"/>
          <w:color w:val="auto"/>
        </w:rPr>
        <w:t>” means a person, firm or company who in the twelve months immediately before the Relevant Date conducted a business relationship (including, without limitation, the provision of services and the negotiation for the same) with the Company and with whom Grantee had significant contact in the course of Grantee’s employment with the Company.</w:t>
      </w:r>
    </w:p>
    <w:p>
      <w:pPr>
        <w:spacing w:after="0" w:line="167" w:lineRule="exact"/>
        <w:rPr>
          <w:rFonts w:ascii="Times New Roman" w:cs="Times New Roman" w:eastAsia="Times New Roman" w:hAnsi="Times New Roman"/>
          <w:sz w:val="22"/>
          <w:szCs w:val="22"/>
          <w:color w:val="auto"/>
        </w:rPr>
      </w:pPr>
    </w:p>
    <w:p>
      <w:pPr>
        <w:jc w:val="both"/>
        <w:ind w:left="1120" w:right="560" w:firstLine="4"/>
        <w:spacing w:after="0" w:line="259" w:lineRule="auto"/>
        <w:tabs>
          <w:tab w:leader="none" w:pos="1588"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Date</w:t>
      </w:r>
      <w:r>
        <w:rPr>
          <w:rFonts w:ascii="Times New Roman" w:cs="Times New Roman" w:eastAsia="Times New Roman" w:hAnsi="Times New Roman"/>
          <w:sz w:val="22"/>
          <w:szCs w:val="22"/>
          <w:color w:val="auto"/>
        </w:rPr>
        <w:t>” means the earlier of (x) the date of termination of Grantee’s employment, and (y) the start of any period of garden leave or exclusion under Grantee’s contract of employment with the Company.</w:t>
      </w:r>
    </w:p>
    <w:p>
      <w:pPr>
        <w:spacing w:after="0" w:line="166" w:lineRule="exact"/>
        <w:rPr>
          <w:rFonts w:ascii="Times New Roman" w:cs="Times New Roman" w:eastAsia="Times New Roman" w:hAnsi="Times New Roman"/>
          <w:sz w:val="22"/>
          <w:szCs w:val="22"/>
          <w:color w:val="auto"/>
        </w:rPr>
      </w:pPr>
    </w:p>
    <w:p>
      <w:pPr>
        <w:jc w:val="both"/>
        <w:ind w:left="1120" w:right="560" w:firstLine="4"/>
        <w:spacing w:after="0" w:line="265" w:lineRule="auto"/>
        <w:tabs>
          <w:tab w:leader="none" w:pos="1628"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Employee</w:t>
      </w:r>
      <w:r>
        <w:rPr>
          <w:rFonts w:ascii="Times New Roman" w:cs="Times New Roman" w:eastAsia="Times New Roman" w:hAnsi="Times New Roman"/>
          <w:sz w:val="22"/>
          <w:szCs w:val="22"/>
          <w:color w:val="auto"/>
        </w:rPr>
        <w:t>” means any senior employee who has significant customer or client contact, or valuable technical skills, and with whom Grantee has had significant contact during the course of his employment with the Company.</w:t>
      </w:r>
    </w:p>
    <w:p>
      <w:pPr>
        <w:spacing w:after="0" w:line="161" w:lineRule="exact"/>
        <w:rPr>
          <w:rFonts w:ascii="Times New Roman" w:cs="Times New Roman" w:eastAsia="Times New Roman" w:hAnsi="Times New Roman"/>
          <w:sz w:val="22"/>
          <w:szCs w:val="22"/>
          <w:color w:val="auto"/>
        </w:rPr>
      </w:pPr>
    </w:p>
    <w:p>
      <w:pPr>
        <w:jc w:val="both"/>
        <w:ind w:left="1120" w:right="540" w:firstLine="4"/>
        <w:spacing w:after="0" w:line="259" w:lineRule="auto"/>
        <w:tabs>
          <w:tab w:leader="none" w:pos="1642"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Goods or Services</w:t>
      </w:r>
      <w:r>
        <w:rPr>
          <w:rFonts w:ascii="Times New Roman" w:cs="Times New Roman" w:eastAsia="Times New Roman" w:hAnsi="Times New Roman"/>
          <w:sz w:val="22"/>
          <w:szCs w:val="22"/>
          <w:color w:val="auto"/>
        </w:rPr>
        <w:t>” means products for customers in the consumer products, aerospace, industrial, petrochemical, refinery and oil and gas end markets, and the design, manufacture and marketing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0960"/>
          </w:cols>
          <w:pgMar w:left="500" w:top="1440" w:right="439" w:bottom="1440" w:gutter="0" w:footer="0" w:header="0"/>
        </w:sectPr>
      </w:pPr>
    </w:p>
    <w:bookmarkStart w:id="173" w:name="page174"/>
    <w:bookmarkEnd w:id="173"/>
    <w:p>
      <w:pPr>
        <w:spacing w:after="0" w:line="194" w:lineRule="exact"/>
        <w:rPr>
          <w:sz w:val="20"/>
          <w:szCs w:val="20"/>
          <w:color w:val="auto"/>
        </w:rPr>
      </w:pPr>
    </w:p>
    <w:p>
      <w:pPr>
        <w:jc w:val="both"/>
        <w:ind w:left="1300" w:right="660" w:firstLine="4"/>
        <w:spacing w:after="0" w:line="258" w:lineRule="auto"/>
        <w:tabs>
          <w:tab w:leader="none" w:pos="197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Period</w:t>
      </w:r>
      <w:r>
        <w:rPr>
          <w:rFonts w:ascii="Times New Roman" w:cs="Times New Roman" w:eastAsia="Times New Roman" w:hAnsi="Times New Roman"/>
          <w:sz w:val="22"/>
          <w:szCs w:val="22"/>
          <w:color w:val="auto"/>
        </w:rPr>
        <w:t>” means: (x) for restrictions set forth in clauses (i) to (v) of Section II.B.3(c), during Grantee’s employment and for a period of twelve months after the Relevant Date; and (y) for restrictions set forth in clauses (vi) to (xiii) of Section II.B.3(c), during Grantee’s employment and for a period of nine months after the Relevant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Data Privacy</w:t>
      </w:r>
      <w:r>
        <w:rPr>
          <w:rFonts w:ascii="Times New Roman" w:cs="Times New Roman" w:eastAsia="Times New Roman" w:hAnsi="Times New Roman"/>
          <w:sz w:val="22"/>
          <w:szCs w:val="22"/>
          <w:color w:val="auto"/>
        </w:rPr>
        <w:t>. A new Section II.B.16 is added to the Agreement to read as follows:</w:t>
      </w:r>
    </w:p>
    <w:p>
      <w:pPr>
        <w:spacing w:after="0" w:line="251"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22"/>
          <w:szCs w:val="22"/>
          <w:color w:val="auto"/>
        </w:rPr>
        <w:t>The Company and Rieke Packaging Systems Limited (the “Grantee’s Employer”), (together the “Relevant TriMas Companies”) will process the Grantee’s personal data in connection with the Plan. For the purposes of data protection legislation, the Relevant TriMas Companies will each act as independent controllers in relation to such personal data.</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Categories of Personal Data</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categories of personal data that we will process in connection with the Plan are the Grantee’s:</w:t>
      </w:r>
    </w:p>
    <w:p>
      <w:pPr>
        <w:spacing w:after="0" w:line="220" w:lineRule="exact"/>
        <w:rPr>
          <w:sz w:val="20"/>
          <w:szCs w:val="20"/>
          <w:color w:val="auto"/>
        </w:rPr>
      </w:pPr>
    </w:p>
    <w:p>
      <w:pPr>
        <w:ind w:left="1940" w:hanging="312"/>
        <w:spacing w:after="0"/>
        <w:tabs>
          <w:tab w:leader="none" w:pos="19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name;</w:t>
      </w:r>
    </w:p>
    <w:p>
      <w:pPr>
        <w:spacing w:after="0" w:line="21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date of birth;</w:t>
      </w:r>
    </w:p>
    <w:p>
      <w:pPr>
        <w:spacing w:after="0" w:line="21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job title;</w:t>
      </w:r>
    </w:p>
    <w:p>
      <w:pPr>
        <w:spacing w:after="0" w:line="23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home address (and, if different, mailing address) and postal code;</w:t>
      </w:r>
    </w:p>
    <w:p>
      <w:pPr>
        <w:spacing w:after="0" w:line="21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telephone number;</w:t>
      </w:r>
    </w:p>
    <w:p>
      <w:pPr>
        <w:spacing w:after="0" w:line="21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social insurance, national insurance, US taxpayer and/or foreign tax identification number;</w:t>
      </w:r>
    </w:p>
    <w:p>
      <w:pPr>
        <w:spacing w:after="0" w:line="21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salary;</w:t>
      </w:r>
    </w:p>
    <w:p>
      <w:pPr>
        <w:spacing w:after="0" w:line="21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country of citizenship and nationality;</w:t>
      </w:r>
    </w:p>
    <w:p>
      <w:pPr>
        <w:spacing w:after="0" w:line="23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Common Stock or directorships held in any of the Relevant TriMas Companies;</w:t>
      </w:r>
    </w:p>
    <w:p>
      <w:pPr>
        <w:spacing w:after="0" w:line="219" w:lineRule="exact"/>
        <w:rPr>
          <w:rFonts w:ascii="Times New Roman" w:cs="Times New Roman" w:eastAsia="Times New Roman" w:hAnsi="Times New Roman"/>
          <w:sz w:val="18"/>
          <w:szCs w:val="18"/>
          <w:color w:val="auto"/>
        </w:rPr>
      </w:pPr>
    </w:p>
    <w:p>
      <w:pPr>
        <w:ind w:left="1960" w:hanging="332"/>
        <w:spacing w:after="0" w:line="271" w:lineRule="auto"/>
        <w:tabs>
          <w:tab w:leader="none" w:pos="195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details of all awards or any other entitlement to Common Stock awarded, cancelled, exercised, vested, unvested or outstanding in Grantee’s favour; and</w:t>
      </w:r>
    </w:p>
    <w:p>
      <w:pPr>
        <w:spacing w:after="0" w:line="157" w:lineRule="exact"/>
        <w:rPr>
          <w:rFonts w:ascii="Times New Roman" w:cs="Times New Roman" w:eastAsia="Times New Roman" w:hAnsi="Times New Roman"/>
          <w:sz w:val="18"/>
          <w:szCs w:val="18"/>
          <w:color w:val="auto"/>
        </w:rPr>
      </w:pPr>
    </w:p>
    <w:p>
      <w:pPr>
        <w:ind w:left="1960" w:hanging="332"/>
        <w:spacing w:after="0" w:line="271" w:lineRule="auto"/>
        <w:tabs>
          <w:tab w:leader="none" w:pos="195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reference number (where relevant to link the Grantee’s benefits under the Plan to other documentation issued to or from the US Department of the Treasury Internal Revenue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98" w:lineRule="exact"/>
        <w:rPr>
          <w:sz w:val="20"/>
          <w:szCs w:val="20"/>
          <w:color w:val="auto"/>
        </w:rPr>
      </w:pPr>
    </w:p>
    <w:p>
      <w:pPr>
        <w:ind w:left="1120"/>
        <w:spacing w:after="0" w:line="271" w:lineRule="auto"/>
        <w:rPr>
          <w:sz w:val="20"/>
          <w:szCs w:val="20"/>
          <w:color w:val="auto"/>
        </w:rPr>
      </w:pPr>
      <w:r>
        <w:rPr>
          <w:rFonts w:ascii="Times New Roman" w:cs="Times New Roman" w:eastAsia="Times New Roman" w:hAnsi="Times New Roman"/>
          <w:sz w:val="22"/>
          <w:szCs w:val="22"/>
          <w:color w:val="auto"/>
        </w:rPr>
        <w:t>The processing of the personal data set out above is mandatory in order for the Relevant TriMas Companies to provide and administer the Plan.</w:t>
      </w:r>
    </w:p>
    <w:p>
      <w:pPr>
        <w:spacing w:after="0" w:line="1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Purposes of Processing Personal Data</w:t>
      </w:r>
    </w:p>
    <w:p>
      <w:pPr>
        <w:spacing w:after="0" w:line="23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The Relevant TriMas Companies will process the Grantee’s personal data for the purposes of:</w:t>
      </w:r>
    </w:p>
    <w:p>
      <w:pPr>
        <w:spacing w:after="0" w:line="220" w:lineRule="exact"/>
        <w:rPr>
          <w:sz w:val="20"/>
          <w:szCs w:val="20"/>
          <w:color w:val="auto"/>
        </w:rPr>
      </w:pPr>
    </w:p>
    <w:p>
      <w:pPr>
        <w:ind w:left="1780" w:right="20" w:hanging="332"/>
        <w:spacing w:after="0" w:line="271" w:lineRule="auto"/>
        <w:tabs>
          <w:tab w:leader="none" w:pos="177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administering and maintaining the Plan relating to the Grantee and records associated with the Plan (including maintaining a database of Participants in the Plan);</w:t>
      </w:r>
    </w:p>
    <w:p>
      <w:pPr>
        <w:spacing w:after="0" w:line="157" w:lineRule="exact"/>
        <w:rPr>
          <w:rFonts w:ascii="Times New Roman" w:cs="Times New Roman" w:eastAsia="Times New Roman" w:hAnsi="Times New Roman"/>
          <w:sz w:val="18"/>
          <w:szCs w:val="18"/>
          <w:color w:val="auto"/>
        </w:rPr>
      </w:pPr>
    </w:p>
    <w:p>
      <w:pPr>
        <w:jc w:val="both"/>
        <w:ind w:left="1780" w:hanging="332"/>
        <w:spacing w:after="0" w:line="263" w:lineRule="auto"/>
        <w:tabs>
          <w:tab w:leader="none" w:pos="177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information to (i) trustees of any employee benefit trust or (ii) the third party administrators involved directly or indirectly in the operation of the Plan (as set out in the “Sharing Personal Data with Third Parties” section below);</w:t>
      </w:r>
    </w:p>
    <w:p>
      <w:pPr>
        <w:spacing w:after="0" w:line="167" w:lineRule="exact"/>
        <w:rPr>
          <w:rFonts w:ascii="Times New Roman" w:cs="Times New Roman" w:eastAsia="Times New Roman" w:hAnsi="Times New Roman"/>
          <w:sz w:val="18"/>
          <w:szCs w:val="18"/>
          <w:color w:val="auto"/>
        </w:rPr>
      </w:pPr>
    </w:p>
    <w:p>
      <w:pPr>
        <w:ind w:left="1780" w:right="20" w:hanging="332"/>
        <w:spacing w:after="0" w:line="271" w:lineRule="auto"/>
        <w:tabs>
          <w:tab w:leader="none" w:pos="177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information relating to Grantee in connection with the operation of the Plan to HM Revenue and Customs in the United Kingdom as required by law;</w:t>
      </w:r>
    </w:p>
    <w:p>
      <w:pPr>
        <w:spacing w:after="0" w:line="157" w:lineRule="exact"/>
        <w:rPr>
          <w:rFonts w:ascii="Times New Roman" w:cs="Times New Roman" w:eastAsia="Times New Roman" w:hAnsi="Times New Roman"/>
          <w:sz w:val="18"/>
          <w:szCs w:val="18"/>
          <w:color w:val="auto"/>
        </w:rPr>
      </w:pPr>
    </w:p>
    <w:p>
      <w:pPr>
        <w:jc w:val="both"/>
        <w:ind w:left="1780" w:hanging="332"/>
        <w:spacing w:after="0" w:line="257" w:lineRule="auto"/>
        <w:tabs>
          <w:tab w:leader="none" w:pos="177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enable any potential purchasers of the business and/or assets of any of the Relevant TriMas Companies and/or their Subsidiaries to (i) complete due diligence on, and value, the business and/or assets; and (ii) use such personal data for the operation of their business;</w:t>
      </w:r>
    </w:p>
    <w:p>
      <w:pPr>
        <w:spacing w:after="0" w:line="186"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obtaining legal and other professional advice; and</w:t>
      </w:r>
    </w:p>
    <w:p>
      <w:pPr>
        <w:spacing w:after="0" w:line="219"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establishing, exercising or defending legal rights.</w:t>
      </w:r>
    </w:p>
    <w:p>
      <w:pPr>
        <w:spacing w:after="0" w:line="2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Legal Basis for Processing Personal Data</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The processing of the Grantee’s personal data:</w:t>
      </w:r>
    </w:p>
    <w:p>
      <w:pPr>
        <w:spacing w:after="0" w:line="220" w:lineRule="exact"/>
        <w:rPr>
          <w:sz w:val="20"/>
          <w:szCs w:val="20"/>
          <w:color w:val="auto"/>
        </w:rPr>
      </w:pPr>
    </w:p>
    <w:p>
      <w:pPr>
        <w:jc w:val="both"/>
        <w:ind w:left="1780" w:hanging="332"/>
        <w:spacing w:after="0" w:line="263" w:lineRule="auto"/>
        <w:tabs>
          <w:tab w:leader="none" w:pos="177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relation to the information provided to HM Revenue and Customs in the United Kingdom and the Department of the Treasury Internal Revenue Service in the United States of America, is necessary for compliance with a legal obligation to which the Relevant TriMas Companies are subject;</w:t>
      </w:r>
    </w:p>
    <w:p>
      <w:pPr>
        <w:spacing w:after="0" w:line="167" w:lineRule="exact"/>
        <w:rPr>
          <w:rFonts w:ascii="Times New Roman" w:cs="Times New Roman" w:eastAsia="Times New Roman" w:hAnsi="Times New Roman"/>
          <w:sz w:val="18"/>
          <w:szCs w:val="18"/>
          <w:color w:val="auto"/>
        </w:rPr>
      </w:pPr>
    </w:p>
    <w:p>
      <w:pPr>
        <w:jc w:val="both"/>
        <w:ind w:left="1780" w:hanging="332"/>
        <w:spacing w:after="0" w:line="256" w:lineRule="auto"/>
        <w:tabs>
          <w:tab w:leader="none" w:pos="177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relation to (i) obtaining legal and other professional advice; and (ii) establishing, exercising or defending legal rights, is pursuant to the Relevant TriMas Companies’ legitimate interests of commencing and/or handling any legal proceedings (including prospective legal proceedings), for obtaining legal advice or for establishing, exercising or defending legal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060"/>
          </w:cols>
          <w:pgMar w:left="500" w:top="1440" w:right="339" w:bottom="1440" w:gutter="0" w:footer="0" w:header="0"/>
        </w:sectPr>
      </w:pPr>
    </w:p>
    <w:bookmarkStart w:id="175" w:name="page176"/>
    <w:bookmarkEnd w:id="175"/>
    <w:p>
      <w:pPr>
        <w:spacing w:after="0" w:line="198" w:lineRule="exact"/>
        <w:rPr>
          <w:sz w:val="20"/>
          <w:szCs w:val="20"/>
          <w:color w:val="auto"/>
        </w:rPr>
      </w:pPr>
    </w:p>
    <w:p>
      <w:pPr>
        <w:ind w:left="1780" w:hanging="332"/>
        <w:spacing w:after="0" w:line="271" w:lineRule="auto"/>
        <w:tabs>
          <w:tab w:leader="none" w:pos="177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respect of all other personal data set out above, is necessary for the performance of the Restricted Stock Units Agreement between the Grantee and TriMas Corporation.</w:t>
      </w:r>
    </w:p>
    <w:p>
      <w:pPr>
        <w:spacing w:after="0" w:line="158" w:lineRule="exact"/>
        <w:rPr>
          <w:sz w:val="20"/>
          <w:szCs w:val="20"/>
          <w:color w:val="auto"/>
        </w:rPr>
      </w:pPr>
    </w:p>
    <w:p>
      <w:pPr>
        <w:jc w:val="both"/>
        <w:ind w:left="1120" w:right="20"/>
        <w:spacing w:after="0" w:line="284" w:lineRule="auto"/>
        <w:rPr>
          <w:sz w:val="20"/>
          <w:szCs w:val="20"/>
          <w:color w:val="auto"/>
        </w:rPr>
      </w:pPr>
      <w:r>
        <w:rPr>
          <w:rFonts w:ascii="Times New Roman" w:cs="Times New Roman" w:eastAsia="Times New Roman" w:hAnsi="Times New Roman"/>
          <w:sz w:val="22"/>
          <w:szCs w:val="22"/>
          <w:color w:val="auto"/>
        </w:rPr>
        <w:t>The Relevant TriMas Companies will also process the Grantee’s personal data as necessary to comply with any legal obligations to which the Relevant TriMas Companies are subject.</w:t>
      </w:r>
    </w:p>
    <w:p>
      <w:pPr>
        <w:spacing w:after="0" w:line="1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Sharing Personal Data with Third Parties</w:t>
      </w:r>
    </w:p>
    <w:p>
      <w:pPr>
        <w:spacing w:after="0" w:line="224" w:lineRule="exact"/>
        <w:rPr>
          <w:sz w:val="20"/>
          <w:szCs w:val="20"/>
          <w:color w:val="auto"/>
        </w:rPr>
      </w:pPr>
    </w:p>
    <w:p>
      <w:pPr>
        <w:jc w:val="both"/>
        <w:ind w:left="1120" w:right="20"/>
        <w:spacing w:after="0" w:line="271" w:lineRule="auto"/>
        <w:rPr>
          <w:sz w:val="20"/>
          <w:szCs w:val="20"/>
          <w:color w:val="auto"/>
        </w:rPr>
      </w:pPr>
      <w:r>
        <w:rPr>
          <w:rFonts w:ascii="Times New Roman" w:cs="Times New Roman" w:eastAsia="Times New Roman" w:hAnsi="Times New Roman"/>
          <w:sz w:val="22"/>
          <w:szCs w:val="22"/>
          <w:color w:val="auto"/>
        </w:rPr>
        <w:t>The Grantee’s personal details as set out above will be transferred between the Grantee’s Employer and the Company in order to administer and maintain the Plan and records associated with the Plan.</w:t>
      </w:r>
    </w:p>
    <w:p>
      <w:pPr>
        <w:spacing w:after="0" w:line="158" w:lineRule="exact"/>
        <w:rPr>
          <w:sz w:val="20"/>
          <w:szCs w:val="20"/>
          <w:color w:val="auto"/>
        </w:rPr>
      </w:pPr>
    </w:p>
    <w:p>
      <w:pPr>
        <w:jc w:val="both"/>
        <w:ind w:left="1120"/>
        <w:spacing w:after="0" w:line="251" w:lineRule="auto"/>
        <w:rPr>
          <w:sz w:val="20"/>
          <w:szCs w:val="20"/>
          <w:color w:val="auto"/>
        </w:rPr>
      </w:pPr>
      <w:r>
        <w:rPr>
          <w:rFonts w:ascii="Times New Roman" w:cs="Times New Roman" w:eastAsia="Times New Roman" w:hAnsi="Times New Roman"/>
          <w:sz w:val="22"/>
          <w:szCs w:val="22"/>
          <w:color w:val="auto"/>
        </w:rPr>
        <w:t>The Company is based in the United States of America which is not designated by the European Commission as providing an adequate level of protection for personal data. As such, the Grantee’s Employer and the Company have entered into a data transfer agreement governed by standard data protection clauses adopted by the Commission to safeguard personal data in respect of these transfers. The Grantee can obtain a copy of this data transfer agreement by contacting the TriMas Corporate Benefits Group at 248-631-5450 or 38505 Woodward Avenue, Suite 200, Bloomfield Hills, Michigan 48304.</w:t>
      </w:r>
    </w:p>
    <w:p>
      <w:pPr>
        <w:spacing w:after="0" w:line="181" w:lineRule="exact"/>
        <w:rPr>
          <w:sz w:val="20"/>
          <w:szCs w:val="20"/>
          <w:color w:val="auto"/>
        </w:rPr>
      </w:pPr>
    </w:p>
    <w:p>
      <w:pPr>
        <w:jc w:val="both"/>
        <w:ind w:left="1120"/>
        <w:spacing w:after="0" w:line="250" w:lineRule="auto"/>
        <w:rPr>
          <w:sz w:val="20"/>
          <w:szCs w:val="20"/>
          <w:color w:val="auto"/>
        </w:rPr>
      </w:pPr>
      <w:r>
        <w:rPr>
          <w:rFonts w:ascii="Times New Roman" w:cs="Times New Roman" w:eastAsia="Times New Roman" w:hAnsi="Times New Roman"/>
          <w:sz w:val="22"/>
          <w:szCs w:val="22"/>
          <w:color w:val="auto"/>
        </w:rPr>
        <w:t xml:space="preserve">The Relevant TriMas Companies will also share the Grantee’s personal data with National Financial Services LLC, Fidelity Stock Plan Services LLC and Fidelity Brokerage Services LLC (part of the FMR LLC group of companies) which are based in the United States of America. The Company has entered into a data transfer agreement governed by standard data protection clauses adopted by the Commission to safeguard personal data in respect of these transfers. The Grantee can obtain a copy of this data transfer agreement by either, (1) contacting your local human resources representative, (2) contacting Fidelity Stock Plan Services by calling 1-800-544-9354 (Domestic) or 1-800-544-0275 (International), and (3) by logging into Grantee’s Fidelity account at </w:t>
      </w:r>
      <w:r>
        <w:rPr>
          <w:rFonts w:ascii="Times New Roman" w:cs="Times New Roman" w:eastAsia="Times New Roman" w:hAnsi="Times New Roman"/>
          <w:sz w:val="22"/>
          <w:szCs w:val="22"/>
          <w:u w:val="single" w:color="auto"/>
          <w:color w:val="auto"/>
        </w:rPr>
        <w:t>www.netbenefits.fidelity.com</w:t>
      </w:r>
      <w:r>
        <w:rPr>
          <w:rFonts w:ascii="Times New Roman" w:cs="Times New Roman" w:eastAsia="Times New Roman" w:hAnsi="Times New Roman"/>
          <w:sz w:val="22"/>
          <w:szCs w:val="22"/>
          <w:color w:val="auto"/>
        </w:rPr>
        <w:t xml:space="preserve"> and visiting the Plan &amp; Grant Documents section of the Grantee’s account.</w:t>
      </w:r>
    </w:p>
    <w:p>
      <w:pPr>
        <w:spacing w:after="0" w:line="187" w:lineRule="exact"/>
        <w:rPr>
          <w:sz w:val="20"/>
          <w:szCs w:val="20"/>
          <w:color w:val="auto"/>
        </w:rPr>
      </w:pPr>
    </w:p>
    <w:p>
      <w:pPr>
        <w:jc w:val="both"/>
        <w:ind w:left="1120"/>
        <w:spacing w:after="0" w:line="257" w:lineRule="auto"/>
        <w:rPr>
          <w:sz w:val="20"/>
          <w:szCs w:val="20"/>
          <w:color w:val="auto"/>
        </w:rPr>
      </w:pPr>
      <w:r>
        <w:rPr>
          <w:rFonts w:ascii="Times New Roman" w:cs="Times New Roman" w:eastAsia="Times New Roman" w:hAnsi="Times New Roman"/>
          <w:sz w:val="22"/>
          <w:szCs w:val="22"/>
          <w:color w:val="auto"/>
        </w:rPr>
        <w:t>In the event that the Relevant TriMas Companies sell any part(s) of their business and/or assets, they will also disclose the Grantee’s personal data to actual or potential purchasers of parts of its business or assets, and their respective advisers and insurers for the potential purchaser’s legitimate interests of:</w:t>
      </w:r>
    </w:p>
    <w:p>
      <w:pPr>
        <w:spacing w:after="0" w:line="186" w:lineRule="exact"/>
        <w:rPr>
          <w:sz w:val="20"/>
          <w:szCs w:val="20"/>
          <w:color w:val="auto"/>
        </w:rPr>
      </w:pPr>
    </w:p>
    <w:p>
      <w:pPr>
        <w:ind w:left="1760" w:hanging="312"/>
        <w:spacing w:after="0"/>
        <w:tabs>
          <w:tab w:leader="none" w:pos="17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enabling potential purchasers to complete due diligence on, and value, the business and/or assets;</w:t>
      </w:r>
    </w:p>
    <w:p>
      <w:pPr>
        <w:spacing w:after="0" w:line="219" w:lineRule="exact"/>
        <w:rPr>
          <w:rFonts w:ascii="Times New Roman" w:cs="Times New Roman" w:eastAsia="Times New Roman" w:hAnsi="Times New Roman"/>
          <w:sz w:val="18"/>
          <w:szCs w:val="18"/>
          <w:color w:val="auto"/>
        </w:rPr>
      </w:pPr>
    </w:p>
    <w:p>
      <w:pPr>
        <w:ind w:left="1780" w:right="20" w:hanging="332"/>
        <w:spacing w:after="0" w:line="271" w:lineRule="auto"/>
        <w:tabs>
          <w:tab w:leader="none" w:pos="177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transferring the personal data in connection with any relevant sale and the transfer of the Relevant TriMas Company’s contractual rights and/or obligations;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1060"/>
          </w:cols>
          <w:pgMar w:left="500" w:top="1440" w:right="339" w:bottom="1440" w:gutter="0" w:footer="0" w:header="0"/>
        </w:sectPr>
      </w:pPr>
    </w:p>
    <w:bookmarkStart w:id="176" w:name="page177"/>
    <w:bookmarkEnd w:id="176"/>
    <w:p>
      <w:pPr>
        <w:spacing w:after="0" w:line="198" w:lineRule="exact"/>
        <w:rPr>
          <w:sz w:val="20"/>
          <w:szCs w:val="20"/>
          <w:color w:val="auto"/>
        </w:rPr>
      </w:pPr>
    </w:p>
    <w:p>
      <w:pPr>
        <w:ind w:left="1120" w:right="2660" w:firstLine="328"/>
        <w:spacing w:after="0" w:line="469" w:lineRule="auto"/>
        <w:tabs>
          <w:tab w:leader="none" w:pos="1763"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the use of such personal data by a purchaser for the operation of its business. The Relevant TriMas Companies will also share the Grantee’s personal data with:</w:t>
      </w:r>
    </w:p>
    <w:p>
      <w:pPr>
        <w:spacing w:after="0" w:line="1" w:lineRule="exact"/>
        <w:rPr>
          <w:rFonts w:ascii="Times New Roman" w:cs="Times New Roman" w:eastAsia="Times New Roman" w:hAnsi="Times New Roman"/>
          <w:sz w:val="17"/>
          <w:szCs w:val="17"/>
          <w:color w:val="auto"/>
        </w:rPr>
      </w:pPr>
    </w:p>
    <w:p>
      <w:pPr>
        <w:ind w:left="1760" w:hanging="312"/>
        <w:spacing w:after="0"/>
        <w:tabs>
          <w:tab w:leader="none" w:pos="17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its professional advisors, auditors, service providers;</w:t>
      </w:r>
    </w:p>
    <w:p>
      <w:pPr>
        <w:spacing w:after="0" w:line="233" w:lineRule="exact"/>
        <w:rPr>
          <w:rFonts w:ascii="Times New Roman" w:cs="Times New Roman" w:eastAsia="Times New Roman" w:hAnsi="Times New Roman"/>
          <w:sz w:val="18"/>
          <w:szCs w:val="18"/>
          <w:color w:val="auto"/>
        </w:rPr>
      </w:pPr>
    </w:p>
    <w:p>
      <w:pPr>
        <w:jc w:val="both"/>
        <w:ind w:left="1780" w:hanging="332"/>
        <w:spacing w:after="0" w:line="257" w:lineRule="auto"/>
        <w:tabs>
          <w:tab w:leader="none" w:pos="177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HM Revenue and Customs in the United Kingdom and the Department of the Treasury Internal Revenue Service in the United States of America and other regulators, and governmental and law enforcement agencies; and</w:t>
      </w:r>
    </w:p>
    <w:p>
      <w:pPr>
        <w:spacing w:after="0" w:line="172" w:lineRule="exact"/>
        <w:rPr>
          <w:rFonts w:ascii="Times New Roman" w:cs="Times New Roman" w:eastAsia="Times New Roman" w:hAnsi="Times New Roman"/>
          <w:sz w:val="18"/>
          <w:szCs w:val="18"/>
          <w:color w:val="auto"/>
        </w:rPr>
      </w:pPr>
    </w:p>
    <w:p>
      <w:pPr>
        <w:jc w:val="both"/>
        <w:ind w:left="1780" w:hanging="332"/>
        <w:spacing w:after="0" w:line="263" w:lineRule="auto"/>
        <w:tabs>
          <w:tab w:leader="none" w:pos="177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third parties if it is under a duty to disclose or share the Grantee’s personal data in order to comply with any laws, regulations or good governance obligations, or in order to enforce or to protect its rights, property or safety, or that of its customers or other persons with whom it has a business relationship.</w:t>
      </w:r>
    </w:p>
    <w:p>
      <w:pPr>
        <w:spacing w:after="0" w:line="16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Retention of Personal Data</w:t>
      </w:r>
    </w:p>
    <w:p>
      <w:pPr>
        <w:spacing w:after="0" w:line="224" w:lineRule="exact"/>
        <w:rPr>
          <w:sz w:val="20"/>
          <w:szCs w:val="20"/>
          <w:color w:val="auto"/>
        </w:rPr>
      </w:pPr>
    </w:p>
    <w:p>
      <w:pPr>
        <w:jc w:val="both"/>
        <w:ind w:left="1120"/>
        <w:spacing w:after="0" w:line="271" w:lineRule="auto"/>
        <w:rPr>
          <w:sz w:val="20"/>
          <w:szCs w:val="20"/>
          <w:color w:val="auto"/>
        </w:rPr>
      </w:pPr>
      <w:r>
        <w:rPr>
          <w:rFonts w:ascii="Times New Roman" w:cs="Times New Roman" w:eastAsia="Times New Roman" w:hAnsi="Times New Roman"/>
          <w:sz w:val="22"/>
          <w:szCs w:val="22"/>
          <w:color w:val="auto"/>
        </w:rPr>
        <w:t>The Relevant TriMas Companies will retain the Grantee’s personal data for the duration of the Plan and for a further period of eight years after the Grantee ceases to be a member of the Plan.</w:t>
      </w:r>
    </w:p>
    <w:p>
      <w:pPr>
        <w:spacing w:after="0" w:line="158" w:lineRule="exact"/>
        <w:rPr>
          <w:sz w:val="20"/>
          <w:szCs w:val="20"/>
          <w:color w:val="auto"/>
        </w:rPr>
      </w:pPr>
    </w:p>
    <w:p>
      <w:pPr>
        <w:jc w:val="both"/>
        <w:ind w:left="1120"/>
        <w:spacing w:after="0" w:line="263" w:lineRule="auto"/>
        <w:rPr>
          <w:sz w:val="20"/>
          <w:szCs w:val="20"/>
          <w:color w:val="auto"/>
        </w:rPr>
      </w:pPr>
      <w:r>
        <w:rPr>
          <w:rFonts w:ascii="Times New Roman" w:cs="Times New Roman" w:eastAsia="Times New Roman" w:hAnsi="Times New Roman"/>
          <w:sz w:val="22"/>
          <w:szCs w:val="22"/>
          <w:color w:val="auto"/>
        </w:rPr>
        <w:t>The Relevant TriMas Companies will retain the Grantee’s personal data for longer than the period specified above if required by law, to defend or exercise legal rights (such as defending legal claims) or to comply with regulatory obligations.</w:t>
      </w:r>
    </w:p>
    <w:p>
      <w:pPr>
        <w:spacing w:after="0" w:line="16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The Grantee’s Rights</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In order to control the use of their personal data, each Grantee has the following controls over their personal data:</w:t>
      </w:r>
    </w:p>
    <w:p>
      <w:pPr>
        <w:spacing w:after="0" w:line="231" w:lineRule="exact"/>
        <w:rPr>
          <w:sz w:val="20"/>
          <w:szCs w:val="20"/>
          <w:color w:val="auto"/>
        </w:rPr>
      </w:pPr>
    </w:p>
    <w:p>
      <w:pPr>
        <w:ind w:left="1780" w:right="20" w:hanging="332"/>
        <w:spacing w:after="0" w:line="271" w:lineRule="auto"/>
        <w:tabs>
          <w:tab w:leader="none" w:pos="177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Each Grantee may request access to or copies of the personal data that the Relevant TriMas Companies hold about them by contacting their local human resources representative;</w:t>
      </w:r>
    </w:p>
    <w:p>
      <w:pPr>
        <w:spacing w:after="0" w:line="171" w:lineRule="exact"/>
        <w:rPr>
          <w:rFonts w:ascii="Times New Roman" w:cs="Times New Roman" w:eastAsia="Times New Roman" w:hAnsi="Times New Roman"/>
          <w:sz w:val="18"/>
          <w:szCs w:val="18"/>
          <w:color w:val="auto"/>
        </w:rPr>
      </w:pPr>
    </w:p>
    <w:p>
      <w:pPr>
        <w:jc w:val="both"/>
        <w:ind w:left="1780" w:hanging="332"/>
        <w:spacing w:after="0" w:line="250" w:lineRule="auto"/>
        <w:tabs>
          <w:tab w:leader="none" w:pos="177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Grantee believes that any information the Relevant TriMas Companies hold about them is incorrect or incomplete, the Grantee should contact their local human resources representative as soon as possible. The Relevant TriMas Companies will take steps to seek to correct or update any information if they are satisfied that the information they hold is inaccurate. In certain circumstances, the Grantee may also request that the Relevant TriMas Companies restrict their processing;</w:t>
      </w:r>
    </w:p>
    <w:p>
      <w:pPr>
        <w:spacing w:after="0" w:line="194" w:lineRule="exact"/>
        <w:rPr>
          <w:rFonts w:ascii="Times New Roman" w:cs="Times New Roman" w:eastAsia="Times New Roman" w:hAnsi="Times New Roman"/>
          <w:sz w:val="18"/>
          <w:szCs w:val="18"/>
          <w:color w:val="auto"/>
        </w:rPr>
      </w:pPr>
    </w:p>
    <w:p>
      <w:pPr>
        <w:jc w:val="both"/>
        <w:ind w:left="1780" w:hanging="332"/>
        <w:spacing w:after="0" w:line="257" w:lineRule="auto"/>
        <w:tabs>
          <w:tab w:leader="none" w:pos="177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Each grantee may request that their personal data be deleted where it is no longer necessary for the purposes for which it is being processed and provided there is no other lawful basis for which the Relevant TriMas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1060"/>
          </w:cols>
          <w:pgMar w:left="500" w:top="1440" w:right="339" w:bottom="1440" w:gutter="0" w:footer="0" w:header="0"/>
        </w:sectPr>
      </w:pPr>
    </w:p>
    <w:bookmarkStart w:id="177" w:name="page178"/>
    <w:bookmarkEnd w:id="177"/>
    <w:p>
      <w:pPr>
        <w:spacing w:after="0" w:line="198" w:lineRule="exact"/>
        <w:rPr>
          <w:sz w:val="20"/>
          <w:szCs w:val="20"/>
          <w:color w:val="auto"/>
        </w:rPr>
      </w:pPr>
    </w:p>
    <w:p>
      <w:pPr>
        <w:ind w:left="1960"/>
        <w:spacing w:after="0" w:line="271" w:lineRule="auto"/>
        <w:rPr>
          <w:sz w:val="20"/>
          <w:szCs w:val="20"/>
          <w:color w:val="auto"/>
        </w:rPr>
      </w:pPr>
      <w:r>
        <w:rPr>
          <w:rFonts w:ascii="Times New Roman" w:cs="Times New Roman" w:eastAsia="Times New Roman" w:hAnsi="Times New Roman"/>
          <w:sz w:val="22"/>
          <w:szCs w:val="22"/>
          <w:color w:val="auto"/>
        </w:rPr>
        <w:t>Companies may continue to process such personal data. The Grantee can exercise this right by contacting their local human resources representative;</w:t>
      </w:r>
    </w:p>
    <w:p>
      <w:pPr>
        <w:spacing w:after="0" w:line="158" w:lineRule="exact"/>
        <w:rPr>
          <w:sz w:val="20"/>
          <w:szCs w:val="20"/>
          <w:color w:val="auto"/>
        </w:rPr>
      </w:pPr>
    </w:p>
    <w:p>
      <w:pPr>
        <w:jc w:val="both"/>
        <w:ind w:left="1960" w:hanging="332"/>
        <w:spacing w:after="0" w:line="253" w:lineRule="auto"/>
        <w:tabs>
          <w:tab w:leader="none" w:pos="195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Relevant TriMas Companies are processing the Grantee’s personal data to meet their legitimate interests (as set out above), the Grantee may object to the processing of their personal information by the Relevant TriMas Companies. If the Relevant TriMas Companies are unable to demonstrate their legitimate grounds for that processing, they will no longer process the Grantee’s personal information for those purposes;</w:t>
      </w:r>
    </w:p>
    <w:p>
      <w:pPr>
        <w:spacing w:after="0" w:line="205" w:lineRule="exact"/>
        <w:rPr>
          <w:rFonts w:ascii="Times New Roman" w:cs="Times New Roman" w:eastAsia="Times New Roman" w:hAnsi="Times New Roman"/>
          <w:sz w:val="18"/>
          <w:szCs w:val="18"/>
          <w:color w:val="auto"/>
        </w:rPr>
      </w:pPr>
    </w:p>
    <w:p>
      <w:pPr>
        <w:jc w:val="both"/>
        <w:ind w:left="1960" w:hanging="332"/>
        <w:spacing w:after="0" w:line="256" w:lineRule="auto"/>
        <w:tabs>
          <w:tab w:leader="none" w:pos="195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Where the Grantee has provided the Relevant TriMas Companies with their personal data that the Relevant TriMas Companies process using automated means, the Grantee may be entitled to a copy of that personal data in a structured, commonly-used and machine readable format. The Grantee can exercise this right by contacting their local human resources representative.</w:t>
      </w:r>
    </w:p>
    <w:p>
      <w:pPr>
        <w:spacing w:after="0" w:line="17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 xml:space="preserve">The Grantee should contact their local human resources representative in relation to any concerns about how their personal data is processed and the Relevant TriMas Companies will try to resolve the Grantee’s concerns. However, if the Grantee considers that the Relevant TriMas Companies is in breach of its obligations under data protection laws, the Grantee may lodge a complaint with the Information Commissioner’s Office in the United Kingdom (such as by accessing </w:t>
      </w:r>
      <w:r>
        <w:rPr>
          <w:rFonts w:ascii="Times New Roman" w:cs="Times New Roman" w:eastAsia="Times New Roman" w:hAnsi="Times New Roman"/>
          <w:sz w:val="21"/>
          <w:szCs w:val="21"/>
          <w:u w:val="single" w:color="auto"/>
          <w:color w:val="0000FF"/>
        </w:rPr>
        <w:t>https://ico.org.uk/concerns/</w:t>
      </w:r>
      <w:r>
        <w:rPr>
          <w:rFonts w:ascii="Times New Roman" w:cs="Times New Roman" w:eastAsia="Times New Roman" w:hAnsi="Times New Roman"/>
          <w:sz w:val="21"/>
          <w:szCs w:val="21"/>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Loss of Office or Employment</w:t>
      </w:r>
      <w:r>
        <w:rPr>
          <w:rFonts w:ascii="Times New Roman" w:cs="Times New Roman" w:eastAsia="Times New Roman" w:hAnsi="Times New Roman"/>
          <w:sz w:val="22"/>
          <w:szCs w:val="22"/>
          <w:color w:val="auto"/>
        </w:rPr>
        <w:t>. A new Section II.B.17 is added to the Agreement to read as follows:</w:t>
      </w:r>
    </w:p>
    <w:p>
      <w:pPr>
        <w:spacing w:after="0" w:line="251" w:lineRule="exact"/>
        <w:rPr>
          <w:sz w:val="20"/>
          <w:szCs w:val="20"/>
          <w:color w:val="auto"/>
        </w:rPr>
      </w:pPr>
    </w:p>
    <w:p>
      <w:pPr>
        <w:jc w:val="both"/>
        <w:ind w:left="1300" w:right="640"/>
        <w:spacing w:after="0" w:line="253" w:lineRule="auto"/>
        <w:rPr>
          <w:sz w:val="20"/>
          <w:szCs w:val="20"/>
          <w:color w:val="auto"/>
        </w:rPr>
      </w:pPr>
      <w:r>
        <w:rPr>
          <w:rFonts w:ascii="Times New Roman" w:cs="Times New Roman" w:eastAsia="Times New Roman" w:hAnsi="Times New Roman"/>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this Award or the Plan which he might otherwise have enjoyed whether such compensation is claimed by way of damages for wrongful dismissal or other breach of contract or by way of compensation for loss of office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xi</w:t>
      </w:r>
    </w:p>
    <w:p>
      <w:pPr>
        <w:sectPr>
          <w:pgSz w:w="11900" w:h="16838" w:orient="portrait"/>
          <w:cols w:equalWidth="0" w:num="1">
            <w:col w:w="11240"/>
          </w:cols>
          <w:pgMar w:left="320" w:top="1440"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22"/>
          <w:szCs w:val="22"/>
          <w:b w:val="1"/>
          <w:bCs w:val="1"/>
          <w:color w:val="auto"/>
        </w:rPr>
        <w:t>APPENDIX 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CALIFORNIA ADDENDUM</w:t>
      </w:r>
    </w:p>
    <w:p>
      <w:pPr>
        <w:spacing w:after="0" w:line="247"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b w:val="1"/>
          <w:bCs w:val="1"/>
          <w:color w:val="auto"/>
        </w:rPr>
        <w:t>Additional Terms and Conditions for Equity Grants Under the TriMas Corporation 2023 Equity and Incentive Compensation Plan,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Addendum includes additional terms and conditions that govern the Restricted Stock Units granted to you under the TriMas Corporation 2023 Equity and Incentive Compensation Plan (referred to as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if you are employed and/or reside in California or if the Company determines that the application of such terms and conditions is necessary or advisable in order to comply with applicable law. Certain capitalized terms used but not defined in this Addendum have the meanings set forth in the Plan and/or your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 Section II.B.3 of the Agreement is hereby amended in its entirety to read as follows:</w:t>
      </w:r>
    </w:p>
    <w:p>
      <w:pPr>
        <w:spacing w:after="0" w:line="247" w:lineRule="exact"/>
        <w:rPr>
          <w:sz w:val="20"/>
          <w:szCs w:val="20"/>
          <w:color w:val="auto"/>
        </w:rPr>
      </w:pPr>
    </w:p>
    <w:p>
      <w:pPr>
        <w:ind w:left="220"/>
        <w:spacing w:after="0"/>
        <w:tabs>
          <w:tab w:leader="none" w:pos="68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3.</w:t>
      </w:r>
      <w:r>
        <w:rPr>
          <w:sz w:val="20"/>
          <w:szCs w:val="20"/>
          <w:color w:val="auto"/>
        </w:rPr>
        <w:tab/>
      </w:r>
      <w:r>
        <w:rPr>
          <w:rFonts w:ascii="Times New Roman" w:cs="Times New Roman" w:eastAsia="Times New Roman" w:hAnsi="Times New Roman"/>
          <w:sz w:val="21"/>
          <w:szCs w:val="21"/>
          <w:b w:val="1"/>
          <w:bCs w:val="1"/>
          <w:u w:val="single" w:color="auto"/>
          <w:color w:val="auto"/>
        </w:rPr>
        <w:t>Restrictive Covenants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40" w:firstLine="644"/>
        <w:spacing w:after="0" w:line="258" w:lineRule="auto"/>
        <w:tabs>
          <w:tab w:leader="none" w:pos="1936"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Restricted Stock Units or Common Stock to Grantee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Grantee’s 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w:t>
      </w:r>
    </w:p>
    <w:p>
      <w:pPr>
        <w:spacing w:after="0" w:line="167" w:lineRule="exact"/>
        <w:rPr>
          <w:rFonts w:ascii="Times New Roman" w:cs="Times New Roman" w:eastAsia="Times New Roman" w:hAnsi="Times New Roman"/>
          <w:sz w:val="22"/>
          <w:szCs w:val="22"/>
          <w:color w:val="auto"/>
        </w:rPr>
      </w:pPr>
    </w:p>
    <w:p>
      <w:pPr>
        <w:jc w:val="both"/>
        <w:ind w:left="640" w:firstLine="644"/>
        <w:spacing w:after="0" w:line="248" w:lineRule="auto"/>
        <w:tabs>
          <w:tab w:leader="none" w:pos="1935"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 Recognizing Grantee’s fiduciary duties to the Company, as a condition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II.B.3 shall not result in the forfeiture of Restricted Stock Units or any clawback or recoupment of the Award for the disclosure of a trade secret if that disclosure (1) is made in confidence to a federal, state or local government official or to an attorney for the sole purpose of reporting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18" w:right="339" w:bottom="1440" w:gutter="0" w:footer="0" w:header="0"/>
        </w:sectPr>
      </w:pPr>
    </w:p>
    <w:bookmarkStart w:id="179" w:name="page180"/>
    <w:bookmarkEnd w:id="179"/>
    <w:p>
      <w:pPr>
        <w:spacing w:after="0" w:line="198" w:lineRule="exact"/>
        <w:rPr>
          <w:sz w:val="20"/>
          <w:szCs w:val="20"/>
          <w:color w:val="auto"/>
        </w:rPr>
      </w:pPr>
    </w:p>
    <w:p>
      <w:pPr>
        <w:jc w:val="both"/>
        <w:ind w:left="460"/>
        <w:spacing w:after="0" w:line="259" w:lineRule="auto"/>
        <w:rPr>
          <w:sz w:val="20"/>
          <w:szCs w:val="20"/>
          <w:color w:val="auto"/>
        </w:rPr>
      </w:pPr>
      <w:r>
        <w:rPr>
          <w:rFonts w:ascii="Times New Roman" w:cs="Times New Roman" w:eastAsia="Times New Roman" w:hAnsi="Times New Roman"/>
          <w:sz w:val="21"/>
          <w:szCs w:val="21"/>
          <w:color w:val="auto"/>
        </w:rPr>
        <w:t>investigating a suspected violation of law or (2)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Without limiting the generality of the foregoing, notwithstanding anything to the contrary in this Agreement (or in any other agreement, contract or arrangement with the Company or its subsidiaries or affiliates, or in any policy, procedure or practice of the Company or its subsidiaries or affiliates (collectively, the “Arrangements”)): (x) nothing in this Agreement prohibits or is intended to restrict or impede Grantee from discussing the terms and conditions of their employment with coworkers or union representatives or exercising protected rights under Section 7 of the National Labor Relations Act; (y) nothing in the Arrangements or otherwise limits Grantee’s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(z) nothing in the Arrangements or otherwise prevents Grantee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Grantee is not prohibited from providing information (including documents) voluntarily to the Securities and Exchange Commission pursuant to Section 21F of the Exchange Act. The Company nonetheless asserts and does not waive its attorney-client privilege over any information appropriately protected by privilege.</w:t>
      </w:r>
    </w:p>
    <w:p>
      <w:pPr>
        <w:spacing w:after="0" w:line="181" w:lineRule="exact"/>
        <w:rPr>
          <w:sz w:val="20"/>
          <w:szCs w:val="20"/>
          <w:color w:val="auto"/>
        </w:rPr>
      </w:pPr>
    </w:p>
    <w:p>
      <w:pPr>
        <w:jc w:val="both"/>
        <w:ind w:left="460" w:firstLine="644"/>
        <w:spacing w:after="0" w:line="263" w:lineRule="auto"/>
        <w:tabs>
          <w:tab w:leader="none" w:pos="1756"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Covenant Against Solicitation</w:t>
      </w:r>
      <w:r>
        <w:rPr>
          <w:rFonts w:ascii="Times New Roman" w:cs="Times New Roman" w:eastAsia="Times New Roman" w:hAnsi="Times New Roman"/>
          <w:sz w:val="21"/>
          <w:szCs w:val="21"/>
          <w:color w:val="auto"/>
        </w:rPr>
        <w:t>. Grantee further understands and agrees that while Grantee is employed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 The “Business” shall mean the design, development, manufacture, distribution, sale or marketing of the type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60"/>
          </w:cols>
          <w:pgMar w:left="500" w:top="1440" w:right="339" w:bottom="1440" w:gutter="0" w:footer="0" w:header="0"/>
        </w:sectPr>
      </w:pPr>
    </w:p>
    <w:bookmarkStart w:id="180" w:name="page181"/>
    <w:bookmarkEnd w:id="180"/>
    <w:p>
      <w:pPr>
        <w:spacing w:after="0" w:line="198" w:lineRule="exact"/>
        <w:rPr>
          <w:sz w:val="20"/>
          <w:szCs w:val="20"/>
          <w:color w:val="auto"/>
        </w:rPr>
      </w:pPr>
    </w:p>
    <w:p>
      <w:pPr>
        <w:ind w:left="640"/>
        <w:spacing w:after="0" w:line="271" w:lineRule="auto"/>
        <w:rPr>
          <w:sz w:val="20"/>
          <w:szCs w:val="20"/>
          <w:color w:val="auto"/>
        </w:rPr>
      </w:pPr>
      <w:r>
        <w:rPr>
          <w:rFonts w:ascii="Times New Roman" w:cs="Times New Roman" w:eastAsia="Times New Roman" w:hAnsi="Times New Roman"/>
          <w:sz w:val="22"/>
          <w:szCs w:val="22"/>
          <w:color w:val="auto"/>
        </w:rPr>
        <w:t>products or services sold, distributed or provided by the Company during the one-year period prior to the date of employment termination and with which Grantee was involved and/or oversaw.</w:t>
      </w:r>
    </w:p>
    <w:p>
      <w:pPr>
        <w:spacing w:after="0" w:line="154" w:lineRule="exact"/>
        <w:rPr>
          <w:sz w:val="20"/>
          <w:szCs w:val="20"/>
          <w:color w:val="auto"/>
        </w:rPr>
      </w:pPr>
    </w:p>
    <w:p>
      <w:pPr>
        <w:jc w:val="both"/>
        <w:ind w:left="640" w:firstLine="644"/>
        <w:spacing w:after="0" w:line="258" w:lineRule="auto"/>
        <w:tabs>
          <w:tab w:leader="none" w:pos="1935"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167" w:lineRule="exact"/>
        <w:rPr>
          <w:rFonts w:ascii="Times New Roman" w:cs="Times New Roman" w:eastAsia="Times New Roman" w:hAnsi="Times New Roman"/>
          <w:sz w:val="22"/>
          <w:szCs w:val="22"/>
          <w:color w:val="auto"/>
        </w:rPr>
      </w:pPr>
    </w:p>
    <w:p>
      <w:pPr>
        <w:ind w:left="1940" w:hanging="656"/>
        <w:spacing w:after="0"/>
        <w:tabs>
          <w:tab w:leader="none" w:pos="194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219" w:lineRule="exact"/>
        <w:rPr>
          <w:rFonts w:ascii="Times New Roman" w:cs="Times New Roman" w:eastAsia="Times New Roman" w:hAnsi="Times New Roman"/>
          <w:sz w:val="22"/>
          <w:szCs w:val="22"/>
          <w:color w:val="auto"/>
        </w:rPr>
      </w:pPr>
    </w:p>
    <w:p>
      <w:pPr>
        <w:jc w:val="both"/>
        <w:ind w:left="1300" w:firstLine="622"/>
        <w:spacing w:after="0" w:line="250" w:lineRule="auto"/>
        <w:tabs>
          <w:tab w:leader="none" w:pos="2440"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93" w:lineRule="exact"/>
        <w:rPr>
          <w:rFonts w:ascii="Times New Roman" w:cs="Times New Roman" w:eastAsia="Times New Roman" w:hAnsi="Times New Roman"/>
          <w:sz w:val="22"/>
          <w:szCs w:val="22"/>
          <w:color w:val="auto"/>
        </w:rPr>
      </w:pPr>
    </w:p>
    <w:p>
      <w:pPr>
        <w:jc w:val="both"/>
        <w:ind w:left="1300" w:firstLine="622"/>
        <w:spacing w:after="0" w:line="248" w:lineRule="auto"/>
        <w:tabs>
          <w:tab w:leader="none" w:pos="2589"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79" w:lineRule="exact"/>
        <w:rPr>
          <w:rFonts w:ascii="Times New Roman" w:cs="Times New Roman" w:eastAsia="Times New Roman" w:hAnsi="Times New Roman"/>
          <w:sz w:val="22"/>
          <w:szCs w:val="22"/>
          <w:color w:val="auto"/>
        </w:rPr>
      </w:pPr>
    </w:p>
    <w:p>
      <w:pPr>
        <w:ind w:left="640" w:firstLine="644"/>
        <w:spacing w:after="0" w:line="275" w:lineRule="auto"/>
        <w:tabs>
          <w:tab w:leader="none" w:pos="1885"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w:t>
      </w:r>
      <w:r>
        <w:rPr>
          <w:rFonts w:ascii="Times New Roman" w:cs="Times New Roman" w:eastAsia="Times New Roman" w:hAnsi="Times New Roman"/>
          <w:sz w:val="22"/>
          <w:szCs w:val="22"/>
          <w:color w:val="auto"/>
        </w:rPr>
        <w:t>. A new Section II.B.16 is added to the Agreement to read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200" w:lineRule="exact"/>
        <w:rPr>
          <w:sz w:val="20"/>
          <w:szCs w:val="20"/>
          <w:color w:val="auto"/>
        </w:rPr>
      </w:pPr>
    </w:p>
    <w:p>
      <w:pPr>
        <w:spacing w:after="0" w:line="237" w:lineRule="exact"/>
        <w:rPr>
          <w:sz w:val="20"/>
          <w:szCs w:val="20"/>
          <w:color w:val="auto"/>
        </w:rPr>
      </w:pPr>
    </w:p>
    <w:p>
      <w:pPr>
        <w:jc w:val="both"/>
        <w:ind w:firstLine="594"/>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Privacy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Company respects Grantee’s privacy. In order to administer Grantee’s equity award, the Company collects and uses certain personal information about Grantee, including Grantee’s prior equity grant information where applicable. If Grantee is a California resident, Grantee should refer to the Company’s California Consumer Privacy Act Notice for more information about the personal information the Company collects about Grantee and the purposes for which the Company will use such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40"/>
          </w:cols>
          <w:pgMar w:left="320" w:top="1440"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TRANSITION AND SEPARATION AGREEMENT</w:t>
      </w:r>
    </w:p>
    <w:p>
      <w:pPr>
        <w:spacing w:after="0" w:line="2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This Transition and Separation Agreement (this “</w:t>
      </w:r>
      <w:r>
        <w:rPr>
          <w:rFonts w:ascii="Times New Roman" w:cs="Times New Roman" w:eastAsia="Times New Roman" w:hAnsi="Times New Roman"/>
          <w:sz w:val="22"/>
          <w:szCs w:val="22"/>
          <w:b w:val="1"/>
          <w:bCs w:val="1"/>
          <w:i w:val="1"/>
          <w:iCs w:val="1"/>
          <w:color w:val="auto"/>
        </w:rPr>
        <w:t>Transition Agreement</w:t>
      </w:r>
      <w:r>
        <w:rPr>
          <w:rFonts w:ascii="Times New Roman" w:cs="Times New Roman" w:eastAsia="Times New Roman" w:hAnsi="Times New Roman"/>
          <w:sz w:val="22"/>
          <w:szCs w:val="22"/>
          <w:color w:val="auto"/>
        </w:rPr>
        <w:t>”), by and between TriMas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Thomas A. Amato (“</w:t>
      </w:r>
      <w:r>
        <w:rPr>
          <w:rFonts w:ascii="Times New Roman" w:cs="Times New Roman" w:eastAsia="Times New Roman" w:hAnsi="Times New Roman"/>
          <w:sz w:val="22"/>
          <w:szCs w:val="22"/>
          <w:b w:val="1"/>
          <w:bCs w:val="1"/>
          <w:i w:val="1"/>
          <w:iCs w:val="1"/>
          <w:color w:val="auto"/>
        </w:rPr>
        <w:t>you</w:t>
      </w:r>
      <w:r>
        <w:rPr>
          <w:rFonts w:ascii="Times New Roman" w:cs="Times New Roman" w:eastAsia="Times New Roman" w:hAnsi="Times New Roman"/>
          <w:sz w:val="22"/>
          <w:szCs w:val="22"/>
          <w:color w:val="auto"/>
        </w:rPr>
        <w:t>” and similar words), and effective as of January 4, 2025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memorializes certain terms of your transition and separation from the Company and its subsidiaries. This Transition Agreement is intended to support the process by which the Company’s Board of Directors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will operate a search and leadership transition for the position of President and Chief Executive Officer (“</w:t>
      </w:r>
      <w:r>
        <w:rPr>
          <w:rFonts w:ascii="Times New Roman" w:cs="Times New Roman" w:eastAsia="Times New Roman" w:hAnsi="Times New Roman"/>
          <w:sz w:val="22"/>
          <w:szCs w:val="22"/>
          <w:b w:val="1"/>
          <w:bCs w:val="1"/>
          <w:i w:val="1"/>
          <w:iCs w:val="1"/>
          <w:color w:val="auto"/>
        </w:rPr>
        <w:t>CEO</w:t>
      </w:r>
      <w:r>
        <w:rPr>
          <w:rFonts w:ascii="Times New Roman" w:cs="Times New Roman" w:eastAsia="Times New Roman" w:hAnsi="Times New Roman"/>
          <w:sz w:val="22"/>
          <w:szCs w:val="22"/>
          <w:color w:val="auto"/>
        </w:rPr>
        <w:t>”) at the Company (the “</w:t>
      </w:r>
      <w:r>
        <w:rPr>
          <w:rFonts w:ascii="Times New Roman" w:cs="Times New Roman" w:eastAsia="Times New Roman" w:hAnsi="Times New Roman"/>
          <w:sz w:val="22"/>
          <w:szCs w:val="22"/>
          <w:b w:val="1"/>
          <w:bCs w:val="1"/>
          <w:i w:val="1"/>
          <w:iCs w:val="1"/>
          <w:color w:val="auto"/>
        </w:rPr>
        <w:t>Succession</w:t>
      </w:r>
      <w:r>
        <w:rPr>
          <w:rFonts w:ascii="Times New Roman" w:cs="Times New Roman" w:eastAsia="Times New Roman" w:hAnsi="Times New Roman"/>
          <w:sz w:val="22"/>
          <w:szCs w:val="22"/>
          <w:color w:val="auto"/>
        </w:rPr>
        <w:t>”). The terms of this Transition Agreement also address certain requirements under the Company Executive Severance/Change in Control Policy, dated August 11, 2021 (the “</w:t>
      </w:r>
      <w:r>
        <w:rPr>
          <w:rFonts w:ascii="Times New Roman" w:cs="Times New Roman" w:eastAsia="Times New Roman" w:hAnsi="Times New Roman"/>
          <w:sz w:val="22"/>
          <w:szCs w:val="22"/>
          <w:b w:val="1"/>
          <w:bCs w:val="1"/>
          <w:i w:val="1"/>
          <w:iCs w:val="1"/>
          <w:color w:val="auto"/>
        </w:rPr>
        <w:t>Executive Severance Plan</w:t>
      </w:r>
      <w:r>
        <w:rPr>
          <w:rFonts w:ascii="Times New Roman" w:cs="Times New Roman" w:eastAsia="Times New Roman" w:hAnsi="Times New Roman"/>
          <w:sz w:val="22"/>
          <w:szCs w:val="22"/>
          <w:color w:val="auto"/>
        </w:rPr>
        <w:t>”) in order for you to receive, after the Effective Date, certain of the payments and benefits described in this Transition Agreement, as described or set forth in detail below.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signing this Transition Agreement, you and the Company agree as follows:</w:t>
      </w:r>
    </w:p>
    <w:p>
      <w:pPr>
        <w:spacing w:after="0" w:line="216" w:lineRule="exact"/>
        <w:rPr>
          <w:sz w:val="20"/>
          <w:szCs w:val="20"/>
          <w:color w:val="auto"/>
        </w:rPr>
      </w:pPr>
    </w:p>
    <w:p>
      <w:pPr>
        <w:ind w:left="1300" w:hanging="644"/>
        <w:spacing w:after="0" w:line="275" w:lineRule="auto"/>
        <w:tabs>
          <w:tab w:leader="none" w:pos="1300" w:val="left"/>
        </w:tabs>
        <w:numPr>
          <w:ilvl w:val="0"/>
          <w:numId w:val="2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Provisions Regarding Chief Executive Officer Service, Board Service, 2025 Equity Grant, Special Advisor Service and Employment Cessation</w:t>
      </w:r>
    </w:p>
    <w:p>
      <w:pPr>
        <w:spacing w:after="0" w:line="153" w:lineRule="exact"/>
        <w:rPr>
          <w:rFonts w:ascii="Times New Roman" w:cs="Times New Roman" w:eastAsia="Times New Roman" w:hAnsi="Times New Roman"/>
          <w:sz w:val="22"/>
          <w:szCs w:val="22"/>
          <w:b w:val="1"/>
          <w:bCs w:val="1"/>
          <w:color w:val="auto"/>
        </w:rPr>
      </w:pPr>
    </w:p>
    <w:p>
      <w:pPr>
        <w:jc w:val="both"/>
        <w:ind w:left="1300" w:firstLine="4"/>
        <w:spacing w:after="0" w:line="249" w:lineRule="auto"/>
        <w:tabs>
          <w:tab w:leader="none" w:pos="1900"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and the Company agree that from and after the Effective Date, you will continue to serve as the President and CEO of the Company until the earlier of (i) the date on which a successor Chief Executive Officer of the Company (“</w:t>
      </w:r>
      <w:r>
        <w:rPr>
          <w:rFonts w:ascii="Times New Roman" w:cs="Times New Roman" w:eastAsia="Times New Roman" w:hAnsi="Times New Roman"/>
          <w:sz w:val="22"/>
          <w:szCs w:val="22"/>
          <w:b w:val="1"/>
          <w:bCs w:val="1"/>
          <w:i w:val="1"/>
          <w:iCs w:val="1"/>
          <w:color w:val="auto"/>
        </w:rPr>
        <w:t>Successor CEO</w:t>
      </w:r>
      <w:r>
        <w:rPr>
          <w:rFonts w:ascii="Times New Roman" w:cs="Times New Roman" w:eastAsia="Times New Roman" w:hAnsi="Times New Roman"/>
          <w:sz w:val="22"/>
          <w:szCs w:val="22"/>
          <w:color w:val="auto"/>
        </w:rPr>
        <w:t>”) is appointed or elected by the Board and commences serving in such role (such date, the “</w:t>
      </w:r>
      <w:r>
        <w:rPr>
          <w:rFonts w:ascii="Times New Roman" w:cs="Times New Roman" w:eastAsia="Times New Roman" w:hAnsi="Times New Roman"/>
          <w:sz w:val="22"/>
          <w:szCs w:val="22"/>
          <w:b w:val="1"/>
          <w:bCs w:val="1"/>
          <w:i w:val="1"/>
          <w:iCs w:val="1"/>
          <w:color w:val="auto"/>
        </w:rPr>
        <w:t>Successor CEO Start Date</w:t>
      </w:r>
      <w:r>
        <w:rPr>
          <w:rFonts w:ascii="Times New Roman" w:cs="Times New Roman" w:eastAsia="Times New Roman" w:hAnsi="Times New Roman"/>
          <w:sz w:val="22"/>
          <w:szCs w:val="22"/>
          <w:color w:val="auto"/>
        </w:rPr>
        <w:t>”) and (ii) June 30, 2025 (the “</w:t>
      </w:r>
      <w:r>
        <w:rPr>
          <w:rFonts w:ascii="Times New Roman" w:cs="Times New Roman" w:eastAsia="Times New Roman" w:hAnsi="Times New Roman"/>
          <w:sz w:val="22"/>
          <w:szCs w:val="22"/>
          <w:b w:val="1"/>
          <w:bCs w:val="1"/>
          <w:i w:val="1"/>
          <w:iCs w:val="1"/>
          <w:color w:val="auto"/>
        </w:rPr>
        <w:t>Expiration Date</w:t>
      </w:r>
      <w:r>
        <w:rPr>
          <w:rFonts w:ascii="Times New Roman" w:cs="Times New Roman" w:eastAsia="Times New Roman" w:hAnsi="Times New Roman"/>
          <w:sz w:val="22"/>
          <w:szCs w:val="22"/>
          <w:color w:val="auto"/>
        </w:rPr>
        <w:t>”, and such earlier date of the Successor CEO Start Date and the Expiration Date, the “</w:t>
      </w:r>
      <w:r>
        <w:rPr>
          <w:rFonts w:ascii="Times New Roman" w:cs="Times New Roman" w:eastAsia="Times New Roman" w:hAnsi="Times New Roman"/>
          <w:sz w:val="22"/>
          <w:szCs w:val="22"/>
          <w:b w:val="1"/>
          <w:bCs w:val="1"/>
          <w:i w:val="1"/>
          <w:iCs w:val="1"/>
          <w:color w:val="auto"/>
        </w:rPr>
        <w:t>Transition Date</w:t>
      </w:r>
      <w:r>
        <w:rPr>
          <w:rFonts w:ascii="Times New Roman" w:cs="Times New Roman" w:eastAsia="Times New Roman" w:hAnsi="Times New Roman"/>
          <w:sz w:val="22"/>
          <w:szCs w:val="22"/>
          <w:color w:val="auto"/>
        </w:rPr>
        <w:t xml:space="preserve">”). Notwithstanding anything in this Transition Agreement to the contrary, the Board retains the right (subject to </w:t>
      </w:r>
      <w:r>
        <w:rPr>
          <w:rFonts w:ascii="Times New Roman" w:cs="Times New Roman" w:eastAsia="Times New Roman" w:hAnsi="Times New Roman"/>
          <w:sz w:val="22"/>
          <w:szCs w:val="22"/>
          <w:b w:val="1"/>
          <w:bCs w:val="1"/>
          <w:u w:val="single" w:color="auto"/>
          <w:color w:val="auto"/>
        </w:rPr>
        <w:t>Section 1(d)</w:t>
      </w:r>
      <w:r>
        <w:rPr>
          <w:rFonts w:ascii="Times New Roman" w:cs="Times New Roman" w:eastAsia="Times New Roman" w:hAnsi="Times New Roman"/>
          <w:sz w:val="22"/>
          <w:szCs w:val="22"/>
          <w:color w:val="auto"/>
        </w:rPr>
        <w:t xml:space="preserve"> of this Transition Agreement) to remove you from the position of President and CEO prior to the Transition Date (the date of any such removal, the “</w:t>
      </w:r>
      <w:r>
        <w:rPr>
          <w:rFonts w:ascii="Times New Roman" w:cs="Times New Roman" w:eastAsia="Times New Roman" w:hAnsi="Times New Roman"/>
          <w:sz w:val="22"/>
          <w:szCs w:val="22"/>
          <w:b w:val="1"/>
          <w:bCs w:val="1"/>
          <w:i w:val="1"/>
          <w:iCs w:val="1"/>
          <w:color w:val="auto"/>
        </w:rPr>
        <w:t>Removal Date</w:t>
      </w:r>
      <w:r>
        <w:rPr>
          <w:rFonts w:ascii="Times New Roman" w:cs="Times New Roman" w:eastAsia="Times New Roman" w:hAnsi="Times New Roman"/>
          <w:sz w:val="22"/>
          <w:szCs w:val="22"/>
          <w:color w:val="auto"/>
        </w:rPr>
        <w:t>”); provided, however, for the sake of clarity, any such removal (other than due to the Board’s termination of your employment with the Company for Cause) shall trigger the commencement of the Advisory Period (as hereinafter defined) for all purposes of this Agreement.</w:t>
      </w:r>
    </w:p>
    <w:p>
      <w:pPr>
        <w:spacing w:after="0" w:line="183" w:lineRule="exact"/>
        <w:rPr>
          <w:rFonts w:ascii="Times New Roman" w:cs="Times New Roman" w:eastAsia="Times New Roman" w:hAnsi="Times New Roman"/>
          <w:sz w:val="22"/>
          <w:szCs w:val="22"/>
          <w:color w:val="auto"/>
        </w:rPr>
      </w:pPr>
    </w:p>
    <w:p>
      <w:pPr>
        <w:ind w:left="1300" w:right="20" w:firstLine="4"/>
        <w:spacing w:after="0" w:line="295" w:lineRule="auto"/>
        <w:tabs>
          <w:tab w:leader="none" w:pos="1789" w:val="left"/>
        </w:tabs>
        <w:numPr>
          <w:ilvl w:val="1"/>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and the Company agree that you will continue to serve as a member of the Board until the next Annual Shareholders’ Meeting following the Effective Date, and you will not be nominated for re-election to the Board.</w:t>
      </w:r>
    </w:p>
    <w:p>
      <w:pPr>
        <w:spacing w:after="0" w:line="142" w:lineRule="exact"/>
        <w:rPr>
          <w:rFonts w:ascii="Times New Roman" w:cs="Times New Roman" w:eastAsia="Times New Roman" w:hAnsi="Times New Roman"/>
          <w:sz w:val="21"/>
          <w:szCs w:val="21"/>
          <w:color w:val="auto"/>
        </w:rPr>
      </w:pPr>
    </w:p>
    <w:p>
      <w:pPr>
        <w:jc w:val="both"/>
        <w:ind w:left="1300" w:firstLine="4"/>
        <w:spacing w:after="0" w:line="264" w:lineRule="auto"/>
        <w:tabs>
          <w:tab w:leader="none" w:pos="1772" w:val="left"/>
        </w:tabs>
        <w:numPr>
          <w:ilvl w:val="1"/>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2025, you will be granted restricted stock units (“</w:t>
      </w:r>
      <w:r>
        <w:rPr>
          <w:rFonts w:ascii="Times New Roman" w:cs="Times New Roman" w:eastAsia="Times New Roman" w:hAnsi="Times New Roman"/>
          <w:sz w:val="21"/>
          <w:szCs w:val="21"/>
          <w:b w:val="1"/>
          <w:bCs w:val="1"/>
          <w:i w:val="1"/>
          <w:iCs w:val="1"/>
          <w:color w:val="auto"/>
        </w:rPr>
        <w:t>RSUs</w:t>
      </w:r>
      <w:r>
        <w:rPr>
          <w:rFonts w:ascii="Times New Roman" w:cs="Times New Roman" w:eastAsia="Times New Roman" w:hAnsi="Times New Roman"/>
          <w:sz w:val="21"/>
          <w:szCs w:val="21"/>
          <w:color w:val="auto"/>
        </w:rPr>
        <w:t>”) and performance stock units (“</w:t>
      </w:r>
      <w:r>
        <w:rPr>
          <w:rFonts w:ascii="Times New Roman" w:cs="Times New Roman" w:eastAsia="Times New Roman" w:hAnsi="Times New Roman"/>
          <w:sz w:val="21"/>
          <w:szCs w:val="21"/>
          <w:b w:val="1"/>
          <w:bCs w:val="1"/>
          <w:i w:val="1"/>
          <w:iCs w:val="1"/>
          <w:color w:val="auto"/>
        </w:rPr>
        <w:t>PSUs</w:t>
      </w:r>
      <w:r>
        <w:rPr>
          <w:rFonts w:ascii="Times New Roman" w:cs="Times New Roman" w:eastAsia="Times New Roman" w:hAnsi="Times New Roman"/>
          <w:sz w:val="21"/>
          <w:szCs w:val="21"/>
          <w:color w:val="auto"/>
        </w:rPr>
        <w:t>”) for fiscal year 2025 (together, the grants of RSUs and PSUs for fiscal year 2025, the “</w:t>
      </w:r>
      <w:r>
        <w:rPr>
          <w:rFonts w:ascii="Times New Roman" w:cs="Times New Roman" w:eastAsia="Times New Roman" w:hAnsi="Times New Roman"/>
          <w:sz w:val="21"/>
          <w:szCs w:val="21"/>
          <w:b w:val="1"/>
          <w:bCs w:val="1"/>
          <w:i w:val="1"/>
          <w:iCs w:val="1"/>
          <w:color w:val="auto"/>
        </w:rPr>
        <w:t>2025 Grant</w:t>
      </w:r>
      <w:r>
        <w:rPr>
          <w:rFonts w:ascii="Times New Roman" w:cs="Times New Roman" w:eastAsia="Times New Roman" w:hAnsi="Times New Roman"/>
          <w:sz w:val="21"/>
          <w:szCs w:val="21"/>
          <w:color w:val="auto"/>
        </w:rPr>
        <w:t>”), subject to approval by the Board (or an appropriate committee of the Board). The number of RSUs so granted shall equal the quotient of</w:t>
      </w:r>
    </w:p>
    <w:p>
      <w:pPr>
        <w:spacing w:after="0" w:line="2" w:lineRule="exact"/>
        <w:rPr>
          <w:rFonts w:ascii="Times New Roman" w:cs="Times New Roman" w:eastAsia="Times New Roman" w:hAnsi="Times New Roman"/>
          <w:sz w:val="21"/>
          <w:szCs w:val="21"/>
          <w:color w:val="auto"/>
        </w:rPr>
      </w:pPr>
    </w:p>
    <w:p>
      <w:pPr>
        <w:jc w:val="both"/>
        <w:ind w:left="1300" w:firstLine="4"/>
        <w:spacing w:after="0" w:line="245" w:lineRule="auto"/>
        <w:tabs>
          <w:tab w:leader="none" w:pos="1571"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$600,000, divided by (ii) the Company’s closing stock price on the trading day immediately prior to the grant date for such RSUs. The target number of PSUs so granted shall equal the quotient of (i) $900,000, divided by (ii) the Company’s closing stock price on the trading day</w:t>
      </w:r>
    </w:p>
    <w:p>
      <w:pPr>
        <w:sectPr>
          <w:pgSz w:w="11900" w:h="16838" w:orient="portrait"/>
          <w:cols w:equalWidth="0" w:num="1">
            <w:col w:w="11240"/>
          </w:cols>
          <w:pgMar w:left="320" w:top="338" w:right="339" w:bottom="1440" w:gutter="0" w:footer="0" w:header="0"/>
        </w:sectPr>
      </w:pPr>
    </w:p>
    <w:bookmarkStart w:id="183" w:name="page184"/>
    <w:bookmarkEnd w:id="183"/>
    <w:p>
      <w:pPr>
        <w:jc w:val="both"/>
        <w:ind w:left="1080"/>
        <w:spacing w:after="0" w:line="249" w:lineRule="auto"/>
        <w:rPr>
          <w:sz w:val="20"/>
          <w:szCs w:val="20"/>
          <w:color w:val="auto"/>
        </w:rPr>
      </w:pPr>
      <w:r>
        <w:rPr>
          <w:rFonts w:ascii="Times New Roman" w:cs="Times New Roman" w:eastAsia="Times New Roman" w:hAnsi="Times New Roman"/>
          <w:sz w:val="22"/>
          <w:szCs w:val="22"/>
          <w:color w:val="auto"/>
        </w:rPr>
        <w:t>immediately prior to the grant date for such PSUs, and such target PSUs may be earned from 0% to 200%, depending on actual performance, as further described in the award agreement for such 2025 Grant PSUs. The 2025 Grant shall be granted at the same time and subject to substantially the same terms and conditions as the fiscal year 2025 equity awards provided to the Company’s other senior executive officers. Additional detail regarding the terms of the 2025 Grant will be provided in the applicable award agreements for such awards. You hereby agree to the terms and conditions of the 2025 Grant as described in this Transition Agreement, regardless of your role with the Company at the time of such grant, and you will not assert any breach of any obligation of the Company (or related claims) for failure to grant any additional or different equity awards.</w:t>
      </w:r>
    </w:p>
    <w:p>
      <w:pPr>
        <w:spacing w:after="0" w:line="195" w:lineRule="exact"/>
        <w:rPr>
          <w:sz w:val="20"/>
          <w:szCs w:val="20"/>
          <w:color w:val="auto"/>
        </w:rPr>
      </w:pPr>
    </w:p>
    <w:p>
      <w:pPr>
        <w:jc w:val="both"/>
        <w:ind w:left="1080" w:firstLine="4"/>
        <w:spacing w:after="0" w:line="260" w:lineRule="auto"/>
        <w:tabs>
          <w:tab w:leader="none" w:pos="1571"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You and the Company agree that, commencing on the Successor CEO Start Date (or, if earlier, the Removal Date under </w:t>
      </w:r>
      <w:r>
        <w:rPr>
          <w:rFonts w:ascii="Times New Roman" w:cs="Times New Roman" w:eastAsia="Times New Roman" w:hAnsi="Times New Roman"/>
          <w:sz w:val="21"/>
          <w:szCs w:val="21"/>
          <w:b w:val="1"/>
          <w:bCs w:val="1"/>
          <w:u w:val="single" w:color="auto"/>
          <w:color w:val="auto"/>
        </w:rPr>
        <w:t>Section 1(a)</w:t>
      </w:r>
      <w:r>
        <w:rPr>
          <w:rFonts w:ascii="Times New Roman" w:cs="Times New Roman" w:eastAsia="Times New Roman" w:hAnsi="Times New Roman"/>
          <w:sz w:val="21"/>
          <w:szCs w:val="21"/>
          <w:color w:val="auto"/>
        </w:rPr>
        <w:t xml:space="preserve"> above), you will no longer serve as the President and CEO of the Company, but you will transition to become a non-officer employee in service to the Company until the end of the day on June 30, 2025 (such non-officer employment period, the “</w:t>
      </w:r>
      <w:r>
        <w:rPr>
          <w:rFonts w:ascii="Times New Roman" w:cs="Times New Roman" w:eastAsia="Times New Roman" w:hAnsi="Times New Roman"/>
          <w:sz w:val="21"/>
          <w:szCs w:val="21"/>
          <w:b w:val="1"/>
          <w:bCs w:val="1"/>
          <w:i w:val="1"/>
          <w:iCs w:val="1"/>
          <w:color w:val="auto"/>
        </w:rPr>
        <w:t>Advisory Period</w:t>
      </w:r>
      <w:r>
        <w:rPr>
          <w:rFonts w:ascii="Times New Roman" w:cs="Times New Roman" w:eastAsia="Times New Roman" w:hAnsi="Times New Roman"/>
          <w:sz w:val="21"/>
          <w:szCs w:val="21"/>
          <w:color w:val="auto"/>
        </w:rPr>
        <w:t xml:space="preserve">”). During the Advisory Period, if any, you shall be employed by the Company and will (i) serve in the non-executive employee role of Special Advisor to the Company, reporting directly to the Chairman of the Board, and (ii) support the Succession by providing reasonable assistance to the Company and the Board in the transition to and integration of the Successor CEO, to the extent desired and/or requested by Board, plus otherwise supporting and promoting various reasonable projects and responsibilities related thereto. During the Advisory Period, if any, you will receive monthly base salary, derived from an annual rate equal to $393,750, in accordance with the normal payroll practices of the Company as may be in effect from time to time. Your awards under the Equity Plans (as defined below) that are outstanding as of the Successor CEO Start Date (or, if earlier, the Removal Date under </w:t>
      </w:r>
      <w:r>
        <w:rPr>
          <w:rFonts w:ascii="Times New Roman" w:cs="Times New Roman" w:eastAsia="Times New Roman" w:hAnsi="Times New Roman"/>
          <w:sz w:val="21"/>
          <w:szCs w:val="21"/>
          <w:b w:val="1"/>
          <w:bCs w:val="1"/>
          <w:u w:val="single" w:color="auto"/>
          <w:color w:val="auto"/>
        </w:rPr>
        <w:t>Section 1(a)</w:t>
      </w:r>
      <w:r>
        <w:rPr>
          <w:rFonts w:ascii="Times New Roman" w:cs="Times New Roman" w:eastAsia="Times New Roman" w:hAnsi="Times New Roman"/>
          <w:sz w:val="21"/>
          <w:szCs w:val="21"/>
          <w:color w:val="auto"/>
        </w:rPr>
        <w:t xml:space="preserve"> above) will continue to vest during the Advisory Period according to the applicable terms of such awards under such Equity Plans.</w:t>
      </w:r>
    </w:p>
    <w:p>
      <w:pPr>
        <w:spacing w:after="0" w:line="176" w:lineRule="exact"/>
        <w:rPr>
          <w:rFonts w:ascii="Times New Roman" w:cs="Times New Roman" w:eastAsia="Times New Roman" w:hAnsi="Times New Roman"/>
          <w:sz w:val="21"/>
          <w:szCs w:val="21"/>
          <w:color w:val="auto"/>
        </w:rPr>
      </w:pPr>
    </w:p>
    <w:p>
      <w:pPr>
        <w:jc w:val="both"/>
        <w:ind w:left="1080" w:firstLine="4"/>
        <w:spacing w:after="0" w:line="249" w:lineRule="auto"/>
        <w:tabs>
          <w:tab w:leader="none" w:pos="1638"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and the Company agree that as of the end of the day on June 30, 2025, your employment with the Company and all of its subsidiaries and affiliates will be deemed involuntarily terminated by the Company other than for Cause or Disability (as each are defined in the Executive Severance Plan) or death (the “</w:t>
      </w:r>
      <w:r>
        <w:rPr>
          <w:rFonts w:ascii="Times New Roman" w:cs="Times New Roman" w:eastAsia="Times New Roman" w:hAnsi="Times New Roman"/>
          <w:sz w:val="22"/>
          <w:szCs w:val="22"/>
          <w:b w:val="1"/>
          <w:bCs w:val="1"/>
          <w:i w:val="1"/>
          <w:iCs w:val="1"/>
          <w:color w:val="auto"/>
        </w:rPr>
        <w:t>Qualifying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Separation</w:t>
      </w:r>
      <w:r>
        <w:rPr>
          <w:rFonts w:ascii="Times New Roman" w:cs="Times New Roman" w:eastAsia="Times New Roman" w:hAnsi="Times New Roman"/>
          <w:sz w:val="22"/>
          <w:szCs w:val="22"/>
          <w:color w:val="auto"/>
        </w:rPr>
        <w:t>”). We refer to your last day of employment with the Company and its subsidiaries and affiliates as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Separation Date</w:t>
      </w:r>
      <w:r>
        <w:rPr>
          <w:rFonts w:ascii="Times New Roman" w:cs="Times New Roman" w:eastAsia="Times New Roman" w:hAnsi="Times New Roman"/>
          <w:sz w:val="22"/>
          <w:szCs w:val="22"/>
          <w:color w:val="auto"/>
        </w:rPr>
        <w:t xml:space="preserve">.” You and the Company agree that your Qualifying Separation shall entitle you to the payments and benefits as set forth or described in </w:t>
      </w:r>
      <w:r>
        <w:rPr>
          <w:rFonts w:ascii="Times New Roman" w:cs="Times New Roman" w:eastAsia="Times New Roman" w:hAnsi="Times New Roman"/>
          <w:sz w:val="22"/>
          <w:szCs w:val="22"/>
          <w:b w:val="1"/>
          <w:bCs w:val="1"/>
          <w:u w:val="single" w:color="auto"/>
          <w:color w:val="auto"/>
        </w:rPr>
        <w:t>Section 2</w:t>
      </w:r>
      <w:r>
        <w:rPr>
          <w:rFonts w:ascii="Times New Roman" w:cs="Times New Roman" w:eastAsia="Times New Roman" w:hAnsi="Times New Roman"/>
          <w:sz w:val="22"/>
          <w:szCs w:val="22"/>
          <w:color w:val="auto"/>
        </w:rPr>
        <w:t xml:space="preserve"> of this Transition Agreement, and that, but for the provision of such payments and benefits, you would not agree to provide the services as described in </w:t>
      </w:r>
      <w:r>
        <w:rPr>
          <w:rFonts w:ascii="Times New Roman" w:cs="Times New Roman" w:eastAsia="Times New Roman" w:hAnsi="Times New Roman"/>
          <w:sz w:val="22"/>
          <w:szCs w:val="22"/>
          <w:b w:val="1"/>
          <w:bCs w:val="1"/>
          <w:u w:val="single" w:color="auto"/>
          <w:color w:val="auto"/>
        </w:rPr>
        <w:t>Section 1(d)</w:t>
      </w:r>
      <w:r>
        <w:rPr>
          <w:rFonts w:ascii="Times New Roman" w:cs="Times New Roman" w:eastAsia="Times New Roman" w:hAnsi="Times New Roman"/>
          <w:sz w:val="22"/>
          <w:szCs w:val="22"/>
          <w:color w:val="auto"/>
        </w:rPr>
        <w:t xml:space="preserve"> of this Transition Agreement. You and the Company also agree that, as of the Separation Date, you will terminate from any and all other positions you hold (if any) as an officer, employee or director of the Company and the Company’s subsidiaries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20"/>
          </w:cols>
          <w:pgMar w:left="540" w:top="1422" w:right="339" w:bottom="1440" w:gutter="0" w:footer="0" w:header="0"/>
        </w:sectPr>
      </w:pPr>
    </w:p>
    <w:bookmarkStart w:id="184" w:name="page185"/>
    <w:bookmarkEnd w:id="184"/>
    <w:p>
      <w:pPr>
        <w:jc w:val="both"/>
        <w:ind w:left="1080"/>
        <w:spacing w:after="0" w:line="250" w:lineRule="auto"/>
        <w:rPr>
          <w:sz w:val="20"/>
          <w:szCs w:val="20"/>
          <w:color w:val="auto"/>
        </w:rPr>
      </w:pPr>
      <w:r>
        <w:rPr>
          <w:rFonts w:ascii="Times New Roman" w:cs="Times New Roman" w:eastAsia="Times New Roman" w:hAnsi="Times New Roman"/>
          <w:sz w:val="22"/>
          <w:szCs w:val="22"/>
          <w:color w:val="auto"/>
        </w:rPr>
        <w:t>affiliates, and that you will promptly execute any documents and take any actions as may be necessary or reasonably requested by the Company to effectuate or memorialize your termination from all positions with the Company and its subsidiaries and affiliates. Notwithstanding anything in this Transition Agreement to the contrary, nothing prohibits the Board from terminating your employment with the Company for Cause (as defined in the Executive Severance Plan, “</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xml:space="preserve">”) prior to such Separation Date, and you and the Company agree and acknowledge that your right to receive the Severance Benefits or any other payments or benefits under this Transition Agreement (other than the benefits addressed under </w:t>
      </w:r>
      <w:r>
        <w:rPr>
          <w:rFonts w:ascii="Times New Roman" w:cs="Times New Roman" w:eastAsia="Times New Roman" w:hAnsi="Times New Roman"/>
          <w:sz w:val="22"/>
          <w:szCs w:val="22"/>
          <w:b w:val="1"/>
          <w:bCs w:val="1"/>
          <w:u w:val="single" w:color="auto"/>
          <w:color w:val="auto"/>
        </w:rPr>
        <w:t>Section 2(c)</w:t>
      </w:r>
      <w:r>
        <w:rPr>
          <w:rFonts w:ascii="Times New Roman" w:cs="Times New Roman" w:eastAsia="Times New Roman" w:hAnsi="Times New Roman"/>
          <w:sz w:val="22"/>
          <w:szCs w:val="22"/>
          <w:color w:val="auto"/>
        </w:rPr>
        <w:t xml:space="preserve"> of this Transition Agreement) shall immediately cease and be unenforceable if your employment with the Company is terminated for Cause prior to the Separation Date.</w:t>
      </w:r>
    </w:p>
    <w:p>
      <w:pPr>
        <w:spacing w:after="0" w:line="180" w:lineRule="exact"/>
        <w:rPr>
          <w:sz w:val="20"/>
          <w:szCs w:val="20"/>
          <w:color w:val="auto"/>
        </w:rPr>
      </w:pPr>
    </w:p>
    <w:p>
      <w:pPr>
        <w:jc w:val="both"/>
        <w:ind w:left="1080" w:firstLine="4"/>
        <w:spacing w:after="0" w:line="251" w:lineRule="auto"/>
        <w:tabs>
          <w:tab w:leader="none" w:pos="1523"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Transition Agreement to the contrary, you and the Company agree that your cessation of service and other actions contemplated by this Transition Agreement will not be claimed by you as constituting, contributing to or supporting “Good Reason” under the Executive Severance Plan, the Equity Plans (as defined in Section 2(b) below) or any other compensatory arrangement with the Company, and that the Company will not terminate your designation as a participant under the Executive Severance Plan prior to the Separation Date.</w:t>
      </w:r>
    </w:p>
    <w:p>
      <w:pPr>
        <w:spacing w:after="0" w:line="177" w:lineRule="exact"/>
        <w:rPr>
          <w:rFonts w:ascii="Times New Roman" w:cs="Times New Roman" w:eastAsia="Times New Roman" w:hAnsi="Times New Roman"/>
          <w:sz w:val="22"/>
          <w:szCs w:val="22"/>
          <w:color w:val="auto"/>
        </w:rPr>
      </w:pPr>
    </w:p>
    <w:p>
      <w:pPr>
        <w:ind w:left="1080" w:hanging="644"/>
        <w:spacing w:after="0" w:line="275" w:lineRule="auto"/>
        <w:tabs>
          <w:tab w:leader="none" w:pos="1080" w:val="left"/>
        </w:tabs>
        <w:numPr>
          <w:ilvl w:val="0"/>
          <w:numId w:val="2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“Qualifying Separation” Severance Payments and Benefits; Treatment of Equity Awards; Legal Fee Reimbursement</w:t>
      </w:r>
    </w:p>
    <w:p>
      <w:pPr>
        <w:spacing w:after="0" w:line="153" w:lineRule="exact"/>
        <w:rPr>
          <w:rFonts w:ascii="Times New Roman" w:cs="Times New Roman" w:eastAsia="Times New Roman" w:hAnsi="Times New Roman"/>
          <w:sz w:val="22"/>
          <w:szCs w:val="22"/>
          <w:b w:val="1"/>
          <w:bCs w:val="1"/>
          <w:color w:val="auto"/>
        </w:rPr>
      </w:pPr>
    </w:p>
    <w:p>
      <w:pPr>
        <w:jc w:val="both"/>
        <w:ind w:left="1080" w:firstLine="4"/>
        <w:spacing w:after="0" w:line="256" w:lineRule="auto"/>
        <w:tabs>
          <w:tab w:leader="none" w:pos="1581"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consideration for you signing this Transition Agreement, and signing no earlier than the Separation Date and no later than 60 days following the Separation Date, a general waiver and release of claims, substantially in the form attached hereto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and letting the Release become effective as set forth in the Release:</w:t>
      </w:r>
    </w:p>
    <w:p>
      <w:pPr>
        <w:spacing w:after="0" w:line="176" w:lineRule="exact"/>
        <w:rPr>
          <w:rFonts w:ascii="Times New Roman" w:cs="Times New Roman" w:eastAsia="Times New Roman" w:hAnsi="Times New Roman"/>
          <w:sz w:val="22"/>
          <w:szCs w:val="22"/>
          <w:color w:val="auto"/>
        </w:rPr>
      </w:pPr>
    </w:p>
    <w:p>
      <w:pPr>
        <w:jc w:val="both"/>
        <w:ind w:left="1740" w:hanging="8"/>
        <w:spacing w:after="0" w:line="256" w:lineRule="auto"/>
        <w:tabs>
          <w:tab w:leader="none" w:pos="2173" w:val="left"/>
        </w:tabs>
        <w:numPr>
          <w:ilvl w:val="2"/>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Executive Severance Plan, this Transition Agreement and any related agreements, and based on the facts of the Succession, your Qualifying Separation will be deemed a termination qualifying you for benefits under Section 1 (“Termination Without Cause or for Good Reason Prior to a Change in Control”) of the Executive Severance Plan; and</w:t>
      </w:r>
    </w:p>
    <w:p>
      <w:pPr>
        <w:spacing w:after="0" w:line="172" w:lineRule="exact"/>
        <w:rPr>
          <w:rFonts w:ascii="Times New Roman" w:cs="Times New Roman" w:eastAsia="Times New Roman" w:hAnsi="Times New Roman"/>
          <w:sz w:val="22"/>
          <w:szCs w:val="22"/>
          <w:color w:val="auto"/>
        </w:rPr>
      </w:pPr>
    </w:p>
    <w:p>
      <w:pPr>
        <w:jc w:val="both"/>
        <w:ind w:left="1740" w:hanging="8"/>
        <w:spacing w:after="0" w:line="252" w:lineRule="auto"/>
        <w:tabs>
          <w:tab w:leader="none" w:pos="2258" w:val="left"/>
        </w:tabs>
        <w:numPr>
          <w:ilvl w:val="2"/>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You will receive the payments and benefits as specified on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xml:space="preserve"> attached hereto, all subject to applicable tax withholding (the “</w:t>
      </w:r>
      <w:r>
        <w:rPr>
          <w:rFonts w:ascii="Times New Roman" w:cs="Times New Roman" w:eastAsia="Times New Roman" w:hAnsi="Times New Roman"/>
          <w:sz w:val="22"/>
          <w:szCs w:val="22"/>
          <w:b w:val="1"/>
          <w:bCs w:val="1"/>
          <w:i w:val="1"/>
          <w:iCs w:val="1"/>
          <w:color w:val="auto"/>
        </w:rPr>
        <w:t>Severance Benefits</w:t>
      </w:r>
      <w:r>
        <w:rPr>
          <w:rFonts w:ascii="Times New Roman" w:cs="Times New Roman" w:eastAsia="Times New Roman" w:hAnsi="Times New Roman"/>
          <w:sz w:val="22"/>
          <w:szCs w:val="22"/>
          <w:color w:val="auto"/>
        </w:rPr>
        <w:t>”). The Severance Benefits will be in full satisfaction of any amounts due under the Executive Severance Plan, your Employment Offer Letter, dated July 22, 2016, with the Company, and all other compensation and benefit arrangements of the Company and its subsidiaries and affiliates. You acknowledge and agree that some or all of the Severance Benefits would not be due and payable unless you sign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20"/>
          </w:cols>
          <w:pgMar w:left="540" w:top="1422" w:right="339" w:bottom="1440" w:gutter="0" w:footer="0" w:header="0"/>
        </w:sectPr>
      </w:pPr>
    </w:p>
    <w:bookmarkStart w:id="185" w:name="page186"/>
    <w:bookmarkEnd w:id="185"/>
    <w:p>
      <w:pPr>
        <w:jc w:val="both"/>
        <w:ind w:left="1740"/>
        <w:spacing w:after="0" w:line="272" w:lineRule="auto"/>
        <w:rPr>
          <w:sz w:val="20"/>
          <w:szCs w:val="20"/>
          <w:color w:val="auto"/>
        </w:rPr>
      </w:pPr>
      <w:r>
        <w:rPr>
          <w:rFonts w:ascii="Times New Roman" w:cs="Times New Roman" w:eastAsia="Times New Roman" w:hAnsi="Times New Roman"/>
          <w:sz w:val="21"/>
          <w:szCs w:val="21"/>
          <w:color w:val="auto"/>
        </w:rPr>
        <w:t>Release, and that the Severance Benefits constitute fair and adequate consideration for your promises and covenants set forth in this Transition Agreement and the Release. You and the Company also acknowledge and agree that the Executive Severance Plan will be interpreted in accordance with the terms of this Transition Agreement to the extent necessary or desirable to provide for the Severance Benefits.</w:t>
      </w:r>
    </w:p>
    <w:p>
      <w:pPr>
        <w:spacing w:after="0" w:line="161" w:lineRule="exact"/>
        <w:rPr>
          <w:sz w:val="20"/>
          <w:szCs w:val="20"/>
          <w:color w:val="auto"/>
        </w:rPr>
      </w:pPr>
    </w:p>
    <w:p>
      <w:pPr>
        <w:jc w:val="both"/>
        <w:ind w:left="1080" w:firstLine="4"/>
        <w:spacing w:after="0" w:line="251" w:lineRule="auto"/>
        <w:tabs>
          <w:tab w:leader="none" w:pos="1540"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outstanding Company equity awards under the Company 2017 Equity and Incentive Compensation Plan (including as amended or amended and restated to date) and all applicable award agreements thereunder (the “</w:t>
      </w:r>
      <w:r>
        <w:rPr>
          <w:rFonts w:ascii="Times New Roman" w:cs="Times New Roman" w:eastAsia="Times New Roman" w:hAnsi="Times New Roman"/>
          <w:sz w:val="22"/>
          <w:szCs w:val="22"/>
          <w:b w:val="1"/>
          <w:bCs w:val="1"/>
          <w:i w:val="1"/>
          <w:iCs w:val="1"/>
          <w:color w:val="auto"/>
        </w:rPr>
        <w:t>2017 Equity Plan</w:t>
      </w:r>
      <w:r>
        <w:rPr>
          <w:rFonts w:ascii="Times New Roman" w:cs="Times New Roman" w:eastAsia="Times New Roman" w:hAnsi="Times New Roman"/>
          <w:sz w:val="22"/>
          <w:szCs w:val="22"/>
          <w:color w:val="auto"/>
        </w:rPr>
        <w:t>”), the Company 2023 Equity and Incentive Compensation Plan (including as amended or amended and restated to date) and all applicable award agreements thereunder (the “</w:t>
      </w:r>
      <w:r>
        <w:rPr>
          <w:rFonts w:ascii="Times New Roman" w:cs="Times New Roman" w:eastAsia="Times New Roman" w:hAnsi="Times New Roman"/>
          <w:sz w:val="22"/>
          <w:szCs w:val="22"/>
          <w:b w:val="1"/>
          <w:bCs w:val="1"/>
          <w:i w:val="1"/>
          <w:iCs w:val="1"/>
          <w:color w:val="auto"/>
        </w:rPr>
        <w:t>2023 Equity Plan</w:t>
      </w:r>
      <w:r>
        <w:rPr>
          <w:rFonts w:ascii="Times New Roman" w:cs="Times New Roman" w:eastAsia="Times New Roman" w:hAnsi="Times New Roman"/>
          <w:sz w:val="22"/>
          <w:szCs w:val="22"/>
          <w:color w:val="auto"/>
        </w:rPr>
        <w:t>” and, together with the 2017 Equity Plan, the “</w:t>
      </w:r>
      <w:r>
        <w:rPr>
          <w:rFonts w:ascii="Times New Roman" w:cs="Times New Roman" w:eastAsia="Times New Roman" w:hAnsi="Times New Roman"/>
          <w:sz w:val="22"/>
          <w:szCs w:val="22"/>
          <w:b w:val="1"/>
          <w:bCs w:val="1"/>
          <w:i w:val="1"/>
          <w:iCs w:val="1"/>
          <w:color w:val="auto"/>
        </w:rPr>
        <w:t>Equity Plans</w:t>
      </w:r>
      <w:r>
        <w:rPr>
          <w:rFonts w:ascii="Times New Roman" w:cs="Times New Roman" w:eastAsia="Times New Roman" w:hAnsi="Times New Roman"/>
          <w:sz w:val="22"/>
          <w:szCs w:val="22"/>
          <w:color w:val="auto"/>
        </w:rPr>
        <w:t>”), including the 2025 Grant, will be governed by the applicable terms of the Equity Plans and award agreements applicable to such awards.</w:t>
      </w:r>
    </w:p>
    <w:p>
      <w:pPr>
        <w:spacing w:after="0" w:line="181" w:lineRule="exact"/>
        <w:rPr>
          <w:rFonts w:ascii="Times New Roman" w:cs="Times New Roman" w:eastAsia="Times New Roman" w:hAnsi="Times New Roman"/>
          <w:sz w:val="22"/>
          <w:szCs w:val="22"/>
          <w:color w:val="auto"/>
        </w:rPr>
      </w:pPr>
    </w:p>
    <w:p>
      <w:pPr>
        <w:ind w:left="1080" w:right="20" w:firstLine="4"/>
        <w:spacing w:after="0" w:line="295" w:lineRule="auto"/>
        <w:tabs>
          <w:tab w:leader="none" w:pos="1546" w:val="left"/>
        </w:tabs>
        <w:numPr>
          <w:ilvl w:val="1"/>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will receive reimbursement from the Company of your reasonable attorney’s fees and expenses incurred in connection with negotiation and execution of this Transition Agreement, up to a maximum amount of $35,000.</w:t>
      </w:r>
    </w:p>
    <w:p>
      <w:pPr>
        <w:spacing w:after="0" w:line="131" w:lineRule="exact"/>
        <w:rPr>
          <w:rFonts w:ascii="Times New Roman" w:cs="Times New Roman" w:eastAsia="Times New Roman" w:hAnsi="Times New Roman"/>
          <w:sz w:val="21"/>
          <w:szCs w:val="21"/>
          <w:color w:val="auto"/>
        </w:rPr>
      </w:pPr>
    </w:p>
    <w:p>
      <w:pPr>
        <w:ind w:left="1080" w:hanging="644"/>
        <w:spacing w:after="0"/>
        <w:tabs>
          <w:tab w:leader="none" w:pos="1080" w:val="left"/>
        </w:tabs>
        <w:numPr>
          <w:ilvl w:val="0"/>
          <w:numId w:val="2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p>
    <w:p>
      <w:pPr>
        <w:spacing w:after="0" w:line="223" w:lineRule="exact"/>
        <w:rPr>
          <w:rFonts w:ascii="Times New Roman" w:cs="Times New Roman" w:eastAsia="Times New Roman" w:hAnsi="Times New Roman"/>
          <w:sz w:val="22"/>
          <w:szCs w:val="22"/>
          <w:b w:val="1"/>
          <w:bCs w:val="1"/>
          <w:color w:val="auto"/>
        </w:rPr>
      </w:pPr>
    </w:p>
    <w:p>
      <w:pPr>
        <w:jc w:val="both"/>
        <w:ind w:left="1080"/>
        <w:spacing w:after="0" w:line="25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By signing this Transition Agreement, you reaffirm that, subject to applicable law, you will continue to abide by the restrictive covenants to which you are subject, including as set forth in or applicable under the Equity Plans and the Executive Severance Plan, which restrictive covenants expressly survive your separation from employment with the Company pursuant to their terms.</w:t>
      </w:r>
    </w:p>
    <w:p>
      <w:pPr>
        <w:spacing w:after="0" w:line="176" w:lineRule="exact"/>
        <w:rPr>
          <w:rFonts w:ascii="Times New Roman" w:cs="Times New Roman" w:eastAsia="Times New Roman" w:hAnsi="Times New Roman"/>
          <w:sz w:val="22"/>
          <w:szCs w:val="22"/>
          <w:b w:val="1"/>
          <w:bCs w:val="1"/>
          <w:color w:val="auto"/>
        </w:rPr>
      </w:pPr>
    </w:p>
    <w:p>
      <w:pPr>
        <w:jc w:val="both"/>
        <w:ind w:left="1080"/>
        <w:spacing w:after="0" w:line="24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anything to the contrary in this Transition Agreement (or in any other agreement, contract or arrangement with the Company or its subsidiaries or affiliates, or in any policy, procedure or practice of the Company or its subsidiaries or affiliates (collectively, the “</w:t>
      </w:r>
      <w:r>
        <w:rPr>
          <w:rFonts w:ascii="Times New Roman" w:cs="Times New Roman" w:eastAsia="Times New Roman" w:hAnsi="Times New Roman"/>
          <w:sz w:val="22"/>
          <w:szCs w:val="22"/>
          <w:b w:val="1"/>
          <w:bCs w:val="1"/>
          <w:i w:val="1"/>
          <w:iCs w:val="1"/>
          <w:color w:val="auto"/>
        </w:rPr>
        <w:t>Arrangements</w:t>
      </w:r>
      <w:r>
        <w:rPr>
          <w:rFonts w:ascii="Times New Roman" w:cs="Times New Roman" w:eastAsia="Times New Roman" w:hAnsi="Times New Roman"/>
          <w:sz w:val="22"/>
          <w:szCs w:val="22"/>
          <w:color w:val="auto"/>
        </w:rPr>
        <w:t>”)): (a) nothing in the Arrangements or otherwise limits your right to any monetary award offered by a government-administered whistleblower award program for providing information directly to a government agency (including the Securities and Exchange Commission pursuant to Section 21F of the Securities Exchange Act of 1934, as amended, the Dodd-Frank Wall Street Reform and Consumer Protection Act or The Sarbanes-Oxley Act of 2002); and (b) nothing in the Arrangements or otherwise prevents you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you are not prohibited from providing information (including documents) voluntarily to the Securities and Exchange Commission pursuant to Section 21F of the Securities Exchange Act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20"/>
          </w:cols>
          <w:pgMar w:left="540" w:top="1422" w:right="339" w:bottom="1440" w:gutter="0" w:footer="0" w:header="0"/>
        </w:sectPr>
      </w:pPr>
    </w:p>
    <w:bookmarkStart w:id="186" w:name="page187"/>
    <w:bookmarkEnd w:id="186"/>
    <w:p>
      <w:pPr>
        <w:jc w:val="both"/>
        <w:ind w:left="1080"/>
        <w:spacing w:after="0" w:line="257" w:lineRule="auto"/>
        <w:rPr>
          <w:sz w:val="20"/>
          <w:szCs w:val="20"/>
          <w:color w:val="auto"/>
        </w:rPr>
      </w:pPr>
      <w:r>
        <w:rPr>
          <w:rFonts w:ascii="Times New Roman" w:cs="Times New Roman" w:eastAsia="Times New Roman" w:hAnsi="Times New Roman"/>
          <w:sz w:val="22"/>
          <w:szCs w:val="22"/>
          <w:color w:val="auto"/>
        </w:rPr>
        <w:t>1934, as amended). The Company nonetheless asserts and does not waive its attorney-client privilege over any information appropriately protected by privilege. The terms of this paragraph are referred to as the “</w:t>
      </w:r>
      <w:r>
        <w:rPr>
          <w:rFonts w:ascii="Times New Roman" w:cs="Times New Roman" w:eastAsia="Times New Roman" w:hAnsi="Times New Roman"/>
          <w:sz w:val="22"/>
          <w:szCs w:val="22"/>
          <w:b w:val="1"/>
          <w:bCs w:val="1"/>
          <w:i w:val="1"/>
          <w:iCs w:val="1"/>
          <w:color w:val="auto"/>
        </w:rPr>
        <w:t>Protected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Rights</w:t>
      </w:r>
      <w:r>
        <w:rPr>
          <w:rFonts w:ascii="Times New Roman" w:cs="Times New Roman" w:eastAsia="Times New Roman" w:hAnsi="Times New Roman"/>
          <w:sz w:val="22"/>
          <w:szCs w:val="22"/>
          <w:color w:val="auto"/>
        </w:rPr>
        <w:t>,” and the terms of this Transition Agreement are subject to the Protected Rights.</w:t>
      </w:r>
    </w:p>
    <w:p>
      <w:pPr>
        <w:spacing w:after="0" w:line="180" w:lineRule="exact"/>
        <w:rPr>
          <w:sz w:val="20"/>
          <w:szCs w:val="20"/>
          <w:color w:val="auto"/>
        </w:rPr>
      </w:pPr>
    </w:p>
    <w:p>
      <w:pPr>
        <w:jc w:val="both"/>
        <w:ind w:left="1080"/>
        <w:spacing w:after="0" w:line="249" w:lineRule="auto"/>
        <w:rPr>
          <w:sz w:val="20"/>
          <w:szCs w:val="20"/>
          <w:color w:val="auto"/>
        </w:rPr>
      </w:pPr>
      <w:r>
        <w:rPr>
          <w:rFonts w:ascii="Times New Roman" w:cs="Times New Roman" w:eastAsia="Times New Roman" w:hAnsi="Times New Roman"/>
          <w:sz w:val="22"/>
          <w:szCs w:val="22"/>
          <w:color w:val="auto"/>
        </w:rPr>
        <w:t>Further, the U.S. Defend Trade Secrets Act of 2016 (“</w:t>
      </w:r>
      <w:r>
        <w:rPr>
          <w:rFonts w:ascii="Times New Roman" w:cs="Times New Roman" w:eastAsia="Times New Roman" w:hAnsi="Times New Roman"/>
          <w:sz w:val="22"/>
          <w:szCs w:val="22"/>
          <w:b w:val="1"/>
          <w:bCs w:val="1"/>
          <w:i w:val="1"/>
          <w:iCs w:val="1"/>
          <w:color w:val="auto"/>
        </w:rPr>
        <w:t>DTSA</w:t>
      </w:r>
      <w:r>
        <w:rPr>
          <w:rFonts w:ascii="Times New Roman" w:cs="Times New Roman" w:eastAsia="Times New Roman" w:hAnsi="Times New Roman"/>
          <w:sz w:val="22"/>
          <w:szCs w:val="22"/>
          <w:color w:val="auto"/>
        </w:rPr>
        <w:t>”) provides that an individual shall not be held criminally or civilly liable under any federal or state trade secret law for the disclosure of a trade secret that (w) is made (i) in confidence to a federal, state, or local government official, either directly or indirectly, or to an attorney, and (ii) solely for the purpose of reporting or investigating a suspected violation of law, or (x) is made in a complaint or other document filed in a lawsuit or other proceeding, if such filing is made under seal. In addition, the DTSA provides that an individual who files a lawsuit for retaliation by an employer for reporting a suspected violation of law may disclose the trade secret to the attorney of the individual and use the trade secret information in the court proceeding, if the individual (y) files any document containing the trade secret under seal and (z) does not disclose the trade secret, except pursuant to court order.</w:t>
      </w:r>
    </w:p>
    <w:p>
      <w:pPr>
        <w:spacing w:after="0" w:line="182" w:lineRule="exact"/>
        <w:rPr>
          <w:sz w:val="20"/>
          <w:szCs w:val="20"/>
          <w:color w:val="auto"/>
        </w:rPr>
      </w:pPr>
    </w:p>
    <w:p>
      <w:pPr>
        <w:jc w:val="both"/>
        <w:ind w:left="1080"/>
        <w:spacing w:after="0" w:line="248" w:lineRule="auto"/>
        <w:rPr>
          <w:sz w:val="20"/>
          <w:szCs w:val="20"/>
          <w:color w:val="auto"/>
        </w:rPr>
      </w:pPr>
      <w:r>
        <w:rPr>
          <w:rFonts w:ascii="Times New Roman" w:cs="Times New Roman" w:eastAsia="Times New Roman" w:hAnsi="Times New Roman"/>
          <w:sz w:val="22"/>
          <w:szCs w:val="22"/>
          <w:color w:val="auto"/>
        </w:rPr>
        <w:t>By executing this Transition Agreement you represent that, as of the date you sign this Transition Agreement, no claims, lawsuits, or charges have been filed by you or on your behalf against the Company or any of its legal predecessors, successors, assigns, fiduciaries, parents, subsidiaries, divisions or other affiliates, or any of the foregoing’s respective past, present or future principals, partners, shareholders, directors, officers, employees, agents, consultants, attorneys, trustees, administrators, executors or representatives. You acknowledge and agree that you have in a timely manner received or waived all applicable notices, other than notices under Cause, required under the Equity Plans and the Executive Severance Plan (or otherwise) in connection with or reasonably related to this Transition Agreement and your Qualifying Separation. The Company agrees that this Transition Agreement does not extend to, release or modify any rights to indemnification or advancement of expenses to which you are entitled from the Company or its insurers under the Company’s articles of incorporation, bylaws, or other corporate governing law or instruments (including any directors and officers liability insurance) or your indemnification agreement(s) with the Company.</w:t>
      </w:r>
    </w:p>
    <w:p>
      <w:pPr>
        <w:spacing w:after="0" w:line="198" w:lineRule="exact"/>
        <w:rPr>
          <w:sz w:val="20"/>
          <w:szCs w:val="20"/>
          <w:color w:val="auto"/>
        </w:rPr>
      </w:pPr>
    </w:p>
    <w:p>
      <w:pPr>
        <w:jc w:val="both"/>
        <w:ind w:left="1080"/>
        <w:spacing w:after="0" w:line="250" w:lineRule="auto"/>
        <w:rPr>
          <w:sz w:val="20"/>
          <w:szCs w:val="20"/>
          <w:color w:val="auto"/>
        </w:rPr>
      </w:pPr>
      <w:r>
        <w:rPr>
          <w:rFonts w:ascii="Times New Roman" w:cs="Times New Roman" w:eastAsia="Times New Roman" w:hAnsi="Times New Roman"/>
          <w:sz w:val="22"/>
          <w:szCs w:val="22"/>
          <w:color w:val="auto"/>
        </w:rPr>
        <w:t>You agree that you will not make or issue, or procure any person, firm, or entity to make or issue, any statement in any form, including written, oral and electronic communications of any kind, which conveys negative or adverse information concerning the Company, the TriMas Companies (as defined below), or any and all past, present, or future related persons or entities, including but not limited to the Company’s and such TriMas Companies’ officers, directors, managers, employees, shareholders, agents, attorneys, successors and assigns, specifically including without limitation the Company and its subsidiaries and affiliates, their business, their actions or their officers or directors, to any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20"/>
          </w:cols>
          <w:pgMar w:left="540" w:top="1422" w:right="339" w:bottom="1440" w:gutter="0" w:footer="0" w:header="0"/>
        </w:sectPr>
      </w:pPr>
    </w:p>
    <w:bookmarkStart w:id="187" w:name="page188"/>
    <w:bookmarkEnd w:id="187"/>
    <w:p>
      <w:pPr>
        <w:jc w:val="both"/>
        <w:ind w:left="1080"/>
        <w:spacing w:after="0" w:line="257" w:lineRule="auto"/>
        <w:rPr>
          <w:sz w:val="20"/>
          <w:szCs w:val="20"/>
          <w:color w:val="auto"/>
        </w:rPr>
      </w:pPr>
      <w:r>
        <w:rPr>
          <w:rFonts w:ascii="Times New Roman" w:cs="Times New Roman" w:eastAsia="Times New Roman" w:hAnsi="Times New Roman"/>
          <w:sz w:val="22"/>
          <w:szCs w:val="22"/>
          <w:color w:val="auto"/>
        </w:rPr>
        <w:t>regardless of the truth or falsity of such statement. Any inquiries to the Company by future employers shall be referred to the Company’s human resources department which shall only provide your last position and dates of employment. This paragraph does not apply to truthful testimony compelled by applicable law or legal process.</w:t>
      </w:r>
    </w:p>
    <w:p>
      <w:pPr>
        <w:spacing w:after="0" w:line="182" w:lineRule="exact"/>
        <w:rPr>
          <w:sz w:val="20"/>
          <w:szCs w:val="20"/>
          <w:color w:val="auto"/>
        </w:rPr>
      </w:pPr>
    </w:p>
    <w:p>
      <w:pPr>
        <w:ind w:left="1080" w:hanging="644"/>
        <w:spacing w:after="0"/>
        <w:tabs>
          <w:tab w:leader="none" w:pos="1080" w:val="left"/>
        </w:tabs>
        <w:numPr>
          <w:ilvl w:val="0"/>
          <w:numId w:val="2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Limitations</w:t>
      </w:r>
    </w:p>
    <w:p>
      <w:pPr>
        <w:spacing w:after="0" w:line="223" w:lineRule="exact"/>
        <w:rPr>
          <w:rFonts w:ascii="Times New Roman" w:cs="Times New Roman" w:eastAsia="Times New Roman" w:hAnsi="Times New Roman"/>
          <w:sz w:val="22"/>
          <w:szCs w:val="22"/>
          <w:b w:val="1"/>
          <w:bCs w:val="1"/>
          <w:color w:val="auto"/>
        </w:rPr>
      </w:pPr>
    </w:p>
    <w:p>
      <w:pPr>
        <w:jc w:val="both"/>
        <w:ind w:left="1080"/>
        <w:spacing w:after="0" w:line="25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Nothing in this Transition Agreement or the Executive Severance Plan shall be binding upon the parties hereto to the extent it is void or unenforceable for any reason, including, without limitation, as a result of any law regulating competition or proscribing unlawful business practices;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to the extent that any provision in this Transition Agreement, the Equity Plans or the Executive Severance Plan could be reasonably modified to render it enforceable under applicable law, it shall be deemed so modified and enforced to the fullest extent allowed by law.</w:t>
      </w:r>
    </w:p>
    <w:p>
      <w:pPr>
        <w:spacing w:after="0" w:line="177" w:lineRule="exact"/>
        <w:rPr>
          <w:rFonts w:ascii="Times New Roman" w:cs="Times New Roman" w:eastAsia="Times New Roman" w:hAnsi="Times New Roman"/>
          <w:sz w:val="22"/>
          <w:szCs w:val="22"/>
          <w:b w:val="1"/>
          <w:bCs w:val="1"/>
          <w:color w:val="auto"/>
        </w:rPr>
      </w:pPr>
    </w:p>
    <w:p>
      <w:pPr>
        <w:ind w:left="1080" w:hanging="644"/>
        <w:spacing w:after="0"/>
        <w:tabs>
          <w:tab w:leader="none" w:pos="1080" w:val="left"/>
        </w:tabs>
        <w:numPr>
          <w:ilvl w:val="0"/>
          <w:numId w:val="2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Material Breach</w:t>
      </w:r>
    </w:p>
    <w:p>
      <w:pPr>
        <w:spacing w:after="0" w:line="219" w:lineRule="exact"/>
        <w:rPr>
          <w:rFonts w:ascii="Times New Roman" w:cs="Times New Roman" w:eastAsia="Times New Roman" w:hAnsi="Times New Roman"/>
          <w:sz w:val="22"/>
          <w:szCs w:val="22"/>
          <w:b w:val="1"/>
          <w:bCs w:val="1"/>
          <w:color w:val="auto"/>
        </w:rPr>
      </w:pPr>
    </w:p>
    <w:p>
      <w:pPr>
        <w:jc w:val="both"/>
        <w:ind w:left="1080"/>
        <w:spacing w:after="0" w:line="24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You agree that in the event of any breach of any provision of the restrictive covenants described in </w:t>
      </w:r>
      <w:r>
        <w:rPr>
          <w:rFonts w:ascii="Times New Roman" w:cs="Times New Roman" w:eastAsia="Times New Roman" w:hAnsi="Times New Roman"/>
          <w:sz w:val="22"/>
          <w:szCs w:val="22"/>
          <w:b w:val="1"/>
          <w:bCs w:val="1"/>
          <w:u w:val="single" w:color="auto"/>
          <w:color w:val="auto"/>
        </w:rPr>
        <w:t>Section 3</w:t>
      </w:r>
      <w:r>
        <w:rPr>
          <w:rFonts w:ascii="Times New Roman" w:cs="Times New Roman" w:eastAsia="Times New Roman" w:hAnsi="Times New Roman"/>
          <w:sz w:val="22"/>
          <w:szCs w:val="22"/>
          <w:color w:val="auto"/>
        </w:rPr>
        <w:t xml:space="preserve"> of this Transition Agreement, the Company will be entitled to equitable and/or injunctive relief and, because the damages for such a breach will be impossible or impractical to determine and will not therefore provide a full and adequate remedy, the Company or (as applicable) any and all past, present or future parents, subsidiaries and affiliates of the Company (the “</w:t>
      </w:r>
      <w:r>
        <w:rPr>
          <w:rFonts w:ascii="Times New Roman" w:cs="Times New Roman" w:eastAsia="Times New Roman" w:hAnsi="Times New Roman"/>
          <w:sz w:val="22"/>
          <w:szCs w:val="22"/>
          <w:b w:val="1"/>
          <w:bCs w:val="1"/>
          <w:i w:val="1"/>
          <w:iCs w:val="1"/>
          <w:color w:val="auto"/>
        </w:rPr>
        <w:t>TriMas Companies</w:t>
      </w:r>
      <w:r>
        <w:rPr>
          <w:rFonts w:ascii="Times New Roman" w:cs="Times New Roman" w:eastAsia="Times New Roman" w:hAnsi="Times New Roman"/>
          <w:sz w:val="22"/>
          <w:szCs w:val="22"/>
          <w:color w:val="auto"/>
        </w:rPr>
        <w:t>”) will also be entitled to specific performance by you. Except with respect to any clawback rights the Company may have or obtain with respect to equity or incentive awards under the Equity Plans or otherwise (including under any Company policy adopted to comply with applicable stock exchange listing standards, Section 10D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Rule 10D-1 under the Exchange Act), no amount owing to you under this Transition Agreement shall be subject to set-off or reduction by reason of any claims that the Company and its subsidiaries and affiliates have or may have against you. You will be entitled to recover actual damages if the Company materially breaches this Transition Agreement, including any unexcused late or non-payment of any amounts owed under this Transition Agreement, or any unexcused failure to provide any other benefits specified in this Transition Agreement. Failure by any party hereto to enforce any term or condition of this Transition Agreement at any time shall not preclude that party from enforcing that provision, or any other provision, at a later time.</w:t>
      </w:r>
    </w:p>
    <w:p>
      <w:pPr>
        <w:spacing w:after="0" w:line="182" w:lineRule="exact"/>
        <w:rPr>
          <w:rFonts w:ascii="Times New Roman" w:cs="Times New Roman" w:eastAsia="Times New Roman" w:hAnsi="Times New Roman"/>
          <w:sz w:val="22"/>
          <w:szCs w:val="22"/>
          <w:b w:val="1"/>
          <w:bCs w:val="1"/>
          <w:color w:val="auto"/>
        </w:rPr>
      </w:pPr>
    </w:p>
    <w:p>
      <w:pPr>
        <w:ind w:left="1080" w:hanging="644"/>
        <w:spacing w:after="0"/>
        <w:tabs>
          <w:tab w:leader="none" w:pos="1080" w:val="left"/>
        </w:tabs>
        <w:numPr>
          <w:ilvl w:val="0"/>
          <w:numId w:val="2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Re-Employment; Standstill Agreement</w:t>
      </w:r>
    </w:p>
    <w:p>
      <w:pPr>
        <w:spacing w:after="0" w:line="223" w:lineRule="exact"/>
        <w:rPr>
          <w:rFonts w:ascii="Times New Roman" w:cs="Times New Roman" w:eastAsia="Times New Roman" w:hAnsi="Times New Roman"/>
          <w:sz w:val="22"/>
          <w:szCs w:val="22"/>
          <w:b w:val="1"/>
          <w:bCs w:val="1"/>
          <w:color w:val="auto"/>
        </w:rPr>
      </w:pPr>
    </w:p>
    <w:p>
      <w:pPr>
        <w:jc w:val="both"/>
        <w:ind w:left="1080" w:right="20" w:firstLine="4"/>
        <w:spacing w:after="0" w:line="257" w:lineRule="auto"/>
        <w:tabs>
          <w:tab w:leader="none" w:pos="1567"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that your employment with the Company shall terminate on the Separation Date. You agree that you will not seek or accept employment with the Company and its subsidiaries and affiliates, including assignment to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20"/>
          </w:cols>
          <w:pgMar w:left="540" w:top="1422" w:right="339" w:bottom="1440" w:gutter="0" w:footer="0" w:header="0"/>
        </w:sectPr>
      </w:pPr>
    </w:p>
    <w:bookmarkStart w:id="188" w:name="page189"/>
    <w:bookmarkEnd w:id="188"/>
    <w:p>
      <w:pPr>
        <w:ind w:left="1080"/>
        <w:spacing w:after="0" w:line="271" w:lineRule="auto"/>
        <w:rPr>
          <w:sz w:val="20"/>
          <w:szCs w:val="20"/>
          <w:color w:val="auto"/>
        </w:rPr>
      </w:pPr>
      <w:r>
        <w:rPr>
          <w:rFonts w:ascii="Times New Roman" w:cs="Times New Roman" w:eastAsia="Times New Roman" w:hAnsi="Times New Roman"/>
          <w:sz w:val="22"/>
          <w:szCs w:val="22"/>
          <w:color w:val="auto"/>
        </w:rPr>
        <w:t>on behalf of the Company as an independent contractor or through any third party, and the Company and its subsidiaries and affiliates have no obligation to consider you for any future employment or assignment.</w:t>
      </w:r>
    </w:p>
    <w:p>
      <w:pPr>
        <w:spacing w:after="0" w:line="158" w:lineRule="exact"/>
        <w:rPr>
          <w:sz w:val="20"/>
          <w:szCs w:val="20"/>
          <w:color w:val="auto"/>
        </w:rPr>
      </w:pPr>
    </w:p>
    <w:p>
      <w:pPr>
        <w:jc w:val="both"/>
        <w:ind w:left="1080" w:firstLine="4"/>
        <w:spacing w:after="0" w:line="253" w:lineRule="auto"/>
        <w:tabs>
          <w:tab w:leader="none" w:pos="1599"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unless approved in advance in writing by the Board, neither you nor any of your affiliates, and none of such persons’ respective directors, officers, employees, managing members, general partners, agents and consultants, as applicable (including attorneys, financial advisors and accountants) (collectively, “</w:t>
      </w:r>
      <w:r>
        <w:rPr>
          <w:rFonts w:ascii="Times New Roman" w:cs="Times New Roman" w:eastAsia="Times New Roman" w:hAnsi="Times New Roman"/>
          <w:sz w:val="22"/>
          <w:szCs w:val="22"/>
          <w:b w:val="1"/>
          <w:bCs w:val="1"/>
          <w:i w:val="1"/>
          <w:iCs w:val="1"/>
          <w:color w:val="auto"/>
        </w:rPr>
        <w:t>Representatives</w:t>
      </w:r>
      <w:r>
        <w:rPr>
          <w:rFonts w:ascii="Times New Roman" w:cs="Times New Roman" w:eastAsia="Times New Roman" w:hAnsi="Times New Roman"/>
          <w:sz w:val="22"/>
          <w:szCs w:val="22"/>
          <w:color w:val="auto"/>
        </w:rPr>
        <w:t>”), acting on behalf of or in concert with you (or any of your Representatives) will, for a period of 18 months after the Separation Date, directly or indirectly:</w:t>
      </w:r>
    </w:p>
    <w:p>
      <w:pPr>
        <w:spacing w:after="0" w:line="178" w:lineRule="exact"/>
        <w:rPr>
          <w:rFonts w:ascii="Times New Roman" w:cs="Times New Roman" w:eastAsia="Times New Roman" w:hAnsi="Times New Roman"/>
          <w:sz w:val="22"/>
          <w:szCs w:val="22"/>
          <w:color w:val="auto"/>
        </w:rPr>
      </w:pPr>
    </w:p>
    <w:p>
      <w:pPr>
        <w:jc w:val="both"/>
        <w:ind w:left="1740" w:hanging="8"/>
        <w:spacing w:after="0" w:line="261" w:lineRule="auto"/>
        <w:tabs>
          <w:tab w:leader="none" w:pos="2241"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make any statement or proposal to the Board, any of the Company’s Representatives or any of the Company’s stockholders regarding, or make any public announcement, proposal or offer (including any “solicitation” of “proxies” as such terms are defined or used in Regulation 14A of the Exchange Act) with respect to, or otherwise solicit, seek or offer to effect (including, for the avoidance of doubt, indirectly by means of communication with the press or media) (A) any business combination, merger, tender offer, exchange offer or similar transaction involving the Company or any of its subsidiaries, (B) any restructuring, recapitalization, liquidation or similar transaction involving the Company or any of its subsidiaries, (C) any acquisition of any of the Company’s loans, debt securities, equity securities or assets, or rights or options to acquire interests in any of the Company’s loans, debt securities, equity securities or assets, (D) any proposal to seek representation on the Board or otherwise seek to control or influence the management, Board or any policies of the Company, (E) any request or proposal to waive, terminate or amend the provisions of this Transition Agreement, or (F) any proposal, arrangement or other statement that is inconsistent with the terms of this Transition Agreement, including this </w:t>
      </w:r>
      <w:r>
        <w:rPr>
          <w:rFonts w:ascii="Times New Roman" w:cs="Times New Roman" w:eastAsia="Times New Roman" w:hAnsi="Times New Roman"/>
          <w:sz w:val="21"/>
          <w:szCs w:val="21"/>
          <w:b w:val="1"/>
          <w:bCs w:val="1"/>
          <w:u w:val="single" w:color="auto"/>
          <w:color w:val="auto"/>
        </w:rPr>
        <w:t>Section 6(b)(i)</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jc w:val="both"/>
        <w:ind w:left="1740" w:hanging="8"/>
        <w:spacing w:after="0" w:line="257" w:lineRule="auto"/>
        <w:tabs>
          <w:tab w:leader="none" w:pos="2245"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instigate, encourage or assist any third party (including forming a “group” with any such third party) to do, or enter into any discussions or agreements with any third party with respect to, any of the actions set forth in clause (i) above;</w:t>
      </w:r>
    </w:p>
    <w:p>
      <w:pPr>
        <w:spacing w:after="0" w:line="172" w:lineRule="exact"/>
        <w:rPr>
          <w:rFonts w:ascii="Times New Roman" w:cs="Times New Roman" w:eastAsia="Times New Roman" w:hAnsi="Times New Roman"/>
          <w:sz w:val="22"/>
          <w:szCs w:val="22"/>
          <w:color w:val="auto"/>
        </w:rPr>
      </w:pPr>
    </w:p>
    <w:p>
      <w:pPr>
        <w:ind w:left="1740" w:hanging="8"/>
        <w:spacing w:after="0" w:line="284" w:lineRule="auto"/>
        <w:tabs>
          <w:tab w:leader="none" w:pos="2318"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which would reasonably be expected to require the Company or any of its affiliates to make a public announcement regarding any of the actions set forth in clause (i) above; or</w:t>
      </w:r>
    </w:p>
    <w:p>
      <w:pPr>
        <w:spacing w:after="0" w:line="143" w:lineRule="exact"/>
        <w:rPr>
          <w:rFonts w:ascii="Times New Roman" w:cs="Times New Roman" w:eastAsia="Times New Roman" w:hAnsi="Times New Roman"/>
          <w:sz w:val="22"/>
          <w:szCs w:val="22"/>
          <w:color w:val="auto"/>
        </w:rPr>
      </w:pPr>
    </w:p>
    <w:p>
      <w:pPr>
        <w:jc w:val="both"/>
        <w:ind w:left="1740" w:hanging="8"/>
        <w:spacing w:after="0" w:line="257" w:lineRule="auto"/>
        <w:tabs>
          <w:tab w:leader="none" w:pos="2365"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(or propose or agree to acquire), of record or beneficially, by purchase or otherwise, any loans, debt securities, equity securities or assets of the Company or any of its subsidiaries, or rights or options to acquire interests in any of the Company’s loans, debt securities, equity securities or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20"/>
          </w:cols>
          <w:pgMar w:left="540" w:top="1422" w:right="339" w:bottom="1440" w:gutter="0" w:footer="0" w:header="0"/>
        </w:sectPr>
      </w:pPr>
    </w:p>
    <w:bookmarkStart w:id="189" w:name="page190"/>
    <w:bookmarkEnd w:id="189"/>
    <w:p>
      <w:pPr>
        <w:ind w:left="1080" w:hanging="644"/>
        <w:spacing w:after="0"/>
        <w:tabs>
          <w:tab w:leader="none" w:pos="108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Review of Transition Agreement</w:t>
      </w:r>
    </w:p>
    <w:p>
      <w:pPr>
        <w:spacing w:after="0" w:line="223" w:lineRule="exact"/>
        <w:rPr>
          <w:rFonts w:ascii="Times New Roman" w:cs="Times New Roman" w:eastAsia="Times New Roman" w:hAnsi="Times New Roman"/>
          <w:sz w:val="22"/>
          <w:szCs w:val="22"/>
          <w:b w:val="1"/>
          <w:bCs w:val="1"/>
          <w:color w:val="auto"/>
        </w:rPr>
      </w:pPr>
    </w:p>
    <w:p>
      <w:pPr>
        <w:jc w:val="both"/>
        <w:ind w:left="1080"/>
        <w:spacing w:after="0" w:line="25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Transition Agreement is important. You are advised to review it carefully and consult an attorney before signing it, as well as any other professional whose advice you value, such as an accountant or financial advisor. If you agree to the terms of this Transition Agreement, sign in the space below where your agreement is indicated. The payments and benefits specified in this Transition Agreement are contingent on your (a) signing this Transition Agreement and (b) signing the Release no earlier than the Separation Date and no later than 60 calendar days following the Separation Date, and not revoking the Release.</w:t>
      </w:r>
    </w:p>
    <w:p>
      <w:pPr>
        <w:spacing w:after="0" w:line="177" w:lineRule="exact"/>
        <w:rPr>
          <w:rFonts w:ascii="Times New Roman" w:cs="Times New Roman" w:eastAsia="Times New Roman" w:hAnsi="Times New Roman"/>
          <w:sz w:val="22"/>
          <w:szCs w:val="22"/>
          <w:b w:val="1"/>
          <w:bCs w:val="1"/>
          <w:color w:val="auto"/>
        </w:rPr>
      </w:pPr>
    </w:p>
    <w:p>
      <w:pPr>
        <w:ind w:left="1080" w:hanging="644"/>
        <w:spacing w:after="0"/>
        <w:tabs>
          <w:tab w:leader="none" w:pos="108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Return of Property</w:t>
      </w:r>
    </w:p>
    <w:p>
      <w:pPr>
        <w:spacing w:after="0" w:line="237" w:lineRule="exact"/>
        <w:rPr>
          <w:rFonts w:ascii="Times New Roman" w:cs="Times New Roman" w:eastAsia="Times New Roman" w:hAnsi="Times New Roman"/>
          <w:sz w:val="22"/>
          <w:szCs w:val="22"/>
          <w:b w:val="1"/>
          <w:bCs w:val="1"/>
          <w:color w:val="auto"/>
        </w:rPr>
      </w:pPr>
    </w:p>
    <w:p>
      <w:pPr>
        <w:jc w:val="both"/>
        <w:ind w:left="1080"/>
        <w:spacing w:after="0" w:line="24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affirm that you will return, within a reasonable time after the Separation Date, to the Company in reasonable working order all Company Property, as described more fully below. “Company Property” includes company-owned or leased equipment, supplies and documents, including computers and reasonably related equipment or other electronics. Such documents may include but are not limited to customer lists, financial statements, cost data, price lists, invoices, forms, passwords, electronic files and media, mailing lists, contracts, reports, manuals, personnel files, correspondence, business cards, drawings, employee lists or directories, lists of vendors, photographs, maps, surveys, and the like, including copies, notes or compilations made there from, whether such documents are embodied on “hard copies” or stored electronically or in any other medium. You further agree that you will not retain any copies or duplicates of any such Company Property.</w:t>
      </w:r>
    </w:p>
    <w:p>
      <w:pPr>
        <w:spacing w:after="0" w:line="181" w:lineRule="exact"/>
        <w:rPr>
          <w:rFonts w:ascii="Times New Roman" w:cs="Times New Roman" w:eastAsia="Times New Roman" w:hAnsi="Times New Roman"/>
          <w:sz w:val="22"/>
          <w:szCs w:val="22"/>
          <w:b w:val="1"/>
          <w:bCs w:val="1"/>
          <w:color w:val="auto"/>
        </w:rPr>
      </w:pPr>
    </w:p>
    <w:p>
      <w:pPr>
        <w:ind w:left="1080" w:hanging="644"/>
        <w:spacing w:after="0"/>
        <w:tabs>
          <w:tab w:leader="none" w:pos="108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Future Cooperation</w:t>
      </w:r>
    </w:p>
    <w:p>
      <w:pPr>
        <w:spacing w:after="0" w:line="223" w:lineRule="exact"/>
        <w:rPr>
          <w:rFonts w:ascii="Times New Roman" w:cs="Times New Roman" w:eastAsia="Times New Roman" w:hAnsi="Times New Roman"/>
          <w:sz w:val="22"/>
          <w:szCs w:val="22"/>
          <w:b w:val="1"/>
          <w:bCs w:val="1"/>
          <w:color w:val="auto"/>
        </w:rPr>
      </w:pPr>
    </w:p>
    <w:p>
      <w:pPr>
        <w:jc w:val="both"/>
        <w:ind w:left="1080"/>
        <w:spacing w:after="0" w:line="24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agree that you shall, without any additional compensation, respond to reasonable requests for information from the Company (such requests shall not require you to provide services to the Company (excluding for clarification any services provided under the second and third sentences of this paragraph, which services will not require any additional compensation other than expense reimbursement as described in the last sentence of this paragraph)) regarding matters that may arise in the Company’s business. You further agree to reasonably cooperate with the Company, its advisors and its legal counsel with respect to any litigation that is pending against the Company and any claim or action that may be filed against the Company in the future. Such cooperation shall include making yourself available during regular business hours and only to the extent such cooperation does not materially interfere with your duties to a successor employer at reasonable places for interviews, reviewing documents, testifying in a deposition or a legal or administrative proceeding, and providing advice to the Company in preparing defenses to any pending or potential future claims against the Company. The Company agrees to (or to cause one of its affiliates to) pay/reimburse you for any approved travel expenses reasonably incurred as a result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20"/>
          </w:cols>
          <w:pgMar w:left="540" w:top="1418" w:right="339" w:bottom="1440" w:gutter="0" w:footer="0" w:header="0"/>
        </w:sectPr>
      </w:pPr>
    </w:p>
    <w:bookmarkStart w:id="190" w:name="page191"/>
    <w:bookmarkEnd w:id="190"/>
    <w:p>
      <w:pPr>
        <w:ind w:left="1080"/>
        <w:spacing w:after="0" w:line="271" w:lineRule="auto"/>
        <w:rPr>
          <w:sz w:val="20"/>
          <w:szCs w:val="20"/>
          <w:color w:val="auto"/>
        </w:rPr>
      </w:pPr>
      <w:r>
        <w:rPr>
          <w:rFonts w:ascii="Times New Roman" w:cs="Times New Roman" w:eastAsia="Times New Roman" w:hAnsi="Times New Roman"/>
          <w:sz w:val="22"/>
          <w:szCs w:val="22"/>
          <w:color w:val="auto"/>
        </w:rPr>
        <w:t>your cooperation with the Company, with any such payments/reimbursements to be made in accordance with the Company’s expense reimbursement policy as in effect from time to time.</w:t>
      </w:r>
    </w:p>
    <w:p>
      <w:pPr>
        <w:spacing w:after="0" w:line="154" w:lineRule="exact"/>
        <w:rPr>
          <w:sz w:val="20"/>
          <w:szCs w:val="20"/>
          <w:color w:val="auto"/>
        </w:rPr>
      </w:pPr>
    </w:p>
    <w:p>
      <w:pPr>
        <w:ind w:left="1080" w:hanging="644"/>
        <w:spacing w:after="0"/>
        <w:tabs>
          <w:tab w:leader="none" w:pos="1080" w:val="left"/>
        </w:tabs>
        <w:numPr>
          <w:ilvl w:val="0"/>
          <w:numId w:val="2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Tax Matters</w:t>
      </w:r>
    </w:p>
    <w:p>
      <w:pPr>
        <w:spacing w:after="0" w:line="237" w:lineRule="exact"/>
        <w:rPr>
          <w:rFonts w:ascii="Times New Roman" w:cs="Times New Roman" w:eastAsia="Times New Roman" w:hAnsi="Times New Roman"/>
          <w:sz w:val="22"/>
          <w:szCs w:val="22"/>
          <w:b w:val="1"/>
          <w:bCs w:val="1"/>
          <w:color w:val="auto"/>
        </w:rPr>
      </w:pPr>
    </w:p>
    <w:p>
      <w:pPr>
        <w:jc w:val="both"/>
        <w:ind w:left="1080"/>
        <w:spacing w:after="0" w:line="26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By signing this Transition Agreement, you acknowledge that you will be solely responsible for any taxes (other than the employer portion of payroll taxes) which may be imposed on you as a result of the Severance Benefits or the provisions of this Transition Agreement, that all amounts payable to you under or in connection with this Transition Agreement will be subject to applicable tax withholding by the Company or its subsidiaries or affiliates, and that the Company has not made any representations or guarantees regarding the tax result for you with respect to any income recognized by you in connection with this Transition Agreement or the Severance Benefits.</w:t>
      </w:r>
    </w:p>
    <w:p>
      <w:pPr>
        <w:spacing w:after="0" w:line="164" w:lineRule="exact"/>
        <w:rPr>
          <w:rFonts w:ascii="Times New Roman" w:cs="Times New Roman" w:eastAsia="Times New Roman" w:hAnsi="Times New Roman"/>
          <w:sz w:val="22"/>
          <w:szCs w:val="22"/>
          <w:b w:val="1"/>
          <w:bCs w:val="1"/>
          <w:color w:val="auto"/>
        </w:rPr>
      </w:pPr>
    </w:p>
    <w:p>
      <w:pPr>
        <w:ind w:left="1080" w:hanging="644"/>
        <w:spacing w:after="0"/>
        <w:tabs>
          <w:tab w:leader="none" w:pos="1080" w:val="left"/>
        </w:tabs>
        <w:numPr>
          <w:ilvl w:val="0"/>
          <w:numId w:val="2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Internal Revenue Code Section 409A</w:t>
      </w:r>
    </w:p>
    <w:p>
      <w:pPr>
        <w:spacing w:after="0" w:line="223" w:lineRule="exact"/>
        <w:rPr>
          <w:rFonts w:ascii="Times New Roman" w:cs="Times New Roman" w:eastAsia="Times New Roman" w:hAnsi="Times New Roman"/>
          <w:sz w:val="22"/>
          <w:szCs w:val="22"/>
          <w:b w:val="1"/>
          <w:bCs w:val="1"/>
          <w:color w:val="auto"/>
        </w:rPr>
      </w:pPr>
    </w:p>
    <w:p>
      <w:pPr>
        <w:jc w:val="both"/>
        <w:ind w:left="1080"/>
        <w:spacing w:after="0" w:line="25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The intent of you and the Company is that payments and benefits under this Transition Agreement comply with, or be exempt from, Section 409A of the Internal Revenue Code of 1986, as amended, and the regulations and guidance promulgated thereunder (collectively “</w:t>
      </w:r>
      <w:r>
        <w:rPr>
          <w:rFonts w:ascii="Times New Roman" w:cs="Times New Roman" w:eastAsia="Times New Roman" w:hAnsi="Times New Roman"/>
          <w:sz w:val="21"/>
          <w:szCs w:val="21"/>
          <w:b w:val="1"/>
          <w:bCs w:val="1"/>
          <w:i w:val="1"/>
          <w:iCs w:val="1"/>
          <w:color w:val="auto"/>
        </w:rPr>
        <w:t>Code Section 409A</w:t>
      </w:r>
      <w:r>
        <w:rPr>
          <w:rFonts w:ascii="Times New Roman" w:cs="Times New Roman" w:eastAsia="Times New Roman" w:hAnsi="Times New Roman"/>
          <w:sz w:val="21"/>
          <w:szCs w:val="21"/>
          <w:color w:val="auto"/>
        </w:rPr>
        <w:t>”); accordingly, to the maximum extent permitted, this Transition Agreement shall be interpreted to be in compliance therewith. Notwithstanding any provision of this Transition Agreement to the contrary, in the event that you are a “specified employee” within the meaning of Code Section 409A (as determined in accordance with the methodology established by the Company as in effect on the Separation Date) (a “</w:t>
      </w:r>
      <w:r>
        <w:rPr>
          <w:rFonts w:ascii="Times New Roman" w:cs="Times New Roman" w:eastAsia="Times New Roman" w:hAnsi="Times New Roman"/>
          <w:sz w:val="21"/>
          <w:szCs w:val="21"/>
          <w:b w:val="1"/>
          <w:bCs w:val="1"/>
          <w:i w:val="1"/>
          <w:iCs w:val="1"/>
          <w:color w:val="auto"/>
        </w:rPr>
        <w:t>Specified Employee</w:t>
      </w:r>
      <w:r>
        <w:rPr>
          <w:rFonts w:ascii="Times New Roman" w:cs="Times New Roman" w:eastAsia="Times New Roman" w:hAnsi="Times New Roman"/>
          <w:sz w:val="21"/>
          <w:szCs w:val="21"/>
          <w:color w:val="auto"/>
        </w:rPr>
        <w:t>”), any payments or benefits that are considered non-qualified deferred compensation under Code Section 409A payable under this Transition Agreement on account of a “separation from service” during the six-month period immediately following your “separation from service” shall, to the extent necessary to comply with Code Section 409A and following the application of the relevant exceptions under Treas. Reg. 1.409A-1(b)(9), instead be paid, or provided, as the case may be, on the first regular payroll date after the date that is six months following your “separation from service” within the meaning of Code Section 409A. For purposes of Code Section 409A, your right to receive any installment payments pursuant to this Transition Agreement shall be treated as a right to receive a series of separate and distinct payments. In no event may you, directly or indirectly, designate the calendar year of any payment to be made under this Transition Agreement that is considered nonqualified deferred compensation, subject to Code Section 409A. With regard to any provision herein that provides for reimbursement of costs and expenses or in-kind benefits that are deferred compensation subject to Code Section 409A, the right to reimbursement or in-kind benefits shall not be subject to liquidation or exchange for another benefit, the amount of expenses eligible for reimbursement, or in-kind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20"/>
          </w:cols>
          <w:pgMar w:left="540" w:top="1422" w:right="339" w:bottom="1440" w:gutter="0" w:footer="0" w:header="0"/>
        </w:sectPr>
      </w:pPr>
    </w:p>
    <w:bookmarkStart w:id="191" w:name="page192"/>
    <w:bookmarkEnd w:id="191"/>
    <w:p>
      <w:pPr>
        <w:jc w:val="both"/>
        <w:ind w:left="1080"/>
        <w:spacing w:after="0" w:line="257" w:lineRule="auto"/>
        <w:rPr>
          <w:sz w:val="20"/>
          <w:szCs w:val="20"/>
          <w:color w:val="auto"/>
        </w:rPr>
      </w:pPr>
      <w:r>
        <w:rPr>
          <w:rFonts w:ascii="Times New Roman" w:cs="Times New Roman" w:eastAsia="Times New Roman" w:hAnsi="Times New Roman"/>
          <w:sz w:val="22"/>
          <w:szCs w:val="22"/>
          <w:color w:val="auto"/>
        </w:rPr>
        <w:t>benefits, provided during any taxable year shall not affect the expenses eligible for reimbursement, or in-kind benefits to be provided, in any other taxable year, and such payments shall be made on or before the last day of your taxable year following the taxable year in which the expense occurred.</w:t>
      </w:r>
    </w:p>
    <w:p>
      <w:pPr>
        <w:spacing w:after="0" w:line="182" w:lineRule="exact"/>
        <w:rPr>
          <w:sz w:val="20"/>
          <w:szCs w:val="20"/>
          <w:color w:val="auto"/>
        </w:rPr>
      </w:pPr>
    </w:p>
    <w:p>
      <w:pPr>
        <w:ind w:left="1080" w:hanging="644"/>
        <w:spacing w:after="0"/>
        <w:tabs>
          <w:tab w:leader="none" w:pos="1080" w:val="left"/>
        </w:tabs>
        <w:numPr>
          <w:ilvl w:val="0"/>
          <w:numId w:val="2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Recovery Policy</w:t>
      </w:r>
    </w:p>
    <w:p>
      <w:pPr>
        <w:spacing w:after="0" w:line="223" w:lineRule="exact"/>
        <w:rPr>
          <w:rFonts w:ascii="Times New Roman" w:cs="Times New Roman" w:eastAsia="Times New Roman" w:hAnsi="Times New Roman"/>
          <w:sz w:val="22"/>
          <w:szCs w:val="22"/>
          <w:b w:val="1"/>
          <w:bCs w:val="1"/>
          <w:color w:val="auto"/>
        </w:rPr>
      </w:pPr>
    </w:p>
    <w:p>
      <w:pPr>
        <w:jc w:val="both"/>
        <w:ind w:left="1080"/>
        <w:spacing w:after="0" w:line="24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anything in this Transition Agreement to the contrary, you acknowledge and agree that this Transition Agreement and any compensation described herein are subject to the terms and conditions of the Company’s clawback policy or policies (if any) as may be in effect from time to time, including those in effect as required to implement Section 10D of the Exchange Act, and any applicable rules or regulations promulgated thereunder (including applicable stock exchange listing standards or rules and regulations) (the “</w:t>
      </w:r>
      <w:r>
        <w:rPr>
          <w:rFonts w:ascii="Times New Roman" w:cs="Times New Roman" w:eastAsia="Times New Roman" w:hAnsi="Times New Roman"/>
          <w:sz w:val="22"/>
          <w:szCs w:val="22"/>
          <w:b w:val="1"/>
          <w:bCs w:val="1"/>
          <w:i w:val="1"/>
          <w:iCs w:val="1"/>
          <w:color w:val="auto"/>
        </w:rPr>
        <w:t>Compensation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Recovery Policy</w:t>
      </w:r>
      <w:r>
        <w:rPr>
          <w:rFonts w:ascii="Times New Roman" w:cs="Times New Roman" w:eastAsia="Times New Roman" w:hAnsi="Times New Roman"/>
          <w:sz w:val="22"/>
          <w:szCs w:val="22"/>
          <w:color w:val="auto"/>
        </w:rPr>
        <w:t>”), and that applicable sections of this Transition Agreement and any related documents shall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deemed superseded by and subject to the terms and conditions of the Compensation Recovery Policy from and after the effective date thereof.</w:t>
      </w:r>
    </w:p>
    <w:p>
      <w:pPr>
        <w:spacing w:after="0" w:line="177" w:lineRule="exact"/>
        <w:rPr>
          <w:rFonts w:ascii="Times New Roman" w:cs="Times New Roman" w:eastAsia="Times New Roman" w:hAnsi="Times New Roman"/>
          <w:sz w:val="22"/>
          <w:szCs w:val="22"/>
          <w:b w:val="1"/>
          <w:bCs w:val="1"/>
          <w:color w:val="auto"/>
        </w:rPr>
      </w:pPr>
    </w:p>
    <w:p>
      <w:pPr>
        <w:ind w:left="1080" w:hanging="644"/>
        <w:spacing w:after="0"/>
        <w:tabs>
          <w:tab w:leader="none" w:pos="1080" w:val="left"/>
        </w:tabs>
        <w:numPr>
          <w:ilvl w:val="0"/>
          <w:numId w:val="2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Nature of Agreement</w:t>
      </w:r>
    </w:p>
    <w:p>
      <w:pPr>
        <w:spacing w:after="0" w:line="223" w:lineRule="exact"/>
        <w:rPr>
          <w:rFonts w:ascii="Times New Roman" w:cs="Times New Roman" w:eastAsia="Times New Roman" w:hAnsi="Times New Roman"/>
          <w:sz w:val="22"/>
          <w:szCs w:val="22"/>
          <w:b w:val="1"/>
          <w:bCs w:val="1"/>
          <w:color w:val="auto"/>
        </w:rPr>
      </w:pPr>
    </w:p>
    <w:p>
      <w:pPr>
        <w:jc w:val="both"/>
        <w:ind w:left="1080"/>
        <w:spacing w:after="0" w:line="26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By signing this Transition Agreement, you acknowledge that you are doing so freely, knowingly and voluntarily. You acknowledge that in signing this Transition Agreement you have relied only on the promises written in this Transition Agreement and on the Executive Severance Plan and the Equity Plans, but not on any other promise made by the Company or TriMas Companies. This Transition Agreement is not, and will not be considered, an admission of liability or of a violation of any applicable contract, law, rule, regulation, or order of any kind. This Transition Agreement, the Executive Severance Plan, the Equity Plans and the Release contain the entire agreement between the Company, other TriMas Companies and you regarding your transition and separation from the Company, except that all post-employment covenants contained in the Executive Severance Plan and Equity Plans remain in full force and effect in accordance with their terms. The Severance Benefits are in full satisfaction of any severance benefits under the Executive Severance Plan and of any other compensation arrangements between you and the Company or the TriMas Companies. This Transition Agreement may not be altered, modified, waived or amended except by a written document signed by a duly authorized representative of the Company and you. Except as otherwise explicitly provided, this Transition Agreement will be interpreted and enforced in accordance with the laws of the State of Michigan, and the parties hereto, including their successors and assigns, consent to the jurisdiction of the state and federal courts of Michigan. The headings in this document are for reference only, and shall not in any way affect the meaning or interpretation of this Transition Agreement.</w:t>
      </w:r>
    </w:p>
    <w:p>
      <w:pPr>
        <w:spacing w:after="0" w:line="17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020"/>
          </w:cols>
          <w:pgMar w:left="540" w:top="1422" w:right="339" w:bottom="1440" w:gutter="0" w:footer="0" w:header="0"/>
        </w:sectPr>
      </w:pPr>
    </w:p>
    <w:bookmarkStart w:id="192" w:name="page193"/>
    <w:bookmarkEnd w:id="192"/>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you and the Company have executed this Transition Agreement as of the dates set forth below.</w:t>
      </w:r>
    </w:p>
    <w:p>
      <w:pPr>
        <w:sectPr>
          <w:pgSz w:w="11900" w:h="16838" w:orient="portrait"/>
          <w:cols w:equalWidth="0" w:num="1">
            <w:col w:w="10580"/>
          </w:cols>
          <w:pgMar w:left="320" w:top="1440" w:right="99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THOMAS A. AMATO</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-13970</wp:posOffset>
            </wp:positionV>
            <wp:extent cx="1592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1592580" cy="8255"/>
                    </a:xfrm>
                    <a:prstGeom prst="rect">
                      <a:avLst/>
                    </a:prstGeom>
                    <a:noFill/>
                  </pic:spPr>
                </pic:pic>
              </a:graphicData>
            </a:graphic>
          </wp:anchor>
        </w:drawing>
      </w:r>
    </w:p>
    <w:p>
      <w:pPr>
        <w:spacing w:after="0" w:line="2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Date: January 4, 2025</w:t>
      </w:r>
    </w:p>
    <w:p>
      <w:pPr>
        <w:spacing w:after="0" w:line="200" w:lineRule="exact"/>
        <w:rPr>
          <w:sz w:val="20"/>
          <w:szCs w:val="20"/>
          <w:color w:val="auto"/>
        </w:rPr>
      </w:pPr>
    </w:p>
    <w:p>
      <w:pPr>
        <w:spacing w:after="0" w:line="38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Jodi Robin</w:t>
      </w:r>
    </w:p>
    <w:p>
      <w:pPr>
        <w:spacing w:after="0" w:line="1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 Jodi Robin</w:t>
      </w:r>
    </w:p>
    <w:p>
      <w:pPr>
        <w:spacing w:after="0" w:line="28" w:lineRule="exact"/>
        <w:rPr>
          <w:sz w:val="20"/>
          <w:szCs w:val="20"/>
          <w:color w:val="auto"/>
        </w:rPr>
      </w:pPr>
    </w:p>
    <w:p>
      <w:pPr>
        <w:jc w:val="right"/>
        <w:ind w:right="2960"/>
        <w:spacing w:after="0"/>
        <w:rPr>
          <w:sz w:val="20"/>
          <w:szCs w:val="20"/>
          <w:color w:val="auto"/>
        </w:rPr>
      </w:pPr>
      <w:r>
        <w:rPr>
          <w:rFonts w:ascii="Times New Roman" w:cs="Times New Roman" w:eastAsia="Times New Roman" w:hAnsi="Times New Roman"/>
          <w:sz w:val="22"/>
          <w:szCs w:val="22"/>
          <w:color w:val="auto"/>
        </w:rPr>
        <w:t>Title: General Counsel and Secretary</w:t>
      </w:r>
    </w:p>
    <w:p>
      <w:pPr>
        <w:spacing w:after="0" w:line="200" w:lineRule="exact"/>
        <w:rPr>
          <w:sz w:val="20"/>
          <w:szCs w:val="20"/>
          <w:color w:val="auto"/>
        </w:rPr>
      </w:pPr>
    </w:p>
    <w:p>
      <w:pPr>
        <w:spacing w:after="0" w:line="34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Date: January 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580"/>
          </w:cols>
          <w:pgMar w:left="320" w:top="1440" w:right="999" w:bottom="1440" w:gutter="0" w:footer="0" w:header="0"/>
          <w:type w:val="continuous"/>
        </w:sectPr>
      </w:pPr>
    </w:p>
    <w:bookmarkStart w:id="193" w:name="page194"/>
    <w:bookmarkEnd w:id="19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Release</w:t>
      </w: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This Release (the “</w:t>
      </w:r>
      <w:r>
        <w:rPr>
          <w:rFonts w:ascii="Times New Roman" w:cs="Times New Roman" w:eastAsia="Times New Roman" w:hAnsi="Times New Roman"/>
          <w:sz w:val="21"/>
          <w:szCs w:val="21"/>
          <w:b w:val="1"/>
          <w:bCs w:val="1"/>
          <w:i w:val="1"/>
          <w:iCs w:val="1"/>
          <w:color w:val="auto"/>
        </w:rPr>
        <w:t>Release</w:t>
      </w:r>
      <w:r>
        <w:rPr>
          <w:rFonts w:ascii="Times New Roman" w:cs="Times New Roman" w:eastAsia="Times New Roman" w:hAnsi="Times New Roman"/>
          <w:sz w:val="21"/>
          <w:szCs w:val="21"/>
          <w:color w:val="auto"/>
        </w:rPr>
        <w:t>”) is between TriMas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and Thomas A. Amato (“</w:t>
      </w:r>
      <w:r>
        <w:rPr>
          <w:rFonts w:ascii="Times New Roman" w:cs="Times New Roman" w:eastAsia="Times New Roman" w:hAnsi="Times New Roman"/>
          <w:sz w:val="21"/>
          <w:szCs w:val="21"/>
          <w:b w:val="1"/>
          <w:bCs w:val="1"/>
          <w:i w:val="1"/>
          <w:iCs w:val="1"/>
          <w:color w:val="auto"/>
        </w:rPr>
        <w:t>you</w:t>
      </w:r>
      <w:r>
        <w:rPr>
          <w:rFonts w:ascii="Times New Roman" w:cs="Times New Roman" w:eastAsia="Times New Roman" w:hAnsi="Times New Roman"/>
          <w:sz w:val="21"/>
          <w:szCs w:val="21"/>
          <w:color w:val="auto"/>
        </w:rPr>
        <w:t>” and similar words), in favor of the Company and its affiliates (meaning any entities that directly or indirectly control, are controlled by, or are under the same control as, the Company or any other entities affiliated with the Company or such entities), in consideration of the benefits provided to you and to be received by you from the Company as described in the Transition and Separation Agreement between the Company and you dated as of the applicable date referenced therein (the “</w:t>
      </w:r>
      <w:r>
        <w:rPr>
          <w:rFonts w:ascii="Times New Roman" w:cs="Times New Roman" w:eastAsia="Times New Roman" w:hAnsi="Times New Roman"/>
          <w:sz w:val="21"/>
          <w:szCs w:val="21"/>
          <w:b w:val="1"/>
          <w:bCs w:val="1"/>
          <w:i w:val="1"/>
          <w:iCs w:val="1"/>
          <w:color w:val="auto"/>
        </w:rPr>
        <w:t>Transition Agreement</w:t>
      </w:r>
      <w:r>
        <w:rPr>
          <w:rFonts w:ascii="Times New Roman" w:cs="Times New Roman" w:eastAsia="Times New Roman" w:hAnsi="Times New Roman"/>
          <w:sz w:val="21"/>
          <w:szCs w:val="21"/>
          <w:color w:val="auto"/>
        </w:rPr>
        <w:t>”). Capitalized terms used herein without definition have the meanings ascribed to such terms in the Transition Agreement.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By signing this Release, you and the Company hereby agree as follows:</w:t>
      </w:r>
    </w:p>
    <w:p>
      <w:pPr>
        <w:spacing w:after="0" w:line="189" w:lineRule="exact"/>
        <w:rPr>
          <w:sz w:val="20"/>
          <w:szCs w:val="20"/>
          <w:color w:val="auto"/>
        </w:rPr>
      </w:pPr>
    </w:p>
    <w:p>
      <w:pPr>
        <w:ind w:left="1300" w:hanging="644"/>
        <w:spacing w:after="0"/>
        <w:tabs>
          <w:tab w:leader="none" w:pos="1300" w:val="left"/>
        </w:tabs>
        <w:numPr>
          <w:ilvl w:val="0"/>
          <w:numId w:val="2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Waiver and Release</w:t>
      </w:r>
    </w:p>
    <w:p>
      <w:pPr>
        <w:spacing w:after="0" w:line="210" w:lineRule="exact"/>
        <w:rPr>
          <w:rFonts w:ascii="Times New Roman" w:cs="Times New Roman" w:eastAsia="Times New Roman" w:hAnsi="Times New Roman"/>
          <w:sz w:val="22"/>
          <w:szCs w:val="22"/>
          <w:b w:val="1"/>
          <w:bCs w:val="1"/>
          <w:color w:val="auto"/>
        </w:rPr>
      </w:pPr>
    </w:p>
    <w:p>
      <w:pPr>
        <w:jc w:val="both"/>
        <w:ind w:left="1300"/>
        <w:spacing w:after="0" w:line="25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You, for yourself and on behalf of anyone claiming through you including each and all of your legal representatives, administrators, executors, heirs, successors and assigns (collectively, the “</w:t>
      </w:r>
      <w:r>
        <w:rPr>
          <w:rFonts w:ascii="Times New Roman" w:cs="Times New Roman" w:eastAsia="Times New Roman" w:hAnsi="Times New Roman"/>
          <w:sz w:val="21"/>
          <w:szCs w:val="21"/>
          <w:b w:val="1"/>
          <w:bCs w:val="1"/>
          <w:i w:val="1"/>
          <w:iCs w:val="1"/>
          <w:color w:val="auto"/>
        </w:rPr>
        <w:t>Releasors</w:t>
      </w:r>
      <w:r>
        <w:rPr>
          <w:rFonts w:ascii="Times New Roman" w:cs="Times New Roman" w:eastAsia="Times New Roman" w:hAnsi="Times New Roman"/>
          <w:sz w:val="21"/>
          <w:szCs w:val="21"/>
          <w:color w:val="auto"/>
        </w:rPr>
        <w:t>”), do hereby fully, finally and forever release, absolve and discharge the Company and each and all of its legal predecessors, successors, assigns, fiduciaries, parents, subsidiaries, divisions and other affiliates, and each of the foregoing’s respective past, present and future principals, partners, shareholders, directors, officers, employees, agents, consultants, attorneys, trustees, administrators, executors and representatives (collectively,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Released Parties</w:t>
      </w:r>
      <w:r>
        <w:rPr>
          <w:rFonts w:ascii="Times New Roman" w:cs="Times New Roman" w:eastAsia="Times New Roman" w:hAnsi="Times New Roman"/>
          <w:sz w:val="21"/>
          <w:szCs w:val="21"/>
          <w:color w:val="auto"/>
        </w:rPr>
        <w:t>”), of, from and for any and all claims, causes of action, lawsuits, controversies, liabilities, losses,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damages, costs, expenses and demands of any nature whatsoever, at law or in equity, whether known or unknown, asserted or unasserted, foreseen or unforeseen, that the Releasors (or any of them) now have, have ever had, or may have against the Company Released Parties (or any of them) based upon, arising out of, concerning, relating to or resulting from any act, omission, matter, fact, occurrence, transaction, claim, contention, statement or event occurring or existing at any time in the past up to and including the date on which you sign this Release, including, without limitation: (a) all claims arising out of or in any way relating to your employment with or separation of employment from the Company or its affiliates; (b) all claims for compensation or benefits, including salary, commissions, bonuses, vacation pay, expense reimbursements, severance pay, fringe benefits, stock options, restricted stock units or any other ownership interests in the Company Released Parties; (c) all claims for breach of contract, wrongful termination and breach of the implied covenant of good faith and fair dealing; (d) all tort claims, including claims for fraud, defamation, invasion of privacy and emotional distress; (e) all other common law claims; and (f) all claims (including claims for discrimination, harassment, retaliation, attorneys fees, expenses or otherwise) that were or could have been asserted by you or on your</w:t>
      </w:r>
    </w:p>
    <w:p>
      <w:pPr>
        <w:sectPr>
          <w:pgSz w:w="11900" w:h="16838" w:orient="portrait"/>
          <w:cols w:equalWidth="0" w:num="1">
            <w:col w:w="11240"/>
          </w:cols>
          <w:pgMar w:left="320" w:top="1418" w:right="339" w:bottom="1440" w:gutter="0" w:footer="0" w:header="0"/>
        </w:sectPr>
      </w:pPr>
    </w:p>
    <w:bookmarkStart w:id="194" w:name="page195"/>
    <w:bookmarkEnd w:id="194"/>
    <w:p>
      <w:pPr>
        <w:jc w:val="both"/>
        <w:ind w:left="644"/>
        <w:spacing w:after="0" w:line="247" w:lineRule="auto"/>
        <w:rPr>
          <w:sz w:val="20"/>
          <w:szCs w:val="20"/>
          <w:color w:val="auto"/>
        </w:rPr>
      </w:pPr>
      <w:r>
        <w:rPr>
          <w:rFonts w:ascii="Times New Roman" w:cs="Times New Roman" w:eastAsia="Times New Roman" w:hAnsi="Times New Roman"/>
          <w:sz w:val="22"/>
          <w:szCs w:val="22"/>
          <w:color w:val="auto"/>
        </w:rPr>
        <w:t>behalf in any federal, state, or local court, commission, or agency, or under any federal, state, local, employment, services or other law, regulation, ordinance, constitutional provision, executive order or other source of law, including without limitation under any of the following laws, as amended from time to time: the Age Discrimination in Employment Act (the “</w:t>
      </w:r>
      <w:r>
        <w:rPr>
          <w:rFonts w:ascii="Times New Roman" w:cs="Times New Roman" w:eastAsia="Times New Roman" w:hAnsi="Times New Roman"/>
          <w:sz w:val="22"/>
          <w:szCs w:val="22"/>
          <w:b w:val="1"/>
          <w:bCs w:val="1"/>
          <w:i w:val="1"/>
          <w:iCs w:val="1"/>
          <w:color w:val="auto"/>
        </w:rPr>
        <w:t>ADEA</w:t>
      </w:r>
      <w:r>
        <w:rPr>
          <w:rFonts w:ascii="Times New Roman" w:cs="Times New Roman" w:eastAsia="Times New Roman" w:hAnsi="Times New Roman"/>
          <w:sz w:val="22"/>
          <w:szCs w:val="22"/>
          <w:color w:val="auto"/>
        </w:rPr>
        <w:t>”), Title VII of the Civil Rights Act of 1964, 42 U.S.C. §§ 1981 &amp; 1981a, the Americans with Disabilities Act, the Equal Pay Act, the Employee Retirement Income Security Act, the Lilly Ledbetter Fair Pay Act of 2009, the Family and Medical Leave Act, Sarbanes-Oxley Act of 2002, the National Labor Relations Act, the Rehabilitation Act of 1973, the Worker Adjustment Retraining and Notification Act, the Uniformed Services Employment and Reemployment Rights Act, Federal Executive Order 11246, the Genetic Information Nondiscrimination Act, the Michigan Elliott-Larsen Civil Rights Act, the Michigan Persons with Disabilities Civil Rights Act, the Payment of Wages and Fringe Benefits Act, the Paid Medical Leave Act, the Michigan Whistleblowers Protection Act, the Bullard-Plawecki Employee Right to Know Act, the Michigan Workforce Opportunity Wage Act, the Michigan Occupational Safety and Health Act, the Michigan Social Security Number Privacy Act, and the Michigan Internet Privacy Protection Act.</w:t>
      </w:r>
    </w:p>
    <w:p>
      <w:pPr>
        <w:spacing w:after="0" w:line="162" w:lineRule="exact"/>
        <w:rPr>
          <w:sz w:val="20"/>
          <w:szCs w:val="20"/>
          <w:color w:val="auto"/>
        </w:rPr>
      </w:pPr>
    </w:p>
    <w:p>
      <w:pPr>
        <w:ind w:left="644" w:hanging="644"/>
        <w:spacing w:after="0"/>
        <w:tabs>
          <w:tab w:leader="none" w:pos="644" w:val="left"/>
        </w:tabs>
        <w:numPr>
          <w:ilvl w:val="0"/>
          <w:numId w:val="2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Scope of Release</w:t>
      </w:r>
    </w:p>
    <w:p>
      <w:pPr>
        <w:spacing w:after="0" w:line="210" w:lineRule="exact"/>
        <w:rPr>
          <w:rFonts w:ascii="Times New Roman" w:cs="Times New Roman" w:eastAsia="Times New Roman" w:hAnsi="Times New Roman"/>
          <w:sz w:val="22"/>
          <w:szCs w:val="22"/>
          <w:b w:val="1"/>
          <w:bCs w:val="1"/>
          <w:color w:val="auto"/>
        </w:rPr>
      </w:pPr>
    </w:p>
    <w:p>
      <w:pPr>
        <w:jc w:val="both"/>
        <w:ind w:left="644"/>
        <w:spacing w:after="0" w:line="24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Nothing in this Release: (a) shall release the Company from: (i) claims arising under the Transition Agreement or from any of its obligations set forth in the Transition Agreement, (ii) awards under the Equity Plans, or (iii)claims that by law are non-waivable; (b) shall release the Company from any obligation to defend and/or indemnify you against any third party claims arising out of any action or inaction by you during the time of your employment and within the scope of your duties with the Company to the extent: (i) you have any such defense or indemnification right (including under your indemnification agreement with the Company or to the extent the claims are covered by the Company’s director &amp; officer liability insurance), and (ii) permitted by applicable law; (c) shall release claims to vested benefits under any Company health and welfare, or retirement, plan; (d) shall affect your right to file a claim for workers’ compensation or unemployment insurance benefits, or (e) shall prohibit you from instituting any action to challenge the validity of the release under the ADEA.</w:t>
      </w:r>
    </w:p>
    <w:p>
      <w:pPr>
        <w:spacing w:after="0" w:line="183" w:lineRule="exact"/>
        <w:rPr>
          <w:rFonts w:ascii="Times New Roman" w:cs="Times New Roman" w:eastAsia="Times New Roman" w:hAnsi="Times New Roman"/>
          <w:sz w:val="22"/>
          <w:szCs w:val="22"/>
          <w:b w:val="1"/>
          <w:bCs w:val="1"/>
          <w:color w:val="auto"/>
        </w:rPr>
      </w:pPr>
    </w:p>
    <w:p>
      <w:pPr>
        <w:jc w:val="both"/>
        <w:ind w:left="644"/>
        <w:spacing w:after="0" w:line="25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further acknowledge that by signing this Release, you do not waive the right to file a charge against the Company with, communicate with or participate in any investigation by the Equal Employment Opportunity Commission, the Securities and Exchange Commission or any comparable state or local agency. However, you waive and release, to the fullest extent legally permissible, all entitlement to any form of monetary relief arising from a charge you or others may file, including without limitation any costs, expenses or attorneys’ fees. You understand that this waiver and release of monetary relief would not affect an enforcement agency’s ability to investigate a charge or to pursue relief on behalf</w:t>
      </w:r>
    </w:p>
    <w:p>
      <w:pPr>
        <w:sectPr>
          <w:pgSz w:w="11900" w:h="16838" w:orient="portrait"/>
          <w:cols w:equalWidth="0" w:num="1">
            <w:col w:w="10584"/>
          </w:cols>
          <w:pgMar w:left="976" w:top="1422" w:right="339" w:bottom="1440" w:gutter="0" w:footer="0" w:header="0"/>
        </w:sectPr>
      </w:pPr>
    </w:p>
    <w:bookmarkStart w:id="195" w:name="page196"/>
    <w:bookmarkEnd w:id="195"/>
    <w:p>
      <w:pPr>
        <w:jc w:val="both"/>
        <w:ind w:left="644"/>
        <w:spacing w:after="0" w:line="265" w:lineRule="auto"/>
        <w:rPr>
          <w:sz w:val="20"/>
          <w:szCs w:val="20"/>
          <w:color w:val="auto"/>
        </w:rPr>
      </w:pPr>
      <w:r>
        <w:rPr>
          <w:rFonts w:ascii="Times New Roman" w:cs="Times New Roman" w:eastAsia="Times New Roman" w:hAnsi="Times New Roman"/>
          <w:sz w:val="21"/>
          <w:szCs w:val="21"/>
          <w:color w:val="auto"/>
        </w:rPr>
        <w:t>of others. Notwithstanding the foregoing, you will not give up your right to any benefits to which you are entitled under any retirement plan of the Company that is intended to be qualified under Section 401(a) of the Internal Revenue Code of 1986, as amended, or your rights, if any, under Part 6 of Subtitle B of Title I of the Employee Retirement Income Security Act of 1974, as amended (COBRA), or any monetary award offered by the Securities and Exchange Commission pursuant to Section 21F of the Securities Exchange Act of 1934, as amended, the Dodd-Frank Wall Street Reform and Consumer Protection Act or The Sarbanes-Oxley Act of 2002.</w:t>
      </w:r>
    </w:p>
    <w:p>
      <w:pPr>
        <w:spacing w:after="0" w:line="169" w:lineRule="exact"/>
        <w:rPr>
          <w:sz w:val="20"/>
          <w:szCs w:val="20"/>
          <w:color w:val="auto"/>
        </w:rPr>
      </w:pPr>
    </w:p>
    <w:p>
      <w:pPr>
        <w:jc w:val="both"/>
        <w:ind w:left="644"/>
        <w:spacing w:after="0" w:line="271" w:lineRule="auto"/>
        <w:rPr>
          <w:sz w:val="20"/>
          <w:szCs w:val="20"/>
          <w:color w:val="auto"/>
        </w:rPr>
      </w:pPr>
      <w:r>
        <w:rPr>
          <w:rFonts w:ascii="Times New Roman" w:cs="Times New Roman" w:eastAsia="Times New Roman" w:hAnsi="Times New Roman"/>
          <w:sz w:val="22"/>
          <w:szCs w:val="22"/>
          <w:color w:val="auto"/>
        </w:rPr>
        <w:t>By executing this Release, you represent that, as of the date you sign this Release, no claims, lawsuits, grievances, or charges have been filed by you or on your behalf against the Company Released Parties.</w:t>
      </w:r>
    </w:p>
    <w:p>
      <w:pPr>
        <w:spacing w:after="0" w:line="140" w:lineRule="exact"/>
        <w:rPr>
          <w:sz w:val="20"/>
          <w:szCs w:val="20"/>
          <w:color w:val="auto"/>
        </w:rPr>
      </w:pPr>
    </w:p>
    <w:p>
      <w:pPr>
        <w:ind w:left="644" w:hanging="644"/>
        <w:spacing w:after="0"/>
        <w:tabs>
          <w:tab w:leader="none" w:pos="644" w:val="left"/>
        </w:tabs>
        <w:numPr>
          <w:ilvl w:val="0"/>
          <w:numId w:val="2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Knowing and Voluntary ADEA Waiver</w:t>
      </w:r>
    </w:p>
    <w:p>
      <w:pPr>
        <w:spacing w:after="0" w:line="210" w:lineRule="exact"/>
        <w:rPr>
          <w:rFonts w:ascii="Times New Roman" w:cs="Times New Roman" w:eastAsia="Times New Roman" w:hAnsi="Times New Roman"/>
          <w:sz w:val="22"/>
          <w:szCs w:val="22"/>
          <w:b w:val="1"/>
          <w:bCs w:val="1"/>
          <w:color w:val="auto"/>
        </w:rPr>
      </w:pPr>
    </w:p>
    <w:p>
      <w:pPr>
        <w:jc w:val="both"/>
        <w:ind w:left="644"/>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In compliance with the requirements of the Older Workers’ Benefit Protection Act, you acknowledge by your signature below that, with respect to the rights and claims waived and released in this Release under the ADEA, you specifically acknowledge and agree as follows: (a) you have read and understand the terms of this Release; (b) you have been advised and hereby are advised, and have had the opportunity, to consult with an attorney before signing this Release; (c) the Release is written in a manner understood by you; (d) you are releasing the Company and the other Company Released Parties from, among other things, any claims that you may have against them pursuant to the ADEA; (e) the releases contained in this Release do not cover rights or claims that may arise after you sign this Release; (f) you will receive valuable consideration in exchange for the Release other than amounts you would otherwise be entitled to receive; (g) you have been given a period of at least 21 days in which to consider and execute this Release (although you may elect not to use the full consideration period at your option);</w:t>
      </w:r>
    </w:p>
    <w:p>
      <w:pPr>
        <w:spacing w:after="0" w:line="6" w:lineRule="exact"/>
        <w:rPr>
          <w:rFonts w:ascii="Times New Roman" w:cs="Times New Roman" w:eastAsia="Times New Roman" w:hAnsi="Times New Roman"/>
          <w:sz w:val="22"/>
          <w:szCs w:val="22"/>
          <w:b w:val="1"/>
          <w:bCs w:val="1"/>
          <w:color w:val="auto"/>
        </w:rPr>
      </w:pPr>
    </w:p>
    <w:p>
      <w:pPr>
        <w:jc w:val="both"/>
        <w:ind w:left="644" w:firstLine="4"/>
        <w:spacing w:after="0" w:line="261" w:lineRule="auto"/>
        <w:tabs>
          <w:tab w:leader="none" w:pos="964" w:val="left"/>
        </w:tabs>
        <w:numPr>
          <w:ilvl w:val="1"/>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may revoke this Release during the seven-day period following the date on which you sign this Release, and this Release will not become effective and enforceable until the seven-day revocation period has expired; and</w:t>
      </w:r>
    </w:p>
    <w:p>
      <w:pPr>
        <w:spacing w:after="0" w:line="1" w:lineRule="exact"/>
        <w:rPr>
          <w:rFonts w:ascii="Times New Roman" w:cs="Times New Roman" w:eastAsia="Times New Roman" w:hAnsi="Times New Roman"/>
          <w:sz w:val="21"/>
          <w:szCs w:val="21"/>
          <w:color w:val="auto"/>
        </w:rPr>
      </w:pPr>
    </w:p>
    <w:p>
      <w:pPr>
        <w:jc w:val="both"/>
        <w:ind w:left="644" w:firstLine="4"/>
        <w:spacing w:after="0" w:line="245" w:lineRule="auto"/>
        <w:tabs>
          <w:tab w:leader="none" w:pos="923"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revocation must be submitted in writing to the Company c/o Jodi Robin, General Counsel, TriMas Corporation, 38505 Woodward Avenue, Suite 200, Bloomfield Hills, Michigan 48304, prior to the expiration of such seven-day revocation period. If you revoke this Release within such seven-day revocation period, it shall be null and void.</w:t>
      </w:r>
    </w:p>
    <w:p>
      <w:pPr>
        <w:spacing w:after="0" w:line="167"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2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w:t>
      </w:r>
    </w:p>
    <w:p>
      <w:pPr>
        <w:spacing w:after="0" w:line="210" w:lineRule="exact"/>
        <w:rPr>
          <w:rFonts w:ascii="Times New Roman" w:cs="Times New Roman" w:eastAsia="Times New Roman" w:hAnsi="Times New Roman"/>
          <w:sz w:val="22"/>
          <w:szCs w:val="22"/>
          <w:b w:val="1"/>
          <w:bCs w:val="1"/>
          <w:color w:val="auto"/>
        </w:rPr>
      </w:pPr>
    </w:p>
    <w:p>
      <w:pPr>
        <w:jc w:val="both"/>
        <w:ind w:left="644"/>
        <w:spacing w:after="0" w:line="25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Release, the Transition Agreement, and the documents referenced therein contain the entire agreement between you and the Company regarding the matters described therein, and take priority over any other written or oral understanding or agreement that may have existed in the past regarding the matters described therein. You acknowledge that no other promises or agreements have been</w:t>
      </w:r>
    </w:p>
    <w:p>
      <w:pPr>
        <w:sectPr>
          <w:pgSz w:w="11900" w:h="16838" w:orient="portrait"/>
          <w:cols w:equalWidth="0" w:num="1">
            <w:col w:w="10584"/>
          </w:cols>
          <w:pgMar w:left="976" w:top="1422" w:right="339" w:bottom="1440" w:gutter="0" w:footer="0" w:header="0"/>
        </w:sectPr>
      </w:pPr>
    </w:p>
    <w:bookmarkStart w:id="196" w:name="page197"/>
    <w:bookmarkEnd w:id="196"/>
    <w:p>
      <w:pPr>
        <w:jc w:val="both"/>
        <w:ind w:left="180"/>
        <w:spacing w:after="0" w:line="253" w:lineRule="auto"/>
        <w:rPr>
          <w:sz w:val="20"/>
          <w:szCs w:val="20"/>
          <w:color w:val="auto"/>
        </w:rPr>
      </w:pPr>
      <w:r>
        <w:rPr>
          <w:rFonts w:ascii="Times New Roman" w:cs="Times New Roman" w:eastAsia="Times New Roman" w:hAnsi="Times New Roman"/>
          <w:sz w:val="22"/>
          <w:szCs w:val="22"/>
          <w:color w:val="auto"/>
        </w:rPr>
        <w:t>offered for this Release (other than those described above) and that no other promises or agreements will be binding unless they are in writing and signed by you and the Company. Should any provision of this Release be declared by a court of competent jurisdiction to be illegal, void, or unenforceable, the remaining provisions shall remain in full force and effect; provided, however, that upon a finding that the Release, in whole or part, is illegal, void, or unenforceable, you shall be required to execute a release that is legal and enforceable.</w:t>
      </w:r>
    </w:p>
    <w:p>
      <w:pPr>
        <w:spacing w:after="0" w:line="17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ectPr>
          <w:pgSz w:w="11900" w:h="16838" w:orient="portrait"/>
          <w:cols w:equalWidth="0" w:num="1">
            <w:col w:w="10120"/>
          </w:cols>
          <w:pgMar w:left="1440" w:top="1422"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21"/>
          <w:szCs w:val="21"/>
          <w:color w:val="auto"/>
        </w:rPr>
        <w:t>I agree to the terms and conditions set forth in this Release.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THOMAS A. AMATO</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_______________________</w:t>
      </w:r>
    </w:p>
    <w:p>
      <w:pPr>
        <w:sectPr>
          <w:pgSz w:w="11900" w:h="16838" w:orient="portrait"/>
          <w:cols w:equalWidth="0" w:num="1">
            <w:col w:w="10139"/>
          </w:cols>
          <w:pgMar w:left="320" w:top="1422" w:right="1440"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8"/>
          <w:szCs w:val="28"/>
          <w:b w:val="1"/>
          <w:bCs w:val="1"/>
          <w:color w:val="auto"/>
          <w:vertAlign w:val="superscript"/>
        </w:rPr>
        <w:t>*</w:t>
      </w:r>
    </w:p>
    <w:p>
      <w:pPr>
        <w:spacing w:after="0" w:line="182" w:lineRule="exact"/>
        <w:rPr>
          <w:sz w:val="20"/>
          <w:szCs w:val="20"/>
          <w:color w:val="auto"/>
        </w:rPr>
      </w:pPr>
    </w:p>
    <w:p>
      <w:pPr>
        <w:ind w:left="660" w:hanging="652"/>
        <w:spacing w:after="0"/>
        <w:tabs>
          <w:tab w:leader="none" w:pos="66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Severance Benefits under the Executive Severance Plan, which Severance Benefits will consist of the following:</w:t>
      </w:r>
    </w:p>
    <w:p>
      <w:pPr>
        <w:spacing w:after="0" w:line="233" w:lineRule="exact"/>
        <w:rPr>
          <w:rFonts w:ascii="Times New Roman" w:cs="Times New Roman" w:eastAsia="Times New Roman" w:hAnsi="Times New Roman"/>
          <w:sz w:val="22"/>
          <w:szCs w:val="22"/>
          <w:color w:val="auto"/>
        </w:rPr>
      </w:pPr>
    </w:p>
    <w:p>
      <w:pPr>
        <w:ind w:left="660" w:right="20" w:hanging="328"/>
        <w:spacing w:after="0" w:line="271" w:lineRule="auto"/>
        <w:tabs>
          <w:tab w:leader="none" w:pos="655"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all accrued but unpaid base salary through the Separation Date and all earned but unused vacation through the Separation Date, payable by the next payroll date following the Separation Date;</w:t>
      </w:r>
    </w:p>
    <w:p>
      <w:pPr>
        <w:spacing w:after="0" w:line="157" w:lineRule="exact"/>
        <w:rPr>
          <w:rFonts w:ascii="Times New Roman" w:cs="Times New Roman" w:eastAsia="Times New Roman" w:hAnsi="Times New Roman"/>
          <w:sz w:val="22"/>
          <w:szCs w:val="22"/>
          <w:color w:val="auto"/>
        </w:rPr>
      </w:pPr>
    </w:p>
    <w:p>
      <w:pPr>
        <w:jc w:val="both"/>
        <w:ind w:left="660" w:hanging="328"/>
        <w:spacing w:after="0" w:line="251" w:lineRule="auto"/>
        <w:tabs>
          <w:tab w:leader="none" w:pos="655"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 of an amount equal to $1,575,000 (the sum of (i) 12 months of base salary (at the rate as CEO in effect on the Effective Date, which rate will be unchanged through the Separation Date)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your target short-term incentive program cash incentive (“</w:t>
      </w:r>
      <w:r>
        <w:rPr>
          <w:rFonts w:ascii="Times New Roman" w:cs="Times New Roman" w:eastAsia="Times New Roman" w:hAnsi="Times New Roman"/>
          <w:sz w:val="22"/>
          <w:szCs w:val="22"/>
          <w:b w:val="1"/>
          <w:bCs w:val="1"/>
          <w:i w:val="1"/>
          <w:iCs w:val="1"/>
          <w:color w:val="auto"/>
        </w:rPr>
        <w:t>Short-Term Incentive Plan bonus</w:t>
      </w:r>
      <w:r>
        <w:rPr>
          <w:rFonts w:ascii="Times New Roman" w:cs="Times New Roman" w:eastAsia="Times New Roman" w:hAnsi="Times New Roman"/>
          <w:sz w:val="22"/>
          <w:szCs w:val="22"/>
          <w:color w:val="auto"/>
        </w:rPr>
        <w:t>”) for the year during which the Separation Date occurs, as in effect on the Effective Date ($787,500)). This amount will be payable in equal installments over 12 months, in accordance with the Company’s normal payroll practice for U.S. salaried employees and Section 1(A) of the Executive Severance Plan and its applicable terms;</w:t>
      </w:r>
    </w:p>
    <w:p>
      <w:pPr>
        <w:spacing w:after="0" w:line="181" w:lineRule="exact"/>
        <w:rPr>
          <w:rFonts w:ascii="Times New Roman" w:cs="Times New Roman" w:eastAsia="Times New Roman" w:hAnsi="Times New Roman"/>
          <w:sz w:val="22"/>
          <w:szCs w:val="22"/>
          <w:color w:val="auto"/>
        </w:rPr>
      </w:pPr>
    </w:p>
    <w:p>
      <w:pPr>
        <w:jc w:val="both"/>
        <w:ind w:left="660" w:right="20" w:hanging="328"/>
        <w:spacing w:after="0" w:line="257" w:lineRule="auto"/>
        <w:tabs>
          <w:tab w:leader="none" w:pos="655"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your Short-Term Incentive Plan bonus for the annual performance period most recently completed as of the Separation Date, if such a bonus has been earned but has not yet been paid by the Separation Date, payable in accordance with Section 1(C) of the Executive Severance Plan and its applicable terms;</w:t>
      </w:r>
    </w:p>
    <w:p>
      <w:pPr>
        <w:spacing w:after="0" w:line="186" w:lineRule="exact"/>
        <w:rPr>
          <w:rFonts w:ascii="Times New Roman" w:cs="Times New Roman" w:eastAsia="Times New Roman" w:hAnsi="Times New Roman"/>
          <w:sz w:val="22"/>
          <w:szCs w:val="22"/>
          <w:color w:val="auto"/>
        </w:rPr>
      </w:pPr>
    </w:p>
    <w:p>
      <w:pPr>
        <w:jc w:val="both"/>
        <w:ind w:left="660" w:hanging="328"/>
        <w:spacing w:after="0" w:line="251" w:lineRule="auto"/>
        <w:tabs>
          <w:tab w:leader="none" w:pos="655"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your pro-rated Short-Term Incentive Plan bonus for the year in which the Separation Date occurs based on actual performance results for the full year (with such pro-rated portion of such bonus equal to the amount earned for the full year multiplied by a fraction, the numerator of which is the number of complete calendar months that elapse from January 1 of the year in which the Separation Date occurs until the Separation Date, and the denominator of which is 12). This amount, if any, will be payable in accordance with Section 1(D) of the Executive Severance Plan and its applicable terms; and</w:t>
      </w:r>
    </w:p>
    <w:p>
      <w:pPr>
        <w:spacing w:after="0" w:line="181" w:lineRule="exact"/>
        <w:rPr>
          <w:rFonts w:ascii="Times New Roman" w:cs="Times New Roman" w:eastAsia="Times New Roman" w:hAnsi="Times New Roman"/>
          <w:sz w:val="22"/>
          <w:szCs w:val="22"/>
          <w:color w:val="auto"/>
        </w:rPr>
      </w:pPr>
    </w:p>
    <w:p>
      <w:pPr>
        <w:jc w:val="both"/>
        <w:ind w:left="660" w:hanging="328"/>
        <w:spacing w:after="0" w:line="251" w:lineRule="auto"/>
        <w:tabs>
          <w:tab w:leader="none" w:pos="655"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timely elect to continue group health care coverage under the Consolidated Omnibus Budget Reconciliation Act of 1985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subject to the Company’s COBRA policies, reimbursement by the Company to you pursuant to Section 1(E) of the Executive Severance Plan for the employer’s portion of premiums for your group health coverage under COBRA until the earlier of (i) the termination of your COBRA period, (ii) 12 months after the Separation Date, or (iii) until the date on which you become eligible to receive any medical benefits under any plan or program of any other employer.</w:t>
      </w:r>
    </w:p>
    <w:p>
      <w:pPr>
        <w:spacing w:after="0" w:line="260" w:lineRule="exact"/>
        <w:rPr>
          <w:rFonts w:ascii="Times New Roman" w:cs="Times New Roman" w:eastAsia="Times New Roman" w:hAnsi="Times New Roman"/>
          <w:sz w:val="22"/>
          <w:szCs w:val="22"/>
          <w:color w:val="auto"/>
        </w:rPr>
      </w:pPr>
    </w:p>
    <w:p>
      <w:pPr>
        <w:ind w:right="360" w:firstLine="648"/>
        <w:spacing w:after="0" w:line="22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Except as otherwise expressly provided in this Transition Agreement (including this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all benefits are to be paid or provided in the manner and at the time specified in the applicable plan or agreement, or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16459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199" w:name="page200"/>
    <w:bookmarkEnd w:id="199"/>
    <w:p>
      <w:pPr>
        <w:ind w:left="2680"/>
        <w:spacing w:after="0"/>
        <w:rPr>
          <w:sz w:val="20"/>
          <w:szCs w:val="20"/>
          <w:color w:val="auto"/>
        </w:rPr>
      </w:pPr>
      <w:r>
        <w:rPr>
          <w:rFonts w:ascii="Times New Roman" w:cs="Times New Roman" w:eastAsia="Times New Roman" w:hAnsi="Times New Roman"/>
          <w:sz w:val="22"/>
          <w:szCs w:val="22"/>
          <w:b w:val="1"/>
          <w:bCs w:val="1"/>
          <w:color w:val="4C4C4C"/>
        </w:rPr>
        <w:drawing>
          <wp:anchor simplePos="0" relativeHeight="251657728" behindDoc="1" locked="0" layoutInCell="0" allowOverlap="1">
            <wp:simplePos x="0" y="0"/>
            <wp:positionH relativeFrom="page">
              <wp:posOffset>208280</wp:posOffset>
            </wp:positionH>
            <wp:positionV relativeFrom="page">
              <wp:posOffset>88900</wp:posOffset>
            </wp:positionV>
            <wp:extent cx="1448435" cy="4457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448435" cy="445770"/>
                    </a:xfrm>
                    <a:prstGeom prst="rect">
                      <a:avLst/>
                    </a:prstGeom>
                    <a:noFill/>
                  </pic:spPr>
                </pic:pic>
              </a:graphicData>
            </a:graphic>
          </wp:anchor>
        </w:drawing>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19"/>
          <w:szCs w:val="19"/>
          <w:color w:val="auto"/>
        </w:rPr>
        <w:t>[__________]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12, 2025</w:t>
      </w:r>
    </w:p>
    <w:p>
      <w:pPr>
        <w:spacing w:after="0" w:line="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From:</w:t>
        <w:tab/>
        <w:t>Teresa Finley, Chair of the Compensation Committee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 Executive Retention Award</w:t>
      </w:r>
    </w:p>
    <w:p>
      <w:pPr>
        <w:spacing w:after="0" w:line="2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You are important to the ongoing success of TriMas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Company is hereby offering you a retention bonus (“</w:t>
      </w:r>
      <w:r>
        <w:rPr>
          <w:rFonts w:ascii="Times New Roman" w:cs="Times New Roman" w:eastAsia="Times New Roman" w:hAnsi="Times New Roman"/>
          <w:sz w:val="20"/>
          <w:szCs w:val="20"/>
          <w:u w:val="single" w:color="auto"/>
          <w:color w:val="auto"/>
        </w:rPr>
        <w:t>Retention Bonus</w:t>
      </w:r>
      <w:r>
        <w:rPr>
          <w:rFonts w:ascii="Times New Roman" w:cs="Times New Roman" w:eastAsia="Times New Roman" w:hAnsi="Times New Roman"/>
          <w:sz w:val="20"/>
          <w:szCs w:val="20"/>
          <w:color w:val="auto"/>
        </w:rPr>
        <w:t>”) if you remain employed with the Company through the Vesting Date (as defined below), according to the conditions set forth in this Executive Retention Award letter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360" w:hanging="352"/>
        <w:spacing w:after="0"/>
        <w:tabs>
          <w:tab w:leader="none" w:pos="36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Retention Bonus</w:t>
      </w:r>
      <w:r>
        <w:rPr>
          <w:rFonts w:ascii="Times New Roman" w:cs="Times New Roman" w:eastAsia="Times New Roman" w:hAnsi="Times New Roman"/>
          <w:sz w:val="20"/>
          <w:szCs w:val="20"/>
          <w:color w:val="auto"/>
        </w:rPr>
        <w:t>.</w:t>
      </w:r>
    </w:p>
    <w:p>
      <w:pPr>
        <w:spacing w:after="0" w:line="121" w:lineRule="exact"/>
        <w:rPr>
          <w:rFonts w:ascii="Times New Roman" w:cs="Times New Roman" w:eastAsia="Times New Roman" w:hAnsi="Times New Roman"/>
          <w:sz w:val="20"/>
          <w:szCs w:val="20"/>
          <w:color w:val="auto"/>
        </w:rPr>
      </w:pPr>
    </w:p>
    <w:p>
      <w:pPr>
        <w:jc w:val="right"/>
        <w:ind w:left="660" w:hanging="352"/>
        <w:spacing w:after="0" w:line="270"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   Subject to Section 1.c, you shall earn the Retention Bonus, in a lump-sum cash amount equal to $[__________], if you remain continuously employed in good standing with the Company until the earliest to occur of (i) the 1-year anniversary of the date hereof, (ii) the termination of your employment with the Company by the Company without Cause (as defined below), (iii) the termination of your employment with the Company by you for Good Reason (as defined below), or (iv) your death or the termination of your employment with the Company for Disability (as defined below) (the earliest to occur of clauses (i) through (iv), the “</w:t>
      </w:r>
      <w:r>
        <w:rPr>
          <w:rFonts w:ascii="Times New Roman" w:cs="Times New Roman" w:eastAsia="Times New Roman" w:hAnsi="Times New Roman"/>
          <w:sz w:val="19"/>
          <w:szCs w:val="19"/>
          <w:u w:val="single" w:color="auto"/>
          <w:color w:val="auto"/>
        </w:rPr>
        <w:t>Vesting Date</w:t>
      </w:r>
      <w:r>
        <w:rPr>
          <w:rFonts w:ascii="Times New Roman" w:cs="Times New Roman" w:eastAsia="Times New Roman" w:hAnsi="Times New Roman"/>
          <w:sz w:val="19"/>
          <w:szCs w:val="19"/>
          <w:color w:val="auto"/>
        </w:rPr>
        <w:t>”).</w:t>
      </w:r>
    </w:p>
    <w:p>
      <w:pPr>
        <w:spacing w:after="0" w:line="67" w:lineRule="exact"/>
        <w:rPr>
          <w:rFonts w:ascii="Times New Roman" w:cs="Times New Roman" w:eastAsia="Times New Roman" w:hAnsi="Times New Roman"/>
          <w:sz w:val="20"/>
          <w:szCs w:val="20"/>
          <w:color w:val="auto"/>
        </w:rPr>
      </w:pPr>
    </w:p>
    <w:p>
      <w:pPr>
        <w:ind w:left="660" w:hanging="449"/>
        <w:spacing w:after="0" w:line="269" w:lineRule="auto"/>
        <w:tabs>
          <w:tab w:leader="none" w:pos="564" w:val="left"/>
        </w:tabs>
        <w:numPr>
          <w:ilvl w:val="1"/>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unearned Retention Bonus that you are eligible to earn pursuant to Section 1.a will be advanced to you, less applicable deductions and taxes, on or before February 20, 2025.</w:t>
      </w:r>
    </w:p>
    <w:p>
      <w:pPr>
        <w:spacing w:after="0" w:line="64" w:lineRule="exact"/>
        <w:rPr>
          <w:rFonts w:ascii="Times New Roman" w:cs="Times New Roman" w:eastAsia="Times New Roman" w:hAnsi="Times New Roman"/>
          <w:sz w:val="20"/>
          <w:szCs w:val="20"/>
          <w:color w:val="auto"/>
        </w:rPr>
      </w:pPr>
    </w:p>
    <w:p>
      <w:pPr>
        <w:ind w:left="660" w:hanging="447"/>
        <w:spacing w:after="0" w:line="253" w:lineRule="auto"/>
        <w:tabs>
          <w:tab w:leader="none" w:pos="559" w:val="left"/>
        </w:tabs>
        <w:numPr>
          <w:ilvl w:val="1"/>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employment is terminated for any reason by you or the Company (other than a termination by the Company without Cause, for your death or Disability, or a termination by you for Good Reason) prior to the Vesting Date, you will be required to repay to the Company the advanced Retention Bonus (in the gross amount including any taxes withheld) (the “</w:t>
      </w:r>
      <w:r>
        <w:rPr>
          <w:rFonts w:ascii="Times New Roman" w:cs="Times New Roman" w:eastAsia="Times New Roman" w:hAnsi="Times New Roman"/>
          <w:sz w:val="20"/>
          <w:szCs w:val="20"/>
          <w:u w:val="single" w:color="auto"/>
          <w:color w:val="auto"/>
        </w:rPr>
        <w:t>Repayment Amount</w:t>
      </w:r>
      <w:r>
        <w:rPr>
          <w:rFonts w:ascii="Times New Roman" w:cs="Times New Roman" w:eastAsia="Times New Roman" w:hAnsi="Times New Roman"/>
          <w:sz w:val="20"/>
          <w:szCs w:val="20"/>
          <w:color w:val="auto"/>
        </w:rPr>
        <w:t>”) within 10 days of such termination. You hereby authorize the Company to deduct the Repayment Amount from any other amounts the Company or its affiliates may otherwise owe to you at or following any such termination of employment.</w:t>
      </w:r>
    </w:p>
    <w:p>
      <w:pPr>
        <w:spacing w:after="0" w:line="191" w:lineRule="exact"/>
        <w:rPr>
          <w:rFonts w:ascii="Times New Roman" w:cs="Times New Roman" w:eastAsia="Times New Roman" w:hAnsi="Times New Roman"/>
          <w:sz w:val="20"/>
          <w:szCs w:val="20"/>
          <w:color w:val="auto"/>
        </w:rPr>
      </w:pPr>
    </w:p>
    <w:p>
      <w:pPr>
        <w:jc w:val="both"/>
        <w:ind w:left="660" w:hanging="427"/>
        <w:spacing w:after="0" w:line="252" w:lineRule="auto"/>
        <w:tabs>
          <w:tab w:leader="none" w:pos="610" w:val="left"/>
        </w:tabs>
        <w:numPr>
          <w:ilvl w:val="2"/>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Vesting Date for the Retention Bonus occurs under any of Section 1.a.ii, 1.a.iii or 1.a.iv, then, in order to so earn the Retention Bonus, you (or your duly-authorized representative, as applicable) shall, within 30 days following the date of such termination of employment, execute and not revoke a general release of claims against the Company, its current and former affiliates, shareholders, directors, officers, employees, representatives, and agents and their successors and assigns, in a form reasonably acceptable to the Company which will be provided by the Company to you (or your duly-authorized representative, as applicable) on the date of such termination. If you do not so execute (or if you revoke) such release, you will be required to repay to the Company the Repayment Amount within 10 days of such failure to execute the release or revocation of such release. You hereby authorize the Company to deduct the Repayment Amount from any other amounts the Company or its affiliates may otherwise owe to you at or following any such failure to execute the release or revocation of such release.</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For purposes of this Agreement:</w:t>
      </w:r>
    </w:p>
    <w:p>
      <w:pPr>
        <w:spacing w:after="0" w:line="225" w:lineRule="exact"/>
        <w:rPr>
          <w:sz w:val="20"/>
          <w:szCs w:val="20"/>
          <w:color w:val="auto"/>
        </w:rPr>
      </w:pPr>
    </w:p>
    <w:p>
      <w:pPr>
        <w:ind w:left="660" w:right="20" w:hanging="25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xml:space="preserve">” means the occurrence of any of the following: </w:t>
      </w:r>
      <w:r>
        <w:rPr>
          <w:rFonts w:ascii="Times New Roman" w:cs="Times New Roman" w:eastAsia="Times New Roman" w:hAnsi="Times New Roman"/>
          <w:sz w:val="20"/>
          <w:szCs w:val="20"/>
          <w:color w:val="4C4C4C"/>
        </w:rPr>
        <w:t>(a) your</w:t>
      </w:r>
      <w:r>
        <w:rPr>
          <w:rFonts w:ascii="Times New Roman" w:cs="Times New Roman" w:eastAsia="Times New Roman" w:hAnsi="Times New Roman"/>
          <w:sz w:val="20"/>
          <w:szCs w:val="20"/>
          <w:color w:val="auto"/>
        </w:rPr>
        <w:t xml:space="preserve"> conviction of or plea of guilty or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to a crime constituting a felony under the laws of the United States or</w:t>
      </w:r>
    </w:p>
    <w:p>
      <w:pPr>
        <w:sectPr>
          <w:pgSz w:w="11900" w:h="16838" w:orient="portrait"/>
          <w:cols w:equalWidth="0" w:num="1">
            <w:col w:w="11240"/>
          </w:cols>
          <w:pgMar w:left="320" w:top="675" w:right="339" w:bottom="1440" w:gutter="0" w:footer="0" w:header="0"/>
        </w:sectPr>
      </w:pPr>
    </w:p>
    <w:bookmarkStart w:id="200" w:name="page201"/>
    <w:bookmarkEnd w:id="200"/>
    <w:p>
      <w:pPr>
        <w:spacing w:after="0" w:line="297" w:lineRule="exact"/>
        <w:rPr>
          <w:sz w:val="20"/>
          <w:szCs w:val="20"/>
          <w:color w:val="auto"/>
        </w:rPr>
      </w:pPr>
    </w:p>
    <w:p>
      <w:pPr>
        <w:jc w:val="both"/>
        <w:ind w:left="480"/>
        <w:spacing w:after="0" w:line="253" w:lineRule="auto"/>
        <w:rPr>
          <w:sz w:val="20"/>
          <w:szCs w:val="20"/>
          <w:color w:val="auto"/>
        </w:rPr>
      </w:pPr>
      <w:r>
        <w:rPr>
          <w:rFonts w:ascii="Times New Roman" w:cs="Times New Roman" w:eastAsia="Times New Roman" w:hAnsi="Times New Roman"/>
          <w:sz w:val="20"/>
          <w:szCs w:val="20"/>
          <w:color w:val="auto"/>
        </w:rPr>
        <w:t>any State thereof or any other jurisdiction in which the Company or its subsidiaries conduct business; (b) your willful misconduct in the performance of your duties to the Company or its subsidiaries and failure to cure such breach within 30 days following written notice thereof from the Company; (c) your willful failure or refusal to follow directions from the Board of Directors of the Company (or direct reporting executive) and failure to cure such breach within thirty (30) days following written notice thereof from the Board of Directors; or (d) your breach of fiduciary duty to the Company or its subsidiaries for personal profit. Any failure by the Company or a subsidiary of the Company to notify you after the first occurrence of an event constituting Cause shall not preclude any subsequent occurrences of such event (or a similar event) from constituting Cause.</w:t>
      </w:r>
    </w:p>
    <w:p>
      <w:pPr>
        <w:spacing w:after="0" w:line="206" w:lineRule="exact"/>
        <w:rPr>
          <w:sz w:val="20"/>
          <w:szCs w:val="20"/>
          <w:color w:val="auto"/>
        </w:rPr>
      </w:pPr>
    </w:p>
    <w:p>
      <w:pPr>
        <w:jc w:val="both"/>
        <w:ind w:left="480" w:hanging="143"/>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Disability</w:t>
      </w:r>
      <w:r>
        <w:rPr>
          <w:rFonts w:ascii="Times New Roman" w:cs="Times New Roman" w:eastAsia="Times New Roman" w:hAnsi="Times New Roman"/>
          <w:sz w:val="19"/>
          <w:szCs w:val="19"/>
          <w:color w:val="auto"/>
        </w:rPr>
        <w:t>” means your physical or mental condition resulting from any medically determinable physical or mental impairment that renders you incapable of engaging in any substantial gainful employment and that can be expected to result in death or that has lasted or can be expected to last for a continuous period of not less than 365 days. Notwithstanding the foregoing, you shall not be deemed to be Disabled as a result of any condition that, (a) was contracted, suffered, or incurred while you were engaged in, or resulted from your having engaged in, a felonious activity; (b) resulted from an intentionally self-inflicted injury or an addiction to drugs, alcohol, or substances which are not administered under the direction of a licensed physician as part of a medical treatment plan; or (c) resulted from service in the Armed Forces of the United States for which you received or are receiving a disability benefit or pension from the United States, or from service in the armed forces of any other country irrespective of any disability benefit or pension.</w:t>
      </w:r>
    </w:p>
    <w:p>
      <w:pPr>
        <w:spacing w:after="0" w:line="182" w:lineRule="exact"/>
        <w:rPr>
          <w:sz w:val="20"/>
          <w:szCs w:val="20"/>
          <w:color w:val="auto"/>
        </w:rPr>
      </w:pPr>
    </w:p>
    <w:p>
      <w:pPr>
        <w:jc w:val="both"/>
        <w:ind w:left="480" w:hanging="168"/>
        <w:spacing w:after="0" w:line="250" w:lineRule="auto"/>
        <w:rPr>
          <w:sz w:val="20"/>
          <w:szCs w:val="20"/>
          <w:color w:val="auto"/>
        </w:rPr>
      </w:pPr>
      <w:r>
        <w:rPr>
          <w:rFonts w:ascii="Times New Roman" w:cs="Times New Roman" w:eastAsia="Times New Roman" w:hAnsi="Times New Roman"/>
          <w:sz w:val="20"/>
          <w:szCs w:val="20"/>
          <w:color w:val="auto"/>
        </w:rPr>
        <w:t>Your Disability and the date on which you cease to be a employed with the Company or a subsidiary by reason of Disability shall be determined by the Company, in accordance with uniform principles consistently applied, on the basis of such evidence as the Company deem necessary and desirable, and its good faith determination shall be conclusive for all purposes of this Agreement. The Company shall have the right to require you to submit to an examination by a physician or physicians and to submit to such reexaminations as the Company shall require in order to make a determination concerning your physical or mental condition; provided, however, that you may not be required to undergo a medical examination more often than once each 180 days. If you engage in any occupation or employment (except for rehabilitation as determined by the Company) for remuneration or profit, which activity would be inconsistent with the finding of Disability, or if the Company, determines on the basis of a medical examination that you no longer have a Disability, or if you refuse to submit to any medical examination properly requested by the Company, then in any such event you shall be deemed to have recovered from such Disability.</w:t>
      </w:r>
    </w:p>
    <w:p>
      <w:pPr>
        <w:spacing w:after="0" w:line="196" w:lineRule="exact"/>
        <w:rPr>
          <w:sz w:val="20"/>
          <w:szCs w:val="20"/>
          <w:color w:val="auto"/>
        </w:rPr>
      </w:pPr>
    </w:p>
    <w:p>
      <w:pPr>
        <w:ind w:left="480" w:right="400" w:hanging="251"/>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means the occurrence of any of the following events, without your written consent: (a) a material and permanent diminution in your duties or responsibilities; (b) a material reduction in the aggregate value of base salary and bonus opportunity provided to you by the Company; or (c) a permanent reassignment of you to another primary office more than 50 miles from the current office location.</w:t>
      </w:r>
    </w:p>
    <w:p>
      <w:pPr>
        <w:spacing w:after="0" w:line="172" w:lineRule="exact"/>
        <w:rPr>
          <w:sz w:val="20"/>
          <w:szCs w:val="20"/>
          <w:color w:val="auto"/>
        </w:rPr>
      </w:pPr>
    </w:p>
    <w:p>
      <w:pPr>
        <w:jc w:val="both"/>
        <w:ind w:left="480" w:right="400" w:hanging="259"/>
        <w:spacing w:after="0" w:line="261" w:lineRule="auto"/>
        <w:rPr>
          <w:sz w:val="20"/>
          <w:szCs w:val="20"/>
          <w:color w:val="auto"/>
        </w:rPr>
      </w:pPr>
      <w:r>
        <w:rPr>
          <w:rFonts w:ascii="Times New Roman" w:cs="Times New Roman" w:eastAsia="Times New Roman" w:hAnsi="Times New Roman"/>
          <w:sz w:val="20"/>
          <w:szCs w:val="20"/>
          <w:color w:val="auto"/>
        </w:rPr>
        <w:t>You must notify the Company of your intention to invoke termination for Good Reason within 90 days after you have knowledge of such event and provide the Company 30 days’ opportunity for cure, and you must actually terminate your employment with the Company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500" w:top="1440" w:right="339" w:bottom="1440" w:gutter="0" w:footer="0" w:header="0"/>
        </w:sectPr>
      </w:pPr>
    </w:p>
    <w:bookmarkStart w:id="201" w:name="page202"/>
    <w:bookmarkEnd w:id="201"/>
    <w:p>
      <w:pPr>
        <w:spacing w:after="0" w:line="297" w:lineRule="exact"/>
        <w:rPr>
          <w:sz w:val="20"/>
          <w:szCs w:val="20"/>
          <w:color w:val="auto"/>
        </w:rPr>
      </w:pPr>
    </w:p>
    <w:p>
      <w:pPr>
        <w:ind w:left="660" w:right="440"/>
        <w:spacing w:after="0" w:line="283" w:lineRule="auto"/>
        <w:rPr>
          <w:sz w:val="20"/>
          <w:szCs w:val="20"/>
          <w:color w:val="auto"/>
        </w:rPr>
      </w:pPr>
      <w:r>
        <w:rPr>
          <w:rFonts w:ascii="Times New Roman" w:cs="Times New Roman" w:eastAsia="Times New Roman" w:hAnsi="Times New Roman"/>
          <w:sz w:val="20"/>
          <w:szCs w:val="20"/>
          <w:color w:val="auto"/>
        </w:rPr>
        <w:t>to the 365th day following such occurrence or such event shall not constitute Good Reason. You may not invoke termination for Good Reason if Cause exists at the time of such termination.</w:t>
      </w:r>
    </w:p>
    <w:p>
      <w:pPr>
        <w:spacing w:after="0" w:line="146" w:lineRule="exact"/>
        <w:rPr>
          <w:sz w:val="20"/>
          <w:szCs w:val="20"/>
          <w:color w:val="auto"/>
        </w:rPr>
      </w:pPr>
    </w:p>
    <w:p>
      <w:pPr>
        <w:ind w:left="340" w:right="20" w:hanging="332"/>
        <w:spacing w:after="0" w:line="283" w:lineRule="auto"/>
        <w:tabs>
          <w:tab w:leader="none" w:pos="443"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At-Will Employment</w:t>
      </w:r>
      <w:r>
        <w:rPr>
          <w:rFonts w:ascii="Times New Roman" w:cs="Times New Roman" w:eastAsia="Times New Roman" w:hAnsi="Times New Roman"/>
          <w:sz w:val="20"/>
          <w:szCs w:val="20"/>
          <w:color w:val="auto"/>
        </w:rPr>
        <w:t>. You will remain an employee at-will, meaning that either you or the Company (or its applicable affiliate) can terminate your employment at any time for any reason. Nothing in this Agreement guarantees continued employment.</w:t>
      </w:r>
    </w:p>
    <w:p>
      <w:pPr>
        <w:spacing w:after="0" w:line="38" w:lineRule="exact"/>
        <w:rPr>
          <w:rFonts w:ascii="Times New Roman" w:cs="Times New Roman" w:eastAsia="Times New Roman" w:hAnsi="Times New Roman"/>
          <w:sz w:val="20"/>
          <w:szCs w:val="20"/>
          <w:color w:val="auto"/>
        </w:rPr>
      </w:pPr>
    </w:p>
    <w:p>
      <w:pPr>
        <w:jc w:val="both"/>
        <w:ind w:left="340" w:hanging="332"/>
        <w:spacing w:after="0" w:line="268" w:lineRule="auto"/>
        <w:tabs>
          <w:tab w:leader="none" w:pos="376"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Benefits</w:t>
      </w:r>
      <w:r>
        <w:rPr>
          <w:rFonts w:ascii="Times New Roman" w:cs="Times New Roman" w:eastAsia="Times New Roman" w:hAnsi="Times New Roman"/>
          <w:sz w:val="20"/>
          <w:szCs w:val="20"/>
          <w:color w:val="auto"/>
        </w:rPr>
        <w:t>. The Retention Bonus will not increase your compensation for any other purpose, including the calculation of bonuses, if any, or determination of benefits under any benefit plan. Amounts that become payable under this Agreement will be made by the Company from its general assets and represent unfunded, unsecured obligations of the Company.</w:t>
      </w:r>
    </w:p>
    <w:p>
      <w:pPr>
        <w:spacing w:after="0" w:line="53" w:lineRule="exact"/>
        <w:rPr>
          <w:rFonts w:ascii="Times New Roman" w:cs="Times New Roman" w:eastAsia="Times New Roman" w:hAnsi="Times New Roman"/>
          <w:sz w:val="20"/>
          <w:szCs w:val="20"/>
          <w:color w:val="auto"/>
        </w:rPr>
      </w:pPr>
    </w:p>
    <w:p>
      <w:pPr>
        <w:jc w:val="both"/>
        <w:ind w:left="340" w:hanging="332"/>
        <w:spacing w:after="0" w:line="258" w:lineRule="auto"/>
        <w:tabs>
          <w:tab w:leader="none" w:pos="416"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constitutes the complete understanding between you and the Company and supersedes any and all prior written and/or oral agreements or understandings, no matter their form, concerning this subject matter. This Agreement may not be modified except by written document, signed by you and the Company. If any provision of this Agreement is ruled invalid or unenforceable, that provision will be deemed excised, and the remainder of the Agreement will remain valid and enforceable.</w:t>
      </w:r>
    </w:p>
    <w:p>
      <w:pPr>
        <w:spacing w:after="0" w:line="77" w:lineRule="exact"/>
        <w:rPr>
          <w:rFonts w:ascii="Times New Roman" w:cs="Times New Roman" w:eastAsia="Times New Roman" w:hAnsi="Times New Roman"/>
          <w:sz w:val="20"/>
          <w:szCs w:val="20"/>
          <w:color w:val="auto"/>
        </w:rPr>
      </w:pPr>
    </w:p>
    <w:p>
      <w:pPr>
        <w:jc w:val="both"/>
        <w:ind w:left="340" w:hanging="332"/>
        <w:spacing w:after="0" w:line="251" w:lineRule="auto"/>
        <w:tabs>
          <w:tab w:leader="none" w:pos="497"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Venue</w:t>
      </w:r>
      <w:r>
        <w:rPr>
          <w:rFonts w:ascii="Times New Roman" w:cs="Times New Roman" w:eastAsia="Times New Roman" w:hAnsi="Times New Roman"/>
          <w:sz w:val="20"/>
          <w:szCs w:val="20"/>
          <w:color w:val="auto"/>
        </w:rPr>
        <w:t>. Except to the extent a federal statute applies, this Agreement in all respects will be governed, enforced, interpreted and applied under the laws of the State of Michigan. Any action that you may initiate arising out of or relating either to this Agreement or any other dispute between you and the Company concerning the subject matter hereof will be brought in a state court located in Michigan, or, if federal jurisdiction exists, the United States District Court for the Eastern District of Michigan (“</w:t>
      </w:r>
      <w:r>
        <w:rPr>
          <w:rFonts w:ascii="Times New Roman" w:cs="Times New Roman" w:eastAsia="Times New Roman" w:hAnsi="Times New Roman"/>
          <w:sz w:val="20"/>
          <w:szCs w:val="20"/>
          <w:u w:val="single" w:color="auto"/>
          <w:color w:val="auto"/>
        </w:rPr>
        <w:t>Venue</w:t>
      </w:r>
      <w:r>
        <w:rPr>
          <w:rFonts w:ascii="Times New Roman" w:cs="Times New Roman" w:eastAsia="Times New Roman" w:hAnsi="Times New Roman"/>
          <w:sz w:val="20"/>
          <w:szCs w:val="20"/>
          <w:color w:val="auto"/>
        </w:rPr>
        <w:t>”), to the full extent permitted by law. You irrevocably submit to the jurisdiction of the courts in the Venue and waive any objection to personal jurisdiction or Venue in these courts, including, but not limited to, the defense of an inconvenient forum to the maintenance of any related claim, and you and the Company agree not to commence litigation of any related claim in any other Venue.</w:t>
      </w:r>
    </w:p>
    <w:p>
      <w:pPr>
        <w:spacing w:after="0" w:line="84" w:lineRule="exact"/>
        <w:rPr>
          <w:rFonts w:ascii="Times New Roman" w:cs="Times New Roman" w:eastAsia="Times New Roman" w:hAnsi="Times New Roman"/>
          <w:sz w:val="20"/>
          <w:szCs w:val="20"/>
          <w:color w:val="auto"/>
        </w:rPr>
      </w:pPr>
    </w:p>
    <w:p>
      <w:pPr>
        <w:jc w:val="both"/>
        <w:ind w:left="340" w:hanging="332"/>
        <w:spacing w:after="0" w:line="251" w:lineRule="auto"/>
        <w:tabs>
          <w:tab w:leader="none" w:pos="416"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The Retention Bonus is intended to be exempt from the application of Internal Revenue Code Section 409A and the guidance promulgated thereunder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This Agreement will be administered and interpreted in a manner consistent with this intent. If Section 409A is deemed to apply to the Retention Bonus, the Company may take such actions as the Company determines to be necessary and legally permissible to comply with Section 409A or to prevent the payment of additional taxes thereunder, but the Company does not have any obligation to indemnify or protect you from any obligation to pay taxes pursuant to Section 409A. Any questions regarding this tax law should be directed to your personal tax advisor. The Company may withhold from any amount payable to you under this Agreement all federal, state, city or other taxes, or other amounts, as the Company or its affiliates are required to withhold pursuant to any applicable law, regulation or ruling.</w:t>
      </w:r>
    </w:p>
    <w:p>
      <w:pPr>
        <w:spacing w:after="0" w:line="73" w:lineRule="exact"/>
        <w:rPr>
          <w:rFonts w:ascii="Times New Roman" w:cs="Times New Roman" w:eastAsia="Times New Roman" w:hAnsi="Times New Roman"/>
          <w:sz w:val="20"/>
          <w:szCs w:val="20"/>
          <w:color w:val="auto"/>
        </w:rPr>
      </w:pPr>
    </w:p>
    <w:p>
      <w:pPr>
        <w:ind w:left="340" w:hanging="332"/>
        <w:spacing w:after="0" w:line="283" w:lineRule="auto"/>
        <w:tabs>
          <w:tab w:leader="none" w:pos="389"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Acknowledgement</w:t>
      </w:r>
      <w:r>
        <w:rPr>
          <w:rFonts w:ascii="Times New Roman" w:cs="Times New Roman" w:eastAsia="Times New Roman" w:hAnsi="Times New Roman"/>
          <w:sz w:val="20"/>
          <w:szCs w:val="20"/>
          <w:color w:val="auto"/>
        </w:rPr>
        <w:t>. You acknowledge that you have had an opportunity to independently review and read and obtain independent legal advice with respect to the details of this Agreement and confirm that you are executing it freely, voluntarily and without duress.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[the 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color w:val="auto"/>
        </w:rPr>
        <w:t xml:space="preserve">This Agreement will be available for acceptance by you </w:t>
      </w:r>
      <w:r>
        <w:rPr>
          <w:rFonts w:ascii="Times New Roman" w:cs="Times New Roman" w:eastAsia="Times New Roman" w:hAnsi="Times New Roman"/>
          <w:sz w:val="20"/>
          <w:szCs w:val="20"/>
          <w:b w:val="1"/>
          <w:bCs w:val="1"/>
          <w:u w:val="single" w:color="auto"/>
          <w:color w:val="auto"/>
        </w:rPr>
        <w:t>only until February 14, 2025</w:t>
      </w:r>
      <w:r>
        <w:rPr>
          <w:rFonts w:ascii="Times New Roman" w:cs="Times New Roman" w:eastAsia="Times New Roman" w:hAnsi="Times New Roman"/>
          <w:sz w:val="20"/>
          <w:szCs w:val="20"/>
          <w:color w:val="auto"/>
        </w:rPr>
        <w:t>. If you have not provided me with actual delivery of a signed original copy of this Agreement by that date, the terms of this Agreement will automatically be withdrawn.</w:t>
      </w:r>
    </w:p>
    <w:p>
      <w:pPr>
        <w:spacing w:after="0" w:line="16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28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0"/>
          <w:szCs w:val="20"/>
          <w:color w:val="auto"/>
        </w:rPr>
        <w:t>Teresa Finley</w:t>
      </w:r>
    </w:p>
    <w:p>
      <w:pPr>
        <w:spacing w:after="0" w:line="2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0"/>
          <w:szCs w:val="20"/>
          <w:color w:val="auto"/>
        </w:rPr>
        <w:t>Chair, Compensation Committee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1889760</wp:posOffset>
            </wp:positionH>
            <wp:positionV relativeFrom="paragraph">
              <wp:posOffset>-10795</wp:posOffset>
            </wp:positionV>
            <wp:extent cx="1257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2266315</wp:posOffset>
            </wp:positionH>
            <wp:positionV relativeFrom="paragraph">
              <wp:posOffset>-10795</wp:posOffset>
            </wp:positionV>
            <wp:extent cx="5022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502285" cy="8890"/>
                    </a:xfrm>
                    <a:prstGeom prst="rect">
                      <a:avLst/>
                    </a:prstGeom>
                    <a:noFill/>
                  </pic:spPr>
                </pic:pic>
              </a:graphicData>
            </a:graphic>
          </wp:anchor>
        </w:drawing>
      </w:r>
    </w:p>
    <w:p>
      <w:pPr>
        <w:spacing w:after="0" w:line="8"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Date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TriMas Corporation;</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652"/>
        <w:spacing w:after="0" w:line="266" w:lineRule="auto"/>
        <w:tabs>
          <w:tab w:leader="none" w:pos="40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5"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tabs>
          <w:tab w:leader="none" w:pos="878"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1081"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97"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4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108"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57"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2025</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Thomas A. Amato</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Teresa M. Finley, certify that:</w:t>
      </w:r>
    </w:p>
    <w:p>
      <w:pPr>
        <w:spacing w:after="0" w:line="225" w:lineRule="exact"/>
        <w:rPr>
          <w:sz w:val="20"/>
          <w:szCs w:val="20"/>
          <w:color w:val="auto"/>
        </w:rPr>
      </w:pPr>
    </w:p>
    <w:p>
      <w:pPr>
        <w:ind w:left="320" w:hanging="312"/>
        <w:spacing w:after="0"/>
        <w:tabs>
          <w:tab w:leader="none" w:pos="32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TriMas Corporation;</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652"/>
        <w:spacing w:after="0" w:line="266" w:lineRule="auto"/>
        <w:tabs>
          <w:tab w:leader="none" w:pos="40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5"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tabs>
          <w:tab w:leader="none" w:pos="878"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1081"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97"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49"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108"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57"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2025</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TERESA M.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Teresa M. Finley</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887"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TriMas Corporation (the “Company”) on Form 10-Q for the period ended March 31, 2025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2025</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Thomas A. Amato</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TriMas Corporation (the “Company”) on Form 10-Q for the period ended March 31, 2025 as filed with the Securities and Exchange Commission on the date hereof (the “Report”), I, Teresa M. Finley, Chief Financial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2025</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TERESA M.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Teresa M. Finley</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9E373"/>
    <w:multiLevelType w:val="hybridMultilevel"/>
    <w:lvl w:ilvl="0">
      <w:lvlJc w:val="left"/>
      <w:lvlText w:val="☒"/>
      <w:numFmt w:val="bullet"/>
      <w:start w:val="1"/>
    </w:lvl>
  </w:abstractNum>
  <w:abstractNum w:abstractNumId="1">
    <w:nsid w:val="2C27173B"/>
    <w:multiLevelType w:val="hybridMultilevel"/>
    <w:lvl w:ilvl="0">
      <w:lvlJc w:val="left"/>
      <w:lvlText w:val="☐"/>
      <w:numFmt w:val="bullet"/>
      <w:start w:val="1"/>
    </w:lvl>
  </w:abstractNum>
  <w:abstractNum w:abstractNumId="2">
    <w:nsid w:val="4C9B0904"/>
    <w:multiLevelType w:val="hybridMultilevel"/>
    <w:lvl w:ilvl="0">
      <w:lvlJc w:val="left"/>
      <w:lvlText w:val="(%1)"/>
      <w:numFmt w:val="lowerLetter"/>
      <w:start w:val="1"/>
    </w:lvl>
  </w:abstractNum>
  <w:abstractNum w:abstractNumId="3">
    <w:nsid w:val="6AA7B75C"/>
    <w:multiLevelType w:val="hybridMultilevel"/>
    <w:lvl w:ilvl="0">
      <w:lvlJc w:val="left"/>
      <w:lvlText w:val="(%1)"/>
      <w:numFmt w:val="lowerLetter"/>
      <w:start w:val="1"/>
    </w:lvl>
  </w:abstractNum>
  <w:abstractNum w:abstractNumId="4">
    <w:nsid w:val="1DF029D3"/>
    <w:multiLevelType w:val="hybridMultilevel"/>
    <w:lvl w:ilvl="0">
      <w:lvlJc w:val="left"/>
      <w:lvlText w:val="(%1)"/>
      <w:numFmt w:val="lowerLetter"/>
      <w:start w:val="1"/>
    </w:lvl>
  </w:abstractNum>
  <w:abstractNum w:abstractNumId="5">
    <w:nsid w:val="5675FF36"/>
    <w:multiLevelType w:val="hybridMultilevel"/>
    <w:lvl w:ilvl="0">
      <w:lvlJc w:val="left"/>
      <w:lvlText w:val="•"/>
      <w:numFmt w:val="bullet"/>
      <w:start w:val="1"/>
    </w:lvl>
  </w:abstractNum>
  <w:abstractNum w:abstractNumId="6">
    <w:nsid w:val="3DD15094"/>
    <w:multiLevelType w:val="hybridMultilevel"/>
    <w:lvl w:ilvl="0">
      <w:lvlJc w:val="left"/>
      <w:lvlText w:val="(%1)"/>
      <w:numFmt w:val="lowerLetter"/>
      <w:start w:val="1"/>
    </w:lvl>
  </w:abstractNum>
  <w:abstractNum w:abstractNumId="7">
    <w:nsid w:val="3DB012B3"/>
    <w:multiLevelType w:val="hybridMultilevel"/>
    <w:lvl w:ilvl="0">
      <w:lvlJc w:val="left"/>
      <w:lvlText w:val="(%1)"/>
      <w:numFmt w:val="lowerLetter"/>
      <w:start w:val="1"/>
    </w:lvl>
  </w:abstractNum>
  <w:abstractNum w:abstractNumId="8">
    <w:nsid w:val="2708C9AF"/>
    <w:multiLevelType w:val="hybridMultilevel"/>
    <w:lvl w:ilvl="0">
      <w:lvlJc w:val="left"/>
      <w:lvlText w:val="•"/>
      <w:numFmt w:val="bullet"/>
      <w:start w:val="1"/>
    </w:lvl>
  </w:abstractNum>
  <w:abstractNum w:abstractNumId="9">
    <w:nsid w:val="5B25ACE2"/>
    <w:multiLevelType w:val="hybridMultilevel"/>
    <w:lvl w:ilvl="0">
      <w:lvlJc w:val="left"/>
      <w:lvlText w:val="•"/>
      <w:numFmt w:val="bullet"/>
      <w:start w:val="1"/>
    </w:lvl>
  </w:abstractNum>
  <w:abstractNum w:abstractNumId="10">
    <w:nsid w:val="175DFCF0"/>
    <w:multiLevelType w:val="hybridMultilevel"/>
    <w:lvl w:ilvl="0">
      <w:lvlJc w:val="left"/>
      <w:lvlText w:val="(%1)"/>
      <w:numFmt w:val="decimal"/>
      <w:start w:val="1"/>
    </w:lvl>
  </w:abstractNum>
  <w:abstractNum w:abstractNumId="11">
    <w:nsid w:val="4F97E3E4"/>
    <w:multiLevelType w:val="hybridMultilevel"/>
    <w:lvl w:ilvl="0">
      <w:lvlJc w:val="left"/>
      <w:lvlText w:val="&amp;"/>
      <w:numFmt w:val="bullet"/>
      <w:start w:val="1"/>
    </w:lvl>
  </w:abstractNum>
  <w:abstractNum w:abstractNumId="12">
    <w:nsid w:val="53B0A9E"/>
    <w:multiLevelType w:val="hybridMultilevel"/>
    <w:lvl w:ilvl="0">
      <w:lvlJc w:val="left"/>
      <w:lvlText w:val="(%1)"/>
      <w:numFmt w:val="decimal"/>
      <w:start w:val="1"/>
    </w:lvl>
  </w:abstractNum>
  <w:abstractNum w:abstractNumId="13">
    <w:nsid w:val="34FD6B4F"/>
    <w:multiLevelType w:val="hybridMultilevel"/>
    <w:lvl w:ilvl="0">
      <w:lvlJc w:val="left"/>
      <w:lvlText w:val="(%1)"/>
      <w:numFmt w:val="lowerRoman"/>
      <w:start w:val="5"/>
    </w:lvl>
  </w:abstractNum>
  <w:abstractNum w:abstractNumId="14">
    <w:nsid w:val="5915FF32"/>
    <w:multiLevelType w:val="hybridMultilevel"/>
    <w:lvl w:ilvl="0">
      <w:lvlJc w:val="left"/>
      <w:lvlText w:val="*"/>
      <w:numFmt w:val="bullet"/>
      <w:start w:val="1"/>
    </w:lvl>
  </w:abstractNum>
  <w:abstractNum w:abstractNumId="15">
    <w:nsid w:val="56438D15"/>
    <w:multiLevelType w:val="hybridMultilevel"/>
    <w:lvl w:ilvl="0">
      <w:lvlJc w:val="left"/>
      <w:lvlText w:val="%1."/>
      <w:numFmt w:val="upperLetter"/>
      <w:start w:val="9"/>
    </w:lvl>
  </w:abstractNum>
  <w:abstractNum w:abstractNumId="16">
    <w:nsid w:val="519E3149"/>
    <w:multiLevelType w:val="hybridMultilevel"/>
    <w:lvl w:ilvl="0">
      <w:lvlJc w:val="left"/>
      <w:lvlText w:val="%1."/>
      <w:numFmt w:val="upperLetter"/>
      <w:start w:val="35"/>
    </w:lvl>
    <w:lvl w:ilvl="1">
      <w:lvlJc w:val="left"/>
      <w:lvlText w:val="%2"/>
      <w:numFmt w:val="upperLetter"/>
      <w:start w:val="1"/>
    </w:lvl>
  </w:abstractNum>
  <w:abstractNum w:abstractNumId="17">
    <w:nsid w:val="2C6E4AF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18">
    <w:nsid w:val="17A1B582"/>
    <w:multiLevelType w:val="hybridMultilevel"/>
    <w:lvl w:ilvl="0">
      <w:lvlJc w:val="left"/>
      <w:lvlText w:val="%1."/>
      <w:numFmt w:val="decimal"/>
      <w:start w:val="2"/>
    </w:lvl>
    <w:lvl w:ilvl="1">
      <w:lvlJc w:val="left"/>
      <w:lvlText w:val="%2"/>
      <w:numFmt w:val="decimal"/>
      <w:start w:val="1"/>
    </w:lvl>
    <w:lvl w:ilvl="2">
      <w:lvlJc w:val="left"/>
      <w:lvlText w:val="%3."/>
      <w:numFmt w:val="decimal"/>
      <w:start w:val="3"/>
    </w:lvl>
    <w:lvl w:ilvl="3">
      <w:lvlJc w:val="left"/>
      <w:lvlText w:val="%4."/>
      <w:numFmt w:val="decimal"/>
      <w:start w:val="4"/>
    </w:lvl>
  </w:abstractNum>
  <w:abstractNum w:abstractNumId="19">
    <w:nsid w:val="4DF72E4E"/>
    <w:multiLevelType w:val="hybridMultilevel"/>
    <w:lvl w:ilvl="0">
      <w:lvlJc w:val="left"/>
      <w:lvlText w:val="%1."/>
      <w:numFmt w:val="decimal"/>
      <w:start w:val="5"/>
    </w:lvl>
  </w:abstractNum>
  <w:abstractNum w:abstractNumId="20">
    <w:nsid w:val="5046B5A9"/>
    <w:multiLevelType w:val="hybridMultilevel"/>
    <w:lvl w:ilvl="0">
      <w:lvlJc w:val="left"/>
      <w:lvlText w:val="(%1)"/>
      <w:numFmt w:val="lowerLetter"/>
      <w:start w:val="1"/>
    </w:lvl>
  </w:abstractNum>
  <w:abstractNum w:abstractNumId="21">
    <w:nsid w:val="5D888A08"/>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4"/>
    </w:lvl>
    <w:lvl w:ilvl="3">
      <w:lvlJc w:val="left"/>
      <w:lvlText w:val="(%4)"/>
      <w:numFmt w:val="lowerLetter"/>
      <w:start w:val="5"/>
    </w:lvl>
    <w:lvl w:ilvl="4">
      <w:lvlJc w:val="left"/>
      <w:lvlText w:val="%5"/>
      <w:numFmt w:val="lowerLetter"/>
      <w:start w:val="1"/>
    </w:lvl>
  </w:abstractNum>
  <w:abstractNum w:abstractNumId="22">
    <w:nsid w:val="2A082C70"/>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9"/>
    </w:lvl>
  </w:abstractNum>
  <w:abstractNum w:abstractNumId="23">
    <w:nsid w:val="5EC6AFD4"/>
    <w:multiLevelType w:val="hybridMultilevel"/>
    <w:lvl w:ilvl="0">
      <w:lvlJc w:val="left"/>
      <w:lvlText w:val="%1"/>
      <w:numFmt w:val="upperLetter"/>
      <w:start w:val="1"/>
    </w:lvl>
    <w:lvl w:ilvl="1">
      <w:lvlJc w:val="left"/>
      <w:lvlText w:val="(%2)"/>
      <w:numFmt w:val="lowerRoman"/>
      <w:start w:val="2"/>
    </w:lvl>
  </w:abstractNum>
  <w:abstractNum w:abstractNumId="24">
    <w:nsid w:val="19E21BB2"/>
    <w:multiLevelType w:val="hybridMultilevel"/>
    <w:lvl w:ilvl="0">
      <w:lvlJc w:val="left"/>
      <w:lvlText w:val="(%1)"/>
      <w:numFmt w:val="upperLetter"/>
      <w:start w:val="3"/>
    </w:lvl>
    <w:lvl w:ilvl="1">
      <w:lvlJc w:val="left"/>
      <w:lvlText w:val="(%2)"/>
      <w:numFmt w:val="lowerRoman"/>
      <w:start w:val="3"/>
    </w:lvl>
  </w:abstractNum>
  <w:abstractNum w:abstractNumId="25">
    <w:nsid w:val="75E0858A"/>
    <w:multiLevelType w:val="hybridMultilevel"/>
    <w:lvl w:ilvl="0">
      <w:lvlJc w:val="left"/>
      <w:lvlText w:val="(%1)"/>
      <w:numFmt w:val="lowerRoman"/>
      <w:start w:val="4"/>
    </w:lvl>
  </w:abstractNum>
  <w:abstractNum w:abstractNumId="26">
    <w:nsid w:val="57A61A2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7">
    <w:nsid w:val="5399C654"/>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Letter"/>
      <w:start w:val="1"/>
    </w:lvl>
    <w:lvl w:ilvl="5">
      <w:lvlJc w:val="left"/>
      <w:lvlText w:val="(%6)"/>
      <w:numFmt w:val="lowerLetter"/>
      <w:start w:val="61"/>
    </w:lvl>
  </w:abstractNum>
  <w:abstractNum w:abstractNumId="28">
    <w:nsid w:val="20EE1348"/>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Letter"/>
      <w:start w:val="3"/>
    </w:lvl>
    <w:lvl w:ilvl="5">
      <w:lvlJc w:val="left"/>
      <w:lvlText w:val="%6"/>
      <w:numFmt w:val="lowerLetter"/>
      <w:start w:val="1"/>
    </w:lvl>
  </w:abstractNum>
  <w:abstractNum w:abstractNumId="29">
    <w:nsid w:val="4427069A"/>
    <w:multiLevelType w:val="hybridMultilevel"/>
    <w:lvl w:ilvl="0">
      <w:lvlJc w:val="left"/>
      <w:lvlText w:val="%1."/>
      <w:numFmt w:val="upperLetter"/>
      <w:start w:val="2"/>
    </w:lvl>
    <w:lvl w:ilvl="1">
      <w:lvlJc w:val="left"/>
      <w:lvlText w:val="%2."/>
      <w:numFmt w:val="decimal"/>
      <w:start w:val="2"/>
    </w:lvl>
    <w:lvl w:ilvl="2">
      <w:lvlJc w:val="left"/>
      <w:lvlText w:val="%3."/>
      <w:numFmt w:val="decimal"/>
      <w:start w:val="1"/>
    </w:lvl>
    <w:lvl w:ilvl="3">
      <w:lvlJc w:val="left"/>
      <w:lvlText w:val="%4."/>
      <w:numFmt w:val="decimal"/>
      <w:start w:val="2"/>
    </w:lvl>
    <w:lvl w:ilvl="4">
      <w:lvlJc w:val="left"/>
      <w:lvlText w:val="(%5)"/>
      <w:numFmt w:val="lowerLetter"/>
      <w:start w:val="1"/>
    </w:lvl>
    <w:lvl w:ilvl="5">
      <w:lvlJc w:val="left"/>
      <w:lvlText w:val="%6"/>
      <w:numFmt w:val="lowerLetter"/>
      <w:start w:val="1"/>
    </w:lvl>
  </w:abstractNum>
  <w:abstractNum w:abstractNumId="30">
    <w:nsid w:val="B37E80A"/>
    <w:multiLevelType w:val="hybridMultilevel"/>
    <w:lvl w:ilvl="0">
      <w:lvlJc w:val="left"/>
      <w:lvlText w:val="(%1)"/>
      <w:numFmt w:val="lowerLetter"/>
      <w:start w:val="2"/>
    </w:lvl>
  </w:abstractNum>
  <w:abstractNum w:abstractNumId="31">
    <w:nsid w:val="2157F6BC"/>
    <w:multiLevelType w:val="hybridMultilevel"/>
    <w:lvl w:ilvl="0">
      <w:lvlJc w:val="left"/>
      <w:lvlText w:val="(%1)"/>
      <w:numFmt w:val="lowerLetter"/>
      <w:start w:val="3"/>
    </w:lvl>
    <w:lvl w:ilvl="1">
      <w:lvlJc w:val="left"/>
      <w:lvlText w:val="(%2)"/>
      <w:numFmt w:val="lowerLetter"/>
      <w:start w:val="3"/>
    </w:lvl>
    <w:lvl w:ilvl="2">
      <w:lvlJc w:val="left"/>
      <w:lvlText w:val="(%3)"/>
      <w:numFmt w:val="lowerRoman"/>
      <w:start w:val="1"/>
    </w:lvl>
  </w:abstractNum>
  <w:abstractNum w:abstractNumId="32">
    <w:nsid w:val="704E1DD5"/>
    <w:multiLevelType w:val="hybridMultilevel"/>
    <w:lvl w:ilvl="0">
      <w:lvlJc w:val="left"/>
      <w:lvlText w:val="%1"/>
      <w:numFmt w:val="lowerLetter"/>
      <w:start w:val="1"/>
    </w:lvl>
    <w:lvl w:ilvl="1">
      <w:lvlJc w:val="left"/>
      <w:lvlText w:val="(%2)"/>
      <w:numFmt w:val="lowerRoman"/>
      <w:start w:val="1"/>
    </w:lvl>
  </w:abstractNum>
  <w:abstractNum w:abstractNumId="33">
    <w:nsid w:val="57D2F10E"/>
    <w:multiLevelType w:val="hybridMultilevel"/>
    <w:lvl w:ilvl="0">
      <w:lvlJc w:val="left"/>
      <w:lvlText w:val="(%1)"/>
      <w:numFmt w:val="lowerLetter"/>
      <w:start w:val="6"/>
    </w:lvl>
    <w:lvl w:ilvl="1">
      <w:lvlJc w:val="left"/>
      <w:lvlText w:val="%2"/>
      <w:numFmt w:val="lowerRoman"/>
      <w:start w:val="1"/>
    </w:lvl>
  </w:abstractNum>
  <w:abstractNum w:abstractNumId="34">
    <w:nsid w:val="BFFAE1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lowerLetter"/>
      <w:start w:val="8"/>
    </w:lvl>
  </w:abstractNum>
  <w:abstractNum w:abstractNumId="35">
    <w:nsid w:val="E3E47A8"/>
    <w:multiLevelType w:val="hybridMultilevel"/>
    <w:lvl w:ilvl="0">
      <w:lvlJc w:val="left"/>
      <w:lvlText w:val="%1"/>
      <w:numFmt w:val="decimal"/>
      <w:start w:val="1"/>
    </w:lvl>
    <w:lvl w:ilvl="1">
      <w:lvlJc w:val="left"/>
      <w:lvlText w:val="%2."/>
      <w:numFmt w:val="decimal"/>
      <w:start w:val="4"/>
    </w:lvl>
    <w:lvl w:ilvl="2">
      <w:lvlJc w:val="left"/>
      <w:lvlText w:val="%3."/>
      <w:numFmt w:val="decimal"/>
      <w:start w:val="5"/>
    </w:lvl>
    <w:lvl w:ilvl="3">
      <w:lvlJc w:val="left"/>
      <w:lvlText w:val="%4"/>
      <w:numFmt w:val="decimal"/>
      <w:start w:val="1"/>
    </w:lvl>
    <w:lvl w:ilvl="4">
      <w:lvlJc w:val="left"/>
      <w:lvlText w:val="%5"/>
      <w:numFmt w:val="decimal"/>
      <w:start w:val="1"/>
    </w:lvl>
    <w:lvl w:ilvl="5">
      <w:lvlJc w:val="left"/>
      <w:lvlText w:val="%6"/>
      <w:numFmt w:val="lowerLetter"/>
      <w:start w:val="1"/>
    </w:lvl>
  </w:abstractNum>
  <w:abstractNum w:abstractNumId="36">
    <w:nsid w:val="2E48F044"/>
    <w:multiLevelType w:val="hybridMultilevel"/>
    <w:lvl w:ilvl="0">
      <w:lvlJc w:val="left"/>
      <w:lvlText w:val="%1."/>
      <w:numFmt w:val="decimal"/>
      <w:start w:val="6"/>
    </w:lvl>
    <w:lvl w:ilvl="1">
      <w:lvlJc w:val="left"/>
      <w:lvlText w:val="%2"/>
      <w:numFmt w:val="decimal"/>
      <w:start w:val="1"/>
    </w:lvl>
    <w:lvl w:ilvl="2">
      <w:lvlJc w:val="left"/>
      <w:lvlText w:val="%3."/>
      <w:numFmt w:val="decimal"/>
      <w:start w:val="7"/>
    </w:lvl>
    <w:lvl w:ilvl="3">
      <w:lvlJc w:val="left"/>
      <w:lvlText w:val="%4."/>
      <w:numFmt w:val="decimal"/>
      <w:start w:val="7"/>
    </w:lvl>
    <w:lvl w:ilvl="4">
      <w:lvlJc w:val="left"/>
      <w:lvlText w:val="%5."/>
      <w:numFmt w:val="decimal"/>
      <w:start w:val="9"/>
    </w:lvl>
    <w:lvl w:ilvl="5">
      <w:lvlJc w:val="left"/>
      <w:lvlText w:val="%6"/>
      <w:numFmt w:val="lowerLetter"/>
      <w:start w:val="1"/>
    </w:lvl>
  </w:abstractNum>
  <w:abstractNum w:abstractNumId="37">
    <w:nsid w:val="49D0FEAC"/>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lvl w:ilvl="6">
      <w:lvlJc w:val="left"/>
      <w:lvlText w:val="%7"/>
      <w:numFmt w:val="lowerLetter"/>
      <w:start w:val="1"/>
    </w:lvl>
  </w:abstractNum>
  <w:abstractNum w:abstractNumId="38">
    <w:nsid w:val="4BEE5A5B"/>
    <w:multiLevelType w:val="hybridMultilevel"/>
    <w:lvl w:ilvl="0">
      <w:lvlJc w:val="left"/>
      <w:lvlText w:val="%1."/>
      <w:numFmt w:val="decimal"/>
      <w:start w:val="11"/>
    </w:lvl>
    <w:lvl w:ilvl="1">
      <w:lvlJc w:val="left"/>
      <w:lvlText w:val="%2"/>
      <w:numFmt w:val="decimal"/>
      <w:start w:val="1"/>
    </w:lvl>
    <w:lvl w:ilvl="2">
      <w:lvlJc w:val="left"/>
      <w:lvlText w:val="(%3)"/>
      <w:numFmt w:val="lowerLetter"/>
      <w:start w:val="2"/>
    </w:lvl>
    <w:lvl w:ilvl="3">
      <w:lvlJc w:val="left"/>
      <w:lvlText w:val="(%4)"/>
      <w:numFmt w:val="lowerLetter"/>
      <w:start w:val="1"/>
    </w:lvl>
    <w:lvl w:ilvl="4">
      <w:lvlJc w:val="left"/>
      <w:lvlText w:val="(%5)"/>
      <w:numFmt w:val="lowerLetter"/>
      <w:start w:val="2"/>
    </w:lvl>
    <w:lvl w:ilvl="5">
      <w:lvlJc w:val="left"/>
      <w:lvlText w:val="%6"/>
      <w:numFmt w:val="lowerLetter"/>
      <w:start w:val="1"/>
    </w:lvl>
    <w:lvl w:ilvl="6">
      <w:lvlJc w:val="left"/>
      <w:lvlText w:val="(%7)"/>
      <w:numFmt w:val="lowerLetter"/>
      <w:start w:val="5"/>
    </w:lvl>
  </w:abstractNum>
  <w:abstractNum w:abstractNumId="39">
    <w:nsid w:val="5551B9F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7"/>
    </w:lvl>
    <w:lvl w:ilvl="4">
      <w:lvlJc w:val="left"/>
      <w:lvlText w:val="%5"/>
      <w:numFmt w:val="lowerLetter"/>
      <w:start w:val="1"/>
    </w:lvl>
    <w:lvl w:ilvl="5">
      <w:lvlJc w:val="left"/>
      <w:lvlText w:val="(%6)"/>
      <w:numFmt w:val="lowerLetter"/>
      <w:start w:val="8"/>
    </w:lvl>
    <w:lvl w:ilvl="6">
      <w:lvlJc w:val="left"/>
      <w:lvlText w:val="%7"/>
      <w:numFmt w:val="lowerLetter"/>
      <w:start w:val="1"/>
    </w:lvl>
  </w:abstractNum>
  <w:abstractNum w:abstractNumId="40">
    <w:nsid w:val="24F6AB8E"/>
    <w:multiLevelType w:val="hybridMultilevel"/>
    <w:lvl w:ilvl="0">
      <w:lvlJc w:val="left"/>
      <w:lvlText w:val="(%1)"/>
      <w:numFmt w:val="lowerRoman"/>
      <w:start w:val="1"/>
    </w:lvl>
  </w:abstractNum>
  <w:abstractNum w:abstractNumId="41">
    <w:nsid w:val="634C574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Letter"/>
      <w:start w:val="10"/>
    </w:lvl>
    <w:lvl w:ilvl="5">
      <w:lvlJc w:val="left"/>
      <w:lvlText w:val="%6"/>
      <w:numFmt w:val="lowerLetter"/>
      <w:start w:val="1"/>
    </w:lvl>
  </w:abstractNum>
  <w:abstractNum w:abstractNumId="42">
    <w:nsid w:val="24E99DD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2"/>
    </w:lvl>
    <w:lvl w:ilvl="4">
      <w:lvlJc w:val="left"/>
      <w:lvlText w:val="%5"/>
      <w:numFmt w:val="lowerLetter"/>
      <w:start w:val="1"/>
    </w:lvl>
    <w:lvl w:ilvl="5">
      <w:lvlJc w:val="left"/>
      <w:lvlText w:val="(%6)"/>
      <w:numFmt w:val="lowerLetter"/>
      <w:start w:val="1"/>
    </w:lvl>
  </w:abstractNum>
  <w:abstractNum w:abstractNumId="43">
    <w:nsid w:val="2A31B62D"/>
    <w:multiLevelType w:val="hybridMultilevel"/>
    <w:lvl w:ilvl="0">
      <w:lvlJc w:val="left"/>
      <w:lvlText w:val="%1"/>
      <w:numFmt w:val="decimal"/>
      <w:start w:val="1"/>
    </w:lvl>
    <w:lvl w:ilvl="1">
      <w:lvlJc w:val="left"/>
      <w:lvlText w:val="%2"/>
      <w:numFmt w:val="decimal"/>
      <w:start w:val="1"/>
    </w:lvl>
    <w:lvl w:ilvl="2">
      <w:lvlJc w:val="left"/>
      <w:lvlText w:val="%3."/>
      <w:numFmt w:val="decimal"/>
      <w:start w:val="13"/>
    </w:lvl>
    <w:lvl w:ilvl="3">
      <w:lvlJc w:val="left"/>
      <w:lvlText w:val="%4"/>
      <w:numFmt w:val="decimal"/>
      <w:start w:val="1"/>
    </w:lvl>
    <w:lvl w:ilvl="4">
      <w:lvlJc w:val="left"/>
      <w:lvlText w:val="%5"/>
      <w:numFmt w:val="lowerLetter"/>
      <w:start w:val="1"/>
    </w:lvl>
    <w:lvl w:ilvl="5">
      <w:lvlJc w:val="left"/>
      <w:lvlText w:val="%6"/>
      <w:numFmt w:val="lowerLetter"/>
      <w:start w:val="1"/>
    </w:lvl>
  </w:abstractNum>
  <w:abstractNum w:abstractNumId="44">
    <w:nsid w:val="1849C29B"/>
    <w:multiLevelType w:val="hybridMultilevel"/>
    <w:lvl w:ilvl="0">
      <w:lvlJc w:val="left"/>
      <w:lvlText w:val="%1"/>
      <w:numFmt w:val="decimal"/>
      <w:start w:val="1"/>
    </w:lvl>
    <w:lvl w:ilvl="1">
      <w:lvlJc w:val="left"/>
      <w:lvlText w:val="%2."/>
      <w:numFmt w:val="decimal"/>
      <w:start w:val="14"/>
    </w:lvl>
    <w:lvl w:ilvl="2">
      <w:lvlJc w:val="left"/>
      <w:lvlText w:val="%3"/>
      <w:numFmt w:val="decimal"/>
      <w:start w:val="1"/>
    </w:lvl>
    <w:lvl w:ilvl="3">
      <w:lvlJc w:val="left"/>
      <w:lvlText w:val="%4"/>
      <w:numFmt w:val="decimal"/>
      <w:start w:val="1"/>
    </w:lvl>
    <w:lvl w:ilvl="4">
      <w:lvlJc w:val="left"/>
      <w:lvlText w:val="%5"/>
      <w:numFmt w:val="lowerLetter"/>
      <w:start w:val="1"/>
    </w:lvl>
    <w:lvl w:ilvl="5">
      <w:lvlJc w:val="left"/>
      <w:lvlText w:val="%6"/>
      <w:numFmt w:val="lowerLetter"/>
      <w:start w:val="1"/>
    </w:lvl>
  </w:abstractNum>
  <w:abstractNum w:abstractNumId="45">
    <w:nsid w:val="7DFF9D09"/>
    <w:multiLevelType w:val="hybridMultilevel"/>
    <w:lvl w:ilvl="0">
      <w:lvlJc w:val="left"/>
      <w:lvlText w:val="%1."/>
      <w:numFmt w:val="decimal"/>
      <w:start w:val="15"/>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Letter"/>
      <w:start w:val="1"/>
    </w:lvl>
    <w:lvl w:ilvl="5">
      <w:lvlJc w:val="left"/>
      <w:lvlText w:val="%6"/>
      <w:numFmt w:val="lowerLetter"/>
      <w:start w:val="1"/>
    </w:lvl>
  </w:abstractNum>
  <w:abstractNum w:abstractNumId="46">
    <w:nsid w:val="754342"/>
    <w:multiLevelType w:val="hybridMultilevel"/>
    <w:lvl w:ilvl="0">
      <w:lvlJc w:val="left"/>
      <w:lvlText w:val="%1."/>
      <w:numFmt w:val="decimal"/>
      <w:start w:val="16"/>
    </w:lvl>
    <w:lvl w:ilvl="1">
      <w:lvlJc w:val="left"/>
      <w:lvlText w:val="(%2)"/>
      <w:numFmt w:val="lowerLetter"/>
      <w:start w:val="1"/>
    </w:lvl>
  </w:abstractNum>
  <w:abstractNum w:abstractNumId="47">
    <w:nsid w:val="69E7F3E5"/>
    <w:multiLevelType w:val="hybridMultilevel"/>
    <w:lvl w:ilvl="0">
      <w:lvlJc w:val="left"/>
      <w:lvlText w:val="%1."/>
      <w:numFmt w:val="decimal"/>
      <w:start w:val="1"/>
    </w:lvl>
    <w:lvl w:ilvl="1">
      <w:lvlJc w:val="left"/>
      <w:lvlText w:val="(%2)"/>
      <w:numFmt w:val="upperLetter"/>
      <w:start w:val="1"/>
    </w:lvl>
  </w:abstractNum>
  <w:abstractNum w:abstractNumId="48">
    <w:nsid w:val="2A6DE806"/>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49">
    <w:nsid w:val="1816F8C4"/>
    <w:multiLevelType w:val="hybridMultilevel"/>
    <w:lvl w:ilvl="0">
      <w:lvlJc w:val="left"/>
      <w:lvlText w:val="%1"/>
      <w:numFmt w:val="decimal"/>
      <w:start w:val="1"/>
    </w:lvl>
    <w:lvl w:ilvl="1">
      <w:lvlJc w:val="left"/>
      <w:lvlText w:val="(%2)"/>
      <w:numFmt w:val="upperLetter"/>
      <w:start w:val="4"/>
    </w:lvl>
    <w:lvl w:ilvl="2">
      <w:lvlJc w:val="left"/>
      <w:lvlText w:val="%3"/>
      <w:numFmt w:val="lowerRoman"/>
      <w:start w:val="1"/>
    </w:lvl>
  </w:abstractNum>
  <w:abstractNum w:abstractNumId="50">
    <w:nsid w:val="37DF2233"/>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abstractNum>
  <w:abstractNum w:abstractNumId="51">
    <w:nsid w:val="7AB49DAF"/>
    <w:multiLevelType w:val="hybridMultilevel"/>
    <w:lvl w:ilvl="0">
      <w:lvlJc w:val="left"/>
      <w:lvlText w:val="%1."/>
      <w:numFmt w:val="decimal"/>
      <w:start w:val="6"/>
    </w:lvl>
    <w:lvl w:ilvl="1">
      <w:lvlJc w:val="left"/>
      <w:lvlText w:val="(%2)"/>
      <w:numFmt w:val="upperLetter"/>
      <w:start w:val="1"/>
    </w:lvl>
    <w:lvl w:ilvl="2">
      <w:lvlJc w:val="left"/>
      <w:lvlText w:val="(%3)"/>
      <w:numFmt w:val="upperLetter"/>
      <w:start w:val="2"/>
    </w:lvl>
  </w:abstractNum>
  <w:abstractNum w:abstractNumId="52">
    <w:nsid w:val="759F82CD"/>
    <w:multiLevelType w:val="hybridMultilevel"/>
    <w:lvl w:ilvl="0">
      <w:lvlJc w:val="left"/>
      <w:lvlText w:val="%1."/>
      <w:numFmt w:val="decimal"/>
      <w:start w:val="8"/>
    </w:lvl>
    <w:lvl w:ilvl="1">
      <w:lvlJc w:val="left"/>
      <w:lvlText w:val="(%2)"/>
      <w:numFmt w:val="upperLetter"/>
      <w:start w:val="1"/>
    </w:lvl>
    <w:lvl w:ilvl="2">
      <w:lvlJc w:val="left"/>
      <w:lvlText w:val="(%3)"/>
      <w:numFmt w:val="upperLetter"/>
      <w:start w:val="2"/>
    </w:lvl>
  </w:abstractNum>
  <w:abstractNum w:abstractNumId="53">
    <w:nsid w:val="61E74EA3"/>
    <w:multiLevelType w:val="hybridMultilevel"/>
    <w:lvl w:ilvl="0">
      <w:lvlJc w:val="left"/>
      <w:lvlText w:val="%1."/>
      <w:numFmt w:val="decimal"/>
      <w:start w:val="10"/>
    </w:lvl>
  </w:abstractNum>
  <w:abstractNum w:abstractNumId="54">
    <w:nsid w:val="597B4D84"/>
    <w:multiLevelType w:val="hybridMultilevel"/>
    <w:lvl w:ilvl="0">
      <w:lvlJc w:val="left"/>
      <w:lvlText w:val="•"/>
      <w:numFmt w:val="bullet"/>
      <w:start w:val="1"/>
    </w:lvl>
  </w:abstractNum>
  <w:abstractNum w:abstractNumId="55">
    <w:nsid w:val="F819E7F"/>
    <w:multiLevelType w:val="hybridMultilevel"/>
    <w:lvl w:ilvl="0">
      <w:lvlJc w:val="left"/>
      <w:lvlText w:val="2"/>
      <w:numFmt w:val="bullet"/>
      <w:start w:val="1"/>
    </w:lvl>
  </w:abstractNum>
  <w:abstractNum w:abstractNumId="56">
    <w:nsid w:val="57C7D42D"/>
    <w:multiLevelType w:val="hybridMultilevel"/>
    <w:lvl w:ilvl="0">
      <w:lvlJc w:val="left"/>
      <w:lvlText w:val="(%1)"/>
      <w:numFmt w:val="lowerLetter"/>
      <w:start w:val="1"/>
    </w:lvl>
  </w:abstractNum>
  <w:abstractNum w:abstractNumId="57">
    <w:nsid w:val="312167AD"/>
    <w:multiLevelType w:val="hybridMultilevel"/>
    <w:lvl w:ilvl="0">
      <w:lvlJc w:val="left"/>
      <w:lvlText w:val="(%1)"/>
      <w:numFmt w:val="lowerLetter"/>
      <w:start w:val="1"/>
    </w:lvl>
  </w:abstractNum>
  <w:abstractNum w:abstractNumId="58">
    <w:nsid w:val="631B64D4"/>
    <w:multiLevelType w:val="hybridMultilevel"/>
    <w:lvl w:ilvl="0">
      <w:lvlJc w:val="left"/>
      <w:lvlText w:val="%1"/>
      <w:numFmt w:val="lowerRoman"/>
      <w:start w:val="1"/>
    </w:lvl>
    <w:lvl w:ilvl="1">
      <w:lvlJc w:val="left"/>
      <w:lvlText w:val="(%2)"/>
      <w:numFmt w:val="lowerRoman"/>
      <w:start w:val="1"/>
    </w:lvl>
  </w:abstractNum>
  <w:abstractNum w:abstractNumId="59">
    <w:nsid w:val="78B5E776"/>
    <w:multiLevelType w:val="hybridMultilevel"/>
    <w:lvl w:ilvl="0">
      <w:lvlJc w:val="left"/>
      <w:lvlText w:val="(%1)"/>
      <w:numFmt w:val="lowerRoman"/>
      <w:start w:val="4"/>
    </w:lvl>
    <w:lvl w:ilvl="1">
      <w:lvlJc w:val="left"/>
      <w:lvlText w:val="%2"/>
      <w:numFmt w:val="lowerRoman"/>
      <w:start w:val="1"/>
    </w:lvl>
  </w:abstractNum>
  <w:abstractNum w:abstractNumId="60">
    <w:nsid w:val="75486E47"/>
    <w:multiLevelType w:val="hybridMultilevel"/>
    <w:lvl w:ilvl="0">
      <w:lvlJc w:val="left"/>
      <w:lvlText w:val="(%1)"/>
      <w:numFmt w:val="lowerRoman"/>
      <w:start w:val="1"/>
    </w:lvl>
  </w:abstractNum>
  <w:abstractNum w:abstractNumId="61">
    <w:nsid w:val="6E534CDE"/>
    <w:multiLevelType w:val="hybridMultilevel"/>
    <w:lvl w:ilvl="0">
      <w:lvlJc w:val="left"/>
      <w:lvlText w:val="(%1)"/>
      <w:numFmt w:val="lowerRoman"/>
      <w:start w:val="1"/>
    </w:lvl>
  </w:abstractNum>
  <w:abstractNum w:abstractNumId="62">
    <w:nsid w:val="1A0DDE32"/>
    <w:multiLevelType w:val="hybridMultilevel"/>
    <w:lvl w:ilvl="0">
      <w:lvlJc w:val="left"/>
      <w:lvlText w:val="(%1)"/>
      <w:numFmt w:val="decimal"/>
      <w:start w:val="2"/>
    </w:lvl>
  </w:abstractNum>
  <w:abstractNum w:abstractNumId="63">
    <w:nsid w:val="65968C1C"/>
    <w:multiLevelType w:val="hybridMultilevel"/>
    <w:lvl w:ilvl="0">
      <w:lvlJc w:val="left"/>
      <w:lvlText w:val="(%1)"/>
      <w:numFmt w:val="decimal"/>
      <w:start w:val="4"/>
    </w:lvl>
  </w:abstractNum>
  <w:abstractNum w:abstractNumId="64">
    <w:nsid w:val="46263DEC"/>
    <w:multiLevelType w:val="hybridMultilevel"/>
    <w:lvl w:ilvl="0">
      <w:lvlJc w:val="left"/>
      <w:lvlText w:val="•"/>
      <w:numFmt w:val="bullet"/>
      <w:start w:val="1"/>
    </w:lvl>
  </w:abstractNum>
  <w:abstractNum w:abstractNumId="65">
    <w:nsid w:val="260D8C4A"/>
    <w:multiLevelType w:val="hybridMultilevel"/>
    <w:lvl w:ilvl="0">
      <w:lvlJc w:val="left"/>
      <w:lvlText w:val="•"/>
      <w:numFmt w:val="bullet"/>
      <w:start w:val="1"/>
    </w:lvl>
  </w:abstractNum>
  <w:abstractNum w:abstractNumId="66">
    <w:nsid w:val="73D4D3C4"/>
    <w:multiLevelType w:val="hybridMultilevel"/>
    <w:lvl w:ilvl="0">
      <w:lvlJc w:val="left"/>
      <w:lvlText w:val="•"/>
      <w:numFmt w:val="bullet"/>
      <w:start w:val="1"/>
    </w:lvl>
  </w:abstractNum>
  <w:abstractNum w:abstractNumId="67">
    <w:nsid w:val="746F2E30"/>
    <w:multiLevelType w:val="hybridMultilevel"/>
    <w:lvl w:ilvl="0">
      <w:lvlJc w:val="left"/>
      <w:lvlText w:val="•"/>
      <w:numFmt w:val="bullet"/>
      <w:start w:val="1"/>
    </w:lvl>
  </w:abstractNum>
  <w:abstractNum w:abstractNumId="68">
    <w:nsid w:val="6FDE8AF6"/>
    <w:multiLevelType w:val="hybridMultilevel"/>
    <w:lvl w:ilvl="0">
      <w:lvlJc w:val="left"/>
      <w:lvlText w:val="•"/>
      <w:numFmt w:val="bullet"/>
      <w:start w:val="1"/>
    </w:lvl>
  </w:abstractNum>
  <w:abstractNum w:abstractNumId="69">
    <w:nsid w:val="3FC32E20"/>
    <w:multiLevelType w:val="hybridMultilevel"/>
    <w:lvl w:ilvl="0">
      <w:lvlJc w:val="left"/>
      <w:lvlText w:val="•"/>
      <w:numFmt w:val="bullet"/>
      <w:start w:val="1"/>
    </w:lvl>
  </w:abstractNum>
  <w:abstractNum w:abstractNumId="70">
    <w:nsid w:val="49C0E823"/>
    <w:multiLevelType w:val="hybridMultilevel"/>
    <w:lvl w:ilvl="0">
      <w:lvlJc w:val="left"/>
      <w:lvlText w:val="•"/>
      <w:numFmt w:val="bullet"/>
      <w:start w:val="1"/>
    </w:lvl>
  </w:abstractNum>
  <w:abstractNum w:abstractNumId="71">
    <w:nsid w:val="14D53685"/>
    <w:multiLevelType w:val="hybridMultilevel"/>
    <w:lvl w:ilvl="0">
      <w:lvlJc w:val="left"/>
      <w:lvlText w:val="•"/>
      <w:numFmt w:val="bullet"/>
      <w:start w:val="1"/>
    </w:lvl>
  </w:abstractNum>
  <w:abstractNum w:abstractNumId="72">
    <w:nsid w:val="230F856C"/>
    <w:multiLevelType w:val="hybridMultilevel"/>
    <w:lvl w:ilvl="0">
      <w:lvlJc w:val="left"/>
      <w:lvlText w:val="(%1)"/>
      <w:numFmt w:val="lowerLetter"/>
      <w:start w:val="1"/>
    </w:lvl>
  </w:abstractNum>
  <w:abstractNum w:abstractNumId="73">
    <w:nsid w:val="6EAA85FB"/>
    <w:multiLevelType w:val="hybridMultilevel"/>
    <w:lvl w:ilvl="0">
      <w:lvlJc w:val="left"/>
      <w:lvlText w:val="(%1)"/>
      <w:numFmt w:val="lowerLetter"/>
      <w:start w:val="3"/>
    </w:lvl>
  </w:abstractNum>
  <w:abstractNum w:abstractNumId="74">
    <w:nsid w:val="3F06ECB2"/>
    <w:multiLevelType w:val="hybridMultilevel"/>
    <w:lvl w:ilvl="0">
      <w:lvlJc w:val="left"/>
      <w:lvlText w:val="(%1)"/>
      <w:numFmt w:val="lowerLetter"/>
      <w:start w:val="5"/>
    </w:lvl>
    <w:lvl w:ilvl="1">
      <w:lvlJc w:val="left"/>
      <w:lvlText w:val="(%2)"/>
      <w:numFmt w:val="decimal"/>
      <w:start w:val="1"/>
    </w:lvl>
  </w:abstractNum>
  <w:abstractNum w:abstractNumId="75">
    <w:nsid w:val="3B594807"/>
    <w:multiLevelType w:val="hybridMultilevel"/>
    <w:lvl w:ilvl="0">
      <w:lvlJc w:val="left"/>
      <w:lvlText w:val="%1."/>
      <w:numFmt w:val="upperLetter"/>
      <w:start w:val="9"/>
    </w:lvl>
  </w:abstractNum>
  <w:abstractNum w:abstractNumId="76">
    <w:nsid w:val="6CAA2304"/>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77">
    <w:nsid w:val="3F7C2FF4"/>
    <w:multiLevelType w:val="hybridMultilevel"/>
    <w:lvl w:ilvl="0">
      <w:lvlJc w:val="left"/>
      <w:lvlText w:val="(%1)"/>
      <w:numFmt w:val="lowerLetter"/>
      <w:start w:val="2"/>
    </w:lvl>
    <w:lvl w:ilvl="1">
      <w:lvlJc w:val="left"/>
      <w:lvlText w:val="(%2)"/>
      <w:numFmt w:val="lowerRoman"/>
      <w:start w:val="1"/>
    </w:lvl>
  </w:abstractNum>
  <w:abstractNum w:abstractNumId="78">
    <w:nsid w:val="25413BEC"/>
    <w:multiLevelType w:val="hybridMultilevel"/>
    <w:lvl w:ilvl="0">
      <w:lvlJc w:val="left"/>
      <w:lvlText w:val="%1"/>
      <w:numFmt w:val="decimal"/>
      <w:start w:val="1"/>
    </w:lvl>
    <w:lvl w:ilvl="1">
      <w:lvlJc w:val="left"/>
      <w:lvlText w:val="(%2)"/>
      <w:numFmt w:val="upperLetter"/>
      <w:start w:val="1"/>
    </w:lvl>
  </w:abstractNum>
  <w:abstractNum w:abstractNumId="79">
    <w:nsid w:val="17180B0B"/>
    <w:multiLevelType w:val="hybridMultilevel"/>
    <w:lvl w:ilvl="0">
      <w:lvlJc w:val="left"/>
      <w:lvlText w:val="(%1)"/>
      <w:numFmt w:val="decimal"/>
      <w:start w:val="2"/>
    </w:lvl>
    <w:lvl w:ilvl="1">
      <w:lvlJc w:val="left"/>
      <w:lvlText w:val="%2"/>
      <w:numFmt w:val="upperLetter"/>
      <w:start w:val="1"/>
    </w:lvl>
  </w:abstractNum>
  <w:abstractNum w:abstractNumId="80">
    <w:nsid w:val="579328B9"/>
    <w:multiLevelType w:val="hybridMultilevel"/>
    <w:lvl w:ilvl="0">
      <w:lvlJc w:val="left"/>
      <w:lvlText w:val="(%1)"/>
      <w:numFmt w:val="upperLetter"/>
      <w:start w:val="4"/>
    </w:lvl>
  </w:abstractNum>
  <w:abstractNum w:abstractNumId="81">
    <w:nsid w:val="5D205E20"/>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82">
    <w:nsid w:val="11CCA8BA"/>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1"/>
    </w:lvl>
    <w:lvl w:ilvl="6">
      <w:lvlJc w:val="left"/>
      <w:lvlText w:val="(%7)"/>
      <w:numFmt w:val="lowerRoman"/>
      <w:start w:val="3"/>
    </w:lvl>
  </w:abstractNum>
  <w:abstractNum w:abstractNumId="83">
    <w:nsid w:val="4D32AB86"/>
    <w:multiLevelType w:val="hybridMultilevel"/>
    <w:lvl w:ilvl="0">
      <w:lvlJc w:val="left"/>
      <w:lvlText w:val="%1"/>
      <w:numFmt w:val="upperLetter"/>
      <w:start w:val="1"/>
    </w:lvl>
    <w:lvl w:ilvl="1">
      <w:lvlJc w:val="left"/>
      <w:lvlText w:val="%2"/>
      <w:numFmt w:val="decimal"/>
      <w:start w:val="1"/>
    </w:lvl>
    <w:lvl w:ilvl="2">
      <w:lvlJc w:val="left"/>
      <w:lvlText w:val="%3."/>
      <w:numFmt w:val="decimal"/>
      <w:start w:val="3"/>
    </w:lvl>
    <w:lvl w:ilvl="3">
      <w:lvlJc w:val="left"/>
      <w:lvlText w:val="%4."/>
      <w:numFmt w:val="decimal"/>
      <w:start w:val="4"/>
    </w:lvl>
    <w:lvl w:ilvl="4">
      <w:lvlJc w:val="left"/>
      <w:lvlText w:val="%5"/>
      <w:numFmt w:val="decimal"/>
      <w:start w:val="1"/>
    </w:lvl>
    <w:lvl w:ilvl="5">
      <w:lvlJc w:val="left"/>
      <w:lvlText w:val="%6"/>
      <w:numFmt w:val="decimal"/>
      <w:start w:val="1"/>
    </w:lvl>
    <w:lvl w:ilvl="6">
      <w:lvlJc w:val="left"/>
      <w:lvlText w:val="%7"/>
      <w:numFmt w:val="lowerRoman"/>
      <w:start w:val="1"/>
    </w:lvl>
  </w:abstractNum>
  <w:abstractNum w:abstractNumId="84">
    <w:nsid w:val="3F07ACC3"/>
    <w:multiLevelType w:val="hybridMultilevel"/>
    <w:lvl w:ilvl="0">
      <w:lvlJc w:val="left"/>
      <w:lvlText w:val="%1"/>
      <w:numFmt w:val="upperLetter"/>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decimal"/>
      <w:start w:val="1"/>
    </w:lvl>
    <w:lvl w:ilvl="5">
      <w:lvlJc w:val="left"/>
      <w:lvlText w:val="%6"/>
      <w:numFmt w:val="decimal"/>
      <w:start w:val="1"/>
    </w:lvl>
    <w:lvl w:ilvl="6">
      <w:lvlJc w:val="left"/>
      <w:lvlText w:val="%7"/>
      <w:numFmt w:val="lowerRoman"/>
      <w:start w:val="1"/>
    </w:lvl>
  </w:abstractNum>
  <w:abstractNum w:abstractNumId="85">
    <w:nsid w:val="6B47F63E"/>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2"/>
    </w:lvl>
    <w:lvl w:ilvl="6">
      <w:lvlJc w:val="left"/>
      <w:lvlText w:val="%7"/>
      <w:numFmt w:val="lowerRoman"/>
      <w:start w:val="1"/>
    </w:lvl>
  </w:abstractNum>
  <w:abstractNum w:abstractNumId="86">
    <w:nsid w:val="5CB44A05"/>
    <w:multiLevelType w:val="hybridMultilevel"/>
    <w:lvl w:ilvl="0">
      <w:lvlJc w:val="left"/>
      <w:lvlText w:val="%1."/>
      <w:numFmt w:val="decimal"/>
      <w:start w:val="3"/>
    </w:lvl>
    <w:lvl w:ilvl="1">
      <w:lvlJc w:val="left"/>
      <w:lvlText w:val="(%2)"/>
      <w:numFmt w:val="lowerLetter"/>
      <w:start w:val="1"/>
    </w:lvl>
  </w:abstractNum>
  <w:abstractNum w:abstractNumId="87">
    <w:nsid w:val="16CF80F1"/>
    <w:multiLevelType w:val="hybridMultilevel"/>
    <w:lvl w:ilvl="0">
      <w:lvlJc w:val="left"/>
      <w:lvlText w:val="(%1)"/>
      <w:numFmt w:val="lowerLetter"/>
      <w:start w:val="3"/>
    </w:lvl>
    <w:lvl w:ilvl="1">
      <w:lvlJc w:val="left"/>
      <w:lvlText w:val="(%2)"/>
      <w:numFmt w:val="lowerLetter"/>
      <w:start w:val="9"/>
    </w:lvl>
  </w:abstractNum>
  <w:abstractNum w:abstractNumId="88">
    <w:nsid w:val="1C695DEC"/>
    <w:multiLevelType w:val="hybridMultilevel"/>
    <w:lvl w:ilvl="0">
      <w:lvlJc w:val="left"/>
      <w:lvlText w:val="%1"/>
      <w:numFmt w:val="lowerLetter"/>
      <w:start w:val="1"/>
    </w:lvl>
    <w:lvl w:ilvl="1">
      <w:lvlJc w:val="left"/>
      <w:lvlText w:val="(%2)"/>
      <w:numFmt w:val="lowerRoman"/>
      <w:start w:val="2"/>
    </w:lvl>
  </w:abstractNum>
  <w:abstractNum w:abstractNumId="89">
    <w:nsid w:val="3FCFAED9"/>
    <w:multiLevelType w:val="hybridMultilevel"/>
    <w:lvl w:ilvl="0">
      <w:lvlJc w:val="left"/>
      <w:lvlText w:val="(%1)"/>
      <w:numFmt w:val="lowerLetter"/>
      <w:start w:val="4"/>
    </w:lvl>
    <w:lvl w:ilvl="1">
      <w:lvlJc w:val="left"/>
      <w:lvlText w:val="(%2)"/>
      <w:numFmt w:val="lowerRoman"/>
      <w:start w:val="1"/>
    </w:lvl>
  </w:abstractNum>
  <w:abstractNum w:abstractNumId="90">
    <w:nsid w:val="F856867"/>
    <w:multiLevelType w:val="hybridMultilevel"/>
    <w:lvl w:ilvl="0">
      <w:lvlJc w:val="left"/>
      <w:lvlText w:val="%1"/>
      <w:numFmt w:val="lowerLetter"/>
      <w:start w:val="1"/>
    </w:lvl>
    <w:lvl w:ilvl="1">
      <w:lvlJc w:val="left"/>
      <w:lvlText w:val="(%2)"/>
      <w:numFmt w:val="lowerLetter"/>
      <w:start w:val="61"/>
    </w:lvl>
  </w:abstractNum>
  <w:abstractNum w:abstractNumId="91">
    <w:nsid w:val="11B1CC33"/>
    <w:multiLevelType w:val="hybridMultilevel"/>
    <w:lvl w:ilvl="0">
      <w:lvlJc w:val="left"/>
      <w:lvlText w:val="(%1)"/>
      <w:numFmt w:val="lowerLetter"/>
      <w:start w:val="6"/>
    </w:lvl>
    <w:lvl w:ilvl="1">
      <w:lvlJc w:val="left"/>
      <w:lvlText w:val="%2"/>
      <w:numFmt w:val="lowerLetter"/>
      <w:start w:val="1"/>
    </w:lvl>
  </w:abstractNum>
  <w:abstractNum w:abstractNumId="92">
    <w:nsid w:val="2E22FBB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1"/>
    </w:lvl>
    <w:lvl w:ilvl="6">
      <w:lvlJc w:val="left"/>
      <w:lvlText w:val="(%7)"/>
      <w:numFmt w:val="lowerLetter"/>
      <w:start w:val="8"/>
    </w:lvl>
  </w:abstractNum>
  <w:abstractNum w:abstractNumId="93">
    <w:nsid w:val="29934699"/>
    <w:multiLevelType w:val="hybridMultilevel"/>
    <w:lvl w:ilvl="0">
      <w:lvlJc w:val="left"/>
      <w:lvlText w:val="%1"/>
      <w:numFmt w:val="decimal"/>
      <w:start w:val="1"/>
    </w:lvl>
    <w:lvl w:ilvl="1">
      <w:lvlJc w:val="left"/>
      <w:lvlText w:val="%2."/>
      <w:numFmt w:val="decimal"/>
      <w:start w:val="4"/>
    </w:lvl>
    <w:lvl w:ilvl="2">
      <w:lvlJc w:val="left"/>
      <w:lvlText w:val="%3."/>
      <w:numFmt w:val="decimal"/>
      <w:start w:val="5"/>
    </w:lvl>
    <w:lvl w:ilvl="3">
      <w:lvlJc w:val="left"/>
      <w:lvlText w:val="%4"/>
      <w:numFmt w:val="decimal"/>
      <w:start w:val="1"/>
    </w:lvl>
    <w:lvl w:ilvl="4">
      <w:lvlJc w:val="left"/>
      <w:lvlText w:val="%5"/>
      <w:numFmt w:val="decimal"/>
      <w:start w:val="1"/>
    </w:lvl>
    <w:lvl w:ilvl="5">
      <w:lvlJc w:val="left"/>
      <w:lvlText w:val="%6"/>
      <w:numFmt w:val="decimal"/>
      <w:start w:val="1"/>
    </w:lvl>
    <w:lvl w:ilvl="6">
      <w:lvlJc w:val="left"/>
      <w:lvlText w:val="%7"/>
      <w:numFmt w:val="lowerLetter"/>
      <w:start w:val="1"/>
    </w:lvl>
  </w:abstractNum>
  <w:abstractNum w:abstractNumId="94">
    <w:nsid w:val="77485850"/>
    <w:multiLevelType w:val="hybridMultilevel"/>
    <w:lvl w:ilvl="0">
      <w:lvlJc w:val="left"/>
      <w:lvlText w:val="%1."/>
      <w:numFmt w:val="decimal"/>
      <w:start w:val="6"/>
    </w:lvl>
    <w:lvl w:ilvl="1">
      <w:lvlJc w:val="left"/>
      <w:lvlText w:val="%2"/>
      <w:numFmt w:val="decimal"/>
      <w:start w:val="1"/>
    </w:lvl>
    <w:lvl w:ilvl="2">
      <w:lvlJc w:val="left"/>
      <w:lvlText w:val="%3."/>
      <w:numFmt w:val="decimal"/>
      <w:start w:val="8"/>
    </w:lvl>
    <w:lvl w:ilvl="3">
      <w:lvlJc w:val="left"/>
      <w:lvlText w:val="%4."/>
      <w:numFmt w:val="decimal"/>
      <w:start w:val="7"/>
    </w:lvl>
    <w:lvl w:ilvl="4">
      <w:lvlJc w:val="left"/>
      <w:lvlText w:val="%5."/>
      <w:numFmt w:val="decimal"/>
      <w:start w:val="8"/>
    </w:lvl>
    <w:lvl w:ilvl="5">
      <w:lvlJc w:val="left"/>
      <w:lvlText w:val="%6."/>
      <w:numFmt w:val="decimal"/>
      <w:start w:val="9"/>
    </w:lvl>
    <w:lvl w:ilvl="6">
      <w:lvlJc w:val="left"/>
      <w:lvlText w:val="%7"/>
      <w:numFmt w:val="lowerLetter"/>
      <w:start w:val="1"/>
    </w:lvl>
  </w:abstractNum>
  <w:abstractNum w:abstractNumId="95">
    <w:nsid w:val="744939A3"/>
    <w:multiLevelType w:val="hybridMultilevel"/>
    <w:lvl w:ilvl="0">
      <w:lvlJc w:val="left"/>
      <w:lvlText w:val="%1."/>
      <w:numFmt w:val="decimal"/>
      <w:start w:val="10"/>
    </w:lvl>
    <w:lvl w:ilvl="1">
      <w:lvlJc w:val="left"/>
      <w:lvlText w:val="(%2)"/>
      <w:numFmt w:val="lowerLetter"/>
      <w:start w:val="5"/>
    </w:lvl>
    <w:lvl w:ilvl="2">
      <w:lvlJc w:val="left"/>
      <w:lvlText w:val="(%3)"/>
      <w:numFmt w:val="lowerLetter"/>
      <w:start w:val="1"/>
    </w:lvl>
    <w:lvl w:ilvl="3">
      <w:lvlJc w:val="left"/>
      <w:lvlText w:val="(%4)"/>
      <w:numFmt w:val="lowerLetter"/>
      <w:start w:val="3"/>
    </w:lvl>
    <w:lvl w:ilvl="4">
      <w:lvlJc w:val="left"/>
      <w:lvlText w:val="(%5)"/>
      <w:numFmt w:val="lowerLetter"/>
      <w:start w:val="2"/>
    </w:lvl>
    <w:lvl w:ilvl="5">
      <w:lvlJc w:val="left"/>
      <w:lvlText w:val="(%6)"/>
      <w:numFmt w:val="lowerLetter"/>
      <w:start w:val="3"/>
    </w:lvl>
  </w:abstractNum>
  <w:abstractNum w:abstractNumId="96">
    <w:nsid w:val="4FA0D2E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97">
    <w:nsid w:val="6B1D2C1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Letter"/>
      <w:start w:val="10"/>
    </w:lvl>
    <w:lvl w:ilvl="5">
      <w:lvlJc w:val="left"/>
      <w:lvlText w:val="%6"/>
      <w:numFmt w:val="lowerLetter"/>
      <w:start w:val="1"/>
    </w:lvl>
  </w:abstractNum>
  <w:abstractNum w:abstractNumId="98">
    <w:nsid w:val="68B867D3"/>
    <w:multiLevelType w:val="hybridMultilevel"/>
    <w:lvl w:ilvl="0">
      <w:lvlJc w:val="left"/>
      <w:lvlText w:val="%1"/>
      <w:numFmt w:val="decimal"/>
      <w:start w:val="1"/>
    </w:lvl>
    <w:lvl w:ilvl="1">
      <w:lvlJc w:val="left"/>
      <w:lvlText w:val="%2."/>
      <w:numFmt w:val="decimal"/>
      <w:start w:val="11"/>
    </w:lvl>
    <w:lvl w:ilvl="2">
      <w:lvlJc w:val="left"/>
      <w:lvlText w:val="%3."/>
      <w:numFmt w:val="decimal"/>
      <w:start w:val="12"/>
    </w:lvl>
    <w:lvl w:ilvl="3">
      <w:lvlJc w:val="left"/>
      <w:lvlText w:val="%4."/>
      <w:numFmt w:val="decimal"/>
      <w:start w:val="11"/>
    </w:lvl>
    <w:lvl w:ilvl="4">
      <w:lvlJc w:val="left"/>
      <w:lvlText w:val="%5"/>
      <w:numFmt w:val="lowerLetter"/>
      <w:start w:val="1"/>
    </w:lvl>
    <w:lvl w:ilvl="5">
      <w:lvlJc w:val="left"/>
      <w:lvlText w:val="(%6)"/>
      <w:numFmt w:val="lowerLetter"/>
      <w:start w:val="1"/>
    </w:lvl>
  </w:abstractNum>
  <w:abstractNum w:abstractNumId="99">
    <w:nsid w:val="3F7F5DD9"/>
    <w:multiLevelType w:val="hybridMultilevel"/>
    <w:lvl w:ilvl="0">
      <w:lvlJc w:val="left"/>
      <w:lvlText w:val="%1"/>
      <w:numFmt w:val="decimal"/>
      <w:start w:val="1"/>
    </w:lvl>
    <w:lvl w:ilvl="1">
      <w:lvlJc w:val="left"/>
      <w:lvlText w:val="%2."/>
      <w:numFmt w:val="decimal"/>
      <w:start w:val="14"/>
    </w:lvl>
    <w:lvl w:ilvl="2">
      <w:lvlJc w:val="left"/>
      <w:lvlText w:val="%3"/>
      <w:numFmt w:val="decimal"/>
      <w:start w:val="1"/>
    </w:lvl>
    <w:lvl w:ilvl="3">
      <w:lvlJc w:val="left"/>
      <w:lvlText w:val="%4"/>
      <w:numFmt w:val="decimal"/>
      <w:start w:val="1"/>
    </w:lvl>
    <w:lvl w:ilvl="4">
      <w:lvlJc w:val="left"/>
      <w:lvlText w:val="%5"/>
      <w:numFmt w:val="lowerLetter"/>
      <w:start w:val="1"/>
    </w:lvl>
    <w:lvl w:ilvl="5">
      <w:lvlJc w:val="left"/>
      <w:lvlText w:val="%6"/>
      <w:numFmt w:val="lowerLetter"/>
      <w:start w:val="1"/>
    </w:lvl>
  </w:abstractNum>
  <w:abstractNum w:abstractNumId="100">
    <w:nsid w:val="2AE05A34"/>
    <w:multiLevelType w:val="hybridMultilevel"/>
    <w:lvl w:ilvl="0">
      <w:lvlJc w:val="left"/>
      <w:lvlText w:val="%1."/>
      <w:numFmt w:val="decimal"/>
      <w:start w:val="15"/>
    </w:lvl>
    <w:lvl w:ilvl="1">
      <w:lvlJc w:val="left"/>
      <w:lvlText w:val="(%2)"/>
      <w:numFmt w:val="lowerLetter"/>
      <w:start w:val="1"/>
    </w:lvl>
  </w:abstractNum>
  <w:abstractNum w:abstractNumId="101">
    <w:nsid w:val="32794FF7"/>
    <w:multiLevelType w:val="hybridMultilevel"/>
    <w:lvl w:ilvl="0">
      <w:lvlJc w:val="left"/>
      <w:lvlText w:val="(%1)"/>
      <w:numFmt w:val="lowerLetter"/>
      <w:start w:val="1"/>
    </w:lvl>
  </w:abstractNum>
  <w:abstractNum w:abstractNumId="102">
    <w:nsid w:val="5454945E"/>
    <w:multiLevelType w:val="hybridMultilevel"/>
    <w:lvl w:ilvl="0">
      <w:lvlJc w:val="left"/>
      <w:lvlText w:val="(%1)"/>
      <w:numFmt w:val="lowerLetter"/>
      <w:start w:val="1"/>
    </w:lvl>
  </w:abstractNum>
  <w:abstractNum w:abstractNumId="103">
    <w:nsid w:val="4DEFDFA0"/>
    <w:multiLevelType w:val="hybridMultilevel"/>
    <w:lvl w:ilvl="0">
      <w:lvlJc w:val="left"/>
      <w:lvlText w:val="(%1)"/>
      <w:numFmt w:val="lowerRoman"/>
      <w:start w:val="1"/>
    </w:lvl>
  </w:abstractNum>
  <w:abstractNum w:abstractNumId="104">
    <w:nsid w:val="2123D5F2"/>
    <w:multiLevelType w:val="hybridMultilevel"/>
    <w:lvl w:ilvl="0">
      <w:lvlJc w:val="left"/>
      <w:lvlText w:val="(%1)"/>
      <w:numFmt w:val="lowerRoman"/>
      <w:start w:val="1"/>
    </w:lvl>
  </w:abstractNum>
  <w:abstractNum w:abstractNumId="105">
    <w:nsid w:val="135B8110"/>
    <w:multiLevelType w:val="hybridMultilevel"/>
    <w:lvl w:ilvl="0">
      <w:lvlJc w:val="left"/>
      <w:lvlText w:val="(%1)"/>
      <w:numFmt w:val="lowerRoman"/>
      <w:start w:val="1"/>
    </w:lvl>
  </w:abstractNum>
  <w:abstractNum w:abstractNumId="106">
    <w:nsid w:val="94927A8"/>
    <w:multiLevelType w:val="hybridMultilevel"/>
    <w:lvl w:ilvl="0">
      <w:lvlJc w:val="left"/>
      <w:lvlText w:val="(%1)"/>
      <w:numFmt w:val="lowerRoman"/>
      <w:start w:val="2"/>
    </w:lvl>
  </w:abstractNum>
  <w:abstractNum w:abstractNumId="107">
    <w:nsid w:val="DCDF8F6"/>
    <w:multiLevelType w:val="hybridMultilevel"/>
    <w:lvl w:ilvl="0">
      <w:lvlJc w:val="left"/>
      <w:lvlText w:val="(%1)"/>
      <w:numFmt w:val="decimal"/>
      <w:start w:val="2"/>
    </w:lvl>
  </w:abstractNum>
  <w:abstractNum w:abstractNumId="108">
    <w:nsid w:val="52D7B105"/>
    <w:multiLevelType w:val="hybridMultilevel"/>
    <w:lvl w:ilvl="0">
      <w:lvlJc w:val="left"/>
      <w:lvlText w:val="(%1)"/>
      <w:numFmt w:val="decimal"/>
      <w:start w:val="4"/>
    </w:lvl>
  </w:abstractNum>
  <w:abstractNum w:abstractNumId="109">
    <w:nsid w:val="2E8A6394"/>
    <w:multiLevelType w:val="hybridMultilevel"/>
    <w:lvl w:ilvl="0">
      <w:lvlJc w:val="left"/>
      <w:lvlText w:val="•"/>
      <w:numFmt w:val="bullet"/>
      <w:start w:val="1"/>
    </w:lvl>
  </w:abstractNum>
  <w:abstractNum w:abstractNumId="110">
    <w:nsid w:val="24E60401"/>
    <w:multiLevelType w:val="hybridMultilevel"/>
    <w:lvl w:ilvl="0">
      <w:lvlJc w:val="left"/>
      <w:lvlText w:val="•"/>
      <w:numFmt w:val="bullet"/>
      <w:start w:val="1"/>
    </w:lvl>
  </w:abstractNum>
  <w:abstractNum w:abstractNumId="111">
    <w:nsid w:val="2A6AD9BE"/>
    <w:multiLevelType w:val="hybridMultilevel"/>
    <w:lvl w:ilvl="0">
      <w:lvlJc w:val="left"/>
      <w:lvlText w:val="•"/>
      <w:numFmt w:val="bullet"/>
      <w:start w:val="1"/>
    </w:lvl>
  </w:abstractNum>
  <w:abstractNum w:abstractNumId="112">
    <w:nsid w:val="BAAC1B4"/>
    <w:multiLevelType w:val="hybridMultilevel"/>
    <w:lvl w:ilvl="0">
      <w:lvlJc w:val="left"/>
      <w:lvlText w:val="•"/>
      <w:numFmt w:val="bullet"/>
      <w:start w:val="1"/>
    </w:lvl>
  </w:abstractNum>
  <w:abstractNum w:abstractNumId="113">
    <w:nsid w:val="36B2ACBC"/>
    <w:multiLevelType w:val="hybridMultilevel"/>
    <w:lvl w:ilvl="0">
      <w:lvlJc w:val="left"/>
      <w:lvlText w:val="•"/>
      <w:numFmt w:val="bullet"/>
      <w:start w:val="1"/>
    </w:lvl>
  </w:abstractNum>
  <w:abstractNum w:abstractNumId="114">
    <w:nsid w:val="779D8544"/>
    <w:multiLevelType w:val="hybridMultilevel"/>
    <w:lvl w:ilvl="0">
      <w:lvlJc w:val="left"/>
      <w:lvlText w:val="•"/>
      <w:numFmt w:val="bullet"/>
      <w:start w:val="1"/>
    </w:lvl>
  </w:abstractNum>
  <w:abstractNum w:abstractNumId="115">
    <w:nsid w:val="4AB26E78"/>
    <w:multiLevelType w:val="hybridMultilevel"/>
    <w:lvl w:ilvl="0">
      <w:lvlJc w:val="left"/>
      <w:lvlText w:val="•"/>
      <w:numFmt w:val="bullet"/>
      <w:start w:val="1"/>
    </w:lvl>
  </w:abstractNum>
  <w:abstractNum w:abstractNumId="116">
    <w:nsid w:val="21FAA2FA"/>
    <w:multiLevelType w:val="hybridMultilevel"/>
    <w:lvl w:ilvl="0">
      <w:lvlJc w:val="left"/>
      <w:lvlText w:val="•"/>
      <w:numFmt w:val="bullet"/>
      <w:start w:val="1"/>
    </w:lvl>
  </w:abstractNum>
  <w:abstractNum w:abstractNumId="117">
    <w:nsid w:val="5451CF49"/>
    <w:multiLevelType w:val="hybridMultilevel"/>
    <w:lvl w:ilvl="0">
      <w:lvlJc w:val="left"/>
      <w:lvlText w:val="(%1)"/>
      <w:numFmt w:val="lowerLetter"/>
      <w:start w:val="1"/>
    </w:lvl>
  </w:abstractNum>
  <w:abstractNum w:abstractNumId="118">
    <w:nsid w:val="6181EF69"/>
    <w:multiLevelType w:val="hybridMultilevel"/>
    <w:lvl w:ilvl="0">
      <w:lvlJc w:val="left"/>
      <w:lvlText w:val="(%1)"/>
      <w:numFmt w:val="lowerLetter"/>
      <w:start w:val="3"/>
    </w:lvl>
  </w:abstractNum>
  <w:abstractNum w:abstractNumId="119">
    <w:nsid w:val="3E6400E6"/>
    <w:multiLevelType w:val="hybridMultilevel"/>
    <w:lvl w:ilvl="0">
      <w:lvlJc w:val="left"/>
      <w:lvlText w:val="(%1)"/>
      <w:numFmt w:val="lowerLetter"/>
      <w:start w:val="4"/>
    </w:lvl>
    <w:lvl w:ilvl="1">
      <w:lvlJc w:val="left"/>
      <w:lvlText w:val="(%2)"/>
      <w:numFmt w:val="decimal"/>
      <w:start w:val="1"/>
    </w:lvl>
  </w:abstractNum>
  <w:abstractNum w:abstractNumId="120">
    <w:nsid w:val="14217E23"/>
    <w:multiLevelType w:val="hybridMultilevel"/>
    <w:lvl w:ilvl="0">
      <w:lvlJc w:val="left"/>
      <w:lvlText w:val="%1."/>
      <w:numFmt w:val="upperLetter"/>
      <w:start w:val="9"/>
    </w:lvl>
  </w:abstractNum>
  <w:abstractNum w:abstractNumId="121">
    <w:nsid w:val="710757D0"/>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122">
    <w:nsid w:val="5015CD1A"/>
    <w:multiLevelType w:val="hybridMultilevel"/>
    <w:lvl w:ilvl="0">
      <w:lvlJc w:val="left"/>
      <w:lvlText w:val="(%1)"/>
      <w:numFmt w:val="lowerLetter"/>
      <w:start w:val="2"/>
    </w:lvl>
    <w:lvl w:ilvl="1">
      <w:lvlJc w:val="left"/>
      <w:lvlText w:val="(%2)"/>
      <w:numFmt w:val="lowerRoman"/>
      <w:start w:val="1"/>
    </w:lvl>
  </w:abstractNum>
  <w:abstractNum w:abstractNumId="123">
    <w:nsid w:val="424479DA"/>
    <w:multiLevelType w:val="hybridMultilevel"/>
    <w:lvl w:ilvl="0">
      <w:lvlJc w:val="left"/>
      <w:lvlText w:val="%1"/>
      <w:numFmt w:val="decimal"/>
      <w:start w:val="1"/>
    </w:lvl>
    <w:lvl w:ilvl="1">
      <w:lvlJc w:val="left"/>
      <w:lvlText w:val="(%2)"/>
      <w:numFmt w:val="upperLetter"/>
      <w:start w:val="1"/>
    </w:lvl>
  </w:abstractNum>
  <w:abstractNum w:abstractNumId="124">
    <w:nsid w:val="1A9A9E69"/>
    <w:multiLevelType w:val="hybridMultilevel"/>
    <w:lvl w:ilvl="0">
      <w:lvlJc w:val="left"/>
      <w:lvlText w:val="(%1)"/>
      <w:numFmt w:val="decimal"/>
      <w:start w:val="2"/>
    </w:lvl>
    <w:lvl w:ilvl="1">
      <w:lvlJc w:val="left"/>
      <w:lvlText w:val="%2"/>
      <w:numFmt w:val="upperLetter"/>
      <w:start w:val="1"/>
    </w:lvl>
  </w:abstractNum>
  <w:abstractNum w:abstractNumId="125">
    <w:nsid w:val="475E256A"/>
    <w:multiLevelType w:val="hybridMultilevel"/>
    <w:lvl w:ilvl="0">
      <w:lvlJc w:val="left"/>
      <w:lvlText w:val="(%1)"/>
      <w:numFmt w:val="upperLetter"/>
      <w:start w:val="4"/>
    </w:lvl>
  </w:abstractNum>
  <w:abstractNum w:abstractNumId="126">
    <w:nsid w:val="368DB37E"/>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127">
    <w:nsid w:val="6A3B714C"/>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1"/>
    </w:lvl>
    <w:lvl w:ilvl="6">
      <w:lvlJc w:val="left"/>
      <w:lvlText w:val="(%7)"/>
      <w:numFmt w:val="lowerRoman"/>
      <w:start w:val="3"/>
    </w:lvl>
  </w:abstractNum>
  <w:abstractNum w:abstractNumId="128">
    <w:nsid w:val="327B517E"/>
    <w:multiLevelType w:val="hybridMultilevel"/>
    <w:lvl w:ilvl="0">
      <w:lvlJc w:val="left"/>
      <w:lvlText w:val="%1"/>
      <w:numFmt w:val="upperLetter"/>
      <w:start w:val="1"/>
    </w:lvl>
    <w:lvl w:ilvl="1">
      <w:lvlJc w:val="left"/>
      <w:lvlText w:val="%2"/>
      <w:numFmt w:val="decimal"/>
      <w:start w:val="1"/>
    </w:lvl>
    <w:lvl w:ilvl="2">
      <w:lvlJc w:val="left"/>
      <w:lvlText w:val="%3."/>
      <w:numFmt w:val="decimal"/>
      <w:start w:val="3"/>
    </w:lvl>
    <w:lvl w:ilvl="3">
      <w:lvlJc w:val="left"/>
      <w:lvlText w:val="%4."/>
      <w:numFmt w:val="decimal"/>
      <w:start w:val="4"/>
    </w:lvl>
    <w:lvl w:ilvl="4">
      <w:lvlJc w:val="left"/>
      <w:lvlText w:val="%5"/>
      <w:numFmt w:val="decimal"/>
      <w:start w:val="1"/>
    </w:lvl>
    <w:lvl w:ilvl="5">
      <w:lvlJc w:val="left"/>
      <w:lvlText w:val="%6"/>
      <w:numFmt w:val="decimal"/>
      <w:start w:val="1"/>
    </w:lvl>
    <w:lvl w:ilvl="6">
      <w:lvlJc w:val="left"/>
      <w:lvlText w:val="%7"/>
      <w:numFmt w:val="lowerRoman"/>
      <w:start w:val="1"/>
    </w:lvl>
  </w:abstractNum>
  <w:abstractNum w:abstractNumId="129">
    <w:nsid w:val="1F461B51"/>
    <w:multiLevelType w:val="hybridMultilevel"/>
    <w:lvl w:ilvl="0">
      <w:lvlJc w:val="left"/>
      <w:lvlText w:val="%1"/>
      <w:numFmt w:val="upperLetter"/>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decimal"/>
      <w:start w:val="1"/>
    </w:lvl>
    <w:lvl w:ilvl="5">
      <w:lvlJc w:val="left"/>
      <w:lvlText w:val="%6"/>
      <w:numFmt w:val="decimal"/>
      <w:start w:val="1"/>
    </w:lvl>
    <w:lvl w:ilvl="6">
      <w:lvlJc w:val="left"/>
      <w:lvlText w:val="%7"/>
      <w:numFmt w:val="lowerRoman"/>
      <w:start w:val="1"/>
    </w:lvl>
  </w:abstractNum>
  <w:abstractNum w:abstractNumId="130">
    <w:nsid w:val="29BACF25"/>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2"/>
    </w:lvl>
    <w:lvl w:ilvl="6">
      <w:lvlJc w:val="left"/>
      <w:lvlText w:val="%7"/>
      <w:numFmt w:val="lowerRoman"/>
      <w:start w:val="1"/>
    </w:lvl>
  </w:abstractNum>
  <w:abstractNum w:abstractNumId="131">
    <w:nsid w:val="5D5BABB3"/>
    <w:multiLevelType w:val="hybridMultilevel"/>
    <w:lvl w:ilvl="0">
      <w:lvlJc w:val="left"/>
      <w:lvlText w:val="%1."/>
      <w:numFmt w:val="decimal"/>
      <w:start w:val="3"/>
    </w:lvl>
    <w:lvl w:ilvl="1">
      <w:lvlJc w:val="left"/>
      <w:lvlText w:val="(%2)"/>
      <w:numFmt w:val="lowerLetter"/>
      <w:start w:val="1"/>
    </w:lvl>
  </w:abstractNum>
  <w:abstractNum w:abstractNumId="132">
    <w:nsid w:val="51BF6B48"/>
    <w:multiLevelType w:val="hybridMultilevel"/>
    <w:lvl w:ilvl="0">
      <w:lvlJc w:val="left"/>
      <w:lvlText w:val="%1"/>
      <w:numFmt w:val="lowerLetter"/>
      <w:start w:val="1"/>
    </w:lvl>
    <w:lvl w:ilvl="1">
      <w:lvlJc w:val="left"/>
      <w:lvlText w:val="(%2)"/>
      <w:numFmt w:val="lowerLetter"/>
      <w:start w:val="3"/>
    </w:lvl>
  </w:abstractNum>
  <w:abstractNum w:abstractNumId="133">
    <w:nsid w:val="7E0F6384"/>
    <w:multiLevelType w:val="hybridMultilevel"/>
    <w:lvl w:ilvl="0">
      <w:lvlJc w:val="left"/>
      <w:lvlText w:val="(%1)"/>
      <w:numFmt w:val="lowerLetter"/>
      <w:start w:val="9"/>
    </w:lvl>
    <w:lvl w:ilvl="1">
      <w:lvlJc w:val="left"/>
      <w:lvlText w:val="%2"/>
      <w:numFmt w:val="lowerLetter"/>
      <w:start w:val="1"/>
    </w:lvl>
  </w:abstractNum>
  <w:abstractNum w:abstractNumId="134">
    <w:nsid w:val="2B4B8B5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135">
    <w:nsid w:val="72E3413A"/>
    <w:multiLevelType w:val="hybridMultilevel"/>
    <w:lvl w:ilvl="0">
      <w:lvlJc w:val="left"/>
      <w:lvlText w:val="(%1)"/>
      <w:numFmt w:val="lowerLetter"/>
      <w:start w:val="61"/>
    </w:lvl>
    <w:lvl w:ilvl="1">
      <w:lvlJc w:val="left"/>
      <w:lvlText w:val="(%2)"/>
      <w:numFmt w:val="lowerLetter"/>
      <w:start w:val="4"/>
    </w:lvl>
    <w:lvl w:ilvl="2">
      <w:lvlJc w:val="left"/>
      <w:lvlText w:val="%3"/>
      <w:numFmt w:val="lowerRoman"/>
      <w:start w:val="1"/>
    </w:lvl>
    <w:lvl w:ilvl="3">
      <w:lvlJc w:val="left"/>
      <w:lvlText w:val="(%4)"/>
      <w:numFmt w:val="lowerRoman"/>
      <w:start w:val="1"/>
    </w:lvl>
  </w:abstractNum>
  <w:abstractNum w:abstractNumId="136">
    <w:nsid w:val="116AE494"/>
    <w:multiLevelType w:val="hybridMultilevel"/>
    <w:lvl w:ilvl="0">
      <w:lvlJc w:val="left"/>
      <w:lvlText w:val="%1"/>
      <w:numFmt w:val="lowerLetter"/>
      <w:start w:val="1"/>
    </w:lvl>
    <w:lvl w:ilvl="1">
      <w:lvlJc w:val="left"/>
      <w:lvlText w:val="(%2)"/>
      <w:numFmt w:val="lowerLetter"/>
      <w:start w:val="35"/>
    </w:lvl>
  </w:abstractNum>
  <w:abstractNum w:abstractNumId="137">
    <w:nsid w:val="3494B2FB"/>
    <w:multiLevelType w:val="hybridMultilevel"/>
    <w:lvl w:ilvl="0">
      <w:lvlJc w:val="left"/>
      <w:lvlText w:val="(%1)"/>
      <w:numFmt w:val="lowerLetter"/>
      <w:start w:val="6"/>
    </w:lvl>
    <w:lvl w:ilvl="1">
      <w:lvlJc w:val="left"/>
      <w:lvlText w:val="%2"/>
      <w:numFmt w:val="lowerLetter"/>
      <w:start w:val="1"/>
    </w:lvl>
  </w:abstractNum>
  <w:abstractNum w:abstractNumId="138">
    <w:nsid w:val="B13A3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1"/>
    </w:lvl>
    <w:lvl w:ilvl="6">
      <w:lvlJc w:val="left"/>
      <w:lvlText w:val="(%7)"/>
      <w:numFmt w:val="lowerLetter"/>
      <w:start w:val="8"/>
    </w:lvl>
  </w:abstractNum>
  <w:abstractNum w:abstractNumId="139">
    <w:nsid w:val="64429599"/>
    <w:multiLevelType w:val="hybridMultilevel"/>
    <w:lvl w:ilvl="0">
      <w:lvlJc w:val="left"/>
      <w:lvlText w:val="%1"/>
      <w:numFmt w:val="decimal"/>
      <w:start w:val="1"/>
    </w:lvl>
    <w:lvl w:ilvl="1">
      <w:lvlJc w:val="left"/>
      <w:lvlText w:val="%2."/>
      <w:numFmt w:val="decimal"/>
      <w:start w:val="4"/>
    </w:lvl>
    <w:lvl w:ilvl="2">
      <w:lvlJc w:val="left"/>
      <w:lvlText w:val="%3."/>
      <w:numFmt w:val="decimal"/>
      <w:start w:val="5"/>
    </w:lvl>
    <w:lvl w:ilvl="3">
      <w:lvlJc w:val="left"/>
      <w:lvlText w:val="%4"/>
      <w:numFmt w:val="decimal"/>
      <w:start w:val="1"/>
    </w:lvl>
    <w:lvl w:ilvl="4">
      <w:lvlJc w:val="left"/>
      <w:lvlText w:val="%5"/>
      <w:numFmt w:val="decimal"/>
      <w:start w:val="1"/>
    </w:lvl>
    <w:lvl w:ilvl="5">
      <w:lvlJc w:val="left"/>
      <w:lvlText w:val="%6"/>
      <w:numFmt w:val="decimal"/>
      <w:start w:val="1"/>
    </w:lvl>
    <w:lvl w:ilvl="6">
      <w:lvlJc w:val="left"/>
      <w:lvlText w:val="%7"/>
      <w:numFmt w:val="lowerLetter"/>
      <w:start w:val="1"/>
    </w:lvl>
  </w:abstractNum>
  <w:abstractNum w:abstractNumId="140">
    <w:nsid w:val="631F1690"/>
    <w:multiLevelType w:val="hybridMultilevel"/>
    <w:lvl w:ilvl="0">
      <w:lvlJc w:val="left"/>
      <w:lvlText w:val="%1."/>
      <w:numFmt w:val="decimal"/>
      <w:start w:val="6"/>
    </w:lvl>
    <w:lvl w:ilvl="1">
      <w:lvlJc w:val="left"/>
      <w:lvlText w:val="%2"/>
      <w:numFmt w:val="decimal"/>
      <w:start w:val="1"/>
    </w:lvl>
    <w:lvl w:ilvl="2">
      <w:lvlJc w:val="left"/>
      <w:lvlText w:val="%3."/>
      <w:numFmt w:val="decimal"/>
      <w:start w:val="8"/>
    </w:lvl>
    <w:lvl w:ilvl="3">
      <w:lvlJc w:val="left"/>
      <w:lvlText w:val="%4."/>
      <w:numFmt w:val="decimal"/>
      <w:start w:val="7"/>
    </w:lvl>
    <w:lvl w:ilvl="4">
      <w:lvlJc w:val="left"/>
      <w:lvlText w:val="%5."/>
      <w:numFmt w:val="decimal"/>
      <w:start w:val="8"/>
    </w:lvl>
    <w:lvl w:ilvl="5">
      <w:lvlJc w:val="left"/>
      <w:lvlText w:val="%6."/>
      <w:numFmt w:val="decimal"/>
      <w:start w:val="9"/>
    </w:lvl>
    <w:lvl w:ilvl="6">
      <w:lvlJc w:val="left"/>
      <w:lvlText w:val="%7"/>
      <w:numFmt w:val="lowerLetter"/>
      <w:start w:val="1"/>
    </w:lvl>
  </w:abstractNum>
  <w:abstractNum w:abstractNumId="141">
    <w:nsid w:val="25973E32"/>
    <w:multiLevelType w:val="hybridMultilevel"/>
    <w:lvl w:ilvl="0">
      <w:lvlJc w:val="left"/>
      <w:lvlText w:val="%1."/>
      <w:numFmt w:val="decimal"/>
      <w:start w:val="10"/>
    </w:lvl>
    <w:lvl w:ilvl="1">
      <w:lvlJc w:val="left"/>
      <w:lvlText w:val="(%2)"/>
      <w:numFmt w:val="lowerLetter"/>
      <w:start w:val="5"/>
    </w:lvl>
    <w:lvl w:ilvl="2">
      <w:lvlJc w:val="left"/>
      <w:lvlText w:val="(%3)"/>
      <w:numFmt w:val="lowerLetter"/>
      <w:start w:val="1"/>
    </w:lvl>
    <w:lvl w:ilvl="3">
      <w:lvlJc w:val="left"/>
      <w:lvlText w:val="(%4)"/>
      <w:numFmt w:val="lowerLetter"/>
      <w:start w:val="3"/>
    </w:lvl>
    <w:lvl w:ilvl="4">
      <w:lvlJc w:val="left"/>
      <w:lvlText w:val="(%5)"/>
      <w:numFmt w:val="lowerLetter"/>
      <w:start w:val="2"/>
    </w:lvl>
    <w:lvl w:ilvl="5">
      <w:lvlJc w:val="left"/>
      <w:lvlText w:val="(%6)"/>
      <w:numFmt w:val="lowerLetter"/>
      <w:start w:val="3"/>
    </w:lvl>
  </w:abstractNum>
  <w:abstractNum w:abstractNumId="142">
    <w:nsid w:val="EAD6F5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143">
    <w:nsid w:val="6EC9D84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Letter"/>
      <w:start w:val="10"/>
    </w:lvl>
    <w:lvl w:ilvl="5">
      <w:lvlJc w:val="left"/>
      <w:lvlText w:val="%6"/>
      <w:numFmt w:val="lowerLetter"/>
      <w:start w:val="1"/>
    </w:lvl>
  </w:abstractNum>
  <w:abstractNum w:abstractNumId="144">
    <w:nsid w:val="5C49EAEE"/>
    <w:multiLevelType w:val="hybridMultilevel"/>
    <w:lvl w:ilvl="0">
      <w:lvlJc w:val="left"/>
      <w:lvlText w:val="%1"/>
      <w:numFmt w:val="decimal"/>
      <w:start w:val="1"/>
    </w:lvl>
    <w:lvl w:ilvl="1">
      <w:lvlJc w:val="left"/>
      <w:lvlText w:val="%2."/>
      <w:numFmt w:val="decimal"/>
      <w:start w:val="11"/>
    </w:lvl>
    <w:lvl w:ilvl="2">
      <w:lvlJc w:val="left"/>
      <w:lvlText w:val="%3."/>
      <w:numFmt w:val="decimal"/>
      <w:start w:val="12"/>
    </w:lvl>
    <w:lvl w:ilvl="3">
      <w:lvlJc w:val="left"/>
      <w:lvlText w:val="%4."/>
      <w:numFmt w:val="decimal"/>
      <w:start w:val="11"/>
    </w:lvl>
    <w:lvl w:ilvl="4">
      <w:lvlJc w:val="left"/>
      <w:lvlText w:val="%5"/>
      <w:numFmt w:val="lowerLetter"/>
      <w:start w:val="1"/>
    </w:lvl>
    <w:lvl w:ilvl="5">
      <w:lvlJc w:val="left"/>
      <w:lvlText w:val="(%6)"/>
      <w:numFmt w:val="lowerLetter"/>
      <w:start w:val="1"/>
    </w:lvl>
  </w:abstractNum>
  <w:abstractNum w:abstractNumId="145">
    <w:nsid w:val="64AF49B"/>
    <w:multiLevelType w:val="hybridMultilevel"/>
    <w:lvl w:ilvl="0">
      <w:lvlJc w:val="left"/>
      <w:lvlText w:val="%1"/>
      <w:numFmt w:val="decimal"/>
      <w:start w:val="1"/>
    </w:lvl>
    <w:lvl w:ilvl="1">
      <w:lvlJc w:val="left"/>
      <w:lvlText w:val="%2."/>
      <w:numFmt w:val="decimal"/>
      <w:start w:val="14"/>
    </w:lvl>
    <w:lvl w:ilvl="2">
      <w:lvlJc w:val="left"/>
      <w:lvlText w:val="%3"/>
      <w:numFmt w:val="decimal"/>
      <w:start w:val="1"/>
    </w:lvl>
    <w:lvl w:ilvl="3">
      <w:lvlJc w:val="left"/>
      <w:lvlText w:val="%4"/>
      <w:numFmt w:val="decimal"/>
      <w:start w:val="1"/>
    </w:lvl>
    <w:lvl w:ilvl="4">
      <w:lvlJc w:val="left"/>
      <w:lvlText w:val="%5"/>
      <w:numFmt w:val="lowerLetter"/>
      <w:start w:val="1"/>
    </w:lvl>
    <w:lvl w:ilvl="5">
      <w:lvlJc w:val="left"/>
      <w:lvlText w:val="%6"/>
      <w:numFmt w:val="lowerLetter"/>
      <w:start w:val="1"/>
    </w:lvl>
  </w:abstractNum>
  <w:abstractNum w:abstractNumId="146">
    <w:nsid w:val="397C46BC"/>
    <w:multiLevelType w:val="hybridMultilevel"/>
    <w:lvl w:ilvl="0">
      <w:lvlJc w:val="left"/>
      <w:lvlText w:val="%1."/>
      <w:numFmt w:val="decimal"/>
      <w:start w:val="15"/>
    </w:lvl>
    <w:lvl w:ilvl="1">
      <w:lvlJc w:val="left"/>
      <w:lvlText w:val="(%2)"/>
      <w:numFmt w:val="lowerLetter"/>
      <w:start w:val="1"/>
    </w:lvl>
  </w:abstractNum>
  <w:abstractNum w:abstractNumId="147">
    <w:nsid w:val="7E448DE9"/>
    <w:multiLevelType w:val="hybridMultilevel"/>
    <w:lvl w:ilvl="0">
      <w:lvlJc w:val="left"/>
      <w:lvlText w:val="(%1)"/>
      <w:numFmt w:val="lowerLetter"/>
      <w:start w:val="1"/>
    </w:lvl>
  </w:abstractNum>
  <w:abstractNum w:abstractNumId="148">
    <w:nsid w:val="5A9CC3E5"/>
    <w:multiLevelType w:val="hybridMultilevel"/>
    <w:lvl w:ilvl="0">
      <w:lvlJc w:val="left"/>
      <w:lvlText w:val="(%1)"/>
      <w:numFmt w:val="lowerLetter"/>
      <w:start w:val="1"/>
    </w:lvl>
  </w:abstractNum>
  <w:abstractNum w:abstractNumId="149">
    <w:nsid w:val="1AFE3625"/>
    <w:multiLevelType w:val="hybridMultilevel"/>
    <w:lvl w:ilvl="0">
      <w:lvlJc w:val="left"/>
      <w:lvlText w:val="(%1)"/>
      <w:numFmt w:val="lowerRoman"/>
      <w:start w:val="1"/>
    </w:lvl>
  </w:abstractNum>
  <w:abstractNum w:abstractNumId="150">
    <w:nsid w:val="3CA88ECF"/>
    <w:multiLevelType w:val="hybridMultilevel"/>
    <w:lvl w:ilvl="0">
      <w:lvlJc w:val="left"/>
      <w:lvlText w:val="(%1)"/>
      <w:numFmt w:val="lowerRoman"/>
      <w:start w:val="1"/>
    </w:lvl>
  </w:abstractNum>
  <w:abstractNum w:abstractNumId="151">
    <w:nsid w:val="6EBE4208"/>
    <w:multiLevelType w:val="hybridMultilevel"/>
    <w:lvl w:ilvl="0">
      <w:lvlJc w:val="left"/>
      <w:lvlText w:val="(%1)"/>
      <w:numFmt w:val="lowerRoman"/>
      <w:start w:val="1"/>
    </w:lvl>
  </w:abstractNum>
  <w:abstractNum w:abstractNumId="152">
    <w:nsid w:val="C058DF5"/>
    <w:multiLevelType w:val="hybridMultilevel"/>
    <w:lvl w:ilvl="0">
      <w:lvlJc w:val="left"/>
      <w:lvlText w:val="(%1)"/>
      <w:numFmt w:val="lowerRoman"/>
      <w:start w:val="2"/>
    </w:lvl>
  </w:abstractNum>
  <w:abstractNum w:abstractNumId="153">
    <w:nsid w:val="CBE5BE9"/>
    <w:multiLevelType w:val="hybridMultilevel"/>
    <w:lvl w:ilvl="0">
      <w:lvlJc w:val="left"/>
      <w:lvlText w:val="(%1)"/>
      <w:numFmt w:val="decimal"/>
      <w:start w:val="2"/>
    </w:lvl>
  </w:abstractNum>
  <w:abstractNum w:abstractNumId="154">
    <w:nsid w:val="3102BBE2"/>
    <w:multiLevelType w:val="hybridMultilevel"/>
    <w:lvl w:ilvl="0">
      <w:lvlJc w:val="left"/>
      <w:lvlText w:val="(%1)"/>
      <w:numFmt w:val="decimal"/>
      <w:start w:val="4"/>
    </w:lvl>
  </w:abstractNum>
  <w:abstractNum w:abstractNumId="155">
    <w:nsid w:val="26A02C5E"/>
    <w:multiLevelType w:val="hybridMultilevel"/>
    <w:lvl w:ilvl="0">
      <w:lvlJc w:val="left"/>
      <w:lvlText w:val="•"/>
      <w:numFmt w:val="bullet"/>
      <w:start w:val="1"/>
    </w:lvl>
  </w:abstractNum>
  <w:abstractNum w:abstractNumId="156">
    <w:nsid w:val="541C8153"/>
    <w:multiLevelType w:val="hybridMultilevel"/>
    <w:lvl w:ilvl="0">
      <w:lvlJc w:val="left"/>
      <w:lvlText w:val="•"/>
      <w:numFmt w:val="bullet"/>
      <w:start w:val="1"/>
    </w:lvl>
  </w:abstractNum>
  <w:abstractNum w:abstractNumId="157">
    <w:nsid w:val="67906F60"/>
    <w:multiLevelType w:val="hybridMultilevel"/>
    <w:lvl w:ilvl="0">
      <w:lvlJc w:val="left"/>
      <w:lvlText w:val="•"/>
      <w:numFmt w:val="bullet"/>
      <w:start w:val="1"/>
    </w:lvl>
  </w:abstractNum>
  <w:abstractNum w:abstractNumId="158">
    <w:nsid w:val="10DB9DAA"/>
    <w:multiLevelType w:val="hybridMultilevel"/>
    <w:lvl w:ilvl="0">
      <w:lvlJc w:val="left"/>
      <w:lvlText w:val="•"/>
      <w:numFmt w:val="bullet"/>
      <w:start w:val="1"/>
    </w:lvl>
  </w:abstractNum>
  <w:abstractNum w:abstractNumId="159">
    <w:nsid w:val="697D2D2"/>
    <w:multiLevelType w:val="hybridMultilevel"/>
    <w:lvl w:ilvl="0">
      <w:lvlJc w:val="left"/>
      <w:lvlText w:val="•"/>
      <w:numFmt w:val="bullet"/>
      <w:start w:val="1"/>
    </w:lvl>
  </w:abstractNum>
  <w:abstractNum w:abstractNumId="160">
    <w:nsid w:val="6D68AB2"/>
    <w:multiLevelType w:val="hybridMultilevel"/>
    <w:lvl w:ilvl="0">
      <w:lvlJc w:val="left"/>
      <w:lvlText w:val="•"/>
      <w:numFmt w:val="bullet"/>
      <w:start w:val="1"/>
    </w:lvl>
  </w:abstractNum>
  <w:abstractNum w:abstractNumId="161">
    <w:nsid w:val="3A966CD0"/>
    <w:multiLevelType w:val="hybridMultilevel"/>
    <w:lvl w:ilvl="0">
      <w:lvlJc w:val="left"/>
      <w:lvlText w:val="•"/>
      <w:numFmt w:val="bullet"/>
      <w:start w:val="1"/>
    </w:lvl>
  </w:abstractNum>
  <w:abstractNum w:abstractNumId="162">
    <w:nsid w:val="63F37E85"/>
    <w:multiLevelType w:val="hybridMultilevel"/>
    <w:lvl w:ilvl="0">
      <w:lvlJc w:val="left"/>
      <w:lvlText w:val="•"/>
      <w:numFmt w:val="bullet"/>
      <w:start w:val="1"/>
    </w:lvl>
  </w:abstractNum>
  <w:abstractNum w:abstractNumId="163">
    <w:nsid w:val="5895F5FA"/>
    <w:multiLevelType w:val="hybridMultilevel"/>
    <w:lvl w:ilvl="0">
      <w:lvlJc w:val="left"/>
      <w:lvlText w:val="(%1)"/>
      <w:numFmt w:val="lowerLetter"/>
      <w:start w:val="1"/>
    </w:lvl>
  </w:abstractNum>
  <w:abstractNum w:abstractNumId="164">
    <w:nsid w:val="38A5D054"/>
    <w:multiLevelType w:val="hybridMultilevel"/>
    <w:lvl w:ilvl="0">
      <w:lvlJc w:val="left"/>
      <w:lvlText w:val="(%1)"/>
      <w:numFmt w:val="lowerLetter"/>
      <w:start w:val="3"/>
    </w:lvl>
  </w:abstractNum>
  <w:abstractNum w:abstractNumId="165">
    <w:nsid w:val="F3F09D8"/>
    <w:multiLevelType w:val="hybridMultilevel"/>
    <w:lvl w:ilvl="0">
      <w:lvlJc w:val="left"/>
      <w:lvlText w:val="(%1)"/>
      <w:numFmt w:val="lowerLetter"/>
      <w:start w:val="4"/>
    </w:lvl>
    <w:lvl w:ilvl="1">
      <w:lvlJc w:val="left"/>
      <w:lvlText w:val="(%2)"/>
      <w:numFmt w:val="decimal"/>
      <w:start w:val="1"/>
    </w:lvl>
  </w:abstractNum>
  <w:abstractNum w:abstractNumId="166">
    <w:nsid w:val="4B793735"/>
    <w:multiLevelType w:val="hybridMultilevel"/>
    <w:lvl w:ilvl="0">
      <w:lvlJc w:val="left"/>
      <w:lvlText w:val="%1."/>
      <w:numFmt w:val="upperLetter"/>
      <w:start w:val="9"/>
    </w:lvl>
  </w:abstractNum>
  <w:abstractNum w:abstractNumId="167">
    <w:nsid w:val="4A10B4E8"/>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168">
    <w:nsid w:val="43D3BCD4"/>
    <w:multiLevelType w:val="hybridMultilevel"/>
    <w:lvl w:ilvl="0">
      <w:lvlJc w:val="left"/>
      <w:lvlText w:val="(%1)"/>
      <w:numFmt w:val="lowerLetter"/>
      <w:start w:val="2"/>
    </w:lvl>
    <w:lvl w:ilvl="1">
      <w:lvlJc w:val="left"/>
      <w:lvlText w:val="(%2)"/>
      <w:numFmt w:val="lowerRoman"/>
      <w:start w:val="1"/>
    </w:lvl>
  </w:abstractNum>
  <w:abstractNum w:abstractNumId="169">
    <w:nsid w:val="4C2A7166"/>
    <w:multiLevelType w:val="hybridMultilevel"/>
    <w:lvl w:ilvl="0">
      <w:lvlJc w:val="left"/>
      <w:lvlText w:val="(%1)"/>
      <w:numFmt w:val="lowerRoman"/>
      <w:start w:val="4"/>
    </w:lvl>
    <w:lvl w:ilvl="1">
      <w:lvlJc w:val="left"/>
      <w:lvlText w:val="(%2)"/>
      <w:numFmt w:val="decimal"/>
      <w:start w:val="1"/>
    </w:lvl>
    <w:lvl w:ilvl="2">
      <w:lvlJc w:val="left"/>
      <w:lvlText w:val="(%3)"/>
      <w:numFmt w:val="upperLetter"/>
      <w:start w:val="1"/>
    </w:lvl>
  </w:abstractNum>
  <w:abstractNum w:abstractNumId="170">
    <w:nsid w:val="2E534A82"/>
    <w:multiLevelType w:val="hybridMultilevel"/>
    <w:lvl w:ilvl="0">
      <w:lvlJc w:val="left"/>
      <w:lvlText w:val="(%1)"/>
      <w:numFmt w:val="upperLetter"/>
      <w:start w:val="4"/>
    </w:lvl>
  </w:abstractNum>
  <w:abstractNum w:abstractNumId="171">
    <w:nsid w:val="26F2D36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172">
    <w:nsid w:val="71C1AF98"/>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1"/>
    </w:lvl>
    <w:lvl w:ilvl="6">
      <w:lvlJc w:val="left"/>
      <w:lvlText w:val="(%7)"/>
      <w:numFmt w:val="lowerRoman"/>
      <w:start w:val="3"/>
    </w:lvl>
  </w:abstractNum>
  <w:abstractNum w:abstractNumId="173">
    <w:nsid w:val="3D00B9D9"/>
    <w:multiLevelType w:val="hybridMultilevel"/>
    <w:lvl w:ilvl="0">
      <w:lvlJc w:val="left"/>
      <w:lvlText w:val="%1"/>
      <w:numFmt w:val="upperLetter"/>
      <w:start w:val="1"/>
    </w:lvl>
    <w:lvl w:ilvl="1">
      <w:lvlJc w:val="left"/>
      <w:lvlText w:val="%2"/>
      <w:numFmt w:val="decimal"/>
      <w:start w:val="1"/>
    </w:lvl>
    <w:lvl w:ilvl="2">
      <w:lvlJc w:val="left"/>
      <w:lvlText w:val="%3."/>
      <w:numFmt w:val="decimal"/>
      <w:start w:val="3"/>
    </w:lvl>
    <w:lvl w:ilvl="3">
      <w:lvlJc w:val="left"/>
      <w:lvlText w:val="%4."/>
      <w:numFmt w:val="decimal"/>
      <w:start w:val="4"/>
    </w:lvl>
    <w:lvl w:ilvl="4">
      <w:lvlJc w:val="left"/>
      <w:lvlText w:val="%5"/>
      <w:numFmt w:val="decimal"/>
      <w:start w:val="1"/>
    </w:lvl>
    <w:lvl w:ilvl="5">
      <w:lvlJc w:val="left"/>
      <w:lvlText w:val="%6"/>
      <w:numFmt w:val="decimal"/>
      <w:start w:val="1"/>
    </w:lvl>
    <w:lvl w:ilvl="6">
      <w:lvlJc w:val="left"/>
      <w:lvlText w:val="%7"/>
      <w:numFmt w:val="lowerRoman"/>
      <w:start w:val="1"/>
    </w:lvl>
  </w:abstractNum>
  <w:abstractNum w:abstractNumId="174">
    <w:nsid w:val="15BCABA8"/>
    <w:multiLevelType w:val="hybridMultilevel"/>
    <w:lvl w:ilvl="0">
      <w:lvlJc w:val="left"/>
      <w:lvlText w:val="%1"/>
      <w:numFmt w:val="upperLetter"/>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decimal"/>
      <w:start w:val="1"/>
    </w:lvl>
    <w:lvl w:ilvl="5">
      <w:lvlJc w:val="left"/>
      <w:lvlText w:val="%6"/>
      <w:numFmt w:val="decimal"/>
      <w:start w:val="1"/>
    </w:lvl>
    <w:lvl w:ilvl="6">
      <w:lvlJc w:val="left"/>
      <w:lvlText w:val="%7"/>
      <w:numFmt w:val="lowerRoman"/>
      <w:start w:val="1"/>
    </w:lvl>
  </w:abstractNum>
  <w:abstractNum w:abstractNumId="175">
    <w:nsid w:val="4E0B9A87"/>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2"/>
    </w:lvl>
    <w:lvl w:ilvl="6">
      <w:lvlJc w:val="left"/>
      <w:lvlText w:val="%7"/>
      <w:numFmt w:val="lowerRoman"/>
      <w:start w:val="1"/>
    </w:lvl>
  </w:abstractNum>
  <w:abstractNum w:abstractNumId="176">
    <w:nsid w:val="434BAE75"/>
    <w:multiLevelType w:val="hybridMultilevel"/>
    <w:lvl w:ilvl="0">
      <w:lvlJc w:val="left"/>
      <w:lvlText w:val="%1."/>
      <w:numFmt w:val="decimal"/>
      <w:start w:val="3"/>
    </w:lvl>
    <w:lvl w:ilvl="1">
      <w:lvlJc w:val="left"/>
      <w:lvlText w:val="(%2)"/>
      <w:numFmt w:val="lowerLetter"/>
      <w:start w:val="1"/>
    </w:lvl>
  </w:abstractNum>
  <w:abstractNum w:abstractNumId="177">
    <w:nsid w:val="4F38F265"/>
    <w:multiLevelType w:val="hybridMultilevel"/>
    <w:lvl w:ilvl="0">
      <w:lvlJc w:val="left"/>
      <w:lvlText w:val="%1"/>
      <w:numFmt w:val="lowerLetter"/>
      <w:start w:val="1"/>
    </w:lvl>
    <w:lvl w:ilvl="1">
      <w:lvlJc w:val="left"/>
      <w:lvlText w:val="(%2)"/>
      <w:numFmt w:val="lowerLetter"/>
      <w:start w:val="3"/>
    </w:lvl>
  </w:abstractNum>
  <w:abstractNum w:abstractNumId="178">
    <w:nsid w:val="4C502870"/>
    <w:multiLevelType w:val="hybridMultilevel"/>
    <w:lvl w:ilvl="0">
      <w:lvlJc w:val="left"/>
      <w:lvlText w:val="(%1)"/>
      <w:numFmt w:val="lowerLetter"/>
      <w:start w:val="9"/>
    </w:lvl>
    <w:lvl w:ilvl="1">
      <w:lvlJc w:val="left"/>
      <w:lvlText w:val="%2"/>
      <w:numFmt w:val="lowerLetter"/>
      <w:start w:val="1"/>
    </w:lvl>
  </w:abstractNum>
  <w:abstractNum w:abstractNumId="179">
    <w:nsid w:val="1DE8725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lowerLetter"/>
      <w:start w:val="1"/>
    </w:lvl>
  </w:abstractNum>
  <w:abstractNum w:abstractNumId="180">
    <w:nsid w:val="6A37288A"/>
    <w:multiLevelType w:val="hybridMultilevel"/>
    <w:lvl w:ilvl="0">
      <w:lvlJc w:val="left"/>
      <w:lvlText w:val="(%1)"/>
      <w:numFmt w:val="lowerLetter"/>
      <w:start w:val="61"/>
    </w:lvl>
    <w:lvl w:ilvl="1">
      <w:lvlJc w:val="left"/>
      <w:lvlText w:val="(%2)"/>
      <w:numFmt w:val="lowerLetter"/>
      <w:start w:val="4"/>
    </w:lvl>
    <w:lvl w:ilvl="2">
      <w:lvlJc w:val="left"/>
      <w:lvlText w:val="%3"/>
      <w:numFmt w:val="lowerRoman"/>
      <w:start w:val="1"/>
    </w:lvl>
    <w:lvl w:ilvl="3">
      <w:lvlJc w:val="left"/>
      <w:lvlText w:val="(%4)"/>
      <w:numFmt w:val="lowerLetter"/>
      <w:start w:val="9"/>
    </w:lvl>
  </w:abstractNum>
  <w:abstractNum w:abstractNumId="181">
    <w:nsid w:val="8F8B73F"/>
    <w:multiLevelType w:val="hybridMultilevel"/>
    <w:lvl w:ilvl="0">
      <w:lvlJc w:val="left"/>
      <w:lvlText w:val="(%1)"/>
      <w:numFmt w:val="lowerRoman"/>
      <w:start w:val="2"/>
    </w:lvl>
  </w:abstractNum>
  <w:abstractNum w:abstractNumId="182">
    <w:nsid w:val="CA6B462"/>
    <w:multiLevelType w:val="hybridMultilevel"/>
    <w:lvl w:ilvl="0">
      <w:lvlJc w:val="left"/>
      <w:lvlText w:val="%1"/>
      <w:numFmt w:val="lowerLetter"/>
      <w:start w:val="1"/>
    </w:lvl>
    <w:lvl w:ilvl="1">
      <w:lvlJc w:val="left"/>
      <w:lvlText w:val="(%2)"/>
      <w:numFmt w:val="lowerLetter"/>
      <w:start w:val="35"/>
    </w:lvl>
  </w:abstractNum>
  <w:abstractNum w:abstractNumId="183">
    <w:nsid w:val="763CB680"/>
    <w:multiLevelType w:val="hybridMultilevel"/>
    <w:lvl w:ilvl="0">
      <w:lvlJc w:val="left"/>
      <w:lvlText w:val="(%1)"/>
      <w:numFmt w:val="lowerLetter"/>
      <w:start w:val="6"/>
    </w:lvl>
    <w:lvl w:ilvl="1">
      <w:lvlJc w:val="left"/>
      <w:lvlText w:val="%2"/>
      <w:numFmt w:val="lowerLetter"/>
      <w:start w:val="1"/>
    </w:lvl>
  </w:abstractNum>
  <w:abstractNum w:abstractNumId="184">
    <w:nsid w:val="15B7132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1"/>
    </w:lvl>
    <w:lvl w:ilvl="6">
      <w:lvlJc w:val="left"/>
      <w:lvlText w:val="(%7)"/>
      <w:numFmt w:val="lowerLetter"/>
      <w:start w:val="8"/>
    </w:lvl>
  </w:abstractNum>
  <w:abstractNum w:abstractNumId="185">
    <w:nsid w:val="3DA97044"/>
    <w:multiLevelType w:val="hybridMultilevel"/>
    <w:lvl w:ilvl="0">
      <w:lvlJc w:val="left"/>
      <w:lvlText w:val="%1"/>
      <w:numFmt w:val="decimal"/>
      <w:start w:val="1"/>
    </w:lvl>
    <w:lvl w:ilvl="1">
      <w:lvlJc w:val="left"/>
      <w:lvlText w:val="%2."/>
      <w:numFmt w:val="decimal"/>
      <w:start w:val="4"/>
    </w:lvl>
    <w:lvl w:ilvl="2">
      <w:lvlJc w:val="left"/>
      <w:lvlText w:val="%3."/>
      <w:numFmt w:val="decimal"/>
      <w:start w:val="5"/>
    </w:lvl>
    <w:lvl w:ilvl="3">
      <w:lvlJc w:val="left"/>
      <w:lvlText w:val="%4"/>
      <w:numFmt w:val="decimal"/>
      <w:start w:val="1"/>
    </w:lvl>
    <w:lvl w:ilvl="4">
      <w:lvlJc w:val="left"/>
      <w:lvlText w:val="%5"/>
      <w:numFmt w:val="decimal"/>
      <w:start w:val="1"/>
    </w:lvl>
    <w:lvl w:ilvl="5">
      <w:lvlJc w:val="left"/>
      <w:lvlText w:val="%6"/>
      <w:numFmt w:val="decimal"/>
      <w:start w:val="1"/>
    </w:lvl>
    <w:lvl w:ilvl="6">
      <w:lvlJc w:val="left"/>
      <w:lvlText w:val="%7"/>
      <w:numFmt w:val="lowerLetter"/>
      <w:start w:val="1"/>
    </w:lvl>
  </w:abstractNum>
  <w:abstractNum w:abstractNumId="186">
    <w:nsid w:val="1CDCE2DE"/>
    <w:multiLevelType w:val="hybridMultilevel"/>
    <w:lvl w:ilvl="0">
      <w:lvlJc w:val="left"/>
      <w:lvlText w:val="%1."/>
      <w:numFmt w:val="decimal"/>
      <w:start w:val="6"/>
    </w:lvl>
    <w:lvl w:ilvl="1">
      <w:lvlJc w:val="left"/>
      <w:lvlText w:val="%2"/>
      <w:numFmt w:val="decimal"/>
      <w:start w:val="1"/>
    </w:lvl>
    <w:lvl w:ilvl="2">
      <w:lvlJc w:val="left"/>
      <w:lvlText w:val="%3"/>
      <w:numFmt w:val="decimal"/>
      <w:start w:val="1"/>
    </w:lvl>
    <w:lvl w:ilvl="3">
      <w:lvlJc w:val="left"/>
      <w:lvlText w:val="%4."/>
      <w:numFmt w:val="decimal"/>
      <w:start w:val="7"/>
    </w:lvl>
    <w:lvl w:ilvl="4">
      <w:lvlJc w:val="left"/>
      <w:lvlText w:val="%5."/>
      <w:numFmt w:val="decimal"/>
      <w:start w:val="8"/>
    </w:lvl>
    <w:lvl w:ilvl="5">
      <w:lvlJc w:val="left"/>
      <w:lvlText w:val="%6."/>
      <w:numFmt w:val="decimal"/>
      <w:start w:val="9"/>
    </w:lvl>
    <w:lvl w:ilvl="6">
      <w:lvlJc w:val="left"/>
      <w:lvlText w:val="%7"/>
      <w:numFmt w:val="lowerLetter"/>
      <w:start w:val="1"/>
    </w:lvl>
  </w:abstractNum>
  <w:abstractNum w:abstractNumId="187">
    <w:nsid w:val="69D3947C"/>
    <w:multiLevelType w:val="hybridMultilevel"/>
    <w:lvl w:ilvl="0">
      <w:lvlJc w:val="left"/>
      <w:lvlText w:val="%1."/>
      <w:numFmt w:val="decimal"/>
      <w:start w:val="9"/>
    </w:lvl>
  </w:abstractNum>
  <w:abstractNum w:abstractNumId="188">
    <w:nsid w:val="2539DFA5"/>
    <w:multiLevelType w:val="hybridMultilevel"/>
    <w:lvl w:ilvl="0">
      <w:lvlJc w:val="left"/>
      <w:lvlText w:val="%1."/>
      <w:numFmt w:val="decimal"/>
      <w:start w:val="10"/>
    </w:lvl>
    <w:lvl w:ilvl="1">
      <w:lvlJc w:val="left"/>
      <w:lvlText w:val="(%2)"/>
      <w:numFmt w:val="lowerLetter"/>
      <w:start w:val="5"/>
    </w:lvl>
    <w:lvl w:ilvl="2">
      <w:lvlJc w:val="left"/>
      <w:lvlText w:val="(%3)"/>
      <w:numFmt w:val="lowerLetter"/>
      <w:start w:val="1"/>
    </w:lvl>
    <w:lvl w:ilvl="3">
      <w:lvlJc w:val="left"/>
      <w:lvlText w:val="(%4)"/>
      <w:numFmt w:val="lowerLetter"/>
      <w:start w:val="3"/>
    </w:lvl>
    <w:lvl w:ilvl="4">
      <w:lvlJc w:val="left"/>
      <w:lvlText w:val="(%5)"/>
      <w:numFmt w:val="lowerLetter"/>
      <w:start w:val="2"/>
    </w:lvl>
    <w:lvl w:ilvl="5">
      <w:lvlJc w:val="left"/>
      <w:lvlText w:val="(%6)"/>
      <w:numFmt w:val="lowerLetter"/>
      <w:start w:val="3"/>
    </w:lvl>
  </w:abstractNum>
  <w:abstractNum w:abstractNumId="189">
    <w:nsid w:val="2DB8808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190">
    <w:nsid w:val="706B674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0"/>
    </w:lvl>
    <w:lvl w:ilvl="4">
      <w:lvlJc w:val="left"/>
      <w:lvlText w:val="%5"/>
      <w:numFmt w:val="lowerLetter"/>
      <w:start w:val="1"/>
    </w:lvl>
  </w:abstractNum>
  <w:abstractNum w:abstractNumId="191">
    <w:nsid w:val="2C106A57"/>
    <w:multiLevelType w:val="hybridMultilevel"/>
    <w:lvl w:ilvl="0">
      <w:lvlJc w:val="left"/>
      <w:lvlText w:val="%1."/>
      <w:numFmt w:val="decimal"/>
      <w:start w:val="11"/>
    </w:lvl>
    <w:lvl w:ilvl="1">
      <w:lvlJc w:val="left"/>
      <w:lvlText w:val="%2."/>
      <w:numFmt w:val="decimal"/>
      <w:start w:val="12"/>
    </w:lvl>
    <w:lvl w:ilvl="2">
      <w:lvlJc w:val="left"/>
      <w:lvlText w:val="%3."/>
      <w:numFmt w:val="decimal"/>
      <w:start w:val="11"/>
    </w:lvl>
    <w:lvl w:ilvl="3">
      <w:lvlJc w:val="left"/>
      <w:lvlText w:val="%4"/>
      <w:numFmt w:val="lowerLetter"/>
      <w:start w:val="1"/>
    </w:lvl>
    <w:lvl w:ilvl="4">
      <w:lvlJc w:val="left"/>
      <w:lvlText w:val="(%5)"/>
      <w:numFmt w:val="lowerLetter"/>
      <w:start w:val="1"/>
    </w:lvl>
  </w:abstractNum>
  <w:abstractNum w:abstractNumId="192">
    <w:nsid w:val="684EED59"/>
    <w:multiLevelType w:val="hybridMultilevel"/>
    <w:lvl w:ilvl="0">
      <w:lvlJc w:val="left"/>
      <w:lvlText w:val="%1."/>
      <w:numFmt w:val="decimal"/>
      <w:start w:val="14"/>
    </w:lvl>
    <w:lvl w:ilvl="1">
      <w:lvlJc w:val="left"/>
      <w:lvlText w:val="(%2)"/>
      <w:numFmt w:val="lowerLetter"/>
      <w:start w:val="1"/>
    </w:lvl>
  </w:abstractNum>
  <w:abstractNum w:abstractNumId="193">
    <w:nsid w:val="545EE5D3"/>
    <w:multiLevelType w:val="hybridMultilevel"/>
    <w:lvl w:ilvl="0">
      <w:lvlJc w:val="left"/>
      <w:lvlText w:val="(%1)"/>
      <w:numFmt w:val="lowerLetter"/>
      <w:start w:val="1"/>
    </w:lvl>
  </w:abstractNum>
  <w:abstractNum w:abstractNumId="194">
    <w:nsid w:val="4A66051"/>
    <w:multiLevelType w:val="hybridMultilevel"/>
    <w:lvl w:ilvl="0">
      <w:lvlJc w:val="left"/>
      <w:lvlText w:val="(%1)"/>
      <w:numFmt w:val="lowerLetter"/>
      <w:start w:val="1"/>
    </w:lvl>
  </w:abstractNum>
  <w:abstractNum w:abstractNumId="195">
    <w:nsid w:val="20F4BDAD"/>
    <w:multiLevelType w:val="hybridMultilevel"/>
    <w:lvl w:ilvl="0">
      <w:lvlJc w:val="left"/>
      <w:lvlText w:val="(%1)"/>
      <w:numFmt w:val="lowerRoman"/>
      <w:start w:val="1"/>
    </w:lvl>
  </w:abstractNum>
  <w:abstractNum w:abstractNumId="196">
    <w:nsid w:val="639DEFAC"/>
    <w:multiLevelType w:val="hybridMultilevel"/>
    <w:lvl w:ilvl="0">
      <w:lvlJc w:val="left"/>
      <w:lvlText w:val="(%1)"/>
      <w:numFmt w:val="lowerRoman"/>
      <w:start w:val="1"/>
    </w:lvl>
  </w:abstractNum>
  <w:abstractNum w:abstractNumId="197">
    <w:nsid w:val="501F9786"/>
    <w:multiLevelType w:val="hybridMultilevel"/>
    <w:lvl w:ilvl="0">
      <w:lvlJc w:val="left"/>
      <w:lvlText w:val="(%1)"/>
      <w:numFmt w:val="lowerRoman"/>
      <w:start w:val="1"/>
    </w:lvl>
  </w:abstractNum>
  <w:abstractNum w:abstractNumId="198">
    <w:nsid w:val="6B057295"/>
    <w:multiLevelType w:val="hybridMultilevel"/>
    <w:lvl w:ilvl="0">
      <w:lvlJc w:val="left"/>
      <w:lvlText w:val="(%1)"/>
      <w:numFmt w:val="lowerRoman"/>
      <w:start w:val="13"/>
    </w:lvl>
  </w:abstractNum>
  <w:abstractNum w:abstractNumId="199">
    <w:nsid w:val="2771AC80"/>
    <w:multiLevelType w:val="hybridMultilevel"/>
    <w:lvl w:ilvl="0">
      <w:lvlJc w:val="left"/>
      <w:lvlText w:val="(%1)"/>
      <w:numFmt w:val="decimal"/>
      <w:start w:val="2"/>
    </w:lvl>
  </w:abstractNum>
  <w:abstractNum w:abstractNumId="200">
    <w:nsid w:val="1C4A08EC"/>
    <w:multiLevelType w:val="hybridMultilevel"/>
    <w:lvl w:ilvl="0">
      <w:lvlJc w:val="left"/>
      <w:lvlText w:val="(%1)"/>
      <w:numFmt w:val="decimal"/>
      <w:start w:val="4"/>
    </w:lvl>
  </w:abstractNum>
  <w:abstractNum w:abstractNumId="201">
    <w:nsid w:val="1958BD17"/>
    <w:multiLevelType w:val="hybridMultilevel"/>
    <w:lvl w:ilvl="0">
      <w:lvlJc w:val="left"/>
      <w:lvlText w:val="(%1)"/>
      <w:numFmt w:val="decimal"/>
      <w:start w:val="10"/>
    </w:lvl>
  </w:abstractNum>
  <w:abstractNum w:abstractNumId="202">
    <w:nsid w:val="4E647FE4"/>
    <w:multiLevelType w:val="hybridMultilevel"/>
    <w:lvl w:ilvl="0">
      <w:lvlJc w:val="left"/>
      <w:lvlText w:val="•"/>
      <w:numFmt w:val="bullet"/>
      <w:start w:val="1"/>
    </w:lvl>
  </w:abstractNum>
  <w:abstractNum w:abstractNumId="203">
    <w:nsid w:val="E0BB885"/>
    <w:multiLevelType w:val="hybridMultilevel"/>
    <w:lvl w:ilvl="0">
      <w:lvlJc w:val="left"/>
      <w:lvlText w:val="•"/>
      <w:numFmt w:val="bullet"/>
      <w:start w:val="1"/>
    </w:lvl>
  </w:abstractNum>
  <w:abstractNum w:abstractNumId="204">
    <w:nsid w:val="565976F1"/>
    <w:multiLevelType w:val="hybridMultilevel"/>
    <w:lvl w:ilvl="0">
      <w:lvlJc w:val="left"/>
      <w:lvlText w:val="•"/>
      <w:numFmt w:val="bullet"/>
      <w:start w:val="1"/>
    </w:lvl>
  </w:abstractNum>
  <w:abstractNum w:abstractNumId="205">
    <w:nsid w:val="64212B8C"/>
    <w:multiLevelType w:val="hybridMultilevel"/>
    <w:lvl w:ilvl="0">
      <w:lvlJc w:val="left"/>
      <w:lvlText w:val="•"/>
      <w:numFmt w:val="bullet"/>
      <w:start w:val="1"/>
    </w:lvl>
  </w:abstractNum>
  <w:abstractNum w:abstractNumId="206">
    <w:nsid w:val="5C17530C"/>
    <w:multiLevelType w:val="hybridMultilevel"/>
    <w:lvl w:ilvl="0">
      <w:lvlJc w:val="left"/>
      <w:lvlText w:val="•"/>
      <w:numFmt w:val="bullet"/>
      <w:start w:val="1"/>
    </w:lvl>
  </w:abstractNum>
  <w:abstractNum w:abstractNumId="207">
    <w:nsid w:val="19A52566"/>
    <w:multiLevelType w:val="hybridMultilevel"/>
    <w:lvl w:ilvl="0">
      <w:lvlJc w:val="left"/>
      <w:lvlText w:val="•"/>
      <w:numFmt w:val="bullet"/>
      <w:start w:val="1"/>
    </w:lvl>
  </w:abstractNum>
  <w:abstractNum w:abstractNumId="208">
    <w:nsid w:val="335A1DF1"/>
    <w:multiLevelType w:val="hybridMultilevel"/>
    <w:lvl w:ilvl="0">
      <w:lvlJc w:val="left"/>
      <w:lvlText w:val="•"/>
      <w:numFmt w:val="bullet"/>
      <w:start w:val="1"/>
    </w:lvl>
  </w:abstractNum>
  <w:abstractNum w:abstractNumId="209">
    <w:nsid w:val="28677B7C"/>
    <w:multiLevelType w:val="hybridMultilevel"/>
    <w:lvl w:ilvl="0">
      <w:lvlJc w:val="left"/>
      <w:lvlText w:val="•"/>
      <w:numFmt w:val="bullet"/>
      <w:start w:val="1"/>
    </w:lvl>
  </w:abstractNum>
  <w:abstractNum w:abstractNumId="210">
    <w:nsid w:val="378D97C0"/>
    <w:multiLevelType w:val="hybridMultilevel"/>
    <w:lvl w:ilvl="0">
      <w:lvlJc w:val="left"/>
      <w:lvlText w:val="(%1)"/>
      <w:numFmt w:val="lowerLetter"/>
      <w:start w:val="1"/>
    </w:lvl>
  </w:abstractNum>
  <w:abstractNum w:abstractNumId="211">
    <w:nsid w:val="1D91467C"/>
    <w:multiLevelType w:val="hybridMultilevel"/>
    <w:lvl w:ilvl="0">
      <w:lvlJc w:val="left"/>
      <w:lvlText w:val="(%1)"/>
      <w:numFmt w:val="lowerLetter"/>
      <w:start w:val="3"/>
    </w:lvl>
  </w:abstractNum>
  <w:abstractNum w:abstractNumId="212">
    <w:nsid w:val="316032BB"/>
    <w:multiLevelType w:val="hybridMultilevel"/>
    <w:lvl w:ilvl="0">
      <w:lvlJc w:val="left"/>
      <w:lvlText w:val="(%1)"/>
      <w:numFmt w:val="lowerLetter"/>
      <w:start w:val="4"/>
    </w:lvl>
    <w:lvl w:ilvl="1">
      <w:lvlJc w:val="left"/>
      <w:lvlText w:val="(%2)"/>
      <w:numFmt w:val="decimal"/>
      <w:start w:val="1"/>
    </w:lvl>
  </w:abstractNum>
  <w:abstractNum w:abstractNumId="213">
    <w:nsid w:val="44344C22"/>
    <w:multiLevelType w:val="hybridMultilevel"/>
    <w:lvl w:ilvl="0">
      <w:lvlJc w:val="left"/>
      <w:lvlText w:val="%1."/>
      <w:numFmt w:val="decimal"/>
      <w:start w:val="1"/>
    </w:lvl>
    <w:lvl w:ilvl="1">
      <w:lvlJc w:val="left"/>
      <w:lvlText w:val="(%2)"/>
      <w:numFmt w:val="lowerLetter"/>
      <w:start w:val="1"/>
    </w:lvl>
  </w:abstractNum>
  <w:abstractNum w:abstractNumId="214">
    <w:nsid w:val="13CDFCFC"/>
    <w:multiLevelType w:val="hybridMultilevel"/>
    <w:lvl w:ilvl="0">
      <w:lvlJc w:val="left"/>
      <w:lvlText w:val="%1"/>
      <w:numFmt w:val="decimal"/>
      <w:start w:val="1"/>
    </w:lvl>
    <w:lvl w:ilvl="1">
      <w:lvlJc w:val="left"/>
      <w:lvlText w:val="(%2)"/>
      <w:numFmt w:val="lowerLetter"/>
      <w:start w:val="9"/>
    </w:lvl>
  </w:abstractNum>
  <w:abstractNum w:abstractNumId="215">
    <w:nsid w:val="471745E4"/>
    <w:multiLevelType w:val="hybridMultilevel"/>
    <w:lvl w:ilvl="0">
      <w:lvlJc w:val="left"/>
      <w:lvlText w:val="(%1)"/>
      <w:numFmt w:val="lowerLetter"/>
      <w:start w:val="4"/>
    </w:lvl>
  </w:abstractNum>
  <w:abstractNum w:abstractNumId="216">
    <w:nsid w:val="1DDBC66"/>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17">
    <w:nsid w:val="30AADFD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18">
    <w:nsid w:val="30EADA61"/>
    <w:multiLevelType w:val="hybridMultilevel"/>
    <w:lvl w:ilvl="0">
      <w:lvlJc w:val="left"/>
      <w:lvlText w:val="%1"/>
      <w:numFmt w:val="decimal"/>
      <w:start w:val="1"/>
    </w:lvl>
    <w:lvl w:ilvl="1">
      <w:lvlJc w:val="left"/>
      <w:lvlText w:val="(%2)"/>
      <w:numFmt w:val="lowerLetter"/>
      <w:start w:val="2"/>
    </w:lvl>
  </w:abstractNum>
  <w:abstractNum w:abstractNumId="219">
    <w:nsid w:val="27179C0B"/>
    <w:multiLevelType w:val="hybridMultilevel"/>
    <w:lvl w:ilvl="0">
      <w:lvlJc w:val="left"/>
      <w:lvlText w:val="%1."/>
      <w:numFmt w:val="decimal"/>
      <w:start w:val="3"/>
    </w:lvl>
    <w:lvl w:ilvl="1">
      <w:lvlJc w:val="left"/>
      <w:lvlText w:val="%2"/>
      <w:numFmt w:val="lowerLetter"/>
      <w:start w:val="1"/>
    </w:lvl>
  </w:abstractNum>
  <w:abstractNum w:abstractNumId="220">
    <w:nsid w:val="5E636063"/>
    <w:multiLevelType w:val="hybridMultilevel"/>
    <w:lvl w:ilvl="0">
      <w:lvlJc w:val="left"/>
      <w:lvlText w:val="%1."/>
      <w:numFmt w:val="decimal"/>
      <w:start w:val="4"/>
    </w:lvl>
    <w:lvl w:ilvl="1">
      <w:lvlJc w:val="left"/>
      <w:lvlText w:val="(%2)"/>
      <w:numFmt w:val="lowerLetter"/>
      <w:start w:val="1"/>
    </w:lvl>
  </w:abstractNum>
  <w:abstractNum w:abstractNumId="221">
    <w:nsid w:val="215641AF"/>
    <w:multiLevelType w:val="hybridMultilevel"/>
    <w:lvl w:ilvl="0">
      <w:lvlJc w:val="left"/>
      <w:lvlText w:val="(%1)"/>
      <w:numFmt w:val="lowerLetter"/>
      <w:start w:val="2"/>
    </w:lvl>
    <w:lvl w:ilvl="1">
      <w:lvlJc w:val="left"/>
      <w:lvlText w:val="(%2)"/>
      <w:numFmt w:val="lowerRoman"/>
      <w:start w:val="1"/>
    </w:lvl>
  </w:abstractNum>
  <w:abstractNum w:abstractNumId="222">
    <w:nsid w:val="53280662"/>
    <w:multiLevelType w:val="hybridMultilevel"/>
    <w:lvl w:ilvl="0">
      <w:lvlJc w:val="left"/>
      <w:lvlText w:val="%1."/>
      <w:numFmt w:val="decimal"/>
      <w:start w:val="7"/>
    </w:lvl>
  </w:abstractNum>
  <w:abstractNum w:abstractNumId="223">
    <w:nsid w:val="46B24DBC"/>
    <w:multiLevelType w:val="hybridMultilevel"/>
    <w:lvl w:ilvl="0">
      <w:lvlJc w:val="left"/>
      <w:lvlText w:val="%1."/>
      <w:numFmt w:val="decimal"/>
      <w:start w:val="10"/>
    </w:lvl>
  </w:abstractNum>
  <w:abstractNum w:abstractNumId="224">
    <w:nsid w:val="75B52783"/>
    <w:multiLevelType w:val="hybridMultilevel"/>
    <w:lvl w:ilvl="0">
      <w:lvlJc w:val="left"/>
      <w:lvlText w:val="%1."/>
      <w:numFmt w:val="decimal"/>
      <w:start w:val="12"/>
    </w:lvl>
  </w:abstractNum>
  <w:abstractNum w:abstractNumId="225">
    <w:nsid w:val="57CE66B4"/>
    <w:multiLevelType w:val="hybridMultilevel"/>
    <w:lvl w:ilvl="0">
      <w:lvlJc w:val="left"/>
      <w:lvlText w:val="%1."/>
      <w:numFmt w:val="decimal"/>
      <w:start w:val="1"/>
    </w:lvl>
  </w:abstractNum>
  <w:abstractNum w:abstractNumId="226">
    <w:nsid w:val="67A70B69"/>
    <w:multiLevelType w:val="hybridMultilevel"/>
    <w:lvl w:ilvl="0">
      <w:lvlJc w:val="left"/>
      <w:lvlText w:val="%1."/>
      <w:numFmt w:val="decimal"/>
      <w:start w:val="2"/>
    </w:lvl>
  </w:abstractNum>
  <w:abstractNum w:abstractNumId="227">
    <w:nsid w:val="5953172F"/>
    <w:multiLevelType w:val="hybridMultilevel"/>
    <w:lvl w:ilvl="0">
      <w:lvlJc w:val="left"/>
      <w:lvlText w:val="%1."/>
      <w:numFmt w:val="decimal"/>
      <w:start w:val="3"/>
    </w:lvl>
    <w:lvl w:ilvl="1">
      <w:lvlJc w:val="left"/>
      <w:lvlText w:val="(%2)"/>
      <w:numFmt w:val="lowerLetter"/>
      <w:start w:val="8"/>
    </w:lvl>
  </w:abstractNum>
  <w:abstractNum w:abstractNumId="228">
    <w:nsid w:val="27EDFE3A"/>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229">
    <w:nsid w:val="52AC7DF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4"/>
    </w:lvl>
    <w:lvl w:ilvl="3">
      <w:lvlJc w:val="left"/>
      <w:lvlText w:val="%4"/>
      <w:numFmt w:val="lowerLetter"/>
      <w:start w:val="1"/>
    </w:lvl>
  </w:abstractNum>
  <w:abstractNum w:abstractNumId="230">
    <w:nsid w:val="C4C3AF"/>
    <w:multiLevelType w:val="hybridMultilevel"/>
    <w:lvl w:ilvl="0">
      <w:lvlJc w:val="left"/>
      <w:lvlText w:val="%1."/>
      <w:numFmt w:val="decimal"/>
      <w:start w:val="2"/>
    </w:lvl>
  </w:abstractNum>
  <w:abstractNum w:abstractNumId="231">
    <w:nsid w:val="44380727"/>
    <w:multiLevelType w:val="hybridMultilevel"/>
    <w:lvl w:ilvl="0">
      <w:lvlJc w:val="left"/>
      <w:lvlText w:val="%1."/>
      <w:numFmt w:val="decimal"/>
      <w:start w:val="1"/>
    </w:lvl>
    <w:lvl w:ilvl="1">
      <w:lvlJc w:val="left"/>
      <w:lvlText w:val="%2)"/>
      <w:numFmt w:val="lowerLetter"/>
      <w:start w:val="1"/>
    </w:lvl>
  </w:abstractNum>
  <w:abstractNum w:abstractNumId="232">
    <w:nsid w:val="6C053B16"/>
    <w:multiLevelType w:val="hybridMultilevel"/>
    <w:lvl w:ilvl="0">
      <w:lvlJc w:val="left"/>
      <w:lvlText w:val="%1."/>
      <w:numFmt w:val="decimal"/>
      <w:start w:val="1"/>
    </w:lvl>
    <w:lvl w:ilvl="1">
      <w:lvlJc w:val="left"/>
      <w:lvlText w:val="%2)"/>
      <w:numFmt w:val="lowerLetter"/>
      <w:start w:val="1"/>
    </w:lvl>
  </w:abstractNum>
  <w:abstractNum w:abstractNumId="233">
    <w:nsid w:val="4F294393"/>
    <w:multiLevelType w:val="hybridMultilevel"/>
    <w:lvl w:ilvl="0">
      <w:lvlJc w:val="left"/>
      <w:lvlText w:val="%1."/>
      <w:numFmt w:val="decimal"/>
      <w:start w:val="1"/>
    </w:lvl>
  </w:abstractNum>
  <w:abstractNum w:abstractNumId="234">
    <w:nsid w:val="5243BFA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jpe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50" Type="http://schemas.openxmlformats.org/officeDocument/2006/relationships/hyperlink" Target="https://www.sec.gov/Archives/edgar/data/842633/000110465907058776/a07-19157_1ex3d1.htm" TargetMode="External"/><Relationship Id="rId51" Type="http://schemas.openxmlformats.org/officeDocument/2006/relationships/hyperlink" Target="https://www.sec.gov/Archives/edgar/data/842633/000084263315000161/thirdamendedandrestatedbyl.htm" TargetMode="External"/><Relationship Id="rId52" Type="http://schemas.openxmlformats.org/officeDocument/2006/relationships/hyperlink" Target="https://www.sec.gov/Archives/edgar/data/842633/000084263325000073/ex101credi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2025-04-29T13:44:01Z</dcterms:created>
  <dcterms:modified xsi:type="dcterms:W3CDTF">2025-04-29T13:44:01Z</dcterms:modified>
</cp:coreProperties>
</file>