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373862.xml.htm"/>
      <w:bookmarkStart w:id="1" w:name="kswkform4_17763738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SEDAGHAT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TRIMAS CORP</w:t>
              </w:r>
            </w:hyperlink>
            <w:r>
              <w:rPr/>
              <w:t xml:space="preserve"> [ </w:t>
            </w:r>
            <w:r>
              <w:rPr>
                <w:rFonts w:ascii="Times;serif" w:hAnsi="Times;serif"/>
                <w:color w:val="0000FF"/>
                <w:sz w:val="24"/>
                <w:shd w:fill="FFFFFF" w:val="clear"/>
              </w:rPr>
              <w:t>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794"/>
        <w:gridCol w:w="447"/>
        <w:gridCol w:w="751"/>
        <w:gridCol w:w="1271"/>
        <w:gridCol w:w="989"/>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39.03</w:t>
            </w:r>
            <w:r>
              <w:rPr/>
              <w:t xml:space="preserve"> </w:t>
            </w:r>
          </w:p>
        </w:tc>
        <w:tc>
          <w:tcPr>
            <w:tcW w:w="12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4,178,300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r>
              <w:rPr/>
              <w:t xml:space="preserve"> </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1,883,758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SEDAGHAT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Trend International Holding AG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7,633 of the securities reported herein, including the 640 securities subject to the transaction reported herein (the "Director Shares"), are directly held by Shawn Sedaghat ("Mr. Sedaghat"). Trend International Holding AG ("Trend") does not have beneficial ownership of the Director Shares, and specifically disclaims beneficial ownership of the Director Shares for purposes of Section 16 of the Securities Exchange Act of 1934, as amended ("Section 16"). This report shall not be deemed to be an admission that Trend is the beneficial owner of the Director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4,170,667 of the securities reported in Table One, Column Five are held directly by Trend. Mr. Sedaghat (and together with Trend, the "Reporting Persons") may be deemed to beneficially own such reported securities by virtue of the fact that Mr. Sedaghat is the Chairman of the Board of, and controls, Trend. Each of Trend and Mr. Sedaghat disclaims beneficial ownership of such reported securities for purposes of Section 16, except to the extent of its or his pecuniary interest therein, if any. This report shall not be deemed to be an admission that either Reporting Person is the beneficial owner of such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directly held by Swan Family Office, LLC ("Swan Family Office"). Mr. Sedaghat may be deemed to beneficially own the reported securities by virtue of the fact that Mr. Sedaghat is the Managing Member of Swan Family Office. Each of Swan Family Office and Mr. Sedaghat disclaims beneficial ownership of the securities to which this filing relates for purposes of Section 16 of the Securities Exchange Act of 1934, as amended ("Section 16"), except to the extent of its or his pecuniary interest therein, if any. This report shall not be deemed to be an admission that either Swan Family Office or Mr. Sedaghat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Trend does not have beneficial ownership of these securities, and specifically disclaims beneficial ownership of these securities. This report shall not be deemed to be an admission that Trend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Jodi F. Robin,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1614" TargetMode="External"/><Relationship Id="rId5" Type="http://schemas.openxmlformats.org/officeDocument/2006/relationships/hyperlink" Target="http://www.sec.gov/cgi-bin/browse-edgar?action=getcompany&amp;CIK=00008426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21614" TargetMode="External"/><Relationship Id="rId10" Type="http://schemas.openxmlformats.org/officeDocument/2006/relationships/hyperlink" Target="http://www.sec.gov/cgi-bin/browse-edgar?action=getcompany&amp;CIK=000204046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991</Words>
  <Characters>5279</Characters>
  <CharactersWithSpaces>6181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