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5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(Mark One)</w:t>
      </w:r>
    </w:p>
    <w:p>
      <w:pPr>
        <w:ind w:left="1820" w:hanging="995"/>
        <w:spacing w:after="0" w:line="225"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Quarterly Report Pursuant to Section 13 or 15(d) of the Securities Exchange Act of 1934</w:t>
      </w:r>
    </w:p>
    <w:p>
      <w:pPr>
        <w:spacing w:after="0" w:line="1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1820" w:hanging="995"/>
        <w:spacing w:after="0" w:line="223"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3100" w:type="dxa"/>
        <w:tblCellMar>
          <w:top w:w="0" w:type="dxa"/>
          <w:left w:w="0" w:type="dxa"/>
          <w:bottom w:w="0" w:type="dxa"/>
          <w:right w:w="0" w:type="dxa"/>
        </w:tblCellMar>
      </w:tblPr>
      <w:tr>
        <w:trPr>
          <w:trHeight w:val="207"/>
        </w:trPr>
        <w:tc>
          <w:tcPr>
            <w:tcW w:w="2800" w:type="dxa"/>
            <w:vAlign w:val="bottom"/>
          </w:tcPr>
          <w:p>
            <w:pPr>
              <w:ind w:left="420"/>
              <w:spacing w:after="0"/>
              <w:rPr>
                <w:sz w:val="20"/>
                <w:szCs w:val="20"/>
                <w:color w:val="auto"/>
              </w:rPr>
            </w:pPr>
            <w:r>
              <w:rPr>
                <w:rFonts w:ascii="Arial" w:cs="Arial" w:eastAsia="Arial" w:hAnsi="Arial"/>
                <w:sz w:val="18"/>
                <w:szCs w:val="18"/>
                <w:b w:val="1"/>
                <w:bCs w:val="1"/>
                <w:color w:val="auto"/>
                <w:w w:val="91"/>
              </w:rPr>
              <w:t>For the Transition Period from</w:t>
            </w:r>
          </w:p>
        </w:tc>
        <w:tc>
          <w:tcPr>
            <w:tcW w:w="8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0"/>
        </w:trPr>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4580" w:type="dxa"/>
            <w:vAlign w:val="bottom"/>
            <w:gridSpan w:val="4"/>
          </w:tcPr>
          <w:p>
            <w:pPr>
              <w:jc w:val="center"/>
              <w:ind w:left="362"/>
              <w:spacing w:after="0"/>
              <w:rPr>
                <w:sz w:val="20"/>
                <w:szCs w:val="20"/>
                <w:color w:val="auto"/>
              </w:rPr>
            </w:pPr>
            <w:r>
              <w:rPr>
                <w:rFonts w:ascii="Arial" w:cs="Arial" w:eastAsia="Arial" w:hAnsi="Arial"/>
                <w:sz w:val="18"/>
                <w:szCs w:val="18"/>
                <w:b w:val="1"/>
                <w:bCs w:val="1"/>
                <w:color w:val="auto"/>
                <w:w w:val="90"/>
              </w:rPr>
              <w:t>Commission file number 001-10716</w:t>
            </w:r>
          </w:p>
        </w:tc>
        <w:tc>
          <w:tcPr>
            <w:tcW w:w="40" w:type="dxa"/>
            <w:vAlign w:val="bottom"/>
          </w:tcPr>
          <w:p>
            <w:pPr>
              <w:spacing w:after="0"/>
              <w:rPr>
                <w:sz w:val="24"/>
                <w:szCs w:val="24"/>
                <w:color w:val="auto"/>
              </w:rPr>
            </w:pPr>
          </w:p>
        </w:tc>
      </w:tr>
      <w:tr>
        <w:trPr>
          <w:trHeight w:val="437"/>
        </w:trPr>
        <w:tc>
          <w:tcPr>
            <w:tcW w:w="4580" w:type="dxa"/>
            <w:vAlign w:val="bottom"/>
            <w:gridSpan w:val="4"/>
          </w:tcPr>
          <w:p>
            <w:pPr>
              <w:jc w:val="center"/>
              <w:ind w:left="362"/>
              <w:spacing w:after="0"/>
              <w:rPr>
                <w:sz w:val="20"/>
                <w:szCs w:val="20"/>
                <w:color w:val="auto"/>
              </w:rPr>
            </w:pPr>
            <w:r>
              <w:rPr>
                <w:rFonts w:ascii="Arial" w:cs="Arial" w:eastAsia="Arial" w:hAnsi="Arial"/>
                <w:sz w:val="29"/>
                <w:szCs w:val="29"/>
                <w:b w:val="1"/>
                <w:bCs w:val="1"/>
                <w:color w:val="auto"/>
              </w:rPr>
              <w:t>TRIMAS CORPORATION</w:t>
            </w:r>
          </w:p>
        </w:tc>
        <w:tc>
          <w:tcPr>
            <w:tcW w:w="40" w:type="dxa"/>
            <w:vAlign w:val="bottom"/>
          </w:tcPr>
          <w:p>
            <w:pPr>
              <w:spacing w:after="0"/>
              <w:rPr>
                <w:sz w:val="24"/>
                <w:szCs w:val="24"/>
                <w:color w:val="auto"/>
              </w:rPr>
            </w:pPr>
          </w:p>
        </w:tc>
      </w:tr>
      <w:tr>
        <w:trPr>
          <w:trHeight w:val="306"/>
        </w:trPr>
        <w:tc>
          <w:tcPr>
            <w:tcW w:w="4580" w:type="dxa"/>
            <w:vAlign w:val="bottom"/>
            <w:gridSpan w:val="4"/>
          </w:tcPr>
          <w:p>
            <w:pPr>
              <w:jc w:val="center"/>
              <w:ind w:left="362"/>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r>
      <w:tr>
        <w:trPr>
          <w:trHeight w:val="337"/>
        </w:trPr>
        <w:tc>
          <w:tcPr>
            <w:tcW w:w="2800" w:type="dxa"/>
            <w:vAlign w:val="bottom"/>
          </w:tcPr>
          <w:p>
            <w:pPr>
              <w:jc w:val="center"/>
              <w:ind w:right="542"/>
              <w:spacing w:after="0"/>
              <w:rPr>
                <w:sz w:val="20"/>
                <w:szCs w:val="20"/>
                <w:color w:val="auto"/>
              </w:rPr>
            </w:pPr>
            <w:r>
              <w:rPr>
                <w:rFonts w:ascii="Arial" w:cs="Arial" w:eastAsia="Arial" w:hAnsi="Arial"/>
                <w:sz w:val="18"/>
                <w:szCs w:val="18"/>
                <w:b w:val="1"/>
                <w:bCs w:val="1"/>
                <w:color w:val="auto"/>
                <w:w w:val="91"/>
              </w:rPr>
              <w:t>Delaware</w:t>
            </w:r>
          </w:p>
        </w:tc>
        <w:tc>
          <w:tcPr>
            <w:tcW w:w="17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r>
      <w:tr>
        <w:trPr>
          <w:trHeight w:val="176"/>
        </w:trPr>
        <w:tc>
          <w:tcPr>
            <w:tcW w:w="2800" w:type="dxa"/>
            <w:vAlign w:val="bottom"/>
          </w:tcPr>
          <w:p>
            <w:pPr>
              <w:jc w:val="center"/>
              <w:ind w:right="522"/>
              <w:spacing w:after="0" w:line="176" w:lineRule="exact"/>
              <w:rPr>
                <w:sz w:val="20"/>
                <w:szCs w:val="20"/>
                <w:color w:val="auto"/>
              </w:rPr>
            </w:pPr>
            <w:r>
              <w:rPr>
                <w:rFonts w:ascii="Arial" w:cs="Arial" w:eastAsia="Arial" w:hAnsi="Arial"/>
                <w:sz w:val="18"/>
                <w:szCs w:val="18"/>
                <w:color w:val="auto"/>
                <w:w w:val="93"/>
              </w:rPr>
              <w:t>(State or other jurisdiction of</w:t>
            </w:r>
          </w:p>
        </w:tc>
        <w:tc>
          <w:tcPr>
            <w:tcW w:w="1780" w:type="dxa"/>
            <w:vAlign w:val="bottom"/>
            <w:gridSpan w:val="3"/>
          </w:tcPr>
          <w:p>
            <w:pPr>
              <w:jc w:val="center"/>
              <w:ind w:left="430"/>
              <w:spacing w:after="0" w:line="176" w:lineRule="exact"/>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5"/>
                <w:szCs w:val="15"/>
                <w:color w:val="auto"/>
              </w:rPr>
            </w:pPr>
          </w:p>
        </w:tc>
      </w:tr>
      <w:tr>
        <w:trPr>
          <w:trHeight w:val="230"/>
        </w:trPr>
        <w:tc>
          <w:tcPr>
            <w:tcW w:w="2800" w:type="dxa"/>
            <w:vAlign w:val="bottom"/>
          </w:tcPr>
          <w:p>
            <w:pPr>
              <w:jc w:val="center"/>
              <w:ind w:right="542"/>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4"/>
          </w:tcPr>
          <w:p>
            <w:pPr>
              <w:jc w:val="center"/>
              <w:ind w:left="390"/>
              <w:spacing w:after="0"/>
              <w:rPr>
                <w:sz w:val="20"/>
                <w:szCs w:val="20"/>
                <w:color w:val="auto"/>
              </w:rPr>
            </w:pPr>
            <w:r>
              <w:rPr>
                <w:rFonts w:ascii="Arial" w:cs="Arial" w:eastAsia="Arial" w:hAnsi="Arial"/>
                <w:sz w:val="18"/>
                <w:szCs w:val="18"/>
                <w:color w:val="auto"/>
                <w:w w:val="95"/>
              </w:rPr>
              <w:t>Identification No.)</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8"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6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Arial" w:cs="Arial" w:eastAsia="Arial" w:hAnsi="Arial"/>
                <w:sz w:val="18"/>
                <w:szCs w:val="18"/>
                <w:color w:val="auto"/>
                <w:w w:val="90"/>
              </w:rPr>
              <w:t>Common stock, $0.01 par value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61"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w:t>
      </w:r>
    </w:p>
    <w:p>
      <w:pPr>
        <w:spacing w:after="0" w:line="48" w:lineRule="exact"/>
        <w:rPr>
          <w:sz w:val="24"/>
          <w:szCs w:val="24"/>
          <w:color w:val="auto"/>
        </w:rPr>
      </w:pPr>
    </w:p>
    <w:p>
      <w:pPr>
        <w:jc w:val="both"/>
        <w:spacing w:after="0" w:line="26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r>
        <w:rPr>
          <w:rFonts w:ascii="Arial" w:cs="Arial" w:eastAsia="Arial" w:hAnsi="Arial"/>
          <w:sz w:val="17"/>
          <w:szCs w:val="17"/>
          <w:color w:val="auto"/>
        </w:rPr>
        <w:t>.</w:t>
      </w:r>
    </w:p>
    <w:p>
      <w:pPr>
        <w:spacing w:after="0" w:line="3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1600" w:type="dxa"/>
        <w:tblCellMar>
          <w:top w:w="0" w:type="dxa"/>
          <w:left w:w="0" w:type="dxa"/>
          <w:bottom w:w="0" w:type="dxa"/>
          <w:right w:w="0" w:type="dxa"/>
        </w:tblCellMar>
      </w:tblPr>
      <w:tr>
        <w:trPr>
          <w:trHeight w:val="338"/>
        </w:trPr>
        <w:tc>
          <w:tcPr>
            <w:tcW w:w="238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1"/>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jc w:val="both"/>
        <w:ind w:right="188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July 21, 2022, the number of outstanding shares of the Registrant's common stock, $0.01 par value, was 42,002,294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40" w:type="dxa"/>
            <w:vAlign w:val="bottom"/>
            <w:gridSpan w:val="14"/>
          </w:tcPr>
          <w:p>
            <w:pPr>
              <w:jc w:val="center"/>
              <w:ind w:right="3060"/>
              <w:spacing w:after="0"/>
              <w:rPr>
                <w:sz w:val="20"/>
                <w:szCs w:val="20"/>
                <w:color w:val="auto"/>
              </w:rPr>
            </w:pPr>
            <w:r>
              <w:rPr>
                <w:rFonts w:ascii="Arial" w:cs="Arial" w:eastAsia="Arial" w:hAnsi="Arial"/>
                <w:sz w:val="18"/>
                <w:szCs w:val="18"/>
                <w:b w:val="1"/>
                <w:bCs w:val="1"/>
                <w:color w:val="auto"/>
                <w:w w:val="93"/>
              </w:rPr>
              <w:t>TriMas Corporation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1"/>
          </w:tcPr>
          <w:p>
            <w:pPr>
              <w:jc w:val="center"/>
              <w:ind w:right="3860"/>
              <w:spacing w:after="0"/>
              <w:rPr>
                <w:sz w:val="20"/>
                <w:szCs w:val="20"/>
                <w:color w:val="auto"/>
              </w:rPr>
            </w:pPr>
            <w:r>
              <w:rPr>
                <w:rFonts w:ascii="Arial" w:cs="Arial" w:eastAsia="Arial" w:hAnsi="Arial"/>
                <w:sz w:val="18"/>
                <w:szCs w:val="18"/>
                <w:b w:val="1"/>
                <w:bCs w:val="1"/>
                <w:color w:val="auto"/>
                <w:w w:val="93"/>
              </w:rPr>
              <w:t>Index</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7700" w:type="dxa"/>
            <w:vAlign w:val="bottom"/>
            <w:gridSpan w:val="22"/>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7"/>
          </w:tcPr>
          <w:p>
            <w:pPr>
              <w:spacing w:after="0"/>
              <w:rPr>
                <w:rFonts w:ascii="Arial" w:cs="Arial" w:eastAsia="Arial" w:hAnsi="Arial"/>
                <w:sz w:val="18"/>
                <w:szCs w:val="18"/>
                <w:color w:val="0000FF"/>
                <w:w w:val="89"/>
              </w:rPr>
            </w:pPr>
            <w:hyperlink w:anchor="page2">
              <w:r>
                <w:rPr>
                  <w:rFonts w:ascii="Arial" w:cs="Arial" w:eastAsia="Arial" w:hAnsi="Arial"/>
                  <w:sz w:val="18"/>
                  <w:szCs w:val="18"/>
                  <w:color w:val="0000FF"/>
                  <w:w w:val="89"/>
                </w:rPr>
                <w:t>Forward-Looking Statements</w:t>
              </w:r>
            </w:hyperlink>
          </w:p>
        </w:tc>
        <w:tc>
          <w:tcPr>
            <w:tcW w:w="4540" w:type="dxa"/>
            <w:vAlign w:val="bottom"/>
            <w:gridSpan w:val="11"/>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664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Financial Statements</w:t>
              </w:r>
            </w:hyperlink>
          </w:p>
        </w:tc>
        <w:tc>
          <w:tcPr>
            <w:tcW w:w="3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Consolidated Balance Sheet as of June </w:t>
              </w:r>
            </w:hyperlink>
            <w:r>
              <w:rPr>
                <w:rFonts w:ascii="Arial" w:cs="Arial" w:eastAsia="Arial" w:hAnsi="Arial"/>
                <w:sz w:val="18"/>
                <w:szCs w:val="18"/>
                <w:color w:val="0000FF"/>
              </w:rPr>
              <w:t xml:space="preserve">30, </w:t>
            </w:r>
            <w:hyperlink w:anchor="page4">
              <w:r>
                <w:rPr>
                  <w:rFonts w:ascii="Arial" w:cs="Arial" w:eastAsia="Arial" w:hAnsi="Arial"/>
                  <w:sz w:val="18"/>
                  <w:szCs w:val="18"/>
                  <w:color w:val="0000FF"/>
                </w:rPr>
                <w:t>2022 and December 31, 2021</w:t>
              </w:r>
            </w:hyperlink>
          </w:p>
        </w:tc>
        <w:tc>
          <w:tcPr>
            <w:tcW w:w="3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Consolidated Statement of Income for the Three and Six Months Ended June 30, 2022</w:t>
              </w:r>
            </w:hyperlink>
          </w:p>
        </w:tc>
        <w:tc>
          <w:tcPr>
            <w:tcW w:w="380" w:type="dxa"/>
            <w:vAlign w:val="bottom"/>
            <w:gridSpan w:val="3"/>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and 2021</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w w:val="94"/>
              </w:rPr>
            </w:pPr>
            <w:hyperlink w:anchor="page5">
              <w:r>
                <w:rPr>
                  <w:rFonts w:ascii="Arial" w:cs="Arial" w:eastAsia="Arial" w:hAnsi="Arial"/>
                  <w:sz w:val="18"/>
                  <w:szCs w:val="18"/>
                  <w:color w:val="0000FF"/>
                  <w:w w:val="94"/>
                </w:rPr>
                <w:t>Consolidated Statement of Comprehensive Income for the Three and Six Months Ended</w:t>
              </w:r>
            </w:hyperlink>
          </w:p>
        </w:tc>
        <w:tc>
          <w:tcPr>
            <w:tcW w:w="38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Borders>
              <w:top w:val="single" w:sz="8" w:color="0000FF"/>
            </w:tcBorders>
            <w:gridSpan w:val="5"/>
          </w:tcPr>
          <w:p>
            <w:pPr>
              <w:spacing w:after="0" w:line="156"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 xml:space="preserve">June </w:t>
              </w:r>
            </w:hyperlink>
            <w:r>
              <w:rPr>
                <w:rFonts w:ascii="Arial" w:cs="Arial" w:eastAsia="Arial" w:hAnsi="Arial"/>
                <w:sz w:val="18"/>
                <w:szCs w:val="18"/>
                <w:color w:val="0000FF"/>
                <w:w w:val="86"/>
              </w:rPr>
              <w:t xml:space="preserve">30, </w:t>
            </w:r>
            <w:hyperlink w:anchor="page5">
              <w:r>
                <w:rPr>
                  <w:rFonts w:ascii="Arial" w:cs="Arial" w:eastAsia="Arial" w:hAnsi="Arial"/>
                  <w:sz w:val="18"/>
                  <w:szCs w:val="18"/>
                  <w:color w:val="0000FF"/>
                  <w:w w:val="86"/>
                </w:rPr>
                <w:t>2022 and 2021</w:t>
              </w:r>
            </w:hyperlink>
          </w:p>
        </w:tc>
        <w:tc>
          <w:tcPr>
            <w:tcW w:w="462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 xml:space="preserve">Consolidated Statement of Cash Flows for the Six Months Ended June </w:t>
              </w:r>
            </w:hyperlink>
            <w:r>
              <w:rPr>
                <w:rFonts w:ascii="Arial" w:cs="Arial" w:eastAsia="Arial" w:hAnsi="Arial"/>
                <w:sz w:val="18"/>
                <w:szCs w:val="18"/>
                <w:color w:val="0000FF"/>
                <w:w w:val="92"/>
              </w:rPr>
              <w:t xml:space="preserve">30, </w:t>
            </w:r>
            <w:hyperlink w:anchor="page6">
              <w:r>
                <w:rPr>
                  <w:rFonts w:ascii="Arial" w:cs="Arial" w:eastAsia="Arial" w:hAnsi="Arial"/>
                  <w:sz w:val="18"/>
                  <w:szCs w:val="18"/>
                  <w:color w:val="0000FF"/>
                  <w:w w:val="92"/>
                </w:rPr>
                <w:t>2022 and 2021</w:t>
              </w:r>
            </w:hyperlink>
          </w:p>
        </w:tc>
        <w:tc>
          <w:tcPr>
            <w:tcW w:w="38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7"/>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Consolidated Statement of Shareholders' Equity for the Six Months Ended June 30, 2022</w:t>
              </w:r>
            </w:hyperlink>
          </w:p>
        </w:tc>
        <w:tc>
          <w:tcPr>
            <w:tcW w:w="220" w:type="dxa"/>
            <w:vAlign w:val="bottom"/>
          </w:tcPr>
          <w:p>
            <w:pPr>
              <w:spacing w:after="0"/>
              <w:rPr>
                <w:sz w:val="24"/>
                <w:szCs w:val="24"/>
                <w:color w:val="auto"/>
              </w:rPr>
            </w:pPr>
          </w:p>
        </w:tc>
        <w:tc>
          <w:tcPr>
            <w:tcW w:w="380" w:type="dxa"/>
            <w:vAlign w:val="bottom"/>
            <w:gridSpan w:val="3"/>
            <w:vMerge w:val="restart"/>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3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and 2021</w:t>
              </w:r>
            </w:hyperlink>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0"/>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3500" w:type="dxa"/>
            <w:vAlign w:val="bottom"/>
            <w:gridSpan w:val="8"/>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420" w:type="dxa"/>
            <w:vAlign w:val="bottom"/>
            <w:gridSpan w:val="2"/>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w w:val="93"/>
              </w:rPr>
            </w:pPr>
            <w:hyperlink w:anchor="page24">
              <w:r>
                <w:rPr>
                  <w:rFonts w:ascii="Arial" w:cs="Arial" w:eastAsia="Arial" w:hAnsi="Arial"/>
                  <w:sz w:val="18"/>
                  <w:szCs w:val="18"/>
                  <w:color w:val="0000FF"/>
                  <w:w w:val="93"/>
                </w:rPr>
                <w:t>Management's Discussion and Analysis of Financial Condition and Results of Operations</w:t>
              </w:r>
            </w:hyperlink>
          </w:p>
        </w:tc>
        <w:tc>
          <w:tcPr>
            <w:tcW w:w="38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420" w:type="dxa"/>
            <w:vAlign w:val="bottom"/>
            <w:gridSpan w:val="2"/>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38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4.</w:t>
              </w:r>
            </w:hyperlink>
          </w:p>
        </w:tc>
        <w:tc>
          <w:tcPr>
            <w:tcW w:w="6640" w:type="dxa"/>
            <w:vAlign w:val="bottom"/>
            <w:gridSpan w:val="1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3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w:t>
              </w:r>
            </w:hyperlink>
          </w:p>
        </w:tc>
        <w:tc>
          <w:tcPr>
            <w:tcW w:w="500" w:type="dxa"/>
            <w:vAlign w:val="bottom"/>
          </w:tcPr>
          <w:p>
            <w:pPr>
              <w:spacing w:after="0"/>
              <w:rPr>
                <w:sz w:val="24"/>
                <w:szCs w:val="24"/>
                <w:color w:val="auto"/>
              </w:rPr>
            </w:pPr>
          </w:p>
        </w:tc>
        <w:tc>
          <w:tcPr>
            <w:tcW w:w="1440" w:type="dxa"/>
            <w:vAlign w:val="bottom"/>
            <w:tcBorders>
              <w:bottom w:val="single" w:sz="8" w:color="0000FF"/>
            </w:tcBorders>
            <w:gridSpan w:val="5"/>
          </w:tcPr>
          <w:p>
            <w:pPr>
              <w:spacing w:after="0"/>
              <w:rPr>
                <w:rFonts w:ascii="Arial" w:cs="Arial" w:eastAsia="Arial" w:hAnsi="Arial"/>
                <w:sz w:val="18"/>
                <w:szCs w:val="18"/>
                <w:b w:val="1"/>
                <w:bCs w:val="1"/>
                <w:color w:val="0000FF"/>
                <w:w w:val="93"/>
              </w:rPr>
            </w:pPr>
            <w:hyperlink w:anchor="page41">
              <w:r>
                <w:rPr>
                  <w:rFonts w:ascii="Arial" w:cs="Arial" w:eastAsia="Arial" w:hAnsi="Arial"/>
                  <w:sz w:val="18"/>
                  <w:szCs w:val="18"/>
                  <w:b w:val="1"/>
                  <w:bCs w:val="1"/>
                  <w:color w:val="0000FF"/>
                  <w:w w:val="93"/>
                </w:rPr>
                <w:t>Other Information</w:t>
              </w:r>
            </w:hyperlink>
          </w:p>
        </w:tc>
        <w:tc>
          <w:tcPr>
            <w:tcW w:w="6260" w:type="dxa"/>
            <w:vAlign w:val="bottom"/>
            <w:gridSpan w:val="17"/>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1.</w:t>
              </w:r>
            </w:hyperlink>
          </w:p>
        </w:tc>
        <w:tc>
          <w:tcPr>
            <w:tcW w:w="664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3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Item 1A.</w:t>
              </w:r>
            </w:hyperlink>
          </w:p>
        </w:tc>
        <w:tc>
          <w:tcPr>
            <w:tcW w:w="420" w:type="dxa"/>
            <w:vAlign w:val="bottom"/>
            <w:gridSpan w:val="2"/>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3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2.</w:t>
              </w:r>
            </w:hyperlink>
          </w:p>
        </w:tc>
        <w:tc>
          <w:tcPr>
            <w:tcW w:w="420" w:type="dxa"/>
            <w:vAlign w:val="bottom"/>
            <w:gridSpan w:val="2"/>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Unregistered Sales of Equity Securities and Use of Proceeds</w:t>
              </w:r>
            </w:hyperlink>
          </w:p>
        </w:tc>
        <w:tc>
          <w:tcPr>
            <w:tcW w:w="3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420" w:type="dxa"/>
            <w:vAlign w:val="bottom"/>
            <w:gridSpan w:val="2"/>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Defaults Upon Senior Securities</w:t>
              </w:r>
            </w:hyperlink>
          </w:p>
        </w:tc>
        <w:tc>
          <w:tcPr>
            <w:tcW w:w="3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4.</w:t>
              </w:r>
            </w:hyperlink>
          </w:p>
        </w:tc>
        <w:tc>
          <w:tcPr>
            <w:tcW w:w="420" w:type="dxa"/>
            <w:vAlign w:val="bottom"/>
            <w:gridSpan w:val="2"/>
          </w:tcPr>
          <w:p>
            <w:pPr>
              <w:spacing w:after="0"/>
              <w:rPr>
                <w:sz w:val="24"/>
                <w:szCs w:val="24"/>
                <w:color w:val="auto"/>
              </w:rPr>
            </w:pPr>
          </w:p>
        </w:tc>
        <w:tc>
          <w:tcPr>
            <w:tcW w:w="664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Mine Safety Disclosures</w:t>
              </w:r>
            </w:hyperlink>
          </w:p>
        </w:tc>
        <w:tc>
          <w:tcPr>
            <w:tcW w:w="3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5.</w:t>
              </w:r>
            </w:hyperlink>
          </w:p>
        </w:tc>
        <w:tc>
          <w:tcPr>
            <w:tcW w:w="664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3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53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6.</w:t>
              </w:r>
            </w:hyperlink>
          </w:p>
        </w:tc>
        <w:tc>
          <w:tcPr>
            <w:tcW w:w="664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Exhibits</w:t>
              </w:r>
            </w:hyperlink>
          </w:p>
        </w:tc>
        <w:tc>
          <w:tcPr>
            <w:tcW w:w="3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Signature</w:t>
              </w:r>
            </w:hyperlink>
            <w:r>
              <w:rPr>
                <w:rFonts w:ascii="Arial" w:cs="Arial" w:eastAsia="Arial" w:hAnsi="Arial"/>
                <w:sz w:val="18"/>
                <w:szCs w:val="18"/>
                <w:color w:val="0033CC"/>
              </w:rPr>
              <w: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forward-looking statements are subject to numerous assumptions, risks and uncertainties which could materially affect our business, financial condition or future results, including, but not limited to: the severity and duration of the ongoing coronavirus (“COVID-19”) pandemic on our operations, customers and suppliers, as well as related actions taken by governmental authorities and other third parties in response thereto, each of which is uncertain, rapidly changing and difficult to predict; general economic and currency conditions; inflationary pressures on our supply chain, including raw material and energy costs, and customers; interest rate volatility;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including the availability and cost of raw materials; market demand; intellectual property factors; litigation; government and regulatory actions, including, without limitation, climate change legislation and other environmental regulations, as well as the impact of tariffs, quotas and surcharges; our leverage; liabilities imposed by our debt instruments; labor disputes and shortages; changes to fiscal and tax policies; contingent liabilities relating to acquisition activities; the disruption of operations from catastrophic or extraordinary events, including natural disasters, geopolitical conflicts and public health crises;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2021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5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34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June 30,</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5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140,740</w:t>
            </w: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line="176" w:lineRule="exact"/>
              <w:rPr>
                <w:sz w:val="20"/>
                <w:szCs w:val="20"/>
                <w:color w:val="auto"/>
              </w:rPr>
            </w:pPr>
            <w:r>
              <w:rPr>
                <w:rFonts w:ascii="Arial" w:cs="Arial" w:eastAsia="Arial" w:hAnsi="Arial"/>
                <w:sz w:val="18"/>
                <w:szCs w:val="18"/>
                <w:color w:val="auto"/>
                <w:w w:val="95"/>
              </w:rPr>
              <w:t>Receivables, net of reserves of approximately $1.3 million and $1.6 million as of June 30, 2022 and</w:t>
            </w:r>
          </w:p>
        </w:tc>
        <w:tc>
          <w:tcPr>
            <w:tcW w:w="2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155,140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125,630</w:t>
            </w:r>
          </w:p>
        </w:tc>
        <w:tc>
          <w:tcPr>
            <w:tcW w:w="0" w:type="dxa"/>
            <w:vAlign w:val="bottom"/>
          </w:tcPr>
          <w:p>
            <w:pPr>
              <w:spacing w:after="0"/>
              <w:rPr>
                <w:sz w:val="1"/>
                <w:szCs w:val="1"/>
                <w:color w:val="auto"/>
              </w:rPr>
            </w:pPr>
          </w:p>
        </w:tc>
      </w:tr>
      <w:tr>
        <w:trPr>
          <w:trHeight w:val="229"/>
        </w:trPr>
        <w:tc>
          <w:tcPr>
            <w:tcW w:w="7780" w:type="dxa"/>
            <w:vAlign w:val="bottom"/>
          </w:tcPr>
          <w:p>
            <w:pPr>
              <w:ind w:left="200"/>
              <w:spacing w:after="0"/>
              <w:rPr>
                <w:sz w:val="20"/>
                <w:szCs w:val="20"/>
                <w:color w:val="auto"/>
              </w:rPr>
            </w:pPr>
            <w:r>
              <w:rPr>
                <w:rFonts w:ascii="Arial" w:cs="Arial" w:eastAsia="Arial" w:hAnsi="Arial"/>
                <w:sz w:val="18"/>
                <w:szCs w:val="18"/>
                <w:color w:val="auto"/>
              </w:rPr>
              <w:t>December 31, 2021, respectively</w:t>
            </w:r>
          </w:p>
        </w:tc>
        <w:tc>
          <w:tcPr>
            <w:tcW w:w="2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431,770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265,630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339,210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315,490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196,730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33,630</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1,303,640</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24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87,800</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58,980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154,900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393,820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43,780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672,790</w:t>
            </w:r>
          </w:p>
        </w:tc>
        <w:tc>
          <w:tcPr>
            <w:tcW w:w="0" w:type="dxa"/>
            <w:vAlign w:val="bottom"/>
          </w:tcPr>
          <w:p>
            <w:pPr>
              <w:spacing w:after="0"/>
              <w:rPr>
                <w:sz w:val="1"/>
                <w:szCs w:val="1"/>
                <w:color w:val="auto"/>
              </w:rPr>
            </w:pPr>
          </w:p>
        </w:tc>
      </w:tr>
      <w:tr>
        <w:trPr>
          <w:trHeight w:val="156"/>
        </w:trPr>
        <w:tc>
          <w:tcPr>
            <w:tcW w:w="7780" w:type="dxa"/>
            <w:vAlign w:val="bottom"/>
          </w:tcPr>
          <w:p>
            <w:pPr>
              <w:spacing w:after="0" w:line="156" w:lineRule="exact"/>
              <w:rPr>
                <w:sz w:val="20"/>
                <w:szCs w:val="20"/>
                <w:color w:val="auto"/>
              </w:rPr>
            </w:pPr>
            <w:r>
              <w:rPr>
                <w:rFonts w:ascii="Arial" w:cs="Arial" w:eastAsia="Arial" w:hAnsi="Arial"/>
                <w:sz w:val="18"/>
                <w:szCs w:val="18"/>
                <w:color w:val="auto"/>
              </w:rPr>
              <w:t>Preferred stock, $0.01 par: Authorized 100,000,000 shares;</w:t>
            </w:r>
          </w:p>
        </w:tc>
        <w:tc>
          <w:tcPr>
            <w:tcW w:w="240" w:type="dxa"/>
            <w:vAlign w:val="bottom"/>
          </w:tcPr>
          <w:p>
            <w:pPr>
              <w:spacing w:after="0"/>
              <w:rPr>
                <w:sz w:val="13"/>
                <w:szCs w:val="13"/>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Issued and outstanding: None</w:t>
            </w:r>
          </w:p>
        </w:tc>
        <w:tc>
          <w:tcPr>
            <w:tcW w:w="2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stock, $0.01 par: Authorized 400,000,000 shares;</w:t>
            </w:r>
          </w:p>
        </w:tc>
        <w:tc>
          <w:tcPr>
            <w:tcW w:w="2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w w:val="90"/>
              </w:rPr>
              <w:t>Issued and outstanding: 42,050,893 shares at June 30, 2022 and 42,836,574 shares at December 31, 2021</w:t>
            </w:r>
          </w:p>
        </w:tc>
        <w:tc>
          <w:tcPr>
            <w:tcW w:w="2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704,170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732,490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630,850</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1,303,640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425,720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(316,360)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Arial" w:cs="Arial" w:eastAsia="Arial" w:hAnsi="Arial"/>
                <w:sz w:val="18"/>
                <w:szCs w:val="18"/>
                <w:color w:val="auto"/>
              </w:rPr>
              <w:t>Debt financing and related expenses</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(10,520)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Pr>
          <w:p>
            <w:pPr>
              <w:ind w:left="480"/>
              <w:spacing w:after="0" w:line="203" w:lineRule="exact"/>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42,297,525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43,110,191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42,548,366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43,147,599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8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42,481,199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43,308,356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42,795,446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43,471,616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09"/>
        </w:trPr>
        <w:tc>
          <w:tcPr>
            <w:tcW w:w="5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w:t>
            </w: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plans (Note 18)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568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30"/>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11)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r>
      <w:tr>
        <w:trPr>
          <w:trHeight w:val="223"/>
        </w:trPr>
        <w:tc>
          <w:tcPr>
            <w:tcW w:w="5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26,520</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34,030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24,900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 net of acquisition impact: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Loss on dispositions of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Debt financing and related expenses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10,520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receivables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Increase in inventories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(increase) in prepaid expenses and other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Increase (decrease) in accounts payable and accrued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operating activities, net of acquisition impact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42,670</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proceeds from disposition of property and equipment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Retirement of senior notes</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issuance of senior notes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on revolving credit facilities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Repayments of borrowings on revolving credit facilities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(48,620)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financing fees and senior notes redemption premium</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Payments to purchase common stock</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surrendered upon exercise and vesting of equity awards to cover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Dividends paid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for)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for the period</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At beginning of period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117,410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Supplemental disclosure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paid for interest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ind w:left="460"/>
              <w:spacing w:after="0"/>
              <w:rPr>
                <w:sz w:val="20"/>
                <w:szCs w:val="20"/>
                <w:color w:val="auto"/>
              </w:rPr>
            </w:pPr>
            <w:r>
              <w:rPr>
                <w:rFonts w:ascii="Arial" w:cs="Arial" w:eastAsia="Arial" w:hAnsi="Arial"/>
                <w:sz w:val="16"/>
                <w:szCs w:val="16"/>
                <w:color w:val="auto"/>
              </w:rPr>
              <w:t>Cash paid for taxes</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June 30,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Balances, March 31,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723,540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633,830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630,780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11,840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11,840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the coronavirus and related variants (“COVID-19”) as well as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of operations for interim periods are not necessarily indicative of results for the full year. The accompanying consolidated financial statements and notes thereto should be read in conjunction with the Company's 2021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2021, the Financial Accounting Standards Board ("FASB") issued Accounting Standards Update ("ASU") 2021-10, "Government Assistance (Topic 832): Disclosures by Business Entities about Government Assistance" ("ASU 2021-10"), which requires annual disclosures about transactions with a government that are accounted for by applying a grant or contribution accounting model by analogy. ASU 2021-10 is effective for annual filings in fiscal years beginning after December 15, 2021, with early adoption permitted. The Company is in the process of assessing the impact of adoption on its consolidated financial statements.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("ASU 2021-08"), which requires that an acquirer recognize and measure contract assets and contract liabilities acquired in a business combination in accordance with Topic 606, "Revenue from Contracts with Customers." ASU 2021-08 is effective for fiscal years, and interim periods within those years, beginning after December 15, 2022, with early adoption permitted. The Company is in the process of assessing the impact of adoption on its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market served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8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900" w:type="dxa"/>
            <w:vAlign w:val="bottom"/>
            <w:gridSpan w:val="2"/>
          </w:tcPr>
          <w:p>
            <w:pPr>
              <w:ind w:left="20"/>
              <w:spacing w:after="0"/>
              <w:rPr>
                <w:sz w:val="20"/>
                <w:szCs w:val="20"/>
                <w:color w:val="auto"/>
              </w:rPr>
            </w:pPr>
            <w:r>
              <w:rPr>
                <w:rFonts w:ascii="Arial" w:cs="Arial" w:eastAsia="Arial" w:hAnsi="Arial"/>
                <w:sz w:val="16"/>
                <w:szCs w:val="16"/>
                <w:b w:val="1"/>
                <w:bCs w:val="1"/>
                <w:color w:val="auto"/>
              </w:rPr>
              <w:t>Customer Markets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119,830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218,020</w:t>
            </w: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Aerospace &amp; Defense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91,910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89,170</w:t>
            </w: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118,530</w:t>
            </w:r>
          </w:p>
        </w:tc>
      </w:tr>
      <w:tr>
        <w:trPr>
          <w:trHeight w:val="223"/>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425,720</w:t>
            </w:r>
          </w:p>
        </w:tc>
      </w:tr>
      <w:tr>
        <w:trPr>
          <w:trHeight w:val="21"/>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Realignment Actions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Realignment Actions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six months ended June 30, 2022, the Company incurred realignment charges in its Packaging segment related to adjusting its labor force in facilities with lower demand, finalizing its Indianapolis, Indiana facility consolidation, costs incurred to reorganize its benefit plans in the United Kingdom, and for costs incurred as part of the Company's start-up and relocation to a new, larger facility in New Albany, Ohio. The Company also completed the Aerospace segment footprint realignment which began in 2021. In connection with these actions, the Company recorded pre-tax realignment charges of approximately $1.5 million and $3.8 million during the three and six months ended June 30, 2022, respectively, of which approximately $1.4 million and $2.2 million, respectively, related to facility move and consolidation costs and approximately $0.1 million and $1.6 million, respectively, were for employee-related costs. For the three and six months ended June 30, 2022, approximately $1.4 million and $2.3 million, respectively, of these charges were included in cost of sales, and approximately $0.1 million and $1.5 million, respectively, of these charges were included in selling, general and administrative expenses in the accompanying consolidated statement of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Realignment Actions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six months ended June 30, 2021, the Company executed certain realignment actions in response to reductions in current and expected future end market demand. First, the Company closed its Packaging segment's Union City, California manufacturing facility, consolidating the operation into its Indianapolis, Indiana and Woodridge, Illinois facilities. The Company also realigned its Aerospace segment footprint, consolidating certain activities previously in its three leased Stanton, California facilities into its owned Tolleson, Arizona facility. In addition, the Company also reorganized and streamlined its corporate office legal and finance groups. The Company recorded pre-tax realignment charges of approximately $4.2 million and $8.2 million during the three and six months ended June 30, 2021, respectively. Of these costs, approximately $0.7 million and $2.2 million during the three and six months ended June 30, 2021, respectively, related to facility consolidations, and approximately $3.5 million and $6.0 million, respectively, were for employee separation costs. As of June 30, 2021, approximately $1.0 million of the employee separation costs had been paid. For the three and six months ended June 30, 2021, approximately $0.9 million and $2.7 million, respectively, of these charges were included in cost of sales, and approximately $3.3 million and $5.5 million, respectively, were included in selling, general and administrative expenses in the accompanying consolidated statement of income.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Acquisitions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28, 2022, the Company acquired Intertech Plastics LLC and related companies (collectively, "Intertech") for a purchase price of approximately $64.1 million, net of cash acquired. Intertech is a manufacturer of custom injection molded products used in medical applications, as well as products and assemblies for consumer and industrial applications. The fair value of assets acquired and liabilities assumed included approximately $32.4 million of goodwill, $13.5 million of intangible assets, $12.2 million of property and equipment and $6.0 million of net working capital. Intertech, which is reported in the Company's Packaging segment, has two manufacturing facilities located in the Denver, Colorado area and historically generated approximately $32 million in annual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17, 2021, the Company acquired Omega Plastics ("Omega"), which specializes in manufacturing custom components and devices for drug delivery, diagnostic and orthopedic medical applications, as well as components for industrial applications, for an aggregate amount of approximately $22.5 million, net of cash acquired. Omega, which is reported in the Company's Packaging segment, is located in Clinton Township, Michigan and historically generated approximately $18 million in annual revenue.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5, 2021, the Company acquired TFI Aerospace ("TFI"), a manufacturer and supplier of specialty fasteners used in a variety of applications, predominately for the aerospace end market, for an aggregate amount of approximately $11.8 million, with additional contingent consideration ranging from zero to approximately $12.0 million to be paid based on 2023 and 2024 earnings per the purchase agreement. The Company recorded $3.7 million as its best estimate of the additional contingent consideration, with such estimate based on Level 3 inputs under the fair value hierarchy, as defined. TFI, which is reported in the Company's Aerospace segment, is located near Toronto, Canada and historically generated approximately $6 million in annual revenue. As of June 30, 2022, the recorded contingent consideration liability was approximately $3.7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and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consists of the following components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 unrestricted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129,790</w:t>
            </w: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Cash - restricted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140,740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cash placed on deposit with a financial institution to be held as cash collateral for the Company's outstanding letters of credit.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2022 are summarized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315,490</w:t>
            </w: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Goodwill from acquisitions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32,370</w:t>
            </w: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Balance, June 30, 2022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70,060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339,210</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80"/>
              <w:spacing w:after="0"/>
              <w:rPr>
                <w:sz w:val="20"/>
                <w:szCs w:val="20"/>
                <w:color w:val="auto"/>
              </w:rPr>
            </w:pPr>
            <w:r>
              <w:rPr>
                <w:rFonts w:ascii="Arial" w:cs="Arial" w:eastAsia="Arial" w:hAnsi="Arial"/>
                <w:sz w:val="16"/>
                <w:szCs w:val="16"/>
                <w:b w:val="1"/>
                <w:bCs w:val="1"/>
                <w:color w:val="auto"/>
              </w:rPr>
              <w:t>As of June 30, 2022</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Arial" w:cs="Arial" w:eastAsia="Arial" w:hAnsi="Arial"/>
                <w:sz w:val="16"/>
                <w:szCs w:val="16"/>
                <w:b w:val="1"/>
                <w:bCs w:val="1"/>
                <w:color w:val="auto"/>
              </w:rPr>
              <w:t>As of December 31, 2021</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213"/>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131,330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(75,550)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124,310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(71,150)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Arial" w:cs="Arial" w:eastAsia="Arial" w:hAnsi="Arial"/>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261,370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254,500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(139,340)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(36,140)</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421,670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412,130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(215,400)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ind w:left="38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Customer relationships, included in selling, general and</w:t>
            </w:r>
          </w:p>
        </w:tc>
        <w:tc>
          <w:tcPr>
            <w:tcW w:w="9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3,940</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3"/>
              </w:rPr>
              <w:t>4,440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8,330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8,880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8. Inventories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9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80" w:type="dxa"/>
            <w:vAlign w:val="bottom"/>
            <w:gridSpan w:val="3"/>
          </w:tcPr>
          <w:p>
            <w:pPr>
              <w:spacing w:after="0"/>
              <w:rPr>
                <w:sz w:val="20"/>
                <w:szCs w:val="20"/>
                <w:color w:val="auto"/>
              </w:rPr>
            </w:pPr>
            <w:r>
              <w:rPr>
                <w:rFonts w:ascii="Arial" w:cs="Arial" w:eastAsia="Arial" w:hAnsi="Arial"/>
                <w:sz w:val="18"/>
                <w:szCs w:val="18"/>
                <w:color w:val="auto"/>
              </w:rPr>
              <w:t>Inventories consist of the following components (dollars in thousands):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19,630</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93,170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422,500</w:t>
            </w:r>
          </w:p>
        </w:tc>
      </w:tr>
      <w:tr>
        <w:trPr>
          <w:trHeight w:val="223"/>
        </w:trPr>
        <w:tc>
          <w:tcPr>
            <w:tcW w:w="8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535,300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269,670</w:t>
            </w: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265,630</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7,670</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Depreciation expense, included in selling, general and</w:t>
            </w:r>
          </w:p>
        </w:tc>
        <w:tc>
          <w:tcPr>
            <w:tcW w:w="9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7,980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10. Long-term Debt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8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60" w:type="dxa"/>
            <w:vAlign w:val="bottom"/>
            <w:gridSpan w:val="3"/>
          </w:tcPr>
          <w:p>
            <w:pPr>
              <w:spacing w:after="0"/>
              <w:rPr>
                <w:sz w:val="20"/>
                <w:szCs w:val="20"/>
                <w:color w:val="auto"/>
              </w:rPr>
            </w:pPr>
            <w:r>
              <w:rPr>
                <w:rFonts w:ascii="Arial" w:cs="Arial" w:eastAsia="Arial" w:hAnsi="Arial"/>
                <w:sz w:val="18"/>
                <w:szCs w:val="18"/>
                <w:color w:val="auto"/>
                <w:w w:val="92"/>
              </w:rPr>
              <w:t>The Company's long-term debt consists of the following (dollars in thousands):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4.125% Senior Notes due April 2029</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2029</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March 2021, the Company issued $400.0 million aggregate principal amount of 4.125% senior notes due April 15, 2029 ("2029 Senior Notes") at par value in a private placement under Rule 144A of the Securities Act of 1933, as amended ("Securities Act"). The Company used the proceeds from the 2029 Senior Notes offering to pay fees and expenses of approximately $5.1 million related to the offering and pay fees and expenses of $1.1 million related to amending its existing credit agreement. In connection with the issuance, during the second quarter of 2021, the Company completed the redemption of its outstanding 4.875% senior notes due October 15, 2025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approximately $3.0 million of unamortized debt issuance costs associated with the 2025 Senior Notes, were included in debt financing and related expenses in the accompanying consolidated statement of income.</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2029 Senior Notes accrue interest at a rate of 4.125% per annum, payable semi-annually in arrears on April 15 and October 15. The payment of principal and interest is jointly and severally guaranteed, on a senior unsecured basis, by certain subsidiaries of the Company. The 2029 Senior Notes are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senior indebtedness and effectively subordinated to all existing and future secured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of the value of the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April 15, 2024, the Company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2029 Senior Notes at a redemption price equal to 100% of the principal amount thereof, plus accrued and unpaid interest, if any, to the redemption date, plus a "make whole" premium. On or after April 15, 2024, the Company may redeem all or part of the 2029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32" w:lineRule="exact"/>
        <w:rPr>
          <w:sz w:val="20"/>
          <w:szCs w:val="20"/>
          <w:color w:val="auto"/>
        </w:rPr>
      </w:pPr>
    </w:p>
    <w:tbl>
      <w:tblPr>
        <w:tblLayout w:type="fixed"/>
        <w:tblInd w:w="2620" w:type="dxa"/>
        <w:tblCellMar>
          <w:top w:w="0" w:type="dxa"/>
          <w:left w:w="0" w:type="dxa"/>
          <w:bottom w:w="0" w:type="dxa"/>
          <w:right w:w="0" w:type="dxa"/>
        </w:tblCellMar>
      </w:tblPr>
      <w:tr>
        <w:trPr>
          <w:trHeight w:val="213"/>
        </w:trPr>
        <w:tc>
          <w:tcPr>
            <w:tcW w:w="388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40" w:type="dxa"/>
            <w:vAlign w:val="bottom"/>
          </w:tcPr>
          <w:p>
            <w:pPr>
              <w:jc w:val="right"/>
              <w:ind w:right="612"/>
              <w:spacing w:after="0"/>
              <w:rPr>
                <w:sz w:val="20"/>
                <w:szCs w:val="20"/>
                <w:color w:val="auto"/>
              </w:rPr>
            </w:pPr>
            <w:r>
              <w:rPr>
                <w:rFonts w:ascii="Arial" w:cs="Arial" w:eastAsia="Arial" w:hAnsi="Arial"/>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102.063 %</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2017, the Company issued $300.0 million aggregate principal amount of its 2025 Senior Notes at par value in a private placement under Rule 144A of the Securities Act. During the second quarter of 2021, and in connection with the issuance of the 2029 Senior Notes, the Company redeemed all of the outstanding 2025 Senior Notes, as permitted under the indenture, at a price of 102.438% of the principal amount.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2021, the Company amended its existing credit agreement ("Credit Agreement") in connection with the issuance of the 2029 Senior Notes to extend the maturity date. The Company incurred fees and expenses of approximately $1.1 million related to the amendment, all of which was capitalized as debt issuance costs. The Company also recorded approximately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2021, the Company amended the Credit Agreement to replace LIBOR with a benchmark interest rate determined based on the currency denomination of borrowings. Effective January 1, 2022, the amendment replaced the reference rate terms for U.S. dollar LIBOR borrowings to the Secured Overnight Financing Rate ("SOFR"), British pound sterling LIBOR borrowings to the Sterling Overnight Index Average ("SONIA") and Euro LIBOR borrowings to the Euro Short Term Rate ("ESTR"), all plus a spread of 1.50%. The interest rate spread is based upon the leverage ratio, as defined, as of the most recent determination date.</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Company's revolving credit facility allows for the issuance of letters of credit, not to exceed $40.0 million in aggregate. The Company places cash on deposit with a financial institution to be held as cash collateral for the Company's outstanding letters of credit; therefore, as of December 31, 2021, the Company had no letters of credit issued against its revolving credit facility. See Note 6, </w:t>
      </w:r>
      <w:r>
        <w:rPr>
          <w:rFonts w:ascii="Arial" w:cs="Arial" w:eastAsia="Arial" w:hAnsi="Arial"/>
          <w:sz w:val="17"/>
          <w:szCs w:val="17"/>
          <w:i w:val="1"/>
          <w:iCs w:val="1"/>
          <w:color w:val="auto"/>
        </w:rPr>
        <w:t>"Cash and Cash Equivalents,"</w:t>
      </w:r>
      <w:r>
        <w:rPr>
          <w:rFonts w:ascii="Arial" w:cs="Arial" w:eastAsia="Arial" w:hAnsi="Arial"/>
          <w:sz w:val="17"/>
          <w:szCs w:val="17"/>
          <w:color w:val="auto"/>
        </w:rPr>
        <w:t xml:space="preserve"> for further information on its cash deposit. At June 30, 2022, the Company had no amounts outstanding under its revolving credit facility and had $295.1 million potentially available after giving effect to approximately $4.9 million of letters of credit issued and outstanding. At December 31, 2021, the Company had no amounts outstanding under its revolving credit facility and had $300.0 million potentially available. The Company's borrowing capacity was not reduced by leverage restrictions contained in the Credit Agreement as of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June 30, 2022, the Company was in compliance with its financial covenants contained in the Credit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Revolving Loan Facility</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May 2021, the Company, through one of its non-U.S. subsidiaries, entered into a revolving loan facility with a borrowing capacity of $4 million. The facility is guaranteed by TriMas Corporation. There were no borrowings outstanding on this loan facility as of June 30, 2022 and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 2022</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460" w:type="dxa"/>
            <w:vAlign w:val="bottom"/>
          </w:tcPr>
          <w:p>
            <w:pPr>
              <w:spacing w:after="0"/>
              <w:rPr>
                <w:sz w:val="18"/>
                <w:szCs w:val="18"/>
                <w:color w:val="auto"/>
              </w:rPr>
            </w:pPr>
          </w:p>
        </w:tc>
        <w:tc>
          <w:tcPr>
            <w:tcW w:w="1320" w:type="dxa"/>
            <w:vAlign w:val="bottom"/>
          </w:tcPr>
          <w:p>
            <w:pPr>
              <w:jc w:val="right"/>
              <w:ind w:right="435"/>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18"/>
                <w:szCs w:val="18"/>
                <w:color w:val="auto"/>
              </w:rPr>
            </w:pPr>
          </w:p>
        </w:tc>
        <w:tc>
          <w:tcPr>
            <w:tcW w:w="1460" w:type="dxa"/>
            <w:vAlign w:val="bottom"/>
          </w:tcPr>
          <w:p>
            <w:pPr>
              <w:jc w:val="right"/>
              <w:ind w:right="435"/>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399,000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 At inception, the Company designates its cross-currency swaps as net investment hedges.</w:t>
      </w:r>
    </w:p>
    <w:p>
      <w:pPr>
        <w:spacing w:after="0" w:line="10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June 30, 2022, the Company had cross-currency swap agreements at notional amounts totaling $250.0 million, which declines to $25.0 million over various contract periods ending between October 15, 2023 and October 15, 2027. Under the terms of the agreements, the Company is to receive net interest payments at fixed rates ranging from approximately 0.8% to 2.9% of the notional amounts.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and December 31, 2021, the fair value carrying amount of the Company's derivatives designated as hedging instruments are recorded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Asset / (Liability) Derivatives</w:t>
            </w:r>
          </w:p>
        </w:tc>
        <w:tc>
          <w:tcPr>
            <w:tcW w:w="0" w:type="dxa"/>
            <w:vAlign w:val="bottom"/>
          </w:tcPr>
          <w:p>
            <w:pPr>
              <w:spacing w:after="0"/>
              <w:rPr>
                <w:sz w:val="1"/>
                <w:szCs w:val="1"/>
                <w:color w:val="auto"/>
              </w:rPr>
            </w:pPr>
          </w:p>
        </w:tc>
      </w:tr>
      <w:tr>
        <w:trPr>
          <w:trHeight w:val="158"/>
        </w:trPr>
        <w:tc>
          <w:tcPr>
            <w:tcW w:w="44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96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Balance Sheet Caption</w:t>
            </w:r>
          </w:p>
        </w:tc>
        <w:tc>
          <w:tcPr>
            <w:tcW w:w="240" w:type="dxa"/>
            <w:vAlign w:val="bottom"/>
          </w:tcPr>
          <w:p>
            <w:pPr>
              <w:spacing w:after="0"/>
              <w:rPr>
                <w:sz w:val="13"/>
                <w:szCs w:val="13"/>
                <w:color w:val="auto"/>
              </w:rPr>
            </w:pPr>
          </w:p>
        </w:tc>
        <w:tc>
          <w:tcPr>
            <w:tcW w:w="120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3"/>
                <w:szCs w:val="13"/>
                <w:color w:val="auto"/>
              </w:rPr>
            </w:pPr>
          </w:p>
        </w:tc>
        <w:tc>
          <w:tcPr>
            <w:tcW w:w="1180" w:type="dxa"/>
            <w:vAlign w:val="bottom"/>
          </w:tcPr>
          <w:p>
            <w:pPr>
              <w:jc w:val="center"/>
              <w:ind w:right="76"/>
              <w:spacing w:after="0" w:line="158"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460" w:type="dxa"/>
            <w:vAlign w:val="bottom"/>
            <w:gridSpan w:val="2"/>
            <w:vMerge w:val="continue"/>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7"/>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6"/>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Cross-currency swaps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income recognized in accumulated other comprehensive income (loss) ("AOCI") on derivative contracts designated as hedging instruments as of June 30, 2022 and December 31, 2021, and the amounts reclassified from AOCI into earnings for the three and six months ended June 30, 2022 and 2021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left="780"/>
        <w:spacing w:after="0"/>
        <w:rPr>
          <w:sz w:val="20"/>
          <w:szCs w:val="20"/>
          <w:color w:val="auto"/>
        </w:rPr>
      </w:pPr>
      <w:r>
        <w:rPr>
          <w:rFonts w:ascii="Arial" w:cs="Arial" w:eastAsia="Arial" w:hAnsi="Arial"/>
          <w:sz w:val="14"/>
          <w:szCs w:val="14"/>
          <w:b w:val="1"/>
          <w:bCs w:val="1"/>
          <w:color w:val="auto"/>
        </w:rPr>
        <w:t>Amount of Income Recognized</w:t>
      </w:r>
    </w:p>
    <w:p>
      <w:pPr>
        <w:jc w:val="center"/>
        <w:ind w:left="820"/>
        <w:spacing w:after="0" w:line="236" w:lineRule="auto"/>
        <w:rPr>
          <w:sz w:val="20"/>
          <w:szCs w:val="20"/>
          <w:color w:val="auto"/>
        </w:rPr>
      </w:pPr>
      <w:r>
        <w:rPr>
          <w:rFonts w:ascii="Arial" w:cs="Arial" w:eastAsia="Arial" w:hAnsi="Arial"/>
          <w:sz w:val="16"/>
          <w:szCs w:val="16"/>
          <w:b w:val="1"/>
          <w:bCs w:val="1"/>
          <w:color w:val="auto"/>
        </w:rPr>
        <w:t>in AOCI on Derivatives</w:t>
      </w:r>
    </w:p>
    <w:p>
      <w:pPr>
        <w:jc w:val="center"/>
        <w:ind w:left="820"/>
        <w:spacing w:after="0"/>
        <w:rPr>
          <w:sz w:val="20"/>
          <w:szCs w:val="20"/>
          <w:color w:val="auto"/>
        </w:rPr>
      </w:pPr>
      <w:r>
        <w:rPr>
          <w:rFonts w:ascii="Arial" w:cs="Arial" w:eastAsia="Arial" w:hAnsi="Arial"/>
          <w:sz w:val="15"/>
          <w:szCs w:val="15"/>
          <w:b w:val="1"/>
          <w:bCs w:val="1"/>
          <w:color w:val="auto"/>
        </w:rPr>
        <w:t>(Effective Portion, net of tax)</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Amount of Income (Loss) Reclassified</w:t>
      </w:r>
    </w:p>
    <w:p>
      <w:pPr>
        <w:jc w:val="center"/>
        <w:ind w:right="260"/>
        <w:spacing w:after="0"/>
        <w:rPr>
          <w:sz w:val="20"/>
          <w:szCs w:val="20"/>
          <w:color w:val="auto"/>
        </w:rPr>
      </w:pPr>
      <w:r>
        <w:rPr>
          <w:rFonts w:ascii="Arial" w:cs="Arial" w:eastAsia="Arial" w:hAnsi="Arial"/>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8890</wp:posOffset>
            </wp:positionV>
            <wp:extent cx="25114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1" w:lineRule="exact"/>
        <w:rPr>
          <w:sz w:val="20"/>
          <w:szCs w:val="20"/>
          <w:color w:val="auto"/>
        </w:rPr>
      </w:pPr>
    </w:p>
    <w:p>
      <w:pPr>
        <w:spacing w:after="0"/>
        <w:tabs>
          <w:tab w:leader="none" w:pos="210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Six months ended</w:t>
      </w:r>
    </w:p>
    <w:p>
      <w:pPr>
        <w:ind w:left="420"/>
        <w:spacing w:after="0"/>
        <w:tabs>
          <w:tab w:leader="none" w:pos="2420" w:val="left"/>
        </w:tabs>
        <w:rPr>
          <w:sz w:val="20"/>
          <w:szCs w:val="20"/>
          <w:color w:val="auto"/>
        </w:rPr>
      </w:pPr>
      <w:r>
        <w:rPr>
          <w:rFonts w:ascii="Arial" w:cs="Arial" w:eastAsia="Arial" w:hAnsi="Arial"/>
          <w:sz w:val="16"/>
          <w:szCs w:val="16"/>
          <w:b w:val="1"/>
          <w:bCs w:val="1"/>
          <w:color w:val="auto"/>
        </w:rPr>
        <w:t>June 30,</w:t>
      </w:r>
      <w:r>
        <w:rPr>
          <w:sz w:val="20"/>
          <w:szCs w:val="20"/>
          <w:color w:val="auto"/>
        </w:rPr>
        <w:tab/>
      </w:r>
      <w:r>
        <w:rPr>
          <w:rFonts w:ascii="Arial" w:cs="Arial" w:eastAsia="Arial" w:hAnsi="Arial"/>
          <w:sz w:val="14"/>
          <w:szCs w:val="14"/>
          <w:b w:val="1"/>
          <w:bCs w:val="1"/>
          <w:color w:val="auto"/>
        </w:rPr>
        <w:t>June 30,</w:t>
      </w:r>
    </w:p>
    <w:p>
      <w:pPr>
        <w:spacing w:after="0" w:line="8" w:lineRule="exact"/>
        <w:rPr>
          <w:sz w:val="20"/>
          <w:szCs w:val="20"/>
          <w:color w:val="auto"/>
        </w:rPr>
      </w:pPr>
    </w:p>
    <w:p>
      <w:pPr>
        <w:sectPr>
          <w:pgSz w:w="11900" w:h="16838" w:orient="portrait"/>
          <w:cols w:equalWidth="0" w:num="2">
            <w:col w:w="6820" w:space="720"/>
            <w:col w:w="37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9"/>
              </w:rPr>
              <w:t>As of</w:t>
            </w: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center"/>
              <w:ind w:right="77"/>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vMerge w:val="restart"/>
          </w:tcPr>
          <w:p>
            <w:pPr>
              <w:spacing w:after="0"/>
              <w:rPr>
                <w:sz w:val="12"/>
                <w:szCs w:val="12"/>
                <w:color w:val="auto"/>
              </w:rPr>
            </w:pPr>
          </w:p>
        </w:tc>
        <w:tc>
          <w:tcPr>
            <w:tcW w:w="198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1"/>
              </w:rPr>
              <w:t>Location of Income</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18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Reclassified from AOCI</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218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into Earnings (Effective</w:t>
            </w:r>
          </w:p>
        </w:tc>
        <w:tc>
          <w:tcPr>
            <w:tcW w:w="70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7"/>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21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Portion)</w:t>
            </w: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Cross-currency swaps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5,910</w:t>
            </w:r>
          </w:p>
        </w:tc>
        <w:tc>
          <w:tcPr>
            <w:tcW w:w="100" w:type="dxa"/>
            <w:vAlign w:val="bottom"/>
          </w:tcPr>
          <w:p>
            <w:pPr>
              <w:spacing w:after="0"/>
              <w:rPr>
                <w:sz w:val="20"/>
                <w:szCs w:val="20"/>
                <w:color w:val="auto"/>
              </w:rPr>
            </w:pPr>
          </w:p>
        </w:tc>
        <w:tc>
          <w:tcPr>
            <w:tcW w:w="2180" w:type="dxa"/>
            <w:vAlign w:val="bottom"/>
            <w:gridSpan w:val="3"/>
          </w:tcPr>
          <w:p>
            <w:pPr>
              <w:ind w:left="20"/>
              <w:spacing w:after="0"/>
              <w:rPr>
                <w:sz w:val="20"/>
                <w:szCs w:val="20"/>
                <w:color w:val="auto"/>
              </w:rPr>
            </w:pPr>
            <w:r>
              <w:rPr>
                <w:rFonts w:ascii="Arial" w:cs="Arial" w:eastAsia="Arial" w:hAnsi="Arial"/>
                <w:sz w:val="16"/>
                <w:szCs w:val="16"/>
                <w:color w:val="auto"/>
                <w:w w:val="96"/>
              </w:rPr>
              <w:t xml:space="preserve">Other income (expense), net  </w:t>
            </w:r>
            <w:r>
              <w:rPr>
                <w:rFonts w:ascii="Arial" w:cs="Arial" w:eastAsia="Arial" w:hAnsi="Arial"/>
                <w:sz w:val="17"/>
                <w:szCs w:val="17"/>
                <w:color w:val="auto"/>
                <w:w w:val="96"/>
              </w:rPr>
              <w:t>$</w:t>
            </w: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2022, the Company was party to foreign currency exchange forward contracts to economically hedge changes in foreign currency rates with notional amounts of approximately $130.4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December 2022. These contracts are not designated as hedge instruments; therefore, gains and losses on these contracts are recognized each period directly into the consolidated statement of income.</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income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9"/>
          </w:tcPr>
          <w:p>
            <w:pPr>
              <w:ind w:left="560"/>
              <w:spacing w:after="0"/>
              <w:rPr>
                <w:sz w:val="20"/>
                <w:szCs w:val="20"/>
                <w:color w:val="auto"/>
              </w:rPr>
            </w:pPr>
            <w:r>
              <w:rPr>
                <w:rFonts w:ascii="Arial" w:cs="Arial" w:eastAsia="Arial" w:hAnsi="Arial"/>
                <w:sz w:val="16"/>
                <w:szCs w:val="16"/>
                <w:b w:val="1"/>
                <w:bCs w:val="1"/>
                <w:color w:val="auto"/>
                <w:w w:val="92"/>
              </w:rPr>
              <w:t>Amount of Income (Loss) Recognized in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Earnings on Derivatives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5"/>
          </w:tcPr>
          <w:p>
            <w:pPr>
              <w:jc w:val="right"/>
              <w:ind w:right="460"/>
              <w:spacing w:after="0" w:line="158" w:lineRule="exact"/>
              <w:rPr>
                <w:sz w:val="20"/>
                <w:szCs w:val="20"/>
                <w:color w:val="auto"/>
              </w:rPr>
            </w:pPr>
            <w:r>
              <w:rPr>
                <w:rFonts w:ascii="Arial" w:cs="Arial" w:eastAsia="Arial" w:hAnsi="Arial"/>
                <w:sz w:val="16"/>
                <w:szCs w:val="16"/>
                <w:b w:val="1"/>
                <w:bCs w:val="1"/>
                <w:color w:val="auto"/>
                <w:w w:val="96"/>
              </w:rPr>
              <w:t>Three months ended</w:t>
            </w:r>
          </w:p>
        </w:tc>
        <w:tc>
          <w:tcPr>
            <w:tcW w:w="240" w:type="dxa"/>
            <w:vAlign w:val="bottom"/>
          </w:tcPr>
          <w:p>
            <w:pPr>
              <w:spacing w:after="0"/>
              <w:rPr>
                <w:sz w:val="13"/>
                <w:szCs w:val="13"/>
                <w:color w:val="auto"/>
              </w:rPr>
            </w:pPr>
          </w:p>
        </w:tc>
        <w:tc>
          <w:tcPr>
            <w:tcW w:w="1900" w:type="dxa"/>
            <w:vAlign w:val="bottom"/>
            <w:gridSpan w:val="4"/>
          </w:tcPr>
          <w:p>
            <w:pPr>
              <w:jc w:val="center"/>
              <w:ind w:right="155"/>
              <w:spacing w:after="0" w:line="158" w:lineRule="exact"/>
              <w:rPr>
                <w:sz w:val="20"/>
                <w:szCs w:val="20"/>
                <w:color w:val="auto"/>
              </w:rPr>
            </w:pPr>
            <w:r>
              <w:rPr>
                <w:rFonts w:ascii="Arial" w:cs="Arial" w:eastAsia="Arial" w:hAnsi="Arial"/>
                <w:sz w:val="16"/>
                <w:szCs w:val="16"/>
                <w:b w:val="1"/>
                <w:bCs w:val="1"/>
                <w:color w:val="auto"/>
                <w:w w:val="88"/>
              </w:rPr>
              <w:t>Six months ended</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w w:val="84"/>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6"/>
                <w:szCs w:val="16"/>
                <w:b w:val="1"/>
                <w:bCs w:val="1"/>
                <w:color w:val="auto"/>
                <w:w w:val="90"/>
              </w:rPr>
              <w:t>June 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68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1"/>
              </w:rPr>
              <w:t>Location of Income (Loss)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6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0"/>
              </w:rPr>
              <w:t>Recognized in</w:t>
            </w:r>
          </w:p>
        </w:tc>
        <w:tc>
          <w:tcPr>
            <w:tcW w:w="220" w:type="dxa"/>
            <w:vAlign w:val="bottom"/>
          </w:tcPr>
          <w:p>
            <w:pPr>
              <w:spacing w:after="0"/>
              <w:rPr>
                <w:sz w:val="14"/>
                <w:szCs w:val="14"/>
                <w:color w:val="auto"/>
              </w:rPr>
            </w:pPr>
          </w:p>
        </w:tc>
        <w:tc>
          <w:tcPr>
            <w:tcW w:w="780" w:type="dxa"/>
            <w:vAlign w:val="bottom"/>
            <w:vMerge w:val="restart"/>
          </w:tcPr>
          <w:p>
            <w:pPr>
              <w:jc w:val="right"/>
              <w:ind w:right="257"/>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56"/>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57"/>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Earnings on Derivatives</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6"/>
                <w:szCs w:val="16"/>
                <w:color w:val="auto"/>
              </w:rPr>
              <w:t>Foreign exchange contracts</w:t>
            </w:r>
          </w:p>
        </w:tc>
        <w:tc>
          <w:tcPr>
            <w:tcW w:w="2680" w:type="dxa"/>
            <w:vAlign w:val="bottom"/>
            <w:gridSpan w:val="2"/>
          </w:tcPr>
          <w:p>
            <w:pPr>
              <w:ind w:left="1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June 30, 2022 and December 31, 2021 are shown below (dollars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Quoted Prices in</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3"/>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26"/>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2,690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variable and other lease costs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are as follows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14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22"/>
                <w:szCs w:val="22"/>
                <w:color w:val="auto"/>
              </w:rPr>
            </w:pPr>
          </w:p>
        </w:tc>
        <w:tc>
          <w:tcPr>
            <w:tcW w:w="1860" w:type="dxa"/>
            <w:vAlign w:val="bottom"/>
          </w:tcPr>
          <w:p>
            <w:pPr>
              <w:jc w:val="right"/>
              <w:ind w:right="291"/>
              <w:spacing w:after="0"/>
              <w:rPr>
                <w:sz w:val="20"/>
                <w:szCs w:val="20"/>
                <w:color w:val="auto"/>
              </w:rPr>
            </w:pPr>
            <w:r>
              <w:rPr>
                <w:rFonts w:ascii="Arial" w:cs="Arial" w:eastAsia="Arial" w:hAnsi="Arial"/>
                <w:sz w:val="16"/>
                <w:szCs w:val="16"/>
                <w:b w:val="1"/>
                <w:bCs w:val="1"/>
                <w:color w:val="auto"/>
                <w:w w:val="95"/>
              </w:rPr>
              <w:t>Operating Leases</w:t>
            </w:r>
            <w:r>
              <w:rPr>
                <w:rFonts w:ascii="Arial" w:cs="Arial" w:eastAsia="Arial" w:hAnsi="Arial"/>
                <w:sz w:val="23"/>
                <w:szCs w:val="23"/>
                <w:color w:val="auto"/>
                <w:w w:val="95"/>
                <w:vertAlign w:val="superscript"/>
              </w:rPr>
              <w:t>(a)</w:t>
            </w:r>
          </w:p>
        </w:tc>
      </w:tr>
      <w:tr>
        <w:trPr>
          <w:trHeight w:val="223"/>
        </w:trPr>
        <w:tc>
          <w:tcPr>
            <w:tcW w:w="9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 (excluding the six months ended June 30, 2022)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9,720</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7,590</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r>
      <w:tr>
        <w:trPr>
          <w:trHeight w:val="229"/>
        </w:trPr>
        <w:tc>
          <w:tcPr>
            <w:tcW w:w="9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20,680</w:t>
            </w:r>
          </w:p>
        </w:tc>
      </w:tr>
      <w:tr>
        <w:trPr>
          <w:trHeight w:val="223"/>
        </w:trPr>
        <w:tc>
          <w:tcPr>
            <w:tcW w:w="9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59,480</w:t>
            </w:r>
          </w:p>
        </w:tc>
      </w:tr>
      <w:tr>
        <w:trPr>
          <w:trHeight w:val="223"/>
        </w:trPr>
        <w:tc>
          <w:tcPr>
            <w:tcW w:w="9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(7,140)</w:t>
            </w:r>
          </w:p>
        </w:tc>
      </w:tr>
      <w:tr>
        <w:trPr>
          <w:trHeight w:val="248"/>
        </w:trPr>
        <w:tc>
          <w:tcPr>
            <w:tcW w:w="91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21" w:lineRule="exact"/>
        <w:rPr>
          <w:sz w:val="20"/>
          <w:szCs w:val="20"/>
          <w:color w:val="auto"/>
        </w:rPr>
      </w:pPr>
    </w:p>
    <w:p>
      <w:pPr>
        <w:ind w:left="340" w:hanging="332"/>
        <w:spacing w:after="0" w:line="273" w:lineRule="auto"/>
        <w:tabs>
          <w:tab w:leader="none" w:pos="304" w:val="left"/>
        </w:tabs>
        <w:numPr>
          <w:ilvl w:val="0"/>
          <w:numId w:val="4"/>
        </w:numPr>
        <w:rPr>
          <w:rFonts w:ascii="Arial" w:cs="Arial" w:eastAsia="Arial" w:hAnsi="Arial"/>
          <w:sz w:val="9"/>
          <w:szCs w:val="9"/>
          <w:color w:val="auto"/>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remaining lease term of the Company's operating leases as of June 30, 2022 is approximately 7.1 years. The weighted-average discount rate as of June 30, 2022 is approximately 3.7%.</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paid for amounts included in the measurement of operating lease liabilities was approximately $4.8 million and $4.2 million during the six months ended June 30, 2022 and 2021, respectively, and is included in cash flows provided by operating activities in the accompanying consolidated statement of cash flows.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Right-of-use assets obtained in exchange for lease liabilities were approximately $4.8 million and $6.1 million during the six months ended June 30, 2022 and 2021,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long-term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components (dollars in thousands):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7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asbestos-related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2022, the Company was a party to 425 pending cases involving an aggregate of 4,796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Claims</w:t>
            </w:r>
          </w:p>
        </w:tc>
        <w:tc>
          <w:tcPr>
            <w:tcW w:w="12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4"/>
              </w:rPr>
              <w:t>dismissed</w:t>
            </w:r>
          </w:p>
        </w:tc>
        <w:tc>
          <w:tcPr>
            <w:tcW w:w="1260" w:type="dxa"/>
            <w:vAlign w:val="bottom"/>
            <w:gridSpan w:val="2"/>
          </w:tcPr>
          <w:p>
            <w:pPr>
              <w:ind w:left="360"/>
              <w:spacing w:after="0" w:line="162" w:lineRule="exact"/>
              <w:rPr>
                <w:sz w:val="20"/>
                <w:szCs w:val="20"/>
                <w:color w:val="auto"/>
              </w:rPr>
            </w:pPr>
            <w:r>
              <w:rPr>
                <w:rFonts w:ascii="Arial" w:cs="Arial" w:eastAsia="Arial" w:hAnsi="Arial"/>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during</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during</w:t>
            </w:r>
          </w:p>
        </w:tc>
        <w:tc>
          <w:tcPr>
            <w:tcW w:w="1260" w:type="dxa"/>
            <w:vAlign w:val="bottom"/>
            <w:gridSpan w:val="2"/>
          </w:tcPr>
          <w:p>
            <w:pPr>
              <w:ind w:left="340"/>
              <w:spacing w:after="0" w:line="162" w:lineRule="exact"/>
              <w:rPr>
                <w:sz w:val="20"/>
                <w:szCs w:val="20"/>
                <w:color w:val="auto"/>
              </w:rPr>
            </w:pPr>
            <w:r>
              <w:rPr>
                <w:rFonts w:ascii="Arial" w:cs="Arial" w:eastAsia="Arial" w:hAnsi="Arial"/>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87"/>
              </w:rPr>
              <w:t>costs during</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6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period</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c>
          <w:tcPr>
            <w:tcW w:w="0" w:type="dxa"/>
            <w:vAlign w:val="bottom"/>
          </w:tcPr>
          <w:p>
            <w:pPr>
              <w:spacing w:after="0"/>
              <w:rPr>
                <w:sz w:val="1"/>
                <w:szCs w:val="1"/>
                <w:color w:val="auto"/>
              </w:rPr>
            </w:pPr>
          </w:p>
        </w:tc>
      </w:tr>
      <w:tr>
        <w:trPr>
          <w:trHeight w:val="158"/>
        </w:trPr>
        <w:tc>
          <w:tcPr>
            <w:tcW w:w="220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8"/>
              </w:rPr>
              <w:t>Six Months Ended June 30,</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4,796</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14,050</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1,210,000</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Fiscal Year Ended</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8"/>
                <w:szCs w:val="18"/>
                <w:color w:val="auto"/>
              </w:rPr>
              <w:t>4,754</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16,819</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4,796 claims pending at June 30, 2022, 45 set forth specific amounts of damages (other than those stating the statutory minimum or maximum). At June 30, 2022, of the 45 claims that set forth specific amounts, there were zero claims seeking more than $5 million for punitive damages. Below is a breakdown of the compensatory damages sought for those claims seeking specific amounts: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$0.6 to $5.0</w:t>
            </w:r>
          </w:p>
        </w:tc>
        <w:tc>
          <w:tcPr>
            <w:tcW w:w="1320" w:type="dxa"/>
            <w:vAlign w:val="bottom"/>
          </w:tcPr>
          <w:p>
            <w:pPr>
              <w:jc w:val="right"/>
              <w:ind w:right="375"/>
              <w:spacing w:after="0"/>
              <w:rPr>
                <w:sz w:val="20"/>
                <w:szCs w:val="20"/>
                <w:color w:val="auto"/>
              </w:rPr>
            </w:pPr>
            <w:r>
              <w:rPr>
                <w:rFonts w:ascii="Arial" w:cs="Arial" w:eastAsia="Arial" w:hAnsi="Arial"/>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42</w:t>
            </w: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Relatively few claims have reached the discovery stage and even fewer claims have gone past the discovery stage. Total settlement costs (exclusive of defense costs) for all such cases, some of which were filed over 30 years ago, have been approximately $10.6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0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fourth quarter of 2021, the Company commissioned its actuary to update the study, based on data as of September 30, 2021, which yielded a range of possible future liability of $28.2 million to $38.6 million. The Company did not believe any amount within the range of potential outcomes represented a better estimate than another given the many factors and assumptions inherent in the projections, and therefore recorded a non-cash, pre-tax charge of $1.5 million to increase the liability estimate to $28.2 million, at the low-end of the range. As of June 30, 2022, the Company’s total asbestos-related liability is $26.3 million, and is included in accrued liabilities and other long-term liabilities, respectively, in the accompanying consolidated balance sheet.</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color w:val="auto"/>
        </w:rPr>
        <w:t xml:space="preserve">Packaging – </w:t>
      </w:r>
      <w:r>
        <w:rPr>
          <w:rFonts w:ascii="Arial" w:cs="Arial" w:eastAsia="Arial" w:hAnsi="Arial"/>
          <w:sz w:val="16"/>
          <w:szCs w:val="16"/>
          <w:color w:val="auto"/>
        </w:rPr>
        <w:t>TriMas' Packaging segment consists primarily of the Rieke</w:t>
      </w:r>
      <w:r>
        <w:rPr>
          <w:rFonts w:ascii="Arial" w:cs="Arial" w:eastAsia="Arial" w:hAnsi="Arial"/>
          <w:sz w:val="20"/>
          <w:szCs w:val="20"/>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brand, as well as more recently acquired brands which include the Affaba &amp;</w:t>
      </w:r>
      <w:r>
        <w:rPr>
          <w:rFonts w:ascii="Arial" w:cs="Arial" w:eastAsia="Arial" w:hAnsi="Arial"/>
          <w:sz w:val="16"/>
          <w:szCs w:val="16"/>
          <w:b w:val="1"/>
          <w:bCs w:val="1"/>
          <w:color w:val="auto"/>
        </w:rPr>
        <w:t xml:space="preserve"> </w:t>
      </w:r>
      <w:r>
        <w:rPr>
          <w:rFonts w:ascii="Arial" w:cs="Arial" w:eastAsia="Arial" w:hAnsi="Arial"/>
          <w:sz w:val="16"/>
          <w:szCs w:val="16"/>
          <w:color w:val="auto"/>
        </w:rPr>
        <w:t>Ferrari</w:t>
      </w:r>
      <w:r>
        <w:rPr>
          <w:rFonts w:ascii="Arial" w:cs="Arial" w:eastAsia="Arial" w:hAnsi="Arial"/>
          <w:sz w:val="20"/>
          <w:szCs w:val="20"/>
          <w:color w:val="auto"/>
          <w:vertAlign w:val="superscript"/>
        </w:rPr>
        <w:t>™</w:t>
      </w:r>
      <w:r>
        <w:rPr>
          <w:rFonts w:ascii="Arial" w:cs="Arial" w:eastAsia="Arial" w:hAnsi="Arial"/>
          <w:sz w:val="16"/>
          <w:szCs w:val="16"/>
          <w:color w:val="auto"/>
        </w:rPr>
        <w:t>, Taplast</w:t>
      </w:r>
      <w:r>
        <w:rPr>
          <w:rFonts w:ascii="Arial" w:cs="Arial" w:eastAsia="Arial" w:hAnsi="Arial"/>
          <w:sz w:val="20"/>
          <w:szCs w:val="20"/>
          <w:color w:val="auto"/>
          <w:vertAlign w:val="superscript"/>
        </w:rPr>
        <w:t>™</w:t>
      </w:r>
      <w:r>
        <w:rPr>
          <w:rFonts w:ascii="Arial" w:cs="Arial" w:eastAsia="Arial" w:hAnsi="Arial"/>
          <w:sz w:val="16"/>
          <w:szCs w:val="16"/>
          <w:color w:val="auto"/>
        </w:rPr>
        <w:t>, Rapak</w:t>
      </w:r>
      <w:r>
        <w:rPr>
          <w:rFonts w:ascii="Arial" w:cs="Arial" w:eastAsia="Arial" w:hAnsi="Arial"/>
          <w:sz w:val="20"/>
          <w:szCs w:val="20"/>
          <w:color w:val="auto"/>
          <w:vertAlign w:val="superscript"/>
        </w:rPr>
        <w:t>®</w:t>
      </w:r>
      <w:r>
        <w:rPr>
          <w:rFonts w:ascii="Arial" w:cs="Arial" w:eastAsia="Arial" w:hAnsi="Arial"/>
          <w:sz w:val="16"/>
          <w:szCs w:val="16"/>
          <w:color w:val="auto"/>
        </w:rPr>
        <w:t>, Plastic Srl, Intertech and Omega brands. TriMas Packaging develops and manufactures a broad array of dispensing products (such as foaming pumps, lotion and hand soaps and sanitizer pumps, beverage dispensers, perfume sprayers, nasal sprayers and trigger sprayers), polymeric and steel caps and closures (such as food lids, flip-top closures, child resistance caps, beverage closures,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17"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Aerospace – </w:t>
      </w:r>
      <w:r>
        <w:rPr>
          <w:rFonts w:ascii="Arial" w:cs="Arial" w:eastAsia="Arial" w:hAnsi="Arial"/>
          <w:sz w:val="16"/>
          <w:szCs w:val="16"/>
          <w:color w:val="auto"/>
        </w:rPr>
        <w:t>TriMas' Aerospace segment, which includes the Monogram Aerospace Fasteners</w:t>
      </w:r>
      <w:r>
        <w:rPr>
          <w:rFonts w:ascii="Arial" w:cs="Arial" w:eastAsia="Arial" w:hAnsi="Arial"/>
          <w:sz w:val="20"/>
          <w:szCs w:val="20"/>
          <w:color w:val="auto"/>
          <w:vertAlign w:val="superscript"/>
        </w:rPr>
        <w:t>™</w:t>
      </w:r>
      <w:r>
        <w:rPr>
          <w:rFonts w:ascii="Arial" w:cs="Arial" w:eastAsia="Arial" w:hAnsi="Arial"/>
          <w:sz w:val="16"/>
          <w:szCs w:val="16"/>
          <w:color w:val="auto"/>
        </w:rPr>
        <w:t>, Allfast Fastening Systems</w:t>
      </w:r>
      <w:r>
        <w:rPr>
          <w:rFonts w:ascii="Arial" w:cs="Arial" w:eastAsia="Arial" w:hAnsi="Arial"/>
          <w:sz w:val="20"/>
          <w:szCs w:val="20"/>
          <w:color w:val="auto"/>
          <w:vertAlign w:val="superscript"/>
        </w:rPr>
        <w:t>®</w:t>
      </w:r>
      <w:r>
        <w:rPr>
          <w:rFonts w:ascii="Arial" w:cs="Arial" w:eastAsia="Arial" w:hAnsi="Arial"/>
          <w:sz w:val="16"/>
          <w:szCs w:val="16"/>
          <w:color w:val="auto"/>
        </w:rPr>
        <w:t>, Mac Fasteners</w:t>
      </w:r>
      <w:r>
        <w:rPr>
          <w:rFonts w:ascii="Arial" w:cs="Arial" w:eastAsia="Arial" w:hAnsi="Arial"/>
          <w:sz w:val="20"/>
          <w:szCs w:val="20"/>
          <w:color w:val="auto"/>
          <w:vertAlign w:val="superscript"/>
        </w:rPr>
        <w:t>™</w:t>
      </w:r>
      <w:r>
        <w:rPr>
          <w:rFonts w:ascii="Arial" w:cs="Arial" w:eastAsia="Arial" w:hAnsi="Arial"/>
          <w:sz w:val="16"/>
          <w:szCs w:val="16"/>
          <w:color w:val="auto"/>
        </w:rPr>
        <w:t>, TFI</w:t>
      </w:r>
      <w:r>
        <w:rPr>
          <w:rFonts w:ascii="Arial" w:cs="Arial" w:eastAsia="Arial" w:hAnsi="Arial"/>
          <w:sz w:val="16"/>
          <w:szCs w:val="16"/>
          <w:b w:val="1"/>
          <w:bCs w:val="1"/>
          <w:color w:val="auto"/>
        </w:rPr>
        <w:t xml:space="preserve"> </w:t>
      </w:r>
      <w:r>
        <w:rPr>
          <w:rFonts w:ascii="Arial" w:cs="Arial" w:eastAsia="Arial" w:hAnsi="Arial"/>
          <w:sz w:val="16"/>
          <w:szCs w:val="16"/>
          <w:color w:val="auto"/>
        </w:rPr>
        <w:t>Aerospace, RSA Engineered Products and Martinic Engineering brands, develops, qualifies and manufactures highly-engineered, precision fasteners, tubular products and assemblies for fluid conveyance, and machined products and assemblies to serve the aerospace and defense market.</w:t>
      </w:r>
    </w:p>
    <w:p>
      <w:pPr>
        <w:spacing w:after="0" w:line="8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TriMas' Specialty Products segment, which includes the Norris Cylinder</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wellhead engines and compression systems for use within industrial markets.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148,350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139,630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286,840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271,720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83,240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425,720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49,150</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six months ended June 30, 2022:</w:t>
      </w:r>
    </w:p>
    <w:p>
      <w:pPr>
        <w:spacing w:after="0" w:line="144"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195,398 RSUs to certain employees, which are subject only to a service condition and vest ratably over three years so long as the employee remains with the Company;</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22,554 RSUs to its non-employee independent directors, which fully vest one year from date of grant so long as the director and/or Company does not terminate the director's service prior to the vesting date;</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337 RSUs related to director fee deferrals as certain of the Company's directors elected to defer all or a portion of their directors fees and to receive the amount in Company common stock at a future date;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126 RSUs to certain employees related to dividend equivalent rights on existing equity awards.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2022, the Company also awarded 85,156 performance-based RSUs to certain Company key employees which vest three years from the grant date as long as the employee remains with the Company. These awards are earned 50% based upon the Company's achievement of an earnings per share compound annual growth rate ("EPS CAGR") metric over a period beginning January 1, 2022 and ending December 31, 2024.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1.88% and annualized volatility of 36.5%. Depending on the performance achieved for these two metrics, the amount of shares earned, if any, can vary for each metric from 0% of the target award to a maximum of 200% of the target award. For similar performance-based RSUs awarded in 2019, the Company attained 65.4% of the target on a weighted average basis, resulting in a decrease of 24,975 shares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June 30, 2022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4"/>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Grant Date Fair</w:t>
            </w:r>
          </w:p>
        </w:tc>
        <w:tc>
          <w:tcPr>
            <w:tcW w:w="17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700" w:type="dxa"/>
            <w:vAlign w:val="bottom"/>
            <w:gridSpan w:val="2"/>
          </w:tcPr>
          <w:p>
            <w:pPr>
              <w:ind w:left="600"/>
              <w:spacing w:after="0"/>
              <w:rPr>
                <w:sz w:val="20"/>
                <w:szCs w:val="20"/>
                <w:color w:val="auto"/>
              </w:rPr>
            </w:pPr>
            <w:r>
              <w:rPr>
                <w:rFonts w:ascii="Arial" w:cs="Arial" w:eastAsia="Arial" w:hAnsi="Arial"/>
                <w:sz w:val="16"/>
                <w:szCs w:val="16"/>
                <w:b w:val="1"/>
                <w:bCs w:val="1"/>
                <w:color w:val="auto"/>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673,732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303,571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33.19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(217,366)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720,511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19,950,950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there was approximately $10.7 million of unrecognized compensation cost related to unvested RSUs that is expected to be recorded over a weighted average period of 1.8 years.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stock-based compensation expense related to RSUs of approximately $2.5 million and $3.2 million during the three months ended June 30, 2022 and 2021, respectively, and approximately $5.3 million and $5.7 million during the six months ended June 30, 2022 and 2021, respectively. The stock-based compensation expense is included in selling, general and administrative expenses in the accompanying consolidated statement of income.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RSUs. The following table summarizes the dilutive effect of RSUs and options to purchase common stock for the six months ended June 30,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9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Three months ended</w:t>
            </w:r>
          </w:p>
        </w:tc>
        <w:tc>
          <w:tcPr>
            <w:tcW w:w="2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r>
      <w:tr>
        <w:trPr>
          <w:trHeight w:val="213"/>
        </w:trPr>
        <w:tc>
          <w:tcPr>
            <w:tcW w:w="556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914"/>
              <w:spacing w:after="0"/>
              <w:rPr>
                <w:sz w:val="20"/>
                <w:szCs w:val="20"/>
                <w:color w:val="auto"/>
              </w:rPr>
            </w:pPr>
            <w:r>
              <w:rPr>
                <w:rFonts w:ascii="Arial" w:cs="Arial" w:eastAsia="Arial" w:hAnsi="Arial"/>
                <w:sz w:val="16"/>
                <w:szCs w:val="16"/>
                <w:b w:val="1"/>
                <w:bCs w:val="1"/>
                <w:color w:val="auto"/>
                <w:w w:val="87"/>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3"/>
          </w:tcPr>
          <w:p>
            <w:pPr>
              <w:jc w:val="center"/>
              <w:ind w:left="91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Borders>
              <w:bottom w:val="single" w:sz="8" w:color="auto"/>
            </w:tcBorders>
          </w:tcPr>
          <w:p>
            <w:pPr>
              <w:spacing w:after="0"/>
              <w:rPr>
                <w:sz w:val="18"/>
                <w:szCs w:val="18"/>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42,297,525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43,110,191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42,548,366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43,147,599</w:t>
            </w: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183,674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198,165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299,425</w:t>
            </w: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24,592</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Weighted average common shares—diluted</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42,481,199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43,308,356</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42,795,446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43,471,616</w:t>
            </w: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Company announced its Board of Directors had authorized the Company to increase the purchase of its common stock up to $250 million in the aggregate. This announcement represented the most recent update from the initial authorization, approved in November 2015, of up to $50 million of purchases in the aggregate of its common stock. In the three and six months ended June 30, 2022, the Company purchased 645,984 and 927,987 shares of its outstanding common stock for approximately $18.8 million and $27.9 million, respectively. During the three and six months ended June 30, 2021, the Company purchased 358,047 and 440,218 shares of its outstanding common stock for approximately $11.6 million and $14.2 million, respectively. As of June 30, 2022, the Company has approximately $114.7 million remaining under the repurchase authorization.</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Holders of common stock are entitled to dividends at the discretion of the Company's Board of Directors. In 2021, the Company's Board of Directors declared the first dividend since the Company's initial public offering in 2007. During the three months ended June 30, 2022, the Company's cash dividends declared were $0.04 per share of common stock, and total dividends declared and paid on common shares in the three and six months ended June 30, 2022 were approximately $1.7 million and $3.5 million, respectively. No dividends were declared or paid during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Defined Benefit Plans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Pension Plans</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58"/>
        </w:trPr>
        <w:tc>
          <w:tcPr>
            <w:tcW w:w="5620" w:type="dxa"/>
            <w:vAlign w:val="bottom"/>
          </w:tcPr>
          <w:p>
            <w:pPr>
              <w:spacing w:after="0"/>
              <w:rPr>
                <w:sz w:val="13"/>
                <w:szCs w:val="13"/>
                <w:color w:val="auto"/>
              </w:rPr>
            </w:pPr>
          </w:p>
        </w:tc>
        <w:tc>
          <w:tcPr>
            <w:tcW w:w="2300" w:type="dxa"/>
            <w:vAlign w:val="bottom"/>
            <w:gridSpan w:val="4"/>
          </w:tcPr>
          <w:p>
            <w:pPr>
              <w:jc w:val="right"/>
              <w:ind w:right="113"/>
              <w:spacing w:after="0" w:line="158" w:lineRule="exact"/>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00" w:type="dxa"/>
            <w:vAlign w:val="bottom"/>
            <w:gridSpan w:val="4"/>
          </w:tcPr>
          <w:p>
            <w:pPr>
              <w:jc w:val="right"/>
              <w:ind w:right="671"/>
              <w:spacing w:after="0" w:line="158" w:lineRule="exact"/>
              <w:rPr>
                <w:sz w:val="20"/>
                <w:szCs w:val="20"/>
                <w:color w:val="auto"/>
              </w:rPr>
            </w:pPr>
            <w:r>
              <w:rPr>
                <w:rFonts w:ascii="Arial" w:cs="Arial" w:eastAsia="Arial" w:hAnsi="Arial"/>
                <w:sz w:val="16"/>
                <w:szCs w:val="16"/>
                <w:b w:val="1"/>
                <w:bCs w:val="1"/>
                <w:color w:val="auto"/>
              </w:rPr>
              <w:t>Six months ended</w:t>
            </w:r>
          </w:p>
        </w:tc>
      </w:tr>
      <w:tr>
        <w:trPr>
          <w:trHeight w:val="213"/>
        </w:trPr>
        <w:tc>
          <w:tcPr>
            <w:tcW w:w="56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costs</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3"/>
              </w:rPr>
              <w:t>360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Interest costs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center"/>
              <w:ind w:left="373"/>
              <w:spacing w:after="0"/>
              <w:rPr>
                <w:sz w:val="20"/>
                <w:szCs w:val="20"/>
                <w:color w:val="auto"/>
              </w:rPr>
            </w:pPr>
            <w:r>
              <w:rPr>
                <w:rFonts w:ascii="Arial" w:cs="Arial" w:eastAsia="Arial" w:hAnsi="Arial"/>
                <w:sz w:val="18"/>
                <w:szCs w:val="18"/>
                <w:color w:val="auto"/>
                <w:w w:val="93"/>
              </w:rPr>
              <w:t>460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0"/>
              </w:rPr>
              <w:t>(830)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Settlement/curtailment loss</w:t>
            </w:r>
          </w:p>
        </w:tc>
        <w:tc>
          <w:tcPr>
            <w:tcW w:w="8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center"/>
              <w:ind w:left="373"/>
              <w:spacing w:after="0"/>
              <w:rPr>
                <w:sz w:val="20"/>
                <w:szCs w:val="20"/>
                <w:color w:val="auto"/>
              </w:rPr>
            </w:pPr>
            <w:r>
              <w:rPr>
                <w:rFonts w:ascii="Arial" w:cs="Arial" w:eastAsia="Arial" w:hAnsi="Arial"/>
                <w:sz w:val="18"/>
                <w:szCs w:val="18"/>
                <w:color w:val="auto"/>
                <w:w w:val="93"/>
              </w:rPr>
              <w:t>150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93"/>
              </w:rPr>
              <w:t>290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86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373"/>
              <w:spacing w:after="0"/>
              <w:rPr>
                <w:sz w:val="20"/>
                <w:szCs w:val="20"/>
                <w:color w:val="auto"/>
              </w:rPr>
            </w:pPr>
            <w:r>
              <w:rPr>
                <w:rFonts w:ascii="Arial" w:cs="Arial" w:eastAsia="Arial" w:hAnsi="Arial"/>
                <w:sz w:val="18"/>
                <w:szCs w:val="18"/>
                <w:color w:val="auto"/>
                <w:w w:val="93"/>
              </w:rPr>
              <w:t>430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the Company recorded a non-cash curtailment expense of approximately $0.2 million, as it transitioned certain active employees previously participating in a defined benefit plan in the United Kingdom to a defined contribution plan, thereby eliminating future service cost accruals for all employees under this defined benefit plan.</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contributed approximately $0.5 million and $0.8 million to its defined benefit pension plans during the three and six months ended June 30, 2022, respectively. The Company expects to contribute approximately $1.7 million to its defined benefit pension plans for the full year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Other Comprehensive Income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2022 are summarized as follows, net of tax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Derivative instruments, net of income tax of approximately $3.8 million. See Note 11,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92" w:lineRule="exact"/>
        <w:rPr>
          <w:rFonts w:ascii="Arial" w:cs="Arial" w:eastAsia="Arial" w:hAnsi="Arial"/>
          <w:sz w:val="19"/>
          <w:szCs w:val="19"/>
          <w:color w:val="auto"/>
          <w:vertAlign w:val="superscript"/>
        </w:rPr>
      </w:pPr>
    </w:p>
    <w:p>
      <w:pPr>
        <w:ind w:left="240" w:hanging="232"/>
        <w:spacing w:after="0"/>
        <w:tabs>
          <w:tab w:leader="none" w:pos="2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Defined benefit plans, net of income tax of approximately $0.1 million. See Note 18,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Changes in AOCI by component for the six months ended June 30, 2021 are summarized as follows, net of tax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8"/>
              </w:rPr>
              <w:t>Defined Benefit</w:t>
            </w:r>
          </w:p>
        </w:tc>
        <w:tc>
          <w:tcPr>
            <w:tcW w:w="1220" w:type="dxa"/>
            <w:vAlign w:val="bottom"/>
          </w:tcPr>
          <w:p>
            <w:pPr>
              <w:ind w:left="200"/>
              <w:spacing w:after="0"/>
              <w:rPr>
                <w:sz w:val="20"/>
                <w:szCs w:val="20"/>
                <w:color w:val="auto"/>
              </w:rPr>
            </w:pPr>
            <w:r>
              <w:rPr>
                <w:rFonts w:ascii="Arial" w:cs="Arial" w:eastAsia="Arial" w:hAnsi="Arial"/>
                <w:sz w:val="16"/>
                <w:szCs w:val="16"/>
                <w:b w:val="1"/>
                <w:bCs w:val="1"/>
                <w:color w:val="auto"/>
              </w:rPr>
              <w:t>Derivative</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6"/>
                <w:szCs w:val="16"/>
                <w:color w:val="auto"/>
              </w:rPr>
            </w:pPr>
          </w:p>
        </w:tc>
        <w:tc>
          <w:tcPr>
            <w:tcW w:w="122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Plans</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Instruments</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Translation</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880" w:type="dxa"/>
            <w:vAlign w:val="bottom"/>
          </w:tcPr>
          <w:p>
            <w:pPr>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9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8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980" w:type="dxa"/>
            <w:vAlign w:val="bottom"/>
            <w:tcBorders>
              <w:right w:val="single" w:sz="8" w:color="CCEEFF"/>
            </w:tcBorders>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5000" w:type="dxa"/>
            <w:vAlign w:val="bottom"/>
            <w:gridSpan w:val="2"/>
          </w:tcPr>
          <w:p>
            <w:pPr>
              <w:ind w:left="100"/>
              <w:spacing w:after="0"/>
              <w:rPr>
                <w:sz w:val="20"/>
                <w:szCs w:val="20"/>
                <w:color w:val="auto"/>
              </w:rPr>
            </w:pPr>
            <w:r>
              <w:rPr>
                <w:rFonts w:ascii="Arial" w:cs="Arial" w:eastAsia="Arial" w:hAnsi="Arial"/>
                <w:sz w:val="18"/>
                <w:szCs w:val="18"/>
                <w:color w:val="auto"/>
              </w:rPr>
              <w:t>Net current-period other comprehensive income (loss)</w:t>
            </w:r>
          </w:p>
        </w:tc>
        <w:tc>
          <w:tcPr>
            <w:tcW w:w="98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980" w:type="dxa"/>
            <w:vAlign w:val="bottom"/>
            <w:tcBorders>
              <w:right w:val="single" w:sz="8" w:color="CCEEFF"/>
            </w:tcBorders>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00"/>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320" w:hanging="212"/>
        <w:spacing w:after="0"/>
        <w:tabs>
          <w:tab w:leader="none" w:pos="3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Derivative instruments, net of income tax of approximately $1.1 million. See Note 11,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92" w:lineRule="exact"/>
        <w:rPr>
          <w:rFonts w:ascii="Arial" w:cs="Arial" w:eastAsia="Arial" w:hAnsi="Arial"/>
          <w:sz w:val="19"/>
          <w:szCs w:val="19"/>
          <w:color w:val="auto"/>
          <w:vertAlign w:val="superscript"/>
        </w:rPr>
      </w:pPr>
    </w:p>
    <w:p>
      <w:pPr>
        <w:ind w:left="340" w:hanging="232"/>
        <w:spacing w:after="0"/>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Defined benefit plans, net of income tax of approximately $0.1 million. See Note 18,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20. Income Taxes</w:t>
      </w:r>
    </w:p>
    <w:p>
      <w:pPr>
        <w:spacing w:after="0" w:line="162"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The effective income tax rate for the three months ended June 30, 2022 and 2021 was 25.5% and (0.3)%, respectively. The rate for the three months ended June 30, 2022 is higher than in the prior year period, primarily as a result of the recognition of approximately $3.0 million of deferred tax benefits in Italy during the three months ended June 30, 2021, the majority of which related to a reduction in deferred tax liabilities in connection with certain tax incentives.</w:t>
      </w:r>
    </w:p>
    <w:p>
      <w:pPr>
        <w:spacing w:after="0" w:line="119" w:lineRule="exact"/>
        <w:rPr>
          <w:sz w:val="20"/>
          <w:szCs w:val="20"/>
          <w:color w:val="auto"/>
        </w:rPr>
      </w:pPr>
    </w:p>
    <w:p>
      <w:pPr>
        <w:jc w:val="both"/>
        <w:ind w:left="100"/>
        <w:spacing w:after="0" w:line="311" w:lineRule="auto"/>
        <w:rPr>
          <w:sz w:val="20"/>
          <w:szCs w:val="20"/>
          <w:color w:val="auto"/>
        </w:rPr>
      </w:pPr>
      <w:r>
        <w:rPr>
          <w:rFonts w:ascii="Arial" w:cs="Arial" w:eastAsia="Arial" w:hAnsi="Arial"/>
          <w:sz w:val="16"/>
          <w:szCs w:val="16"/>
          <w:color w:val="auto"/>
        </w:rPr>
        <w:t>The effective income tax rate for the six months ended June 30, 2022 and 2021 was 24.2% and 11.8%, respectively. The rate for the six months ended June 30, 2022 is higher than in the prior year period, primarily as a result of the recognition of approximately $3.0 million of deferred tax benefits in Italy during the six months ended June 30, 2021, the majority of which related to a reduction in deferred tax liabilities in connection with certain tax incentives.</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21. Subsequent Events</w:t>
      </w:r>
    </w:p>
    <w:p>
      <w:pPr>
        <w:spacing w:after="0" w:line="162" w:lineRule="exact"/>
        <w:rPr>
          <w:sz w:val="20"/>
          <w:szCs w:val="20"/>
          <w:color w:val="auto"/>
        </w:rPr>
      </w:pPr>
    </w:p>
    <w:p>
      <w:pPr>
        <w:jc w:val="both"/>
        <w:ind w:left="100"/>
        <w:spacing w:after="0" w:line="308" w:lineRule="auto"/>
        <w:rPr>
          <w:sz w:val="20"/>
          <w:szCs w:val="20"/>
          <w:color w:val="auto"/>
        </w:rPr>
      </w:pPr>
      <w:r>
        <w:rPr>
          <w:rFonts w:ascii="Arial" w:cs="Arial" w:eastAsia="Arial" w:hAnsi="Arial"/>
          <w:sz w:val="17"/>
          <w:szCs w:val="17"/>
          <w:color w:val="auto"/>
        </w:rPr>
        <w:t>On July 21, 2022, the Company announced that its Board of Directors had declared a cash dividend of $0.04 per share of TriMas Corporation common stock, which will be payable on August 11, 2022 to shareholders of record as of the close of business on August 4, 2022.</w:t>
      </w:r>
    </w:p>
    <w:p>
      <w:pPr>
        <w:spacing w:after="0" w:line="79"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On July 26, 2022, the Company initiated steps to terminate all of its existing $250 million notional amount cross-currency swaps, as well as to enter into new cross-currency swaps with notional amounts totaling $150 million which are subject to various contract periods through 2024. The Company expects to receive cash proceeds from the termination of the swaps of approximately $27 million.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 the past two years, the coronavirus ("COVID-19") pandemic has significantly affected each of our businesses and how we operate, albeit in different ways and magnitudes. Sales in our Packaging segment for dispensing and closure products used in applications to fight the spread of germs experienced significant increases in demand, while sales of our industrial and aerospace-related products were significantly depressed from historical levels. Our aerospace-related product sales continue to be depressed while industrial product sales have recovered to pre-pandemic levels. The pandemic has also led to increased uncertainty and inflation in the global business environment, and we have experienced increases in input costs (raw materials, wage rates, energy and freight), supply chain disruptions and delays, as well as labor availability challenges, all pressuring our ability to operate efficiently and at the margin levels previously experienced.</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been, and continue to be, focused on making sure the working environments for our employees are safe so our operations have the ability to deliver the products needed to support efforts to mitigate the COVID-19 pandemic. We implemented new work rules and processes, which promote social distancing and increased hygiene to ensure the safety of our employees, particularly at our production facilities. These measures, while not easily quantifiable, have increased the level of manufacturing inefficiencies due to elevated levels of absenteeism, resulting in less efficient production scheduling and, in certain cases, short-term idling of production. While these increased costs and inefficiencies began in second quarter 2020, they continue to persist into 2022. We expect that we will continue to operate with these protocols in place, and that labor-related availability and inefficiencies will be an ongoing challenge.</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actively monitor the spread of certain variants of the virus, and plan for potential future impacts. While conditions related to the pandemic generally have improved compared to 2021, we anticipate conditions will continue to vary by industry as well as geography. Late in first quarter 2022, and continuing in second quarter, an increase of COVID-19 related cases in certain parts of China resulted in widespread shut-downs and restrictions (in light of China's zero-covid policy), including the re-institution of stay-at-home and quarantine mandates. While these restrictions have not yet had a significant impact on our overall financial results, and started to ease in June 2022, further restrictions could have a more significant impact in the second half of 2022 and beyond.</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Overall, our second quarter 2022 net sales increased approximately $18.7 million, or 8.5%, compared to second quarter 2021, primarily as a result of increased industrial demand in our Specialty Products segment, the impact of our recent acquisitions in our Packaging and Aerospace segments and increased sales of products used in food and beverage markets and industrial markets within our Packaging segment. These factors more than offset unfavorable currency exchange and the expected decline in sales of our Packaging segment's dispensing and closure products that are used in applications to fight the spread of germs, which reached record-high levels in 2020 and first half of 2021 when there was a significant spike in demand following the onset of the COVID-19 pandemic, but now have abated to what we believe is a new, and higher, normalized level.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most significant drivers affecting our results of operations in second quarter 2022 compared with second quarter 2021, other than as directly impacted by demand level changes as a result of the COVID-19 pandemic, were the impact of our recent acquisitions, our continued realignment actions in response to reduced certain end-market demand following the outbreak of COVID-19, the impact of higher energy costs, the refinancing of our long-term debt agreements in 2021, and an increase in our effective tax rate primarily as a result of the recognition of deferred tax benefits in Italy in second quarter 2021.</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2022, we acquired Intertech Plastics LLC and related companies (collectively, "Intertech"), a manufacturer of custom injection molded products used in medical applications, as well as products and assemblies for consumer and industrial applications, for an aggregate amount of approximately $64.1 million, net of cash acquired. Intertech, which is reported in the Company's Packaging segment, has two manufacturing facilities located in the Denver, Colorado area. Intertech contributed approximately $8.8 million of net sales during second quarter 2022.</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December 2021, we completed the acquisition of Omega Plastics ("Omega"), which specializes in manufacturing custom components and devices for drug delivery, diagnostic and orthopedic medical applications, as well as components for industrial applications, for an aggregate amount of approximately</w:t>
      </w:r>
    </w:p>
    <w:p>
      <w:pPr>
        <w:jc w:val="both"/>
        <w:ind w:right="20"/>
        <w:spacing w:after="0" w:line="277" w:lineRule="auto"/>
        <w:rPr>
          <w:sz w:val="20"/>
          <w:szCs w:val="20"/>
          <w:color w:val="auto"/>
        </w:rPr>
      </w:pPr>
      <w:r>
        <w:rPr>
          <w:rFonts w:ascii="Arial" w:cs="Arial" w:eastAsia="Arial" w:hAnsi="Arial"/>
          <w:sz w:val="18"/>
          <w:szCs w:val="18"/>
          <w:color w:val="auto"/>
        </w:rPr>
        <w:t>$22.5 million, net of cash acquired. Omega, which is reported in the Company's Packaging segment, is located in Clinton Township, Michigan. Omega contributed approximately $5.6 million of net sales during second quarter 2022.</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December 2021, we acquired TFI Aerospace ("TFI"), a manufacturer and supplier of specialty fasteners used in a variety of applications, predominately for the aerospace end market, for an aggregate amount of approximately $11.8 million, with additional contingent consideration ranging from zero to approximately $12.0 million to be paid based on 2023 and 2024 earnings per the purchase agreement. TFI, which is reported in the Company's Aerospace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segment, is located near Toronto, Canada. TFI contributed approximately $1.4 million of net sales during second quarter 2022.</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in second quarter 2020, we have been executing certain realignment actions in response to current and expected future end market demand following the onset of the COVID-19 pandemic, as well as for the move to our new facility in New Albany, Ohio. We recorded pre-tax facility move/consolidation and employee-related costs of approximately $1.4 million and $0.1 million, respectively, in the three months ended June 30, 2022. In the three months ended June 30, 2021, we recorded pre-tax facility consolidation and employee separation costs of approximately $0.7 million and $3.5 million, respectively.</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experienced a significant increase in the cost of energy in second quarter 2022 compared with second quarter 2021, primarily in our Europe-based operations. Energy costs began to rise during late 2021, and have further increased into 2022, which we believe is primarily due to geopolitical tensions associated with the Russia-Ukraine conflict, as well as realized and expected energy supply constraints. We expect there could be additional cost and supply chain pressures going forward in 2022 as a result of the uncertainty surrounding the conflict in Eastern Europe.</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2021, we refinanced our long-term debt, issuing $400 million principal amount of 4.125% senior unsecured notes due April 15, 2029 ("2029 Senior Notes") at par value in a private placement offering, and amending our existing credit agreement ("Credit Agreement"), extending the maturity to March 2026. We used the proceeds from the 2029 Senior Notes offering to pay fees and expenses of approximately $5.1 million related to the offering and approximately $1.1 million related to amending the Credit Agreement. The remaining cash proceeds from the 2029 Senior Notes were used for general corporate purposes, including repaying all outstanding revolving credit facility borrowings. In April 2021, we completed the refinancing, redeeming all of our outstanding senior notes due October 2025 ("2025 Senior Notes"), paying cash for the entire $300.0 million outstanding principal amount plus $7.3 million as a redemption premium. The $5.1 million of fees and expenses related to the 2029 Senior Notes were capitalized as debt issuance costs, while the $7.3 million redemption premium as well as approximately $3.0 million of unamortized debt issuance costs associated with the 2025 Senior Notes were expensed in the second quarter of 2021.</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in second quarter 2022 was 25.5%, compared to (0.3)% in second quarter of 2021. The rate for the second quarter 2022 is higher primarily as a result of the recognition of approximately $3.0 million of deferred tax benefits in Italy in second quarter 2021, the majority of which related to a reduction in deferred tax liabilities in connection with certain tax incentives.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executed significant realignment actions since the onset of the COVID-19 pandemic, primarily in our Aerospace and Specialty Products segments, and also in certain Packaging product areas where demand has fallen. We will continue to assess further actions if required. However, as a result of the COVID-19 pandemic's impact on global economic activity, and the continued potential impact to our future results of operations, as well if there is an impact to TriMas' market capitalization, we may record additional cash and non-cash charges related to incremental realignment actions, as well as for uncollectible customer account balances, excess inventory and idle production equipment.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extent of the COVID-19 pandemic's effect on our operational and financial performance will depend in large part on future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developments, which cannot be predicted with confidence at this time. Future developments include the duration, scope and severity of the COVID-19 pandemic, the actions taken to contain or mitigate its impact, timing and acceptance of widespread vaccine availability, and the resumption of normalized global economic activity. Due to the inherent uncertainty of the unprecedented and rapidly evolving situation, we are unable to predict with any confidence the likely impact of the COVID-19 pandemic on our future operations.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sensitive to price movements and availability of our raw materials supply. Our largest raw material purchases are for resins (such as polypropylene and polyethylene), steel, aluminum and other oil and metal-based purchased components. In addition to the factors affecting our 2021 and 2022 results,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We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our price increases generally lag the underlying material cost increase, and we cannot be assured of full cost recovery in the open market. If input costs increase at rapid rates, as they did during 2021, our ability to recover cost increases on a timely basis is made more difficult by the lag nature of these contracts.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second quarter 2022, we purchased 645,984 shares of our outstanding common stock for approximately $18.8 million. As of June 30, 2022, we had approximately $114.7 million remaining under the repurchase authorization.</w:t>
      </w: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in second quarter 2022, we declared dividends of $0.04 per share of common stock and we paid dividends of $1.7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June 30, 2022 and 2021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Three months ended June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1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148,350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62.4 %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139,630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63.8 %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237,680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218,990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27,800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27,850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06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six months ended June 30, 2022 and 2021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Six months ended June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3"/>
                <w:szCs w:val="13"/>
                <w:color w:val="auto"/>
              </w:rPr>
            </w:pPr>
          </w:p>
        </w:tc>
        <w:tc>
          <w:tcPr>
            <w:tcW w:w="170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286,840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62.1 %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271,720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63.8 %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83,240</w:t>
            </w:r>
          </w:p>
        </w:tc>
        <w:tc>
          <w:tcPr>
            <w:tcW w:w="2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18.0 %</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461,990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425,720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17,650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114,390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109,360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62,590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49,130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51,800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principal factors impacting us during the three months ended June 30, 2022, compared with the three months ended June 30, 2021, were:</w:t>
      </w:r>
    </w:p>
    <w:p>
      <w:pPr>
        <w:spacing w:after="0" w:line="156" w:lineRule="exact"/>
        <w:rPr>
          <w:sz w:val="20"/>
          <w:szCs w:val="20"/>
          <w:color w:val="auto"/>
        </w:rPr>
      </w:pPr>
    </w:p>
    <w:p>
      <w:pPr>
        <w:ind w:left="1140" w:hanging="484"/>
        <w:spacing w:after="0" w:line="277"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global business activity of the COVID-19 pandemic, as well as the volatility in input costs, supply chain and labor availability;</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recent acquisitions, primarily Omega and TFI in December 2021, and Intertech in February 2022;</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realignment expenses in response to changes in end market demand;</w:t>
      </w:r>
    </w:p>
    <w:p>
      <w:pPr>
        <w:spacing w:after="0" w:line="14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higher energy costs;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2021 debt refinancing activities; and</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our effective tax rate in second quarter 2022 compared with second quarter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Compared with Three Months Ended June 30, 2021</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Overall, net sales increased approximately $18.7 million, or 8.5%, to $237.7 million for the three months ended June 30, 2022, as compared with $219.0 million in the three months ended June 30, 2021, primarily as a result of our Intertech, Omega and TFI acquisitions, which collectively added approximately $15.8 million of sales. Organic sales, excluding the impact of currency exchange and acquisitions, increased approximately $7.7 million, as increases in our Specialty Products segment as well as for food and beverage and industrial products in our Packaging segment were partially offset by declines in dispensing products that help fight the spread of germs in our Packaging segment, as demand for these products abated from peak levels in 2020 and the first half of 2021. In addition, net sales decreased by approximately $4.8 million due to currency exchange, as our reported results in U.S. dollars were unfavorably impacted as a result of a strengthening U.S. dollar relative to foreign currencies.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margin (gross profit as a percentage of sales) approximated 25.5% and 26.5% for the three months ended June 30, 2022 and 2021, respectively. Gross profit margin decreased due to a less favorable sales mix, primarily as a result of lower sales of Aerospace segment customers' stocking orders for highly-engineered fasteners during the three months ended June 30, 2022. In addition, improved recovery of resin costs in our Packaging segment was offset by higher energy costs, primarily in our Packaging segment's European facilities, higher steel costs in our Specialty Products segment, and unfavorable currency exchange.</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margin (operating profit as a percentage of sales) approximated 12.6% and 11.7% for the three months ended June 30, 2022 and 2021, respectively. Operating profit increased approximately $4.3 million to approximately $29.9 million in the three months ended June 30, 2022, from approximately $25.6 million for the three months ended June 30, 2021, primarily due to higher sales levels, improved recovery of resin costs and approximately $2.7 million of lower realignment costs. These increases were partially offset by a less favorable product sales mix and higher energy and steel costs, as well as unfavorable currency exchange.</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approximately $0.6 million, to approximately $3.5 million for the three months ended June 30, 2022, compared to approximately $4.1 million for the three months ended June 30, 2021, due to a lower effective interest rate and a decrease in our weighted average borrowings.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three months ended June 30, 2021, we incurred approximately $10.3 million of debt financing and related expenses associated with the redemption of our 2025 Senior Notes.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decreased approximately $0.4 million to approximately $0.3 million for the three months ended June 30, 2022, as compared to approximately $0.7 million for the three months ended June 30, 2021, primarily due to lower foreign currency transactions gains.</w:t>
      </w:r>
    </w:p>
    <w:p>
      <w:pPr>
        <w:spacing w:after="0" w:line="8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effective income tax rate for the three months ended June 30, 2022 and 2021 was 25.5% and (0.3)%, respectively. We recorded income tax expense of approximately $6.8 million for the three months ended June 30, 2022 as compared to nominal income tax benefit for the three months ended June 30, 2021. The rate for the three months ended June 30, 2022 is higher than in the prior year period, primarily as a result of recognizing approximately $3.0 million of deferred tax benefits in Italy during the three months ended June 30, 2021, the majority of which related to a reduction in deferred tax liabilities in connection with certain tax incentives.</w:t>
      </w:r>
    </w:p>
    <w:p>
      <w:pPr>
        <w:spacing w:after="0" w:line="11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Net income increased approximately $8.0 million, to $19.9 million for the three months ended June 30, 2022, as compared to $11.8 million for the three months ended June 30, 2021. The increase was primarily the result of a decrease in debt financing and related expenses of $10.3 million, an increase in operating profit of approximately $4.3 million, and a decrease in interest expense of $0.6 million, partially offset by an increase in income tax expense of approximately $6.8 million and a decrease in other income of approximately $0.4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$8.7 million, or 6.2%, to $148.4 million in the three months ended June 30, 2022, as compared to $139.6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three months ended June 30, 2021. Our recent Intertech and Omega acquisitions collectively contributed approximately $14.4 million of sales during the three months ended June 30, 2022. Sales of products used in food and beverage markets increased by approximately $9.2 million, primarily due to strong demand for closures, dispensers and flexible packaging as the hospitality sector continues to rebound from prior COVID-19 pandemic-related shutdowns. Sales of products used in industrial markets increased by approximately $2.6 million, primarily as a result of higher demand for closure products, primarily in North America. Sales of dispensing products used in beauty and personal care, as well as home care, applications that help fight the spread of germs decreased by approximately $9.5 million, as COVID-19-related demand levels have further abated in second quarter 2022 from peak levels in 2020 and 2021. Net sales decreased by approximately $4.8 million due to currency exchange, as our reported results in U.S. dollars were unfavorably impacted as a result of the strengthening U.S. dollar relative to foreign currencies, as compared to second quarter 2021.</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increased approximately $1.3 million to $41.8 million, or 28.2% of sales, in the three months ended June 30, 2022, as compared to $40.5 million, or 29.0% of sales, in the three months ended June 30, 2021. During second quarter 2021, we were impacted by approximately $4 million of higher resin costs than we were able to recover via commercial actions, while in second quarter 2022, we were generally able to recover current resin costs. Gross profit declined in second quarter 2022 due to approximately $1.3 million of unfavorable currency exchange, as our reported results in U.S. dollars were impacted as a result of the strengthening U.S. dollar relative to foreign currencies, approximately $1.2 million of higher energy costs, primarily in our European manufacturing facilities, and approximately $0.9 million of higher realignment and purchase accounting expenses. In addition, gross profit margin declined as a result of a less favorable sales mix.</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approximately $1.3 million to $14.0 million, or 9.4% of sales, in the three months ended June 30, 2022, as compared to $12.6 million, or 9.1% of sales, in the three months ended June 30, 2021, primarily due to higher ongoing selling, general and administrative costs associated with our acquisitions, partially offset by lower intangible asset amortization expense due to certain assets becoming fully amortized.</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profit decreased approximately $0.1 million to $27.8 million, or 18.7% of sales, in the three months ended June 30, 2022, as compared to $27.9 million, or 19.9% of sales, in the three months ended June 30, 2021, as the impact of higher sales levels and improved recovery of material costs was offset by higher energy costs, higher selling, general and administrative expenses, higher realignment costs and the impact of unfavorable currency exchange.</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Aerospace. </w:t>
      </w:r>
      <w:r>
        <w:rPr>
          <w:rFonts w:ascii="Arial" w:cs="Arial" w:eastAsia="Arial" w:hAnsi="Arial"/>
          <w:sz w:val="17"/>
          <w:szCs w:val="17"/>
          <w:color w:val="auto"/>
        </w:rPr>
        <w:t>Net sales for the three months ended June 30, 2022 increased approximately $2.8 million, or 6.4%, to $47.4 million, as compared to $44.6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three months ended June 30, 2021. Acquisition-related sales growth from our December 2021 acquisition of TFI was approximately $1.4 million. Sales of our fasteners products increased by approximately $1.2 million, as increases in demand for fasteners used in new aircraft builds plus market share gains more than offset the expected loss of sales of customers' stocking orders for highly-engineered fasteners that were predominantly fulfilled throughout 2021. Sales of our engineered components products increased by approximately $0.2 million.</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increased approximately $0.3 million to $9.6 million, or 20.3% of sales, in the three months ended June 30, 2022, from $9.3 million, or 20.9% of sales, in the three months ended June 30, 2021. Although gross profit increased due to higher sales levels, gross profit margin decreased due to a less favorable product sales mix in second quarter 2022 with lower sales of the customers' stocking orders for highly-engineered fasteners.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approximately $0.3 million to $6.9 million, or 14.5% of sales, in the three months ended June 30, 2022, as compared to $7.2 million, or 16.1% of sales, in the three months ended June 30, 2021, primarily due to lower employee-related costs and third party expenses.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increased approximately $0.6 million to approximately $2.8 million, or 5.8% of sales, in the three months ended June 30, 2022, as compared to approximately $2.1 million, or 4.8% of sales, in the three months ended June 30, 2021, primarily due to higher sales levels and lower selling, general and administrative expenses, which were partially offset by a less favorable product sales mix.</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three months ended June 30, 2022 increased approximately $7.1 million, or 20.5%, to $41.9 million,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$34.8 million in the three months ended June 30, 2021. Sales of our cylinder products increased approximately $5.3 million due to higher demand for steel cylinders in North America, as industrial activity continues to increase from depressed levels as a result of the COVID-19 pandemic. Sales of engines, compressors and related parts used in stationary power generation and assistance applications for natural gas and crude oil extraction increased by approximately $1.8 million, primarily as a result of higher oil-field activity in North America.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increased approximately $1.1 million to $9.3 million, or 22.1% of sales, in the three months ended June 30, 2022, as compared to $8.2 million, or 23.6% of sales, in the three months ended June 30, 2021. Gross profit increased in the second quarter of 2022 due to higher sales levels, while margins decreased due to higher steel costs as well as a less favorable product sales mix.</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increased approximately $0.3 million to $2.5 million, or 6.0% of sales, in the three months ended June 30, 2022, as compared to $2.2 million, or 6.4% of sales, in the three months ended June 30, 2021, primarily due to higher employment and spending levels in support of the increase in sales levels.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increased approximately $0.8 million to $6.8 million, or 16.1% of sales, in the three months ended June 30, 2022, as compared to $6.0 million, or 17.3% of sales, in the three months ended June 30, 2021, primarily due to increased sales levels which were partially offset by higher steel costs as well as a less favorable product sales mix.</w:t>
      </w:r>
    </w:p>
    <w:p>
      <w:pPr>
        <w:spacing w:after="0" w:line="1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r>
      <w:tr>
        <w:trPr>
          <w:trHeight w:val="210"/>
        </w:trPr>
        <w:tc>
          <w:tcPr>
            <w:tcW w:w="78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788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12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expenses decreased approximately $3.0 million to approximately $7.5 million for the three months ended June 30, 2022, from approximately $10.4 million for the three months ended June 30, 2021, primarily as a result of realignment charges recorded in the second quarter of 2021 relating to streamlining and reorganizing the corporate office finance group.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2022 Compared with Six Months Ended June 30, 2021</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Overall, net sales increased approximately $36.3 million, or 8.5%, to $462.0 million for the six months ended June 30, 2022, as compared with $425.7 million in the six months ended June 30, 2021, primarily as a result of our Intertech, Omega and TFI acquisitions, which collectively added approximately $24.8 million of sales. Organic sales, excluding the impact of currency exchange and acquisitions, increased approximately $18.7 million, as increases in our Specialty Products segment as well as for food and beverage and industrial products in our Packaging segment were partially offset by declines in dispensing products that help fight the spread of germs in our Packaging segment, as demand for these products abated from peak levels in 2020 and the first half of 2021. In addition, net sales decreased by approximately $7.2 million due to currency exchange, as our reported results in U.S. dollars were unfavorably impacted as a result of a strengthening U.S. dollar relative to foreign currencies.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margin (gross profit as a percentage of sales) approximated 24.8% and 25.7% for the six months ended June 30, 2022 and 2021, respectively. Gross profit margin decreased primarily due to a less favorable sales mix as a result of lower sales of Aerospace segment customers' stocking orders for highly-engineered fasteners during the three months ended June 31, 2022. In addition, improved recovery of resin costs in our Packaging segment was offset by higher energy costs, primarily in our European Packaging segment facilities, higher steel costs in our Specialty Products segment, and unfavorable currency exchange.</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profit margin (operating profit as a percentage of sales) approximated 11.2% and 11.0% for the six months ended June 30, 2022 and 2021, respectively. Operating profit increased approximately $5.1 million, to $51.8 million, for the six months ended June 30, 2022, compared to $46.7 million for the six months ended June 30, 2021, primarily due to higher sales levels, improved recovery of resin costs and as a result of approximately $4.4 million of lower realignment costs. These increases were partially offset by a less favorable product sales mix and higher energy costs.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approximately $0.8 million, to $6.9 million, for the six months ended June 30, 2022, as compared to $7.7 million for the six months ended June 30, 2021, due to a lower effective interest rate and a decrease in our weighted average borrowings.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six months ended June 30, 2021, we incurred approximately $10.5 million of debt financing and related expenses, of which approximately $10.3 million related to expenses associated with the redemption of our 2025 Senior Notes and approximately $0.2 million related to the write-off of previously capitalized deferred financing fees associated with our Credit Agreement.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decreased approximately $0.3 million, to a nominal amount for the six months ended June 30, 2022, from $0.3 million for the six months ended June 30, 2021, primarily due to a decrease in losses on transactions denominated in foreign currencies.</w:t>
      </w:r>
    </w:p>
    <w:p>
      <w:pPr>
        <w:spacing w:after="0" w:line="8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effective income tax rate for the six months ended June 30, 2022 and 2021 was 24.2% and 11.8%, respectively. We recorded tax expense of approximately $10.9 million for the six months ended June 30, 2022 as compared to approximately $3.3 million for the six months ended June 30, 2021. The rate for the six months ended June 30, 2022 is is higher than in the prior year as the effective tax rate for the six months ended June 30, 2021 was impacted by the recognition of approximately $3.0 million of deferred tax benefits in Italy, the majority of which related to a reduction in deferred tax liabilities in connection with certain tax incentives.</w:t>
      </w:r>
    </w:p>
    <w:p>
      <w:pPr>
        <w:spacing w:after="0" w:line="11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Net income increased by approximately $9.1 million, to $34.0 million for the six months ended June 30, 2022, compared to $24.9 million for the six months ended June 30, 2021. The increase was primarily the result of a decrease in debt financing and related expenses of $10.5 million, an increase in operating profit of approximately $5.1 million and a decrease in interest expense of $0.8 million, a decrease in other expense of approximately $0.3 million, partially offset by an increase in income tax expense of approximately $7.5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$15.1 million, or 5.6%, to $286.8 million in the six months ended June 30, 2022, as compared to $271.7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six months ended June 30, 2021. Our recent Intertech and Omega acquisitions collectively contributed approximately $22.0 million of sales during the six months ended June 30, 2022. Sales of products used in food and beverage markets increased by approximately $20.2 million, primarily due to strong demand for closures, dispensers and flexible packaging as the hospitality sector continues to rebound from prior COVID-19 pandemic-related shutdowns. Sales of products used in industrial markets increased by approximately $6.9 million, primarily as a result of higher demand for closure products, primarily in North America. Sales of dispensing products used in beauty and personal care, as well as home care, applications that help fight the spread of germs decreased largely as anticipated by approximately $24.0 million, as COVID-19-related demand levels have abated for these products from the peak levels in mid-2020 through the first half of 2021. Net sales decreased by approximately $7.1 million due to currency exchange, as our reported results in U.S. dollars were unfavorably impacted as a result of the strengthening U.S. dollar relative to foreign currencies, as compared to first half 2021.</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Packaging's gross profit increased approximately $3.8 million to $78.1 million, or 27.2% of sales, in the six months ended June 30, 2022, as compared to $74.4 million, or 27.4% of sales, in the six months ended June 30, 2021. During the first half of 2021, we were impacted by approximately $6 million of higher resin costs than we were able to recover via commercial actions, while we have generally been able to recover such costs during the first half of 2022, as market prices have generally stabilized. The increase in gross profit from higher sales levels and improved material cost recovery was partially offset by approximately $3 million higher energy costs, primarily in our European manufacturing facilities, as well as a result of approximately $1.9 million of currency exchange, as our reported results in U.S. dollars were unfavorably impacted as a result of the strengthening U.S. dollar relative to foreign currencies. In addition, gross profit margin declined as a result of a less favorable sales mix.</w:t>
      </w:r>
    </w:p>
    <w:p>
      <w:pPr>
        <w:spacing w:after="0" w:line="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selling, general and administrative expenses increased approximately $3.8 million to $29.0 million, or 10.1% of sales, in the six months ended June 30, 2022, as compared to $25.2 million, or 9.3% of sales, in the six months ended June 30, 2021, primarily due to higher ongoing selling, general and administrative costs associated with our acquisitions as well as higher employee-related expenses as a result of our first quarter 2022 realignment actions, partially offset by lower intangible asset amortization expense due to certain assets becoming fully amortized.</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Packaging's operating profit remained relatively flat at $49.1 million, or 17.1% of sales, in the six months ended June 30, 2022, as compared to $49.2 million, or 18.1% of sales, in the six months ended June 30, 2021, as the impact of higher sales levels and improved recovery of material costs was offset by higher energy costs, higher selling, general and administrative expenses and the impact of unfavorable currency exchange.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six months ended June 30, 2022 increased approximately $2.7 million, or 3.1%, to $91.9 million, as compared to $89.2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six months ended June 30, 2021. Acquisition-related sales growth from our December 2021 acquisition of TFI was approximately $2.8 million. Sales of our fasteners products increased by approximately $0.7 million, as increases in demand for fasteners used in new aircraft builds plus market share gains more than offset the expected loss of sales of customers' stocking orders for highly-engineered fasteners that were predominantly fulfilled throughout 2021. Sales of our engineered components products decreased by approximately $0.8 million, primarily due to lower end market demand.</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within Aerospace decreased approximately $2.6 million to $17.7 million, or 19.2% of sales, in the six months ended June 30, 2022, from $20.3 million, or 22.7% of sales, in the six months ended June 30, 2021, primarily due to a less favorable product sales mix in the first half of 2022, with lower sales of the customers' stocking orders for highly-engineered fasteners.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approximately $0.6 million to $13.1 million, or 14.2% of sales, in the six months ended June 30, 2022, as compared to $13.7 million, or 15.3% of sales, in the six months ended June 30, 2021, primarily due to lower employee-related costs and third party expenses.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within Aerospace decreased approximately $2.0 million to $4.6 million, or 5.0% of sales, in the six months ended June 30, 2022, as compared to $6.6 million, or 7.4% of sales, in the six months ended June 30, 2021, as the impact of higher sales levels and lower selling, general and administrative expenses were more than offset by a less favorable product sales mix.</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six months ended June 30, 2022 increased approximately $18.4 million, or 28.4%, to $83.2 million,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$64.8 million in the six months ended June 30, 2021. Sales of our cylinder products increased approximately $12.9 million, due to higher demand for steel cylinders in North America as industrial activity continues to increase from depressed levels as a result of the COVID-19 pandemic. Sales of engines, compressors and related parts used in stationary power generation and assistance applications for natural gas and crude oil extraction increased by approximately $5.5 million, primarily as a result of higher oil-field activity in North America.</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within Specialty Products increased approximately $3.9 million to $18.6 million, or 22.3% of sales, in the six months ended June 30, 2022, as compared to $14.7 million, or 22.7% of sales, in the six months ended June 30, 2021. Gross profit increased due to higher sales levels, while margins decreased slightly due to higher steel costs.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within Specialty Products increased approximately $0.4 million to $4.6 million, or 5.5% of sales, in the six months ended June 30, 2022, as compared to $4.2 million, or 6.5% of sales, in the six months ended June 30, 2021, primarily due to higher employment and spending levels in support of the increase in sales levels.</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profit within Specialty Products increased approximately $3.5 million to $14.0 million, or 16.8% of sales, in the six months ended June 30, 2022, as compared to $10.5 million, or 16.2% of sales, in the six months ended June 30, 2021, primarily due to increased sales levels.</w:t>
      </w:r>
    </w:p>
    <w:p>
      <w:pPr>
        <w:spacing w:after="0" w:line="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net consist of the following (dollars in millions):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r>
      <w:tr>
        <w:trPr>
          <w:trHeight w:val="210"/>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92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expenses decreased approximately $3.7 million to $15.9 million for the six months ended June 30, 2022, from $19.6 million for the six months ended June 30, 2021, primarily as a result of the realignment charges related to the corporate office legal and finance groups in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 operating activities were approximately $27.7 million for the six months ended June 30, 2022, as compared to approximately $42.7 million for the six months ended June 30, 2021. Significant changes in cash flows provided by operating activities and the reasons for such changes were as follows:</w:t>
      </w:r>
    </w:p>
    <w:p>
      <w:pPr>
        <w:spacing w:after="0" w:line="116" w:lineRule="exact"/>
        <w:rPr>
          <w:sz w:val="20"/>
          <w:szCs w:val="20"/>
          <w:color w:val="auto"/>
        </w:rPr>
      </w:pPr>
    </w:p>
    <w:p>
      <w:pPr>
        <w:jc w:val="both"/>
        <w:ind w:left="980" w:hanging="324"/>
        <w:spacing w:after="0" w:line="275"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six months ended June 30, 2022, the Company generated approximately $73.1 million in cash flows, based on the reported net income of approximately $34.0 million and after considering the effects of non-cash items related to depreciation, amortization, loss on dispositions of assets, changes in deferred income taxes, stock-based compensation and other operating activities. For the six months ended June 30, 2021, the Company generated approximately $72.3 million in cash flows based on the reported net income of approximately $24.9 million and after considering the effects of similar non-cash items and debt financing and related expenses.</w:t>
      </w:r>
    </w:p>
    <w:p>
      <w:pPr>
        <w:spacing w:after="0" w:line="95" w:lineRule="exact"/>
        <w:rPr>
          <w:rFonts w:ascii="Arial" w:cs="Arial" w:eastAsia="Arial" w:hAnsi="Arial"/>
          <w:sz w:val="17"/>
          <w:szCs w:val="17"/>
          <w:color w:val="auto"/>
        </w:rPr>
      </w:pPr>
    </w:p>
    <w:p>
      <w:pPr>
        <w:jc w:val="both"/>
        <w:ind w:left="980" w:hanging="324"/>
        <w:spacing w:after="0" w:line="279"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Increases in accounts receivable resulted in a use of cash of approximately $29.4 million and $22.6 million for the six months ended June 30, 2022 and 2021, respectively. The increased use of cash for each of the six month periods is due primarily to the timing of sales and collection of cash related thereto within the periods. Days sales outstanding of receivables increased approximately four days through the six months ended June 30, 2022 , and remained relatively consistent through the six months ended June 30, 2021.</w:t>
      </w:r>
    </w:p>
    <w:p>
      <w:pPr>
        <w:spacing w:after="0" w:line="103"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increased our investment in inventory by approximately $7.9 million and $0.9 million for the six months ended June 30, 2022 and 2021, respectively. The increase in the first half of 2022 is primarily a result of proactively investing in certain raw materials and purchased components to protect against supply chain disruptions.</w:t>
      </w:r>
    </w:p>
    <w:p>
      <w:pPr>
        <w:spacing w:after="0" w:line="116" w:lineRule="exact"/>
        <w:rPr>
          <w:rFonts w:ascii="Arial" w:cs="Arial" w:eastAsia="Arial" w:hAnsi="Arial"/>
          <w:sz w:val="18"/>
          <w:szCs w:val="18"/>
          <w:color w:val="auto"/>
        </w:rPr>
      </w:pPr>
    </w:p>
    <w:p>
      <w:pPr>
        <w:jc w:val="both"/>
        <w:ind w:left="980" w:hanging="324"/>
        <w:spacing w:after="0" w:line="29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Decreases in prepaid expenses and other assets resulted in a source of cash of approximately $0.8 million for the six months ended June 30, 2022. Increases in prepaid expenses and other assets resulted in a use of cash of approximately $7.4 million for the six months ended June 30,</w:t>
      </w:r>
    </w:p>
    <w:p>
      <w:pPr>
        <w:ind w:left="980"/>
        <w:spacing w:after="0"/>
        <w:rPr>
          <w:rFonts w:ascii="Arial" w:cs="Arial" w:eastAsia="Arial" w:hAnsi="Arial"/>
          <w:sz w:val="16"/>
          <w:szCs w:val="16"/>
          <w:color w:val="auto"/>
        </w:rPr>
      </w:pPr>
      <w:r>
        <w:rPr>
          <w:rFonts w:ascii="Arial" w:cs="Arial" w:eastAsia="Arial" w:hAnsi="Arial"/>
          <w:sz w:val="18"/>
          <w:szCs w:val="18"/>
          <w:color w:val="auto"/>
        </w:rPr>
        <w:t>2021. These changes were primarily a result of the timing of payments made for income taxes and certain operating expenses.</w:t>
      </w:r>
    </w:p>
    <w:p>
      <w:pPr>
        <w:spacing w:after="0" w:line="129" w:lineRule="exact"/>
        <w:rPr>
          <w:rFonts w:ascii="Arial" w:cs="Arial" w:eastAsia="Arial" w:hAnsi="Arial"/>
          <w:sz w:val="16"/>
          <w:szCs w:val="16"/>
          <w:color w:val="auto"/>
        </w:rPr>
      </w:pPr>
    </w:p>
    <w:p>
      <w:pPr>
        <w:jc w:val="both"/>
        <w:ind w:left="980" w:hanging="324"/>
        <w:spacing w:after="0" w:line="275"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decrease in accounts payable and accrued liabilities resulted in a use of cash of approximately $8.9 million for the six months ended June 30, 2022, while an increase in accounts payable and accrued liabilities resulted in a source of cash of approximately $1.4 million for the six months ended June 30, 2021. Days accounts payable on hand decreased by one day through the six months ended June 30, 2022 compared with a decrease of approximately two days in the six months ended June 30, 2021. Our days accounts payable on hand fluctuate primarily as a result of the timing of payments made to suppliers and the mix of vendors and related terms.</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for the six months ended June 30, 2022 and 2021 was approximately $85.7 million and $18.2 million, respectively. During the first six months of 2022, we invested approximately $21.7 million in capital expenditures, as we continued our investment in growth, capacity and productivity-related capital projects, and paid approximately $64.1 million, net of cash acquired, to acquire Intertech. During the first six months of 2021, we invested approximately $18.3 million in capital expenditures.</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for financing activities for the six months ended June 30, 2022 was approximately $33.6 million, while net cash provided by financing activities was approximately $19.0 million for the six months ended June 30, 2021. During the six months ended June 30, 2022, we purchased approximately $27.9 million of outstanding common stock, used a net cash amount of approximately $2.3 million related to our stock compensation arrangements and paid dividends of approximately $3.5 million. During the six months ended June 30, 2021, we issued $400.0 million principal amount of the 2029 Senior Notes, made net repayments of approximately $48.6 million on our revolving credit facilities, and redeemed $300.0 million principal amount of the 2025 Senior Notes. In connection with refinancing our long-term debt, we paid approximately $13.6 million of debt financing fees and redemption premium. We also purchased approximately $14.2 million of outstanding common stock and used a net cash amount of approximately $4.6 million related to our stock compensation arrangements.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2021, we issued the 2029 Senior Notes in a private placement under Rule 144A of the Securities Act of 1933, as amended. We used the proceeds from the 2029 Senior Notes offering to pay fees and expenses of approximately $5.1 million related to the offering and pay fees and expenses of $1.1 million related to amending our Credit Agreement. In connection with the issuance, we completed the redemption of our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approximately $3.0 million of unamortized debt issuance costs associated with the 2025 Senior Notes were recorded as expense within debt financing and related expenses in the accompanying consolidated statement of operations.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2029 Senior Notes accrue interest at a rate of 4.125% per annum, payable semi-annually in arrears on April 15 and October 15. The payment of principal and interest is jointly and severally guaranteed, on a senior unsecured basis, by certain subsidiaries of the Company. The 2029 Senior Notes are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senior indebtedness and effectively subordinated to all existing and future secured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of the value of the assets securing such indebtedness.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April 15, 2024, we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2029 Senior Notes at a redemption price equal to 100% of the principal amount thereof, plus accrued and unpaid interest, if any, to the redemption date, plus a "make whole" premium.</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six months ended June 30, 2022, our consolidated subsidiaries that do not guarantee the 2029 Senior Notes represented approximately 25% of the total of guarantor and non-guarantor net sales, treating each as a consolidated group and excluding intercompany transactions between guarantor and non-guarantor subsidiaries. In addition, our non-guarantor subsidiaries represented approximately 36% and 13% of the total guarantor and non-guarantor assets and liabilities, respectively, as of June 30, 2022, treating the guarantor and non-guarantor subsidiaries each as a consolidated group.</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2021, we amended our Credit Agreement in connection with the issuance of the 2029 Senior Notes to extend the maturity date. We incurred fees and expenses of approximately $1.1 million related to the amendment, all of which were capitalized as debt issuance costs. We also recorded approximately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2021, we amended the Credit Agreement to replace LIBOR with a benchmark interest rate determined based on the currency denomination of borrowings. Effective January 1, 2022, the amendment replaced the reference rate terms for U.S. dollar LIBOR borrowings to the Secured Overnight Financing Rate ("SOFR"), British pound sterling LIBOR borrowings to the Sterling Overnight Index Average ("SONIA") and Euro LIBOR borrowings to the Euro Short Term Rate ("ESTR"), all plus a spread of 1.50%. The interest rate spread is based upon the leverage ratio, as defined, as of the most recent determination date.</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June 30, 2022. If we were to complete an acquisition which qualifies for a Covenant Holiday Period, as defined in our Credit Agreement, then our permitted total net leverage ratio cannot exceed 4.50 to 1.00 during that period. Our actual total net leverage ratio was 1.99 to 1.00 at June 30, 2022. Our permitted interest expense coverage ratio under the Credit Agreement is 3.00 to 1.00 as of June 30, 2022. Our actual interest expense coverage ratio was 14.39 to 1.00 at June 30, 2022. At June 30, 2022, we were in compliance with our financial covenants.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June 30, 2022 (dollars in thousands). We present Consolidated Bank EBITDA to show our performance under our financial covenants.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Twelve Months</w:t>
            </w: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Ended</w:t>
            </w:r>
          </w:p>
        </w:tc>
      </w:tr>
      <w:tr>
        <w:trPr>
          <w:trHeight w:val="213"/>
        </w:trPr>
        <w:tc>
          <w:tcPr>
            <w:tcW w:w="20" w:type="dxa"/>
            <w:vAlign w:val="bottom"/>
            <w:tcBorders>
              <w:bottom w:val="single" w:sz="8" w:color="CCEEFF"/>
            </w:tcBorders>
          </w:tcPr>
          <w:p>
            <w:pPr>
              <w:spacing w:after="0"/>
              <w:rPr>
                <w:sz w:val="18"/>
                <w:szCs w:val="18"/>
                <w:color w:val="auto"/>
              </w:rPr>
            </w:pPr>
          </w:p>
        </w:tc>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0"/>
              </w:rPr>
              <w:t>June 30, 2022</w:t>
            </w:r>
          </w:p>
        </w:tc>
      </w:tr>
      <w:tr>
        <w:trPr>
          <w:trHeight w:val="226"/>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66,440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Bank stipulated adjustments: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19,570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54,030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3"/>
                <w:szCs w:val="23"/>
                <w:color w:val="auto"/>
                <w:vertAlign w:val="superscript"/>
              </w:rPr>
              <w:t>(1)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9,140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non-cash expenses or losses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3"/>
                <w:szCs w:val="23"/>
                <w:color w:val="auto"/>
                <w:vertAlign w:val="superscript"/>
              </w:rPr>
              <w:t>(2)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11,420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Extraordinary, non-recurring or unusual gains or losses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Effects of purchase accounting adjustments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and asset dispositions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Net losses on early extinguishment of debt</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Permitted acquisitions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Currency gains and losses</w:t>
            </w: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182,950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2260" w:type="dxa"/>
            <w:vAlign w:val="bottom"/>
            <w:gridSpan w:val="5"/>
          </w:tcPr>
          <w:p>
            <w:pPr>
              <w:ind w:left="540"/>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20" w:type="dxa"/>
            <w:vAlign w:val="bottom"/>
          </w:tcPr>
          <w:p>
            <w:pPr>
              <w:spacing w:after="0"/>
              <w:rPr>
                <w:sz w:val="19"/>
                <w:szCs w:val="19"/>
                <w:color w:val="auto"/>
              </w:rPr>
            </w:pPr>
          </w:p>
        </w:tc>
        <w:tc>
          <w:tcPr>
            <w:tcW w:w="896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Total Indebtedness, as defined</w:t>
            </w:r>
            <w:r>
              <w:rPr>
                <w:rFonts w:ascii="Arial" w:cs="Arial" w:eastAsia="Arial" w:hAnsi="Arial"/>
                <w:sz w:val="23"/>
                <w:szCs w:val="23"/>
                <w:color w:val="auto"/>
                <w:vertAlign w:val="superscript"/>
              </w:rPr>
              <w:t>(3)</w:t>
            </w:r>
          </w:p>
        </w:tc>
        <w:tc>
          <w:tcPr>
            <w:tcW w:w="62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364,670</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182,950</w:t>
            </w:r>
          </w:p>
        </w:tc>
        <w:tc>
          <w:tcPr>
            <w:tcW w:w="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x</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0" w:type="dxa"/>
            <w:vAlign w:val="bottom"/>
          </w:tcPr>
          <w:p>
            <w:pPr>
              <w:spacing w:after="0"/>
              <w:rPr>
                <w:sz w:val="16"/>
                <w:szCs w:val="16"/>
                <w:color w:val="auto"/>
              </w:rPr>
            </w:pPr>
          </w:p>
        </w:tc>
      </w:tr>
      <w:tr>
        <w:trPr>
          <w:trHeight w:val="162"/>
        </w:trPr>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Ended</w:t>
            </w:r>
          </w:p>
        </w:tc>
        <w:tc>
          <w:tcPr>
            <w:tcW w:w="200" w:type="dxa"/>
            <w:vAlign w:val="bottom"/>
          </w:tcPr>
          <w:p>
            <w:pPr>
              <w:spacing w:after="0"/>
              <w:rPr>
                <w:sz w:val="14"/>
                <w:szCs w:val="14"/>
                <w:color w:val="auto"/>
              </w:rPr>
            </w:pPr>
          </w:p>
        </w:tc>
      </w:tr>
      <w:tr>
        <w:trPr>
          <w:trHeight w:val="213"/>
        </w:trPr>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June 30, 2022</w:t>
            </w:r>
          </w:p>
        </w:tc>
        <w:tc>
          <w:tcPr>
            <w:tcW w:w="200" w:type="dxa"/>
            <w:vAlign w:val="bottom"/>
            <w:tcBorders>
              <w:bottom w:val="single" w:sz="8" w:color="auto"/>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Bank stipulated adjustments: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8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Non-cash amounts attributable to amortization of financing costs</w:t>
            </w: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(890)</w:t>
            </w:r>
          </w:p>
        </w:tc>
      </w:tr>
      <w:tr>
        <w:trPr>
          <w:trHeight w:val="248"/>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12,710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444"/>
        </w:trPr>
        <w:tc>
          <w:tcPr>
            <w:tcW w:w="896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Borders>
              <w:bottom w:val="single" w:sz="8" w:color="CCEEFF"/>
            </w:tcBorders>
          </w:tcPr>
          <w:p>
            <w:pPr>
              <w:spacing w:after="0"/>
              <w:rPr>
                <w:sz w:val="24"/>
                <w:szCs w:val="24"/>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182,950</w:t>
            </w:r>
          </w:p>
        </w:tc>
        <w:tc>
          <w:tcPr>
            <w:tcW w:w="200" w:type="dxa"/>
            <w:vAlign w:val="bottom"/>
            <w:shd w:val="clear" w:color="auto" w:fill="CCEEFF"/>
          </w:tcPr>
          <w:p>
            <w:pPr>
              <w:spacing w:after="0"/>
              <w:rPr>
                <w:sz w:val="19"/>
                <w:szCs w:val="19"/>
                <w:color w:val="auto"/>
              </w:rPr>
            </w:pPr>
          </w:p>
        </w:tc>
      </w:tr>
      <w:tr>
        <w:trPr>
          <w:trHeight w:val="23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x</w:t>
            </w: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88"/>
              </w:rPr>
              <w:t>x</w:t>
            </w:r>
          </w:p>
        </w:tc>
      </w:tr>
      <w:tr>
        <w:trPr>
          <w:trHeight w:val="20"/>
        </w:trPr>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Non-cash compensation expenses resulting from the grant of equity awards.</w:t>
      </w:r>
    </w:p>
    <w:p>
      <w:pPr>
        <w:spacing w:after="0" w:line="92"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Non-recurring costs and expenses relating to diligence and transaction costs, purchase accounting costs, severance, relocation, restructuring and curtailment expenses.</w:t>
      </w:r>
    </w:p>
    <w:p>
      <w:pPr>
        <w:spacing w:after="0" w:line="114" w:lineRule="exact"/>
        <w:rPr>
          <w:rFonts w:ascii="Arial" w:cs="Arial" w:eastAsia="Arial" w:hAnsi="Arial"/>
          <w:sz w:val="19"/>
          <w:szCs w:val="19"/>
          <w:color w:val="auto"/>
          <w:vertAlign w:val="superscript"/>
        </w:rPr>
      </w:pPr>
    </w:p>
    <w:p>
      <w:pPr>
        <w:ind w:left="400" w:hanging="392"/>
        <w:spacing w:after="0"/>
        <w:tabs>
          <w:tab w:leader="none" w:pos="40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Includes approximately $3.7 million of acquisition related contingent consideration as of June 30, 2022.</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revolving credit facility allows for the issuance of letters of credit, not to exceed $40.0 million in aggregate. We placed restricted cash on deposit with a financial institution to be held as cash collateral for our outstanding letters of credit; therefore, as of December 31, 2021, we had no letters of credit issued against our revolving credit facility. At June 30, 2022, we had no amounts outstanding under our revolving credit facility and had $295.1 million potentially available after giving effect to approximately $4.9 million of letters of credit issued and outstanding. At December 31, 2021, we had no amounts outstanding under our revolving credit facility and had $300.0 million potentially available. Our letters of credit, or corresponding restricted cash deposits,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June 30, 2022 and December 31, 2021.</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weighted average borrowings during the first six months of 2022 approximated $400.1 million, compared to approximately $403.7 million during the first six months of 2021, primarily due to a higher aggregate principal balance on our senior notes due to the issuance of the 2029 Senior Notes and the redemption of the 2025 Senior Notes during the first half of 2021.</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2021, we, through one of our non-U.S. subsidiaries, entered into a revolving loan facility with a borrowing capacity of $4 million. The facility is guaranteed by TriMas Corporation. There were no borrowings on this loan facility as of June 30, 2022.</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more than half of our cash on hand as of June 30, 2022 is located outside the U.S., given available funding under our revolving credit facility of $300.0 million at June 30, 2022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variable interest rates on our revolving credit facility, which is subject to a benchmark interest rate determined based on the currency denomination of borrowings. At June 30, 2022, we had no amounts outstanding on our revolving credit facility and, therefore, no variable rate-based borrowings outstanding.</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$11.0 million in 2021. We expect leasing will continue to be an available financing option to fund future capital expenditure requirements.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2020, we announced our Board of Directors had authorized us to increase the purchase of our common stock up to $250 million in the aggregate, an increase of $100 million from the prior authorization. In the three and six months ended June 30, 2022, we purchased 645,984 and 927,987 shares of our outstanding common stock for an aggregate purchase price of approximately $18.8 million and $27.9 million, respectively. Since the initial authorization through June 30, 2022, we have purchased 4,778,802 shares of our outstanding common stock for an aggregate purchase price of approximately $135.3 million. We will continue to evaluate opportunities to return capital to shareholders through the purchase of our common stock and the payment of dividends, depending on market conditions, including the potential impact of the COVID-19 pandemic, and other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June 30, 2022, we were party to foreign exchange forward and swap contracts to hedge changes in foreign currency exchange rates with notional amounts of approximately $130.4 million. We also use cross-currency swap agreements to mitigate currency risks associated with the net investment in certain of our foreign subsidiaries. See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interest risk as it relates to our long-term debt.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within this quarterly report on Form 10-Q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 Our stock trades under the symbol "TRS."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and certain of our outstanding debt obligations are rated by Standard &amp; Poor's and Moody's. On March 29, 2022, Moody's affirmed a Ba3 rating to our 2029 Senior Notes. See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Part I,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xml:space="preserve"> within this quarterly report on Form 10-Q. Moody's also affirmed a Ba2 Corporate Family Rating and maintained its outlook as stable. On May 12, 2022, Standard &amp; Poor's affirmed a BB- rating to our 2029 Senior Notes. Standard &amp; Poor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our second quarter 2022 financial results continue to demonstrate our ability to effectively leverage our TriMas Business Model, working across our businesses with a high degree of connectivity to respond to changing market conditions, whether they be related to the COVID-19 pandemic, volatile commodity costs or the supply chain and energy cost impacts from the Russia-Ukraine conflict. We have capitalized on opportunities where market demand was high, while also taking swift actions where market demand was sharply reduced. We have continued to take proactive realignment actions to mitigate external pressures as much as practical, while at the same time growing our businesses through organic new products as well as via bolt-on acquisitions.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Looking forward, we believe there will be a continued period of uncertainty related to demand levels for our products, whether it be if production rates for new aircraft builds, which require our fasteners and engineered products, will continue to increase as we experienced in the second quarter of 2022, or whether general industrial activity will continue to its upward trajectory through the balance of the year. We expect to continue to mitigate, as much as practical, the impact of low volumes in the most challenged end markets, executing realignment actions as necessary so we are positioned to gain operating leverage when these end markets recover. We believe we remain well positioned to capitalize on the recovery of the aerospace market, just as we have with the improvement in the industrial markets, as well as capture available market growth opportunities.</w:t>
      </w:r>
    </w:p>
    <w:p>
      <w:pPr>
        <w:spacing w:after="0" w:line="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Following our recent acquisitions, we continue to believe our capital structure remains strong and that we have sufficient headroom under our financial covenants, and sufficient cash and available liquidity under our revolving credit facility, to meet our debt service, capital expenditure and other short-term and long-term obligations for at least the next 12 months and for the foreseeable future thereafter, as well as dividends and share repurchases.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See Note 2, "</w:t>
      </w:r>
      <w:r>
        <w:rPr>
          <w:rFonts w:ascii="Arial" w:cs="Arial" w:eastAsia="Arial" w:hAnsi="Arial"/>
          <w:sz w:val="16"/>
          <w:szCs w:val="16"/>
          <w:i w:val="1"/>
          <w:iCs w:val="1"/>
          <w:color w:val="auto"/>
        </w:rPr>
        <w:t>New Accounting Pronouncements</w:t>
      </w:r>
      <w:r>
        <w:rPr>
          <w:rFonts w:ascii="Arial" w:cs="Arial" w:eastAsia="Arial" w:hAnsi="Arial"/>
          <w:sz w:val="16"/>
          <w:szCs w:val="16"/>
          <w:color w:val="auto"/>
        </w:rPr>
        <w:t>," included in Part 1,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within this quarterly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June 30, 2022, there were no material changes to the items that we disclosed as our critical accounting policies in Part II, Item 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the Annual Report on Form 10-K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and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 information.</w:t>
      </w:r>
    </w:p>
    <w:p>
      <w:pPr>
        <w:spacing w:after="0" w:line="1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2022,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June 30, 2022, the Company's disclosure controls and procedures are effective to provide reasonable assurance that they would meet their objectives.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have required certain employees, some of whom are involved in the operation of our internal controls over financial reporting, to work from home. Despite this change, there have been no changes in the Company's internal control over financial reporting during the quarter ended June 30, 2022 that have materially affected, or are reasonably likely to materially affect, the Company's internal control over financial reporting. We are continually monitoring and assessing the COVID-19 pandemic on our internal controls to minimize any impact it may have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2021 Annual Report on Form 10-K, which could materially affect our business, financial condition or future results. There have been no significant changes in our risk factors as disclosed in our 2021 Annual Report on Form 10-K.</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June 30, 2022.</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4"/>
                <w:szCs w:val="14"/>
                <w:color w:val="auto"/>
              </w:rPr>
            </w:pPr>
          </w:p>
        </w:tc>
        <w:tc>
          <w:tcPr>
            <w:tcW w:w="182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1"/>
              </w:rPr>
              <w:t>Average Price Paid per</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3"/>
              </w:rPr>
              <w:t>Yet Be Purchased Under</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1720" w:type="dxa"/>
            <w:vAlign w:val="bottom"/>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Share</w:t>
            </w:r>
          </w:p>
        </w:tc>
        <w:tc>
          <w:tcPr>
            <w:tcW w:w="17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9"/>
              </w:rPr>
              <w:t xml:space="preserve">Plans or Programs </w:t>
            </w:r>
            <w:r>
              <w:rPr>
                <w:rFonts w:ascii="Arial" w:cs="Arial" w:eastAsia="Arial" w:hAnsi="Arial"/>
                <w:sz w:val="21"/>
                <w:szCs w:val="21"/>
                <w:b w:val="1"/>
                <w:bCs w:val="1"/>
                <w:color w:val="auto"/>
                <w:w w:val="89"/>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13"/>
              <w:spacing w:after="0" w:line="216" w:lineRule="exact"/>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2022 to April 30, 2022</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127,216,704</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May 1, 2022 to May 31, 2022</w:t>
            </w:r>
          </w:p>
        </w:tc>
        <w:tc>
          <w:tcPr>
            <w:tcW w:w="1720" w:type="dxa"/>
            <w:vAlign w:val="bottom"/>
          </w:tcPr>
          <w:p>
            <w:pPr>
              <w:jc w:val="right"/>
              <w:spacing w:after="0"/>
              <w:rPr>
                <w:sz w:val="20"/>
                <w:szCs w:val="20"/>
                <w:color w:val="auto"/>
              </w:rPr>
            </w:pPr>
            <w:r>
              <w:rPr>
                <w:rFonts w:ascii="Arial" w:cs="Arial" w:eastAsia="Arial" w:hAnsi="Arial"/>
                <w:sz w:val="18"/>
                <w:szCs w:val="18"/>
                <w:color w:val="auto"/>
              </w:rPr>
              <w:t>362,122</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362,122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117,037,720</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2022 to June 30,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83,862</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114,724,888</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645,984</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29.16</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114,724,888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jc w:val="both"/>
        <w:ind w:left="340" w:hanging="332"/>
        <w:spacing w:after="0" w:line="228" w:lineRule="auto"/>
        <w:tabs>
          <w:tab w:leader="none" w:pos="309"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June 30, 2022, the Company repurchased 645,984 shares of its common stock at a cost of approximately $18.8 million. The share repurchase program is effective and has no expiration date.</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180" w:type="dxa"/>
            <w:vAlign w:val="bottom"/>
            <w:gridSpan w:val="8"/>
          </w:tcPr>
          <w:p>
            <w:pPr>
              <w:spacing w:after="0"/>
              <w:rPr>
                <w:sz w:val="20"/>
                <w:szCs w:val="20"/>
                <w:color w:val="auto"/>
              </w:rPr>
            </w:pPr>
            <w:r>
              <w:rPr>
                <w:rFonts w:ascii="Arial" w:cs="Arial" w:eastAsia="Arial" w:hAnsi="Arial"/>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18"/>
                <w:szCs w:val="18"/>
                <w:color w:val="auto"/>
              </w:rPr>
            </w:pPr>
          </w:p>
        </w:tc>
        <w:tc>
          <w:tcPr>
            <w:tcW w:w="9500" w:type="dxa"/>
            <w:vAlign w:val="bottom"/>
            <w:gridSpan w:val="6"/>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Fourth Amended and Restated Certificate of Incorporation of TriMas Corporation (Incorporated by reference to the Exhibits filed</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with TriMas Corporation's Quarterly Report on Form 10-Q filed on August 3, 2007 (File No. 001-10716)).</w:t>
              </w:r>
            </w:hyperlink>
          </w:p>
        </w:tc>
        <w:tc>
          <w:tcPr>
            <w:tcW w:w="164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18"/>
                <w:szCs w:val="18"/>
                <w:color w:val="auto"/>
              </w:rPr>
            </w:pPr>
          </w:p>
        </w:tc>
        <w:tc>
          <w:tcPr>
            <w:tcW w:w="9500" w:type="dxa"/>
            <w:vAlign w:val="bottom"/>
            <w:gridSpan w:val="6"/>
          </w:tcPr>
          <w:p>
            <w:pPr>
              <w:spacing w:after="0"/>
              <w:rPr>
                <w:rFonts w:ascii="Arial" w:cs="Arial" w:eastAsia="Arial" w:hAnsi="Arial"/>
                <w:sz w:val="18"/>
                <w:szCs w:val="18"/>
                <w:color w:val="0000FF"/>
                <w:w w:val="99"/>
              </w:rPr>
            </w:pPr>
            <w:hyperlink r:id="rId52">
              <w:r>
                <w:rPr>
                  <w:rFonts w:ascii="Arial" w:cs="Arial" w:eastAsia="Arial" w:hAnsi="Arial"/>
                  <w:sz w:val="18"/>
                  <w:szCs w:val="18"/>
                  <w:color w:val="0000FF"/>
                  <w:w w:val="99"/>
                </w:rPr>
                <w:t>Third Amended and Restated By-laws of TriMas Corporation (Incorporated by reference to the Exhibits filed with TriMas</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Corporation's Current Report on Form 8-K filed on December 18, 2015 (File No. 001-10716)).</w:t>
              </w:r>
            </w:hyperlink>
          </w:p>
        </w:tc>
        <w:tc>
          <w:tcPr>
            <w:tcW w:w="700" w:type="dxa"/>
            <w:vAlign w:val="bottom"/>
            <w:gridSpan w:val="2"/>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2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rFonts w:ascii="Arial" w:cs="Arial" w:eastAsia="Arial" w:hAnsi="Arial"/>
                <w:sz w:val="18"/>
                <w:szCs w:val="18"/>
                <w:color w:val="0000FF"/>
                <w:w w:val="98"/>
              </w:rPr>
            </w:pPr>
            <w:hyperlink w:anchor="page45">
              <w:r>
                <w:rPr>
                  <w:rFonts w:ascii="Arial" w:cs="Arial" w:eastAsia="Arial" w:hAnsi="Arial"/>
                  <w:sz w:val="18"/>
                  <w:szCs w:val="18"/>
                  <w:color w:val="0000FF"/>
                  <w:w w:val="98"/>
                </w:rPr>
                <w:t>Certification pursuant to 18 U.S.C. Section 1350, as adopted pursuant to Section 302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rFonts w:ascii="Arial" w:cs="Arial" w:eastAsia="Arial" w:hAnsi="Arial"/>
                <w:sz w:val="18"/>
                <w:szCs w:val="18"/>
                <w:color w:val="0000FF"/>
                <w:w w:val="98"/>
              </w:rPr>
            </w:pPr>
            <w:hyperlink w:anchor="page46">
              <w:r>
                <w:rPr>
                  <w:rFonts w:ascii="Arial" w:cs="Arial" w:eastAsia="Arial" w:hAnsi="Arial"/>
                  <w:sz w:val="18"/>
                  <w:szCs w:val="18"/>
                  <w:color w:val="0000FF"/>
                  <w:w w:val="98"/>
                </w:rPr>
                <w:t>Certification pursuant to 18 U.S.C. Section 1350, as adopted pursuant to Section 302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rFonts w:ascii="Arial" w:cs="Arial" w:eastAsia="Arial" w:hAnsi="Arial"/>
                <w:sz w:val="18"/>
                <w:szCs w:val="18"/>
                <w:color w:val="0000FF"/>
                <w:w w:val="98"/>
              </w:rPr>
            </w:pPr>
            <w:hyperlink w:anchor="page47">
              <w:r>
                <w:rPr>
                  <w:rFonts w:ascii="Arial" w:cs="Arial" w:eastAsia="Arial" w:hAnsi="Arial"/>
                  <w:sz w:val="18"/>
                  <w:szCs w:val="18"/>
                  <w:color w:val="0000FF"/>
                  <w:w w:val="98"/>
                </w:rPr>
                <w:t>Certification pursuant to 18 U.S.C. Section 1350, as adopted pursuant to Section 906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rFonts w:ascii="Arial" w:cs="Arial" w:eastAsia="Arial" w:hAnsi="Arial"/>
                <w:sz w:val="18"/>
                <w:szCs w:val="18"/>
                <w:color w:val="0000FF"/>
                <w:w w:val="98"/>
              </w:rPr>
            </w:pPr>
            <w:hyperlink w:anchor="page48">
              <w:r>
                <w:rPr>
                  <w:rFonts w:ascii="Arial" w:cs="Arial" w:eastAsia="Arial" w:hAnsi="Arial"/>
                  <w:sz w:val="18"/>
                  <w:szCs w:val="18"/>
                  <w:color w:val="0000FF"/>
                  <w:w w:val="98"/>
                </w:rPr>
                <w:t>Certification pursuant to 18 U.S.C. Section 1350, as adopted pursuant to Section 906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040" w:type="dxa"/>
            <w:vAlign w:val="bottom"/>
          </w:tcPr>
          <w:p>
            <w:pPr>
              <w:spacing w:after="0"/>
              <w:rPr>
                <w:sz w:val="17"/>
                <w:szCs w:val="17"/>
                <w:color w:val="auto"/>
              </w:rPr>
            </w:pPr>
          </w:p>
        </w:tc>
        <w:tc>
          <w:tcPr>
            <w:tcW w:w="9500" w:type="dxa"/>
            <w:vAlign w:val="bottom"/>
            <w:gridSpan w:val="6"/>
          </w:tcPr>
          <w:p>
            <w:pPr>
              <w:spacing w:after="0" w:line="196" w:lineRule="exact"/>
              <w:rPr>
                <w:sz w:val="20"/>
                <w:szCs w:val="20"/>
                <w:color w:val="auto"/>
              </w:rPr>
            </w:pPr>
            <w:r>
              <w:rPr>
                <w:rFonts w:ascii="Arial" w:cs="Arial" w:eastAsia="Arial" w:hAnsi="Arial"/>
                <w:sz w:val="18"/>
                <w:szCs w:val="18"/>
                <w:color w:val="auto"/>
                <w:w w:val="92"/>
              </w:rPr>
              <w:t>The following materials from TriMas Corporation's Quarterly Report on Form 10-Q for the quarter ended June 30, 2022, formatted</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6"/>
          </w:tcPr>
          <w:p>
            <w:pPr>
              <w:spacing w:after="0" w:line="176" w:lineRule="exact"/>
              <w:rPr>
                <w:sz w:val="20"/>
                <w:szCs w:val="20"/>
                <w:color w:val="auto"/>
              </w:rPr>
            </w:pPr>
            <w:r>
              <w:rPr>
                <w:rFonts w:ascii="Arial" w:cs="Arial" w:eastAsia="Arial" w:hAnsi="Arial"/>
                <w:sz w:val="18"/>
                <w:szCs w:val="18"/>
                <w:color w:val="auto"/>
                <w:w w:val="92"/>
              </w:rPr>
              <w:t>in Inline XBRL (eXtensible Business Reporting Language): (i) the Consolidated Balance Sheet, (ii) the Consolidated Statement of</w:t>
            </w:r>
          </w:p>
        </w:tc>
      </w:tr>
      <w:tr>
        <w:trPr>
          <w:trHeight w:val="175"/>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6"/>
          </w:tcPr>
          <w:p>
            <w:pPr>
              <w:spacing w:after="0" w:line="176" w:lineRule="exact"/>
              <w:rPr>
                <w:sz w:val="20"/>
                <w:szCs w:val="20"/>
                <w:color w:val="auto"/>
              </w:rPr>
            </w:pPr>
            <w:r>
              <w:rPr>
                <w:rFonts w:ascii="Arial" w:cs="Arial" w:eastAsia="Arial" w:hAnsi="Arial"/>
                <w:sz w:val="18"/>
                <w:szCs w:val="18"/>
                <w:color w:val="auto"/>
                <w:w w:val="96"/>
              </w:rPr>
              <w:t>Income, (iii) the Consolidated Statement of Comprehensive Income, (iv) the Consolidated Statement of Cash Flows, (v) the</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6"/>
          </w:tcPr>
          <w:p>
            <w:pPr>
              <w:spacing w:after="0" w:line="176" w:lineRule="exact"/>
              <w:rPr>
                <w:sz w:val="20"/>
                <w:szCs w:val="20"/>
                <w:color w:val="auto"/>
              </w:rPr>
            </w:pPr>
            <w:r>
              <w:rPr>
                <w:rFonts w:ascii="Arial" w:cs="Arial" w:eastAsia="Arial" w:hAnsi="Arial"/>
                <w:sz w:val="18"/>
                <w:szCs w:val="18"/>
                <w:color w:val="auto"/>
                <w:w w:val="93"/>
              </w:rPr>
              <w:t>Consolidated Statement of Shareholders' Equity, (vi) Notes to Consolidated Financial Statements, and (vii) document and entity</w:t>
            </w:r>
          </w:p>
        </w:tc>
      </w:tr>
      <w:tr>
        <w:trPr>
          <w:trHeight w:val="229"/>
        </w:trPr>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information.</w:t>
            </w:r>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104</w:t>
            </w:r>
          </w:p>
        </w:tc>
        <w:tc>
          <w:tcPr>
            <w:tcW w:w="1040" w:type="dxa"/>
            <w:vAlign w:val="bottom"/>
          </w:tcPr>
          <w:p>
            <w:pPr>
              <w:spacing w:after="0"/>
              <w:rPr>
                <w:sz w:val="20"/>
                <w:szCs w:val="20"/>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4180" w:type="dxa"/>
            <w:vAlign w:val="bottom"/>
            <w:gridSpan w:val="2"/>
          </w:tcPr>
          <w:p>
            <w:pPr>
              <w:ind w:left="1000"/>
              <w:spacing w:after="0"/>
              <w:rPr>
                <w:sz w:val="20"/>
                <w:szCs w:val="20"/>
                <w:color w:val="auto"/>
              </w:rPr>
            </w:pPr>
            <w:r>
              <w:rPr>
                <w:rFonts w:ascii="Arial" w:cs="Arial" w:eastAsia="Arial" w:hAnsi="Arial"/>
                <w:sz w:val="18"/>
                <w:szCs w:val="18"/>
                <w:b w:val="1"/>
                <w:bCs w:val="1"/>
                <w:color w:val="auto"/>
              </w:rPr>
              <w:t>TRIMAS CORPORATION (Registrant)</w:t>
            </w: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Arial" w:cs="Arial" w:eastAsia="Arial" w:hAnsi="Arial"/>
                <w:sz w:val="18"/>
                <w:szCs w:val="18"/>
                <w:color w:val="auto"/>
                <w:w w:val="96"/>
              </w:rPr>
              <w:t>/s/ SCOTT A. MELL</w:t>
            </w: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560" w:type="dxa"/>
            <w:vAlign w:val="bottom"/>
            <w:vMerge w:val="restart"/>
          </w:tcPr>
          <w:p>
            <w:pPr>
              <w:spacing w:after="0"/>
              <w:rPr>
                <w:sz w:val="20"/>
                <w:szCs w:val="20"/>
                <w:color w:val="auto"/>
              </w:rPr>
            </w:pPr>
            <w:r>
              <w:rPr>
                <w:rFonts w:ascii="Arial" w:cs="Arial" w:eastAsia="Arial" w:hAnsi="Arial"/>
                <w:sz w:val="18"/>
                <w:szCs w:val="18"/>
                <w:color w:val="auto"/>
              </w:rPr>
              <w:t>Date:  July 28, 2022</w:t>
            </w:r>
          </w:p>
        </w:tc>
        <w:tc>
          <w:tcPr>
            <w:tcW w:w="4180" w:type="dxa"/>
            <w:vAlign w:val="bottom"/>
            <w:gridSpan w:val="2"/>
            <w:vMerge w:val="restart"/>
          </w:tcPr>
          <w:p>
            <w:pPr>
              <w:ind w:left="1000"/>
              <w:spacing w:after="0"/>
              <w:rPr>
                <w:sz w:val="20"/>
                <w:szCs w:val="20"/>
                <w:color w:val="auto"/>
              </w:rPr>
            </w:pPr>
            <w:r>
              <w:rPr>
                <w:rFonts w:ascii="Arial" w:cs="Arial" w:eastAsia="Arial" w:hAnsi="Arial"/>
                <w:sz w:val="18"/>
                <w:szCs w:val="18"/>
                <w:color w:val="auto"/>
              </w:rPr>
              <w:t>By:</w:t>
            </w:r>
          </w:p>
        </w:tc>
        <w:tc>
          <w:tcPr>
            <w:tcW w:w="4440" w:type="dxa"/>
            <w:vAlign w:val="bottom"/>
          </w:tcPr>
          <w:p>
            <w:pPr>
              <w:jc w:val="center"/>
              <w:ind w:right="2490"/>
              <w:spacing w:after="0" w:line="169" w:lineRule="exact"/>
              <w:rPr>
                <w:sz w:val="20"/>
                <w:szCs w:val="20"/>
                <w:color w:val="auto"/>
              </w:rPr>
            </w:pPr>
            <w:r>
              <w:rPr>
                <w:rFonts w:ascii="Arial" w:cs="Arial" w:eastAsia="Arial" w:hAnsi="Arial"/>
                <w:sz w:val="18"/>
                <w:szCs w:val="18"/>
                <w:color w:val="auto"/>
                <w:w w:val="96"/>
              </w:rPr>
              <w:t>Scott A. Mell</w:t>
            </w:r>
          </w:p>
        </w:tc>
        <w:tc>
          <w:tcPr>
            <w:tcW w:w="0" w:type="dxa"/>
            <w:vAlign w:val="bottom"/>
          </w:tcPr>
          <w:p>
            <w:pPr>
              <w:spacing w:after="0"/>
              <w:rPr>
                <w:sz w:val="1"/>
                <w:szCs w:val="1"/>
                <w:color w:val="auto"/>
              </w:rPr>
            </w:pPr>
          </w:p>
        </w:tc>
      </w:tr>
      <w:tr>
        <w:trPr>
          <w:trHeight w:val="230"/>
        </w:trPr>
        <w:tc>
          <w:tcPr>
            <w:tcW w:w="2560" w:type="dxa"/>
            <w:vAlign w:val="bottom"/>
            <w:vMerge w:val="continue"/>
          </w:tcPr>
          <w:p>
            <w:pPr>
              <w:spacing w:after="0"/>
              <w:rPr>
                <w:sz w:val="20"/>
                <w:szCs w:val="20"/>
                <w:color w:val="auto"/>
              </w:rPr>
            </w:pPr>
          </w:p>
        </w:tc>
        <w:tc>
          <w:tcPr>
            <w:tcW w:w="4180" w:type="dxa"/>
            <w:vAlign w:val="bottom"/>
            <w:gridSpan w:val="2"/>
            <w:vMerge w:val="continue"/>
          </w:tcPr>
          <w:p>
            <w:pPr>
              <w:spacing w:after="0"/>
              <w:rPr>
                <w:sz w:val="20"/>
                <w:szCs w:val="20"/>
                <w:color w:val="auto"/>
              </w:rPr>
            </w:pPr>
          </w:p>
        </w:tc>
        <w:tc>
          <w:tcPr>
            <w:tcW w:w="444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11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Scott A. Mell, certify that:</w:t>
      </w:r>
    </w:p>
    <w:p>
      <w:pPr>
        <w:spacing w:after="0" w:line="22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11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Scott A. Mell</w:t>
      </w:r>
    </w:p>
    <w:p>
      <w:pPr>
        <w:ind w:left="71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June 30, 2022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June 30, 2022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Scott A. Mell</w:t>
      </w:r>
    </w:p>
    <w:p>
      <w:pPr>
        <w:ind w:left="71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1" Type="http://schemas.openxmlformats.org/officeDocument/2006/relationships/hyperlink" Target="http://www.sec.gov/Archives/edgar/data/842633/000110465907058776/a07-19157_1ex3d1.htm" TargetMode="External"/><Relationship Id="rId52"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2022-07-28T13:11:07Z</dcterms:created>
  <dcterms:modified xsi:type="dcterms:W3CDTF">2022-07-28T13:11:07Z</dcterms:modified>
</cp:coreProperties>
</file>