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TriMas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SH</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Allspring Global Investments Holdings,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1,418,525.00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1,419,484.00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1,419,484.00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TriMas Corp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38505 Woodward Avenue, Suite 200, Bloomfield Hills, US-MI, 48304, US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Allspring Global Investments Holdings,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1415 Vantage Park Drive, Charlotte, 28203, North Carolina, United States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SH</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1,419,484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4.0  %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1,418,525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1,419,484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The securities as to which this Schedule is filed are owned of record by clients of one or more investment Advisers identified in Exhibit A directly or indirectly owned by Allspring Global Investments Holdings, LLC. Those Clients have the right to receive, or the power to direct the receipt of, dividends from, or the proceeds for the sale of, such securities. No such client is known to have such right or power with respect to more than five percent of this class of securities, except as follows: None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236" w:type="dxa"/>
        <w:jc w:val="left"/>
        <w:tblInd w:w="0" w:type="dxa"/>
        <w:tblLayout w:type="fixed"/>
        <w:tblCellMar>
          <w:top w:w="28" w:type="dxa"/>
          <w:left w:w="28" w:type="dxa"/>
          <w:bottom w:w="28" w:type="dxa"/>
          <w:right w:w="28" w:type="dxa"/>
        </w:tblCellMar>
      </w:tblPr>
      <w:tblGrid>
        <w:gridCol w:w="4618"/>
        <w:gridCol w:w="4618"/>
      </w:tblGrid>
      <w:tr>
        <w:trPr/>
        <w:tc>
          <w:tcPr>
            <w:tcW w:w="4618" w:type="dxa"/>
            <w:tcBorders/>
            <w:vAlign w:val="center"/>
          </w:tcPr>
          <w:p>
            <w:pPr>
              <w:pStyle w:val="TableContents"/>
              <w:bidi w:val="0"/>
              <w:spacing w:before="0" w:after="0"/>
              <w:jc w:val="left"/>
              <w:rPr/>
            </w:pPr>
            <w:r>
              <w:rPr/>
              <w:t> </w:t>
            </w:r>
          </w:p>
          <w:tbl>
            <w:tblPr>
              <w:tblW w:w="4456" w:type="dxa"/>
              <w:jc w:val="left"/>
              <w:tblInd w:w="0" w:type="dxa"/>
              <w:tblLayout w:type="fixed"/>
              <w:tblCellMar>
                <w:top w:w="28" w:type="dxa"/>
                <w:left w:w="28" w:type="dxa"/>
                <w:bottom w:w="28" w:type="dxa"/>
                <w:right w:w="28" w:type="dxa"/>
              </w:tblCellMar>
            </w:tblPr>
            <w:tblGrid>
              <w:gridCol w:w="4456"/>
            </w:tblGrid>
            <w:tr>
              <w:trPr/>
              <w:tc>
                <w:tcPr>
                  <w:tcW w:w="4456" w:type="dxa"/>
                  <w:tcBorders/>
                  <w:vAlign w:val="center"/>
                </w:tcPr>
                <w:p>
                  <w:pPr>
                    <w:pStyle w:val="TableContents"/>
                    <w:bidi w:val="0"/>
                    <w:spacing w:before="0" w:after="0"/>
                    <w:jc w:val="left"/>
                    <w:rPr/>
                  </w:pPr>
                  <w:r>
                    <w:rPr/>
                    <w:t>Allspring Global Investments Holdings, LLC</w:t>
                  </w:r>
                </w:p>
              </w:tc>
            </w:tr>
          </w:tbl>
          <w:p>
            <w:pPr>
              <w:pStyle w:val="TableContents"/>
              <w:bidi w:val="0"/>
              <w:spacing w:before="0" w:after="283"/>
              <w:jc w:val="left"/>
              <w:rPr/>
            </w:pPr>
            <w:r>
              <w:rPr/>
            </w:r>
          </w:p>
        </w:tc>
        <w:tc>
          <w:tcPr>
            <w:tcW w:w="46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Jennifer Grunberg</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Senior Compliance Manager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10/05/2026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A Subsidiary Allspring Global Investments, LLC - IA Allspring Funds Management, LLC - IA *Entity beneficially owns 5% or greater of the outstanding shares of the security class being reported on this schedule 13G.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1015</Words>
  <Characters>5209</Characters>
  <CharactersWithSpaces>6219</CharactersWithSpaces>
  <Paragraphs>166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