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29,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TRIMAS CORPORATION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15" w:right="339" w:bottom="1440" w:gutter="0" w:footer="0" w:header="0"/>
        </w:sectPr>
      </w:pPr>
    </w:p>
    <w:p>
      <w:pPr>
        <w:spacing w:after="0" w:line="32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3"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001-10716</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(Commission</w:t>
      </w:r>
    </w:p>
    <w:p>
      <w:pPr>
        <w:spacing w:after="0" w:line="2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38-2687639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60" w:space="720"/>
            <w:col w:w="2980" w:space="720"/>
            <w:col w:w="2460"/>
          </w:cols>
          <w:pgMar w:left="320" w:top="1015" w:right="339" w:bottom="1440" w:gutter="0" w:footer="0" w:header="0"/>
          <w:type w:val="continuous"/>
        </w:sectPr>
      </w:pPr>
    </w:p>
    <w:p>
      <w:pPr>
        <w:spacing w:after="0" w:line="246" w:lineRule="exact"/>
        <w:rPr>
          <w:sz w:val="24"/>
          <w:szCs w:val="24"/>
          <w:color w:val="auto"/>
        </w:rPr>
      </w:pPr>
    </w:p>
    <w:p>
      <w:pPr>
        <w:ind w:left="320"/>
        <w:spacing w:after="0"/>
        <w:tabs>
          <w:tab w:leader="none" w:pos="2760" w:val="left"/>
          <w:tab w:leader="none" w:pos="3880" w:val="left"/>
        </w:tabs>
        <w:rPr>
          <w:sz w:val="20"/>
          <w:szCs w:val="20"/>
          <w:color w:val="auto"/>
        </w:rPr>
      </w:pPr>
      <w:r>
        <w:rPr>
          <w:rFonts w:ascii="Times New Roman" w:cs="Times New Roman" w:eastAsia="Times New Roman" w:hAnsi="Times New Roman"/>
          <w:sz w:val="18"/>
          <w:szCs w:val="18"/>
          <w:b w:val="1"/>
          <w:bCs w:val="1"/>
          <w:color w:val="auto"/>
        </w:rPr>
        <w:t>38505 Woodward Avenue,</w:t>
      </w:r>
      <w:r>
        <w:rPr>
          <w:sz w:val="20"/>
          <w:szCs w:val="20"/>
          <w:color w:val="auto"/>
        </w:rPr>
        <w:tab/>
      </w:r>
      <w:r>
        <w:rPr>
          <w:rFonts w:ascii="Times New Roman" w:cs="Times New Roman" w:eastAsia="Times New Roman" w:hAnsi="Times New Roman"/>
          <w:sz w:val="18"/>
          <w:szCs w:val="18"/>
          <w:b w:val="1"/>
          <w:bCs w:val="1"/>
          <w:color w:val="auto"/>
        </w:rPr>
        <w:t>Suite 200,</w:t>
      </w:r>
      <w:r>
        <w:rPr>
          <w:sz w:val="20"/>
          <w:szCs w:val="20"/>
          <w:color w:val="auto"/>
        </w:rPr>
        <w:tab/>
      </w:r>
      <w:r>
        <w:rPr>
          <w:rFonts w:ascii="Times New Roman" w:cs="Times New Roman" w:eastAsia="Times New Roman" w:hAnsi="Times New Roman"/>
          <w:sz w:val="17"/>
          <w:szCs w:val="17"/>
          <w:b w:val="1"/>
          <w:bCs w:val="1"/>
          <w:color w:val="auto"/>
        </w:rPr>
        <w:t>Bloomfield Hills,</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2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48304</w:t>
      </w:r>
    </w:p>
    <w:p>
      <w:pPr>
        <w:spacing w:after="0" w:line="25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204" w:lineRule="exact"/>
        <w:rPr>
          <w:sz w:val="24"/>
          <w:szCs w:val="24"/>
          <w:color w:val="auto"/>
        </w:rPr>
      </w:pPr>
    </w:p>
    <w:p>
      <w:pPr>
        <w:sectPr>
          <w:pgSz w:w="11900" w:h="16838" w:orient="portrait"/>
          <w:cols w:equalWidth="0" w:num="2">
            <w:col w:w="7360" w:space="720"/>
            <w:col w:w="3160"/>
          </w:cols>
          <w:pgMar w:left="320" w:top="1015" w:right="339" w:bottom="1440" w:gutter="0" w:footer="0" w:header="0"/>
          <w:type w:val="continuous"/>
        </w:sectPr>
      </w:pP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(248) 631-5450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8"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4"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8"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97"/>
        </w:trPr>
        <w:tc>
          <w:tcPr>
            <w:tcW w:w="1620" w:type="dxa"/>
            <w:vAlign w:val="bottom"/>
          </w:tcPr>
          <w:p>
            <w:pPr>
              <w:spacing w:after="0"/>
              <w:rPr>
                <w:sz w:val="24"/>
                <w:szCs w:val="24"/>
                <w:color w:val="auto"/>
              </w:rPr>
            </w:pPr>
          </w:p>
        </w:tc>
        <w:tc>
          <w:tcPr>
            <w:tcW w:w="338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1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50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5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6"/>
              </w:rPr>
              <w:t>TRS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3" w:lineRule="exact"/>
        <w:rPr>
          <w:sz w:val="24"/>
          <w:szCs w:val="24"/>
          <w:color w:val="auto"/>
        </w:rPr>
      </w:pPr>
    </w:p>
    <w:p>
      <w:pPr>
        <w:ind w:left="7180"/>
        <w:spacing w:after="0" w:line="207" w:lineRule="exact"/>
        <w:tabs>
          <w:tab w:leader="none" w:pos="98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31"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TriMas Corporation (the “Company”) issued a press release on October 29, 2026, reporting its financial results for the third quarter ending September 30, 2026. A copy of the press release is attached hereto as Exhibit 99.1 and is incorporated herein by reference. The press release is also available on the Corporation's website at </w:t>
      </w:r>
      <w:r>
        <w:rPr>
          <w:rFonts w:ascii="Times New Roman" w:cs="Times New Roman" w:eastAsia="Times New Roman" w:hAnsi="Times New Roman"/>
          <w:sz w:val="18"/>
          <w:szCs w:val="18"/>
          <w:u w:val="single" w:color="auto"/>
          <w:color w:val="0000FF"/>
        </w:rPr>
        <w:t>www.trimas.com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in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(the "Securities Act") or the Exchange Act.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9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furnished herewith:</w:t>
      </w:r>
    </w:p>
    <w:p>
      <w:pPr>
        <w:spacing w:after="0" w:line="14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81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Description</w:t>
            </w:r>
          </w:p>
        </w:tc>
      </w:tr>
      <w:tr>
        <w:trPr>
          <w:trHeight w:val="439"/>
        </w:trPr>
        <w:tc>
          <w:tcPr>
            <w:tcW w:w="1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October 29, 2026, reporting financial results for the quarter ended September 30, 2026.</w:t>
            </w: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7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File (embedded within the Inline XBRL document).</w:t>
            </w:r>
          </w:p>
        </w:tc>
        <w:tc>
          <w:tcPr>
            <w:tcW w:w="380" w:type="dxa"/>
            <w:vAlign w:val="bottom"/>
          </w:tcPr>
          <w:p>
            <w:pPr>
              <w:spacing w:after="0"/>
              <w:rPr>
                <w:sz w:val="21"/>
                <w:szCs w:val="2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499"/>
        </w:trPr>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October 29, 2026</w:t>
            </w: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A. Swart</w:t>
            </w:r>
          </w:p>
        </w:tc>
      </w:tr>
      <w:tr>
        <w:trPr>
          <w:trHeight w:val="218"/>
        </w:trPr>
        <w:tc>
          <w:tcPr>
            <w:tcW w:w="1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Swart</w:t>
            </w:r>
          </w:p>
        </w:tc>
      </w:tr>
      <w:tr>
        <w:trPr>
          <w:trHeight w:val="234"/>
        </w:trPr>
        <w:tc>
          <w:tcPr>
            <w:tcW w:w="1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2"/>
        </w:trPr>
        <w:tc>
          <w:tcPr>
            <w:tcW w:w="19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ectPr>
          <w:pgSz w:w="11900" w:h="16838" w:orient="portrait"/>
          <w:cols w:equalWidth="0" w:num="1">
            <w:col w:w="11240"/>
          </w:cols>
          <w:pgMar w:left="320" w:top="887"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144843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TRIMAS REPORTS THIRD QUARTER 2026 RESULTS</w:t>
      </w:r>
    </w:p>
    <w:p>
      <w:pPr>
        <w:spacing w:after="0" w:line="128" w:lineRule="exact"/>
        <w:rPr>
          <w:sz w:val="20"/>
          <w:szCs w:val="20"/>
          <w:color w:val="auto"/>
        </w:rPr>
      </w:pPr>
    </w:p>
    <w:p>
      <w:pPr>
        <w:ind w:left="480" w:hanging="148"/>
        <w:spacing w:after="0"/>
        <w:tabs>
          <w:tab w:leader="none" w:pos="480" w:val="left"/>
        </w:tabs>
        <w:numPr>
          <w:ilvl w:val="0"/>
          <w:numId w:val="3"/>
        </w:numPr>
        <w:rPr>
          <w:rFonts w:ascii="Arial" w:cs="Arial" w:eastAsia="Arial" w:hAnsi="Arial"/>
          <w:sz w:val="20"/>
          <w:szCs w:val="20"/>
          <w:b w:val="1"/>
          <w:bCs w:val="1"/>
          <w:i w:val="1"/>
          <w:iCs w:val="1"/>
          <w:color w:val="auto"/>
        </w:rPr>
      </w:pPr>
      <w:r>
        <w:rPr>
          <w:rFonts w:ascii="Arial" w:cs="Arial" w:eastAsia="Arial" w:hAnsi="Arial"/>
          <w:sz w:val="18"/>
          <w:szCs w:val="18"/>
          <w:i w:val="1"/>
          <w:iCs w:val="1"/>
          <w:color w:val="auto"/>
        </w:rPr>
        <w:t>Third quarter net sales increased 7.7% year-over-year, driven by organic growth</w:t>
      </w:r>
    </w:p>
    <w:p>
      <w:pPr>
        <w:spacing w:after="0" w:line="15" w:lineRule="exact"/>
        <w:rPr>
          <w:rFonts w:ascii="Arial" w:cs="Arial" w:eastAsia="Arial" w:hAnsi="Arial"/>
          <w:sz w:val="20"/>
          <w:szCs w:val="20"/>
          <w:b w:val="1"/>
          <w:bCs w:val="1"/>
          <w:i w:val="1"/>
          <w:iCs w:val="1"/>
          <w:color w:val="auto"/>
        </w:rPr>
      </w:pPr>
    </w:p>
    <w:p>
      <w:pPr>
        <w:ind w:left="480" w:hanging="148"/>
        <w:spacing w:after="0"/>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Third quarter operating profit increased to $11.5 million, while adjusted operating profit increased 47.9% to $13.6 million</w:t>
      </w:r>
    </w:p>
    <w:p>
      <w:pPr>
        <w:spacing w:after="0" w:line="9" w:lineRule="exact"/>
        <w:rPr>
          <w:rFonts w:ascii="Arial" w:cs="Arial" w:eastAsia="Arial" w:hAnsi="Arial"/>
          <w:sz w:val="18"/>
          <w:szCs w:val="18"/>
          <w:i w:val="1"/>
          <w:iCs w:val="1"/>
          <w:color w:val="auto"/>
        </w:rPr>
      </w:pPr>
    </w:p>
    <w:p>
      <w:pPr>
        <w:ind w:left="480" w:hanging="148"/>
        <w:spacing w:after="0"/>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Third quarter diluted EPS increased to $0.37; adjusted diluted EPS increased to $0.50</w:t>
      </w:r>
    </w:p>
    <w:p>
      <w:pPr>
        <w:spacing w:after="0" w:line="9" w:lineRule="exact"/>
        <w:rPr>
          <w:rFonts w:ascii="Arial" w:cs="Arial" w:eastAsia="Arial" w:hAnsi="Arial"/>
          <w:sz w:val="18"/>
          <w:szCs w:val="18"/>
          <w:i w:val="1"/>
          <w:iCs w:val="1"/>
          <w:color w:val="auto"/>
        </w:rPr>
      </w:pPr>
    </w:p>
    <w:p>
      <w:pPr>
        <w:ind w:left="480" w:hanging="148"/>
        <w:spacing w:after="0"/>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Ended the quarter with $1.16 billion of cash and cash equivalents</w:t>
      </w:r>
    </w:p>
    <w:p>
      <w:pPr>
        <w:spacing w:after="0" w:line="9" w:lineRule="exact"/>
        <w:rPr>
          <w:rFonts w:ascii="Arial" w:cs="Arial" w:eastAsia="Arial" w:hAnsi="Arial"/>
          <w:sz w:val="18"/>
          <w:szCs w:val="18"/>
          <w:i w:val="1"/>
          <w:iCs w:val="1"/>
          <w:color w:val="auto"/>
        </w:rPr>
      </w:pPr>
    </w:p>
    <w:p>
      <w:pPr>
        <w:ind w:left="480" w:hanging="148"/>
        <w:spacing w:after="0"/>
        <w:tabs>
          <w:tab w:leader="none" w:pos="4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Signed agreement to sell flexible bag-in-box product line, further streamlining the portfolio and enhancing focus on core businesses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BLOOMFIELD HILLS, Michigan, October 29, 2026 </w:t>
      </w:r>
      <w:r>
        <w:rPr>
          <w:rFonts w:ascii="Arial" w:cs="Arial" w:eastAsia="Arial" w:hAnsi="Arial"/>
          <w:sz w:val="18"/>
          <w:szCs w:val="18"/>
          <w:color w:val="auto"/>
        </w:rPr>
        <w:t>- TriMas (NASDAQ: TRS) today announced financial results for the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2026.</w:t>
      </w:r>
    </w:p>
    <w:p>
      <w:pPr>
        <w:spacing w:after="0" w:line="4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TriMas reported third quarter 2026 net sales of $178.7 million, an increase of 7.7% compared to $166.0 million in third quarter 2025, driven by organic growth within TriMas Packaging and Specialty Products, as well as favorable foreign currency translation. Operating profit was $11.5 million in third quarter 2026, compared to an operating loss of $3.2 million in the prior year period. Adjusting for Special Items</w:t>
      </w:r>
      <w:r>
        <w:rPr>
          <w:rFonts w:ascii="Arial" w:cs="Arial" w:eastAsia="Arial" w:hAnsi="Arial"/>
          <w:sz w:val="23"/>
          <w:szCs w:val="23"/>
          <w:color w:val="auto"/>
          <w:vertAlign w:val="superscript"/>
        </w:rPr>
        <w:t>(1)</w:t>
      </w:r>
      <w:r>
        <w:rPr>
          <w:rFonts w:ascii="Arial" w:cs="Arial" w:eastAsia="Arial" w:hAnsi="Arial"/>
          <w:sz w:val="18"/>
          <w:szCs w:val="18"/>
          <w:color w:val="auto"/>
        </w:rPr>
        <w:t>, third quarter 2026 adjusted operating profit increased 47.9% to $13.6 million from $9.2 million in the prior year period, reflecting the benefits of cost-reduction and organizational streamlining initiatives.</w:t>
      </w:r>
    </w:p>
    <w:p>
      <w:pPr>
        <w:spacing w:after="0" w:line="86"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Company reported third quarter 2026 income from continuing operations of $ 13.5 million, or $0.37 per diluted share, compared with a loss from continuing operations of $4.9 million, or $ 0.12 per diluted share, in third quarter 2025. Adjusting for Special Items</w:t>
      </w:r>
      <w:r>
        <w:rPr>
          <w:rFonts w:ascii="Arial" w:cs="Arial" w:eastAsia="Arial" w:hAnsi="Arial"/>
          <w:sz w:val="23"/>
          <w:szCs w:val="23"/>
          <w:color w:val="auto"/>
          <w:vertAlign w:val="superscript"/>
        </w:rPr>
        <w:t>(1)</w:t>
      </w:r>
      <w:r>
        <w:rPr>
          <w:rFonts w:ascii="Arial" w:cs="Arial" w:eastAsia="Arial" w:hAnsi="Arial"/>
          <w:sz w:val="18"/>
          <w:szCs w:val="18"/>
          <w:color w:val="auto"/>
        </w:rPr>
        <w:t>, third quarter 2026 adjusted income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from continuing operations was $18.1 million, compared to $6.8 million in the prior year period. Third quarter 2026 adjusted diluted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from continuing operations was $ 0.50, an increase of 194.1% compared to $0.17 in third quarter 2025, primarily reflecting interest income earned on the Company’s cash and cash equivalents, the benefits of cost reduction initiatives and a lower share count resulting from the Company's share repurchase activity.</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“2026 has been a pivotal year for TriMas as we continue building a stronger, more focused company following the Aerospace divestiture,” said Thomas Snyder, President and Chief Executive Officer. “Throughout the year, we have taken significant actions to strengthen our leadership team, enhance organizational accountability, streamline our cost structure, advance operational excellence initiatives and better position our commercial organization to support future growth. While our third quarter results have not yet fully reflected the benefits of these actions, and continued to be impacted by the temporary throughput challenges at Norris Cylinder, we are encouraged by the progress underway and the foundation we are building for improved performance over time.”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cost-reduction actions are contributing to year-over-year profit improvement, and we continue to advance operational and commercial initiatives designed to position TriMas for sustainable growth. Supported by a strong balance sheet and financial flexibility provided by the divestiture proceeds, we remain committed to a disciplined and balanced approach to capital allocation, as we execute our strategy to create long-term shareholder value and build a stronger TriMas for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Position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2026, the Company returned capital to shareholders through the repurchase of 233,150 shares of its outstanding common stock for $9.3 million. Year to date through September 30, 2026, TriMas has repurchased 2,229,471 shares for $82.7 million, contributing to a 5.3% net reduction in shares outstanding compared to December 31, 2025. Since announcing the decision to divest TriMas Aerospace in November 2025, the Company has repurchased more than 5.4 million shares. As of September 30, 2026, approximately 35.6 million shares were outstanding, with $67.3 million remaining under the Company's share repurchase authorization. TriMas also returned capital to shareholders through its quarterly cash dividend of $0.04 per share.</w:t>
      </w:r>
    </w:p>
    <w:p>
      <w:pPr>
        <w:spacing w:after="0" w:line="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reported net cash used in operating activities of continuing operations of $66.7 million for third quarter 2026, compared to net cash provided by operating activities of $9.3 million in third quarter 2025. Free Cash Flow</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totaled $20.9 million for third quarter 2026, compared to $4.0 million in third quarter 2025. Please see Appendix I for further details.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25" w:lineRule="exact"/>
        <w:rPr>
          <w:sz w:val="20"/>
          <w:szCs w:val="20"/>
          <w:color w:val="auto"/>
        </w:rPr>
      </w:pPr>
      <w:r>
        <w:rPr>
          <w:rFonts w:ascii="Arial" w:cs="Arial" w:eastAsia="Arial" w:hAnsi="Arial"/>
          <w:sz w:val="18"/>
          <w:szCs w:val="18"/>
          <w:color w:val="auto"/>
        </w:rPr>
        <w:t>TriMas ended third quarter 2026 with $1,158.5 million of cash on hand, $1,372.8 million of cash and available borrowing capacity under its revolving credit facility, and a net leverage ratio of 1.7x as defined in the Company's credit agreement. As of September 30, 2026, the Company reported total debt of $397.1 million and Net Debt</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of $(761.4) million, reflecting a substantial net cash position following the divestiture of TriMas Aerospace, which generated approximately $1.2 billion in net after-tax proceeds. The remaining proceeds are currently invested in interest</w:t>
      </w:r>
      <w:r>
        <w:rPr>
          <w:rFonts w:ascii="MS PGothic" w:cs="MS PGothic" w:eastAsia="MS PGothic" w:hAnsi="MS PGothic"/>
          <w:sz w:val="18"/>
          <w:szCs w:val="18"/>
          <w:color w:val="auto"/>
        </w:rPr>
        <w:t>‑</w:t>
      </w:r>
      <w:r>
        <w:rPr>
          <w:rFonts w:ascii="Arial" w:cs="Arial" w:eastAsia="Arial" w:hAnsi="Arial"/>
          <w:sz w:val="18"/>
          <w:szCs w:val="18"/>
          <w:color w:val="auto"/>
        </w:rPr>
        <w:t>bearing investments pending further redeployment.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Segment Results</w:t>
      </w:r>
    </w:p>
    <w:p>
      <w:pPr>
        <w:spacing w:after="0" w:line="1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TriMas Packaging group reported third quarter net sales of $147.6 million, an increase of 8.8% compared to the third quarter of 2025. Net sales increased as a result of growth across all major end markets, including beauty and personal care, food and beverage, life sciences and industrial applications, as well as favorable foreign currency translation. Adjusted operating profit and margin improved year-over-year, reflecting the benefits of cost-reduction actions, operational improvement initiatives and raw material cost recovery. In October 2026, the Company signed an agreement to sell Rapak</w:t>
      </w:r>
      <w:r>
        <w:rPr>
          <w:rFonts w:ascii="Arial" w:cs="Arial" w:eastAsia="Arial" w:hAnsi="Arial"/>
          <w:sz w:val="25"/>
          <w:szCs w:val="25"/>
          <w:color w:val="auto"/>
          <w:vertAlign w:val="superscript"/>
        </w:rPr>
        <w:t>®</w:t>
      </w:r>
      <w:r>
        <w:rPr>
          <w:rFonts w:ascii="Arial" w:cs="Arial" w:eastAsia="Arial" w:hAnsi="Arial"/>
          <w:sz w:val="18"/>
          <w:szCs w:val="18"/>
          <w:color w:val="auto"/>
        </w:rPr>
        <w:t>, a provider of flexible bag-in-box packaging, dispensing and liquid filling solutions. The transaction is expected to close in November 2026 and further advances the Company's portfolio optimization strategy.</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Specialty Products group reported third quarter net sales of $31.2 million, an increase of 2.7% compared to third quarter 2025. Third quarter operating profit and margin declined year-over-year, as the benefits of higher sales volumes were more than offset by a lag in recovering increased raw material costs and continued temporary manufacturing inefficiencies, primarily related to machine downtime and labor ramp-up. The Company has strengthened operational leadership and is executing targeted operational initiatives to improve throughput, increase machine and labor productivity, and enhance overall cost efficiency.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divestiture of TriMas Aerospace was completed on March 16, 2026, for approximately $1.5 billion in cash, generating net after-tax proceeds of approximately $1.2 billion. To date, proceeds have been used to repay borrowings under the Company's revolving credit facility, fund additional share repurchases and satisfy a portion of transaction-related tax obligations, while the remaining balance has been invested in liquid, interest-bearing accounts. The Company intends to deploy the remaining proceeds in support of capital allocation priorities, which may include organic growth investments, strategic acquisitions and additional share repurchases.</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TriMas Aerospace, along with transaction-related costs, have been classified as discontinued operations for all periods presented.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2026 Outlook</w:t>
      </w:r>
    </w:p>
    <w:p>
      <w:pPr>
        <w:spacing w:after="0" w:line="11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has reaffirmed its adjusted diluted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(EPS) outlook for full-year 2026 of $1.60 to $1.70. This outlook assumes approximately $10 million of interest income during the fourth quarter of 2026 and no significant changes in interest rates or the redeployment of cash proceeds for the remainder of the year. The Company now expects 4% to 6% year-over-year sales growth across its combined Packaging and Specialty Products businesses, a modest increase from its prior outlook of 3% to 6%. The Company also expects approximately 250 basis points of adjusted operating profit margin expansion year-over-year, reflecting the benefits of cost-reduction actions and organizational realignment initiatives, partially offset by the extended throughput challenges within Specialty Products.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above outlook includes the impact of all announced acquisitions and divestitures as of October 29, 2026. The outlook provided assumes no significant impact related to input costs or end market demand associated with global conflicts or geopolitical actions. All of the above amounts considered as 2026 guidance are after adjusting for any current or future amounts that may be considered Special Items. The inability to predict the amount and timing of the impacts of these Special Items makes a detailed reconciliation of these forward-looking non-GAAP financial measures impracticable.</w:t>
      </w:r>
      <w:r>
        <w:rPr>
          <w:rFonts w:ascii="Arial" w:cs="Arial" w:eastAsia="Arial" w:hAnsi="Arial"/>
          <w:sz w:val="23"/>
          <w:szCs w:val="23"/>
          <w:color w:val="auto"/>
          <w:vertAlign w:val="superscript"/>
        </w:rPr>
        <w:t>(1)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TriMas will host its third quarter 2026 earnings conference call today, Thursday, October 29, 2026, at 10 a.m. ET. To participate via phone, please dial (877) 407-0890 (U.S. and Canada) or +1 (201) 389-0918 (outside the U.S. and Canada), and ask to be connected to the TriMas third quarter 2026 earnings conference call. The conference call will also be simultaneously webcast via the TriMas website at </w:t>
      </w:r>
      <w:r>
        <w:rPr>
          <w:rFonts w:ascii="Arial" w:cs="Arial" w:eastAsia="Arial" w:hAnsi="Arial"/>
          <w:sz w:val="18"/>
          <w:szCs w:val="18"/>
          <w:u w:val="single" w:color="auto"/>
          <w:color w:val="0000FF"/>
        </w:rPr>
        <w:t>www.trimas.com</w:t>
      </w:r>
      <w:r>
        <w:rPr>
          <w:rFonts w:ascii="Arial" w:cs="Arial" w:eastAsia="Arial" w:hAnsi="Arial"/>
          <w:sz w:val="18"/>
          <w:szCs w:val="18"/>
          <w:color w:val="000000"/>
        </w:rPr>
        <w:t>, under the "Investors" section, with an accompanying slide presentation. A replay of the conference call will be available on</w:t>
      </w:r>
      <w:r>
        <w:rPr>
          <w:rFonts w:ascii="Arial" w:cs="Arial" w:eastAsia="Arial" w:hAnsi="Arial"/>
          <w:sz w:val="18"/>
          <w:szCs w:val="18"/>
          <w:color w:val="0000FF"/>
        </w:rPr>
        <w:t xml:space="preserve"> </w:t>
      </w:r>
      <w:r>
        <w:rPr>
          <w:rFonts w:ascii="Arial" w:cs="Arial" w:eastAsia="Arial" w:hAnsi="Arial"/>
          <w:sz w:val="18"/>
          <w:szCs w:val="18"/>
          <w:color w:val="000000"/>
        </w:rPr>
        <w:t>the TriMas website or by dialing (877) 660-6853 (U.S. and Canada) or +1 (201) 612-7415 (outside the U.S. and Canada) with a meeting ID of 13763096, beginning October 29, 2026, at 3:00 p.m. ET through November 11, 2026, at 3:00 p.m. 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Regarding Forward-Looking Statements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"forward-looking" statements, within the meaning of Section 27A of the Securities Act of 1933 and Section 21E of the Securities Exchange Act of 1934, contained herein, including those relating to TriMas’ business, financial condition or future results, involve risks and uncertainties with respect to,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our ability to recognize the benefits of and effectively deploy the net proceeds from the sale of TriMas Aerospace;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and disposition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detailed in the Annual Report on Form 10-K for the year ended December 31, 2025. The risks described are not the only risks facing our Company. Additional risks and uncertainties not currently known to us or that we currently deemed to be immaterial also may materially adversely affect our business, financial position and results of operations or cash flows. These risks and uncertainties may cause actual results to differ materially from those indicated by the forward-looking statements. All forward-looking statements made herein are based on information currently available, and the Company assumes no obligation to update any forward-looking statements, except as required by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release, certain non-GAAP financial measures are used. Reconciliations of these non-GAAP financial measures to the most directly comparable GAAP financial measure may be found in Appendix I at the end of this release. Management believes that presenting these non-GAAP financial measures provides useful information to investors by helping them identify underlying trends in the Company’s businesses and facilitating comparisons of performance with prior and future periods and to the Company’s peers. These non-GAAP financial measures should be considered in addition to, and not as a replacement for or superior to, the comparable GAAP measure, and may not be comparable to similarly titled measures reported by other companies.</w:t>
      </w:r>
    </w:p>
    <w:p>
      <w:pPr>
        <w:spacing w:after="0" w:line="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Reconciliations of forward-looking non-GAAP financial measures to the most directly comparable GAAP financial measures are provided only for the expected impact of amortization of acquisition-related intangible assets for completed acquisitions, as the Company is unable to provide estimates of future Special Items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or amortization from future acquisitions without unreasonable effort, due to the uncertainty and inherent difficulty of predicting the occurrence and the financial impact of such items impacting comparability and the periods in which such items may be recognized. For the same reasons, the Company is unable to address the probable significance of the unavailable information, which could be material to future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is available at </w:t>
      </w:r>
      <w:r>
        <w:rPr>
          <w:rFonts w:ascii="Arial" w:cs="Arial" w:eastAsia="Arial" w:hAnsi="Arial"/>
          <w:sz w:val="18"/>
          <w:szCs w:val="18"/>
          <w:u w:val="single" w:color="auto"/>
          <w:color w:val="0000FF"/>
        </w:rPr>
        <w:t>www.trimas.com</w:t>
      </w:r>
      <w:r>
        <w:rPr>
          <w:rFonts w:ascii="Arial" w:cs="Arial" w:eastAsia="Arial" w:hAnsi="Arial"/>
          <w:sz w:val="18"/>
          <w:szCs w:val="18"/>
          <w:color w:val="auto"/>
        </w:rPr>
        <w:t xml:space="preserve"> under the “Investors” section.</w:t>
      </w:r>
    </w:p>
    <w:p>
      <w:pPr>
        <w:spacing w:after="0" w:line="122" w:lineRule="exact"/>
        <w:rPr>
          <w:sz w:val="20"/>
          <w:szCs w:val="20"/>
          <w:color w:val="auto"/>
        </w:rPr>
      </w:pPr>
    </w:p>
    <w:p>
      <w:pPr>
        <w:ind w:left="340" w:hanging="332"/>
        <w:spacing w:after="0" w:line="241" w:lineRule="auto"/>
        <w:tabs>
          <w:tab w:leader="none" w:pos="174"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Appendix I details certain costs, expenses and other amounts or charges, collectively described as "Special Items," that are included in the determination of net income, earnings per share and/or cash flows from operating activities under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2" w:right="339" w:bottom="1440" w:gutter="0" w:footer="0" w:header="0"/>
        </w:sectPr>
      </w:pPr>
    </w:p>
    <w:bookmarkStart w:id="5" w:name="page6"/>
    <w:bookmarkEnd w:id="5"/>
    <w:p>
      <w:pPr>
        <w:ind w:left="340" w:right="20"/>
        <w:spacing w:after="0" w:line="286" w:lineRule="auto"/>
        <w:rPr>
          <w:sz w:val="20"/>
          <w:szCs w:val="20"/>
          <w:color w:val="auto"/>
        </w:rPr>
      </w:pPr>
      <w:r>
        <w:rPr>
          <w:rFonts w:ascii="Arial" w:cs="Arial" w:eastAsia="Arial" w:hAnsi="Arial"/>
          <w:sz w:val="16"/>
          <w:szCs w:val="16"/>
          <w:color w:val="auto"/>
        </w:rPr>
        <w:t>GAAP, but that management believes should be separately considered when evaluating the quality of the Company’s core operating results, given they may not reflect the ongoing activities of the business.</w:t>
      </w:r>
    </w:p>
    <w:p>
      <w:pPr>
        <w:spacing w:after="0" w:line="61" w:lineRule="exact"/>
        <w:rPr>
          <w:sz w:val="20"/>
          <w:szCs w:val="20"/>
          <w:color w:val="auto"/>
        </w:rPr>
      </w:pPr>
    </w:p>
    <w:p>
      <w:pPr>
        <w:ind w:left="340" w:hanging="332"/>
        <w:spacing w:after="0" w:line="235" w:lineRule="auto"/>
        <w:tabs>
          <w:tab w:leader="none" w:pos="187"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Company defines adjusted net income (and on a per diluted share basis, adjusted diluted earnings per share) as net income (per GAAP), plus or minus the after-tax impact of Special Items</w:t>
      </w:r>
      <w:r>
        <w:rPr>
          <w:rFonts w:ascii="Arial" w:cs="Arial" w:eastAsia="Arial" w:hAnsi="Arial"/>
          <w:sz w:val="21"/>
          <w:szCs w:val="21"/>
          <w:color w:val="auto"/>
          <w:vertAlign w:val="superscript"/>
        </w:rPr>
        <w:t>(1)</w:t>
      </w:r>
      <w:r>
        <w:rPr>
          <w:rFonts w:ascii="Arial" w:cs="Arial" w:eastAsia="Arial" w:hAnsi="Arial"/>
          <w:sz w:val="16"/>
          <w:szCs w:val="16"/>
          <w:color w:val="auto"/>
        </w:rPr>
        <w:t>, plus the after-tax impacts of non-cash acquisition-related intangible asset amortization and non-cash compensation expense. While the acquisition-related intangible assets aid in the Company’s revenue generation, the Company adjusts for the non-cash amortization expense and non-cash compensation expense because the Company believes it (i) enhances management’s and investors’ ability to analyze underlying business performance, (ii) facilitates comparisons of financial results over multiple periods, and (iii) provides more relevant comparisons of financial results with the results of other companies as the amortization expense associated with these assets may fluctuate significantly from period to period based on the timing, size, nature, and number of acquisitions.</w:t>
      </w:r>
    </w:p>
    <w:p>
      <w:pPr>
        <w:spacing w:after="0" w:line="97" w:lineRule="exact"/>
        <w:rPr>
          <w:rFonts w:ascii="Arial" w:cs="Arial" w:eastAsia="Arial" w:hAnsi="Arial"/>
          <w:sz w:val="21"/>
          <w:szCs w:val="21"/>
          <w:color w:val="auto"/>
          <w:vertAlign w:val="superscript"/>
        </w:rPr>
      </w:pPr>
    </w:p>
    <w:p>
      <w:pPr>
        <w:ind w:left="340" w:right="20" w:hanging="332"/>
        <w:spacing w:after="0" w:line="227" w:lineRule="auto"/>
        <w:tabs>
          <w:tab w:leader="none" w:pos="289"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Company defines Free Cash Flow as Net Cash Provided by/Used for Operating Activities, excluding the cash impact of Special Items, less Capital Expenditures. Please see Appendix I for additional details.</w:t>
      </w:r>
    </w:p>
    <w:p>
      <w:pPr>
        <w:spacing w:after="0" w:line="83"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The Company defines Net Debt as Total Debt less Cash and Cash Equivalents. Please see Appendix I for additional details.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TriMas</w:t>
      </w:r>
    </w:p>
    <w:p>
      <w:pPr>
        <w:spacing w:after="0" w:line="77"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TriMas designs, manufactures and supplies a broad range of innovative and high</w:t>
      </w:r>
      <w:r>
        <w:rPr>
          <w:rFonts w:ascii="MS PGothic" w:cs="MS PGothic" w:eastAsia="MS PGothic" w:hAnsi="MS PGothic"/>
          <w:sz w:val="18"/>
          <w:szCs w:val="18"/>
          <w:color w:val="auto"/>
        </w:rPr>
        <w:t>‑</w:t>
      </w:r>
      <w:r>
        <w:rPr>
          <w:rFonts w:ascii="Arial" w:cs="Arial" w:eastAsia="Arial" w:hAnsi="Arial"/>
          <w:sz w:val="18"/>
          <w:szCs w:val="18"/>
          <w:color w:val="auto"/>
        </w:rPr>
        <w:t>quality products for the consumer packaging, life sciences and industrial markets through its TriMas Packaging and Specialty Products groups. With approximately 2,500 employees in 12 countries, TriMas is committed to empowering customer success through deep partnerships, strong technical expertise, focused innovation, and exceptional quality and service. Guided by a culture of continuous improvement and operational excellence, TriMas invests in its people and capabilities to deliver long</w:t>
      </w:r>
      <w:r>
        <w:rPr>
          <w:rFonts w:ascii="MS PGothic" w:cs="MS PGothic" w:eastAsia="MS PGothic" w:hAnsi="MS PGothic"/>
          <w:sz w:val="18"/>
          <w:szCs w:val="18"/>
          <w:color w:val="auto"/>
        </w:rPr>
        <w:t>‑</w:t>
      </w:r>
      <w:r>
        <w:rPr>
          <w:rFonts w:ascii="Arial" w:cs="Arial" w:eastAsia="Arial" w:hAnsi="Arial"/>
          <w:sz w:val="18"/>
          <w:szCs w:val="18"/>
          <w:color w:val="auto"/>
        </w:rPr>
        <w:t xml:space="preserve">term value for all stakeholders. Headquartered in Bloomfield Hills, Michigan, TriMas is publicly traded on NASDAQ under the ticker symbol “TRS.” For more information, please visit </w:t>
      </w:r>
      <w:r>
        <w:rPr>
          <w:rFonts w:ascii="Arial" w:cs="Arial" w:eastAsia="Arial" w:hAnsi="Arial"/>
          <w:sz w:val="18"/>
          <w:szCs w:val="18"/>
          <w:color w:val="0000FF"/>
        </w:rPr>
        <w:t>www.trimas.com</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Sherry Lauderback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 Communications &amp; Sustainability</w:t>
      </w:r>
    </w:p>
    <w:p>
      <w:pPr>
        <w:spacing w:after="0" w:line="9" w:lineRule="exact"/>
        <w:rPr>
          <w:sz w:val="20"/>
          <w:szCs w:val="20"/>
          <w:color w:val="auto"/>
        </w:rPr>
      </w:pPr>
    </w:p>
    <w:p>
      <w:pPr>
        <w:ind w:right="8760" w:firstLine="8"/>
        <w:spacing w:after="0" w:line="296" w:lineRule="auto"/>
        <w:tabs>
          <w:tab w:leader="none" w:pos="470" w:val="left"/>
        </w:tabs>
        <w:numPr>
          <w:ilvl w:val="0"/>
          <w:numId w:val="6"/>
        </w:numPr>
        <w:rPr>
          <w:rFonts w:ascii="Arial" w:cs="Arial" w:eastAsia="Arial" w:hAnsi="Arial"/>
          <w:sz w:val="17"/>
          <w:szCs w:val="17"/>
          <w:color w:val="auto"/>
        </w:rPr>
      </w:pPr>
      <w:r>
        <w:rPr>
          <w:rFonts w:ascii="Arial" w:cs="Arial" w:eastAsia="Arial" w:hAnsi="Arial"/>
          <w:sz w:val="17"/>
          <w:szCs w:val="17"/>
          <w:color w:val="auto"/>
        </w:rPr>
        <w:t>631-5506 sherry.lauderback@trimas.com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0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6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09"/>
        </w:trPr>
        <w:tc>
          <w:tcPr>
            <w:tcW w:w="6160" w:type="dxa"/>
            <w:vAlign w:val="bottom"/>
            <w:shd w:val="clear" w:color="auto" w:fill="CCEEFF"/>
          </w:tcPr>
          <w:p>
            <w:pPr>
              <w:ind w:left="276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rPr>
              <w:t>(unaudited)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1,158,540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30,020</w:t>
            </w: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Receivables, net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150,200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111,270</w:t>
            </w: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108,720</w:t>
            </w: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36,380</w:t>
            </w:r>
          </w:p>
        </w:tc>
      </w:tr>
      <w:tr>
        <w:trPr>
          <w:trHeight w:val="217"/>
        </w:trPr>
        <w:tc>
          <w:tcPr>
            <w:tcW w:w="6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Current assets, discontinued operations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176,280</w:t>
            </w:r>
          </w:p>
        </w:tc>
      </w:tr>
      <w:tr>
        <w:trPr>
          <w:trHeight w:val="209"/>
        </w:trPr>
        <w:tc>
          <w:tcPr>
            <w:tcW w:w="616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1,458,520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462,670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247,510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31,800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300,280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Other intangibles, net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71,460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76,550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43,720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45,430</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 discontinued operations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267,170</w:t>
            </w:r>
          </w:p>
        </w:tc>
      </w:tr>
      <w:tr>
        <w:trPr>
          <w:trHeight w:val="210"/>
        </w:trPr>
        <w:tc>
          <w:tcPr>
            <w:tcW w:w="616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2,149,060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1,485,080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6160" w:type="dxa"/>
            <w:vAlign w:val="bottom"/>
            <w:shd w:val="clear" w:color="auto" w:fill="CCEEFF"/>
          </w:tcPr>
          <w:p>
            <w:pPr>
              <w:ind w:left="164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72,280</w:t>
            </w: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59,640</w:t>
            </w: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liabilities, current portion</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r>
      <w:tr>
        <w:trPr>
          <w:trHeight w:val="215"/>
        </w:trPr>
        <w:tc>
          <w:tcPr>
            <w:tcW w:w="6160" w:type="dxa"/>
            <w:vAlign w:val="bottom"/>
          </w:tcPr>
          <w:p>
            <w:pPr>
              <w:ind w:left="240"/>
              <w:spacing w:after="0"/>
              <w:rPr>
                <w:sz w:val="20"/>
                <w:szCs w:val="20"/>
                <w:color w:val="auto"/>
              </w:rPr>
            </w:pPr>
            <w:r>
              <w:rPr>
                <w:rFonts w:ascii="Arial" w:cs="Arial" w:eastAsia="Arial" w:hAnsi="Arial"/>
                <w:sz w:val="16"/>
                <w:szCs w:val="16"/>
                <w:color w:val="auto"/>
              </w:rPr>
              <w:t>Current liabilities, discontinued operations</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47,650</w:t>
            </w:r>
          </w:p>
        </w:tc>
      </w:tr>
      <w:tr>
        <w:trPr>
          <w:trHeight w:val="210"/>
        </w:trPr>
        <w:tc>
          <w:tcPr>
            <w:tcW w:w="61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181,490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183,670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397,140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469,170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17,710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65,840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Non-current liabilities, discontinued operations</w:t>
            </w: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11,290</w:t>
            </w:r>
          </w:p>
        </w:tc>
      </w:tr>
      <w:tr>
        <w:trPr>
          <w:trHeight w:val="210"/>
        </w:trPr>
        <w:tc>
          <w:tcPr>
            <w:tcW w:w="61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697,530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779,490</w:t>
            </w:r>
          </w:p>
        </w:tc>
      </w:tr>
      <w:tr>
        <w:trPr>
          <w:trHeight w:val="215"/>
        </w:trPr>
        <w:tc>
          <w:tcPr>
            <w:tcW w:w="61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1,451,530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705,590</w:t>
            </w:r>
          </w:p>
        </w:tc>
      </w:tr>
      <w:tr>
        <w:trPr>
          <w:trHeight w:val="235"/>
        </w:trPr>
        <w:tc>
          <w:tcPr>
            <w:tcW w:w="6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2,149,060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1,485,080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160"/>
          </w:cols>
          <w:pgMar w:left="1360" w:top="890" w:right="1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92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166,020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490,230</w:t>
            </w:r>
          </w:p>
        </w:tc>
        <w:tc>
          <w:tcPr>
            <w:tcW w:w="0" w:type="dxa"/>
            <w:vAlign w:val="bottom"/>
          </w:tcPr>
          <w:p>
            <w:pPr>
              <w:spacing w:after="0"/>
              <w:rPr>
                <w:sz w:val="1"/>
                <w:szCs w:val="1"/>
                <w:color w:val="auto"/>
              </w:rPr>
            </w:pPr>
          </w:p>
        </w:tc>
      </w:tr>
      <w:tr>
        <w:trPr>
          <w:trHeight w:val="21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(142,310)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(131,550)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(412,960)</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(384,980)</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108,640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105,250</w:t>
            </w: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(29,640)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(79,310)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(91,150)</w:t>
            </w: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Asbestos-related costs</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(8,030)</w:t>
            </w:r>
          </w:p>
        </w:tc>
        <w:tc>
          <w:tcPr>
            <w:tcW w:w="0" w:type="dxa"/>
            <w:vAlign w:val="bottom"/>
          </w:tcPr>
          <w:p>
            <w:pPr>
              <w:spacing w:after="0"/>
              <w:rPr>
                <w:sz w:val="1"/>
                <w:szCs w:val="1"/>
                <w:color w:val="auto"/>
              </w:rPr>
            </w:pPr>
          </w:p>
        </w:tc>
      </w:tr>
      <w:tr>
        <w:trPr>
          <w:trHeight w:val="215"/>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gain (loss) on dispositions of assets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 (loss)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11,360</w:t>
            </w: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(13,430)</w:t>
            </w:r>
          </w:p>
        </w:tc>
        <w:tc>
          <w:tcPr>
            <w:tcW w:w="0" w:type="dxa"/>
            <w:vAlign w:val="bottom"/>
          </w:tcPr>
          <w:p>
            <w:pPr>
              <w:spacing w:after="0"/>
              <w:rPr>
                <w:sz w:val="1"/>
                <w:szCs w:val="1"/>
                <w:color w:val="auto"/>
              </w:rPr>
            </w:pPr>
          </w:p>
        </w:tc>
      </w:tr>
      <w:tr>
        <w:trPr>
          <w:trHeight w:val="215"/>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22,140</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8,640</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w:t>
            </w: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6"/>
                <w:szCs w:val="16"/>
                <w:color w:val="auto"/>
              </w:rPr>
              <w:t>Income (loss) before income tax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37,900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(8,930)</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(4,890)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28,970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 net of tax</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5,900</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14,190</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804,590</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38,980</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19,360</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9,300</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833,560</w:t>
            </w:r>
          </w:p>
        </w:tc>
        <w:tc>
          <w:tcPr>
            <w:tcW w:w="14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38,440</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per share: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360"/>
              <w:spacing w:after="0"/>
              <w:rPr>
                <w:sz w:val="20"/>
                <w:szCs w:val="20"/>
                <w:color w:val="auto"/>
              </w:rPr>
            </w:pPr>
            <w:r>
              <w:rPr>
                <w:rFonts w:ascii="Arial" w:cs="Arial" w:eastAsia="Arial" w:hAnsi="Arial"/>
                <w:sz w:val="16"/>
                <w:szCs w:val="16"/>
                <w:color w:val="auto"/>
              </w:rPr>
              <w:t>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0.38</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(0.12)</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0.80</w:t>
            </w:r>
          </w:p>
        </w:tc>
        <w:tc>
          <w:tcPr>
            <w:tcW w:w="14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10"/>
        </w:trPr>
        <w:tc>
          <w:tcPr>
            <w:tcW w:w="4980" w:type="dxa"/>
            <w:vAlign w:val="bottom"/>
          </w:tcPr>
          <w:p>
            <w:pPr>
              <w:ind w:left="360"/>
              <w:spacing w:after="0"/>
              <w:rPr>
                <w:sz w:val="20"/>
                <w:szCs w:val="20"/>
                <w:color w:val="auto"/>
              </w:rPr>
            </w:pPr>
            <w:r>
              <w:rPr>
                <w:rFonts w:ascii="Arial" w:cs="Arial" w:eastAsia="Arial" w:hAnsi="Arial"/>
                <w:sz w:val="16"/>
                <w:szCs w:val="16"/>
                <w:color w:val="auto"/>
              </w:rPr>
              <w:t>Net income per share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c>
          <w:tcPr>
            <w:tcW w:w="14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 average common shares—basic</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35,759,542</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40,650,933</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36,354,394</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40,634,527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Diluted earnings (loss)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Continuing operations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5"/>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Discontinued operations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1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35"/>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per share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80" w:type="dxa"/>
            <w:vAlign w:val="bottom"/>
          </w:tcPr>
          <w:p>
            <w:pPr>
              <w:ind w:left="360"/>
              <w:spacing w:after="0"/>
              <w:rPr>
                <w:sz w:val="20"/>
                <w:szCs w:val="20"/>
                <w:color w:val="auto"/>
              </w:rPr>
            </w:pPr>
            <w:r>
              <w:rPr>
                <w:rFonts w:ascii="Arial" w:cs="Arial" w:eastAsia="Arial" w:hAnsi="Arial"/>
                <w:sz w:val="16"/>
                <w:szCs w:val="16"/>
                <w:color w:val="auto"/>
              </w:rPr>
              <w:t>Weighted average common shares—diluted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36,063,656</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40,650,933</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36,738,157</w:t>
            </w:r>
          </w:p>
        </w:tc>
        <w:tc>
          <w:tcPr>
            <w:tcW w:w="1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40,634,527</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125" w:lineRule="exact"/>
        <w:rPr>
          <w:sz w:val="20"/>
          <w:szCs w:val="20"/>
          <w:color w:val="auto"/>
        </w:rPr>
      </w:pPr>
    </w:p>
    <w:p>
      <w:pPr>
        <w:ind w:left="9040"/>
        <w:spacing w:after="0"/>
        <w:rPr>
          <w:sz w:val="20"/>
          <w:szCs w:val="20"/>
          <w:color w:val="auto"/>
        </w:rPr>
      </w:pPr>
      <w:r>
        <w:rPr>
          <w:rFonts w:ascii="Arial" w:cs="Arial" w:eastAsia="Arial" w:hAnsi="Arial"/>
          <w:sz w:val="16"/>
          <w:szCs w:val="16"/>
          <w:b w:val="1"/>
          <w:bCs w:val="1"/>
          <w:color w:val="auto"/>
        </w:rPr>
        <w:t>Nine months ended</w:t>
      </w:r>
    </w:p>
    <w:p>
      <w:pPr>
        <w:ind w:left="926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Income (loss) from continuing operations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28,970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804,590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38,980</w:t>
            </w:r>
          </w:p>
        </w:tc>
        <w:tc>
          <w:tcPr>
            <w:tcW w:w="0" w:type="dxa"/>
            <w:vAlign w:val="bottom"/>
          </w:tcPr>
          <w:p>
            <w:pPr>
              <w:spacing w:after="0"/>
              <w:rPr>
                <w:sz w:val="1"/>
                <w:szCs w:val="1"/>
                <w:color w:val="auto"/>
              </w:rPr>
            </w:pPr>
          </w:p>
        </w:tc>
      </w:tr>
      <w:tr>
        <w:trPr>
          <w:trHeight w:val="209"/>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833,560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38,440</w:t>
            </w:r>
          </w:p>
        </w:tc>
        <w:tc>
          <w:tcPr>
            <w:tcW w:w="0" w:type="dxa"/>
            <w:vAlign w:val="bottom"/>
          </w:tcPr>
          <w:p>
            <w:pPr>
              <w:spacing w:after="0"/>
              <w:rPr>
                <w:sz w:val="1"/>
                <w:szCs w:val="1"/>
                <w:color w:val="auto"/>
              </w:rPr>
            </w:pPr>
          </w:p>
        </w:tc>
      </w:tr>
      <w:tr>
        <w:trPr>
          <w:trHeight w:val="163"/>
        </w:trPr>
        <w:tc>
          <w:tcPr>
            <w:tcW w:w="84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Adjustments to reconcile net income to net cash provided by (used for) operating activities, net of acquisition</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Net gain on dispositions of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(1,040,140)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12,940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issue costs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4,140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Provision for losses on accounts receivable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asbestos liability estimate</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Increase in receivables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(18,280)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inventories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Decrease in prepaid expenses and other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8,250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accounts payable and accrued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w:t>
            </w:r>
          </w:p>
        </w:tc>
        <w:tc>
          <w:tcPr>
            <w:tcW w:w="0" w:type="dxa"/>
            <w:vAlign w:val="bottom"/>
          </w:tcPr>
          <w:p>
            <w:pPr>
              <w:spacing w:after="0"/>
              <w:rPr>
                <w:sz w:val="1"/>
                <w:szCs w:val="1"/>
                <w:color w:val="auto"/>
              </w:rPr>
            </w:pPr>
          </w:p>
        </w:tc>
      </w:tr>
      <w:tr>
        <w:trPr>
          <w:trHeight w:val="215"/>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for) operating activities, net of acquisition impact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75,930</w:t>
            </w:r>
          </w:p>
        </w:tc>
        <w:tc>
          <w:tcPr>
            <w:tcW w:w="0" w:type="dxa"/>
            <w:vAlign w:val="bottom"/>
          </w:tcPr>
          <w:p>
            <w:pPr>
              <w:spacing w:after="0"/>
              <w:rPr>
                <w:sz w:val="1"/>
                <w:szCs w:val="1"/>
                <w:color w:val="auto"/>
              </w:rPr>
            </w:pPr>
          </w:p>
        </w:tc>
      </w:tr>
      <w:tr>
        <w:trPr>
          <w:trHeight w:val="19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Acquisition of business, net of cash acquired</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(37,730)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proceeds from disposition of business,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1,437,660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21,780</w:t>
            </w: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1,417,500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(59,600)</w:t>
            </w:r>
          </w:p>
        </w:tc>
        <w:tc>
          <w:tcPr>
            <w:tcW w:w="0" w:type="dxa"/>
            <w:vAlign w:val="bottom"/>
          </w:tcPr>
          <w:p>
            <w:pPr>
              <w:spacing w:after="0"/>
              <w:rPr>
                <w:sz w:val="1"/>
                <w:szCs w:val="1"/>
                <w:color w:val="auto"/>
              </w:rPr>
            </w:pPr>
          </w:p>
        </w:tc>
      </w:tr>
      <w:tr>
        <w:trPr>
          <w:trHeight w:val="19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169,300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(164,770)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Debt financing fees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to purchase common stock</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Other financing activities</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84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for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(164,350)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19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for the period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1,128,520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10,570</w:t>
            </w:r>
          </w:p>
        </w:tc>
        <w:tc>
          <w:tcPr>
            <w:tcW w:w="0" w:type="dxa"/>
            <w:vAlign w:val="bottom"/>
          </w:tcPr>
          <w:p>
            <w:pPr>
              <w:spacing w:after="0"/>
              <w:rPr>
                <w:sz w:val="1"/>
                <w:szCs w:val="1"/>
                <w:color w:val="auto"/>
              </w:rPr>
            </w:pPr>
          </w:p>
        </w:tc>
      </w:tr>
      <w:tr>
        <w:trPr>
          <w:trHeight w:val="215"/>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At beginning of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23,070</w:t>
            </w:r>
          </w:p>
        </w:tc>
        <w:tc>
          <w:tcPr>
            <w:tcW w:w="0" w:type="dxa"/>
            <w:vAlign w:val="bottom"/>
          </w:tcPr>
          <w:p>
            <w:pPr>
              <w:spacing w:after="0"/>
              <w:rPr>
                <w:sz w:val="1"/>
                <w:szCs w:val="1"/>
                <w:color w:val="auto"/>
              </w:rPr>
            </w:pPr>
          </w:p>
        </w:tc>
      </w:tr>
      <w:tr>
        <w:trPr>
          <w:trHeight w:val="235"/>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At end of period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1,158,540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33,640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9,920</w:t>
            </w:r>
          </w:p>
        </w:tc>
        <w:tc>
          <w:tcPr>
            <w:tcW w:w="0" w:type="dxa"/>
            <w:vAlign w:val="bottom"/>
          </w:tcPr>
          <w:p>
            <w:pPr>
              <w:spacing w:after="0"/>
              <w:rPr>
                <w:sz w:val="1"/>
                <w:szCs w:val="1"/>
                <w:color w:val="auto"/>
              </w:rPr>
            </w:pPr>
          </w:p>
        </w:tc>
      </w:tr>
      <w:tr>
        <w:trPr>
          <w:trHeight w:val="215"/>
        </w:trPr>
        <w:tc>
          <w:tcPr>
            <w:tcW w:w="8420" w:type="dxa"/>
            <w:vAlign w:val="bottom"/>
          </w:tcPr>
          <w:p>
            <w:pPr>
              <w:ind w:left="340"/>
              <w:spacing w:after="0"/>
              <w:rPr>
                <w:sz w:val="20"/>
                <w:szCs w:val="20"/>
                <w:color w:val="auto"/>
              </w:rPr>
            </w:pPr>
            <w:r>
              <w:rPr>
                <w:rFonts w:ascii="Arial" w:cs="Arial" w:eastAsia="Arial" w:hAnsi="Arial"/>
                <w:sz w:val="16"/>
                <w:szCs w:val="16"/>
                <w:color w:val="auto"/>
              </w:rPr>
              <w:t>Cash paid for taxes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132,470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11,290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property additions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1133" w:right="3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3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23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r>
      <w:tr>
        <w:trPr>
          <w:trHeight w:val="19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Packaging</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580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147,590</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135,700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429,680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406,280</w:t>
            </w:r>
          </w:p>
        </w:tc>
      </w:tr>
      <w:tr>
        <w:trPr>
          <w:trHeight w:val="217"/>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53,520</w:t>
            </w:r>
          </w:p>
        </w:tc>
      </w:tr>
      <w:tr>
        <w:trPr>
          <w:trHeight w:val="215"/>
        </w:trPr>
        <w:tc>
          <w:tcPr>
            <w:tcW w:w="5800" w:type="dxa"/>
            <w:vAlign w:val="bottom"/>
          </w:tcPr>
          <w:p>
            <w:pPr>
              <w:ind w:left="220"/>
              <w:spacing w:after="0"/>
              <w:rPr>
                <w:sz w:val="20"/>
                <w:szCs w:val="20"/>
                <w:color w:val="auto"/>
              </w:rPr>
            </w:pPr>
            <w:r>
              <w:rPr>
                <w:rFonts w:ascii="Arial" w:cs="Arial" w:eastAsia="Arial" w:hAnsi="Arial"/>
                <w:sz w:val="16"/>
                <w:szCs w:val="16"/>
                <w:color w:val="auto"/>
              </w:rPr>
              <w:t>Special Items to consider in evaluating operating profit: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Business restructuring and severance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r>
      <w:tr>
        <w:trPr>
          <w:trHeight w:val="215"/>
        </w:trPr>
        <w:tc>
          <w:tcPr>
            <w:tcW w:w="5800" w:type="dxa"/>
            <w:vAlign w:val="bottom"/>
          </w:tcPr>
          <w:p>
            <w:pPr>
              <w:ind w:left="480"/>
              <w:spacing w:after="0"/>
              <w:rPr>
                <w:sz w:val="20"/>
                <w:szCs w:val="20"/>
                <w:color w:val="auto"/>
              </w:rPr>
            </w:pPr>
            <w:r>
              <w:rPr>
                <w:rFonts w:ascii="Arial" w:cs="Arial" w:eastAsia="Arial" w:hAnsi="Arial"/>
                <w:sz w:val="16"/>
                <w:szCs w:val="16"/>
                <w:color w:val="auto"/>
              </w:rPr>
              <w:t>Adjusted operating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20,360</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18,190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59,220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56,440</w:t>
            </w:r>
          </w:p>
        </w:tc>
      </w:tr>
      <w:tr>
        <w:trPr>
          <w:trHeight w:val="217"/>
        </w:trPr>
        <w:tc>
          <w:tcPr>
            <w:tcW w:w="5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6"/>
                <w:szCs w:val="16"/>
                <w:b w:val="1"/>
                <w:bCs w:val="1"/>
                <w:color w:val="auto"/>
              </w:rPr>
              <w:t>Specialty Products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83,950</w:t>
            </w:r>
          </w:p>
        </w:tc>
      </w:tr>
      <w:tr>
        <w:trPr>
          <w:trHeight w:val="215"/>
        </w:trPr>
        <w:tc>
          <w:tcPr>
            <w:tcW w:w="580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2,370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3,630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2,480</w:t>
            </w:r>
          </w:p>
        </w:tc>
      </w:tr>
      <w:tr>
        <w:trPr>
          <w:trHeight w:val="217"/>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Items to consider in evaluating operating profit: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5800" w:type="dxa"/>
            <w:vAlign w:val="bottom"/>
          </w:tcPr>
          <w:p>
            <w:pPr>
              <w:ind w:left="360"/>
              <w:spacing w:after="0"/>
              <w:rPr>
                <w:sz w:val="20"/>
                <w:szCs w:val="20"/>
                <w:color w:val="auto"/>
              </w:rPr>
            </w:pPr>
            <w:r>
              <w:rPr>
                <w:rFonts w:ascii="Arial" w:cs="Arial" w:eastAsia="Arial" w:hAnsi="Arial"/>
                <w:sz w:val="16"/>
                <w:szCs w:val="16"/>
                <w:color w:val="auto"/>
              </w:rPr>
              <w:t>Business restructuring and severance costs</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1,240</w:t>
            </w:r>
          </w:p>
        </w:tc>
      </w:tr>
      <w:tr>
        <w:trPr>
          <w:trHeight w:val="217"/>
        </w:trPr>
        <w:tc>
          <w:tcPr>
            <w:tcW w:w="5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Adjusted operating profit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w:t>
            </w:r>
          </w:p>
        </w:tc>
      </w:tr>
      <w:tr>
        <w:trPr>
          <w:trHeight w:val="257"/>
        </w:trPr>
        <w:tc>
          <w:tcPr>
            <w:tcW w:w="5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Corporate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5800" w:type="dxa"/>
            <w:vAlign w:val="bottom"/>
          </w:tcPr>
          <w:p>
            <w:pPr>
              <w:ind w:left="220"/>
              <w:spacing w:after="0"/>
              <w:rPr>
                <w:sz w:val="20"/>
                <w:szCs w:val="20"/>
                <w:color w:val="auto"/>
              </w:rPr>
            </w:pPr>
            <w:r>
              <w:rPr>
                <w:rFonts w:ascii="Arial" w:cs="Arial" w:eastAsia="Arial" w:hAnsi="Arial"/>
                <w:sz w:val="16"/>
                <w:szCs w:val="16"/>
                <w:color w:val="auto"/>
              </w:rPr>
              <w:t>Operating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(7,430)</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(21,840)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(26,500)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(44,640)</w:t>
            </w:r>
          </w:p>
        </w:tc>
      </w:tr>
      <w:tr>
        <w:trPr>
          <w:trHeight w:val="217"/>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Special Items to consider in evaluating operating loss: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5800" w:type="dxa"/>
            <w:vAlign w:val="bottom"/>
          </w:tcPr>
          <w:p>
            <w:pPr>
              <w:ind w:left="360"/>
              <w:spacing w:after="0"/>
              <w:rPr>
                <w:sz w:val="20"/>
                <w:szCs w:val="20"/>
                <w:color w:val="auto"/>
              </w:rPr>
            </w:pPr>
            <w:r>
              <w:rPr>
                <w:rFonts w:ascii="Arial" w:cs="Arial" w:eastAsia="Arial" w:hAnsi="Arial"/>
                <w:sz w:val="16"/>
                <w:szCs w:val="16"/>
                <w:color w:val="auto"/>
              </w:rPr>
              <w:t>Asbestos-related costs</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8,030</w:t>
            </w:r>
          </w:p>
        </w:tc>
      </w:tr>
      <w:tr>
        <w:trPr>
          <w:trHeight w:val="217"/>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M&amp;A diligence and transaction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15"/>
        </w:trPr>
        <w:tc>
          <w:tcPr>
            <w:tcW w:w="5800" w:type="dxa"/>
            <w:vAlign w:val="bottom"/>
          </w:tcPr>
          <w:p>
            <w:pPr>
              <w:ind w:left="360"/>
              <w:spacing w:after="0"/>
              <w:rPr>
                <w:sz w:val="20"/>
                <w:szCs w:val="20"/>
                <w:color w:val="auto"/>
              </w:rPr>
            </w:pPr>
            <w:r>
              <w:rPr>
                <w:rFonts w:ascii="Arial" w:cs="Arial" w:eastAsia="Arial" w:hAnsi="Arial"/>
                <w:sz w:val="16"/>
                <w:szCs w:val="16"/>
                <w:color w:val="auto"/>
              </w:rPr>
              <w:t>System implementation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4,300</w:t>
            </w:r>
          </w:p>
        </w:tc>
      </w:tr>
      <w:tr>
        <w:trPr>
          <w:trHeight w:val="217"/>
        </w:trPr>
        <w:tc>
          <w:tcPr>
            <w:tcW w:w="5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Business restructuring and severance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15"/>
        </w:trPr>
        <w:tc>
          <w:tcPr>
            <w:tcW w:w="5800" w:type="dxa"/>
            <w:vAlign w:val="bottom"/>
          </w:tcPr>
          <w:p>
            <w:pPr>
              <w:ind w:left="360"/>
              <w:spacing w:after="0"/>
              <w:rPr>
                <w:sz w:val="20"/>
                <w:szCs w:val="20"/>
                <w:color w:val="auto"/>
              </w:rPr>
            </w:pPr>
            <w:r>
              <w:rPr>
                <w:rFonts w:ascii="Arial" w:cs="Arial" w:eastAsia="Arial" w:hAnsi="Arial"/>
                <w:sz w:val="16"/>
                <w:szCs w:val="16"/>
                <w:color w:val="auto"/>
              </w:rPr>
              <w:t>Gain on sale of Arrow Engine</w:t>
            </w:r>
          </w:p>
        </w:tc>
        <w:tc>
          <w:tcPr>
            <w:tcW w:w="2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(5,380)</w:t>
            </w:r>
          </w:p>
        </w:tc>
      </w:tr>
      <w:tr>
        <w:trPr>
          <w:trHeight w:val="217"/>
        </w:trPr>
        <w:tc>
          <w:tcPr>
            <w:tcW w:w="5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Adjusted operating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(29,800)</w:t>
            </w:r>
          </w:p>
        </w:tc>
      </w:tr>
      <w:tr>
        <w:trPr>
          <w:trHeight w:val="216"/>
        </w:trPr>
        <w:tc>
          <w:tcPr>
            <w:tcW w:w="5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TriMas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580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178,740</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166,020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521,600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490,230</w:t>
            </w:r>
          </w:p>
        </w:tc>
      </w:tr>
      <w:tr>
        <w:trPr>
          <w:trHeight w:val="217"/>
        </w:trPr>
        <w:tc>
          <w:tcPr>
            <w:tcW w:w="5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 (loss)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11,360</w:t>
            </w:r>
          </w:p>
        </w:tc>
      </w:tr>
      <w:tr>
        <w:trPr>
          <w:trHeight w:val="215"/>
        </w:trPr>
        <w:tc>
          <w:tcPr>
            <w:tcW w:w="5800" w:type="dxa"/>
            <w:vAlign w:val="bottom"/>
          </w:tcPr>
          <w:p>
            <w:pPr>
              <w:ind w:left="220"/>
              <w:spacing w:after="0"/>
              <w:rPr>
                <w:sz w:val="20"/>
                <w:szCs w:val="20"/>
                <w:color w:val="auto"/>
              </w:rPr>
            </w:pPr>
            <w:r>
              <w:rPr>
                <w:rFonts w:ascii="Arial" w:cs="Arial" w:eastAsia="Arial" w:hAnsi="Arial"/>
                <w:sz w:val="16"/>
                <w:szCs w:val="16"/>
                <w:color w:val="auto"/>
              </w:rPr>
              <w:t>Total Special Items to consider in evaluating operating profit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11,970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19,000</w:t>
            </w:r>
          </w:p>
        </w:tc>
      </w:tr>
      <w:tr>
        <w:trPr>
          <w:trHeight w:val="217"/>
        </w:trPr>
        <w:tc>
          <w:tcPr>
            <w:tcW w:w="5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Adjusted operating profit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94"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210"/>
        </w:trPr>
        <w:tc>
          <w:tcPr>
            <w:tcW w:w="57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2025</w:t>
            </w: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continuing operations, as reported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162"/>
        </w:trPr>
        <w:tc>
          <w:tcPr>
            <w:tcW w:w="57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Special Items to consider in evaluating quality of income (loss) from</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continuing operations: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Asbestos-related costs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8,030</w:t>
            </w: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Business restructuring and severance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11,660</w:t>
            </w:r>
          </w:p>
        </w:tc>
      </w:tr>
      <w:tr>
        <w:trPr>
          <w:trHeight w:val="217"/>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M&amp;A diligence and transaction costs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r>
      <w:tr>
        <w:trPr>
          <w:trHeight w:val="215"/>
        </w:trPr>
        <w:tc>
          <w:tcPr>
            <w:tcW w:w="5700" w:type="dxa"/>
            <w:vAlign w:val="bottom"/>
          </w:tcPr>
          <w:p>
            <w:pPr>
              <w:ind w:left="240"/>
              <w:spacing w:after="0"/>
              <w:rPr>
                <w:sz w:val="20"/>
                <w:szCs w:val="20"/>
                <w:color w:val="auto"/>
              </w:rPr>
            </w:pPr>
            <w:r>
              <w:rPr>
                <w:rFonts w:ascii="Arial" w:cs="Arial" w:eastAsia="Arial" w:hAnsi="Arial"/>
                <w:sz w:val="16"/>
                <w:szCs w:val="16"/>
                <w:color w:val="auto"/>
              </w:rPr>
              <w:t>System implementation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1,940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4,300</w:t>
            </w:r>
          </w:p>
        </w:tc>
      </w:tr>
      <w:tr>
        <w:trPr>
          <w:trHeight w:val="217"/>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Write-off of deferred financing fees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Gain on sale of Arrow Engine</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(5,380)</w:t>
            </w: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w:t>
            </w: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Non-cash compensation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6,910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5,540</w:t>
            </w:r>
          </w:p>
        </w:tc>
      </w:tr>
      <w:tr>
        <w:trPr>
          <w:trHeight w:val="217"/>
        </w:trPr>
        <w:tc>
          <w:tcPr>
            <w:tcW w:w="5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Income tax effect of net income adjustments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(4,270)</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(7,260)</w:t>
            </w:r>
          </w:p>
        </w:tc>
      </w:tr>
      <w:tr>
        <w:trPr>
          <w:trHeight w:val="210"/>
        </w:trPr>
        <w:tc>
          <w:tcPr>
            <w:tcW w:w="5700" w:type="dxa"/>
            <w:vAlign w:val="bottom"/>
          </w:tcPr>
          <w:p>
            <w:pPr>
              <w:ind w:left="220"/>
              <w:spacing w:after="0"/>
              <w:rPr>
                <w:sz w:val="20"/>
                <w:szCs w:val="20"/>
                <w:color w:val="auto"/>
              </w:rPr>
            </w:pPr>
            <w:r>
              <w:rPr>
                <w:rFonts w:ascii="Arial" w:cs="Arial" w:eastAsia="Arial" w:hAnsi="Arial"/>
                <w:sz w:val="16"/>
                <w:szCs w:val="16"/>
                <w:b w:val="1"/>
                <w:bCs w:val="1"/>
                <w:color w:val="auto"/>
              </w:rPr>
              <w:t>Adjusted income from continuing operations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18,110</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6,810</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46,060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20,800</w:t>
            </w: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5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42"/>
        </w:trPr>
        <w:tc>
          <w:tcPr>
            <w:tcW w:w="5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Diluted earnings (loss) per share from continuing operations, as</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reported</w:t>
            </w:r>
          </w:p>
        </w:tc>
        <w:tc>
          <w:tcPr>
            <w:tcW w:w="2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Special Items to consider in evaluating quality of EPS from continuing</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operations: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Asbestos-related costs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Business restructuring and severance costs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M&amp;A diligence and transaction costs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System implementation costs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Write-off of deferred financing fees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700" w:type="dxa"/>
            <w:vAlign w:val="bottom"/>
          </w:tcPr>
          <w:p>
            <w:pPr>
              <w:ind w:left="220"/>
              <w:spacing w:after="0"/>
              <w:rPr>
                <w:sz w:val="20"/>
                <w:szCs w:val="20"/>
                <w:color w:val="auto"/>
              </w:rPr>
            </w:pPr>
            <w:r>
              <w:rPr>
                <w:rFonts w:ascii="Arial" w:cs="Arial" w:eastAsia="Arial" w:hAnsi="Arial"/>
                <w:sz w:val="16"/>
                <w:szCs w:val="16"/>
                <w:color w:val="auto"/>
              </w:rPr>
              <w:t>Gain on sale of Arrow Engine</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Non-cash compensation expense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7"/>
        </w:trPr>
        <w:tc>
          <w:tcPr>
            <w:tcW w:w="57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Income tax effect of net income adjustments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10"/>
        </w:trPr>
        <w:tc>
          <w:tcPr>
            <w:tcW w:w="5700" w:type="dxa"/>
            <w:vAlign w:val="bottom"/>
          </w:tcPr>
          <w:p>
            <w:pPr>
              <w:ind w:left="220"/>
              <w:spacing w:after="0"/>
              <w:rPr>
                <w:sz w:val="20"/>
                <w:szCs w:val="20"/>
                <w:color w:val="auto"/>
              </w:rPr>
            </w:pPr>
            <w:r>
              <w:rPr>
                <w:rFonts w:ascii="Arial" w:cs="Arial" w:eastAsia="Arial" w:hAnsi="Arial"/>
                <w:sz w:val="16"/>
                <w:szCs w:val="16"/>
                <w:b w:val="1"/>
                <w:bCs w:val="1"/>
                <w:color w:val="auto"/>
              </w:rPr>
              <w:t>Adjusted diluted EPS from continuing operations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0.50</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shares outstanding</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36,063,656</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41,113,322</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36,738,157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41,004,160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both"/>
        <w:ind w:left="500" w:right="320" w:hanging="168"/>
        <w:spacing w:after="0" w:line="385" w:lineRule="auto"/>
        <w:tabs>
          <w:tab w:leader="none" w:pos="478"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Income tax effect of net income adjustments is calculated on an item-by-item basis, utilizing the statutory income tax rate in the jurisdiction where the adjustments occurred. For the three and nine month periods ended September 30, 2026 and 2025, the income tax effect on the cumulative net income adjustments varied from the tax rate inherent in the Company's reported GAAP results, primarily as a result of certain discrete items that occurred during the period for GAAP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94"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9"/>
          </w:tcPr>
          <w:p>
            <w:pPr>
              <w:ind w:left="780"/>
              <w:spacing w:after="0"/>
              <w:rPr>
                <w:sz w:val="20"/>
                <w:szCs w:val="20"/>
                <w:color w:val="auto"/>
              </w:rPr>
            </w:pPr>
            <w:r>
              <w:rPr>
                <w:rFonts w:ascii="Arial" w:cs="Arial" w:eastAsia="Arial" w:hAnsi="Arial"/>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9"/>
        </w:trPr>
        <w:tc>
          <w:tcPr>
            <w:tcW w:w="3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9"/>
        </w:trPr>
        <w:tc>
          <w:tcPr>
            <w:tcW w:w="398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reported</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adjusted</w:t>
            </w:r>
          </w:p>
        </w:tc>
        <w:tc>
          <w:tcPr>
            <w:tcW w:w="14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reported</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As adjusted</w:t>
            </w: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for) operating activities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(66,730)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94,630</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27,900</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12,870</w:t>
            </w: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(8,920)</w:t>
            </w:r>
          </w:p>
        </w:tc>
      </w:tr>
      <w:tr>
        <w:trPr>
          <w:trHeight w:val="20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94,630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9"/>
          </w:tcPr>
          <w:p>
            <w:pPr>
              <w:ind w:left="8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398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reported</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adjusted</w:t>
            </w:r>
          </w:p>
        </w:tc>
        <w:tc>
          <w:tcPr>
            <w:tcW w:w="140" w:type="dxa"/>
            <w:vAlign w:val="bottom"/>
          </w:tcPr>
          <w:p>
            <w:pPr>
              <w:spacing w:after="0"/>
              <w:rPr>
                <w:sz w:val="18"/>
                <w:szCs w:val="18"/>
                <w:color w:val="auto"/>
              </w:rPr>
            </w:pPr>
          </w:p>
        </w:tc>
        <w:tc>
          <w:tcPr>
            <w:tcW w:w="1240" w:type="dxa"/>
            <w:vAlign w:val="bottom"/>
            <w:gridSpan w:val="4"/>
          </w:tcPr>
          <w:p>
            <w:pPr>
              <w:ind w:left="100"/>
              <w:spacing w:after="0"/>
              <w:rPr>
                <w:sz w:val="20"/>
                <w:szCs w:val="20"/>
                <w:color w:val="auto"/>
              </w:rPr>
            </w:pPr>
            <w:r>
              <w:rPr>
                <w:rFonts w:ascii="Arial" w:cs="Arial" w:eastAsia="Arial" w:hAnsi="Arial"/>
                <w:sz w:val="16"/>
                <w:szCs w:val="16"/>
                <w:b w:val="1"/>
                <w:bCs w:val="1"/>
                <w:color w:val="auto"/>
              </w:rPr>
              <w:t>As reported</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for) operating activities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(124,300)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133,550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32,750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44,110</w:t>
            </w: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(31,490)</w:t>
            </w:r>
          </w:p>
        </w:tc>
      </w:tr>
      <w:tr>
        <w:trPr>
          <w:trHeight w:val="235"/>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 2025</w:t>
            </w:r>
          </w:p>
        </w:tc>
        <w:tc>
          <w:tcPr>
            <w:tcW w:w="260" w:type="dxa"/>
            <w:vAlign w:val="bottom"/>
          </w:tcPr>
          <w:p>
            <w:pPr>
              <w:spacing w:after="0"/>
              <w:rPr>
                <w:sz w:val="16"/>
                <w:szCs w:val="16"/>
                <w:color w:val="auto"/>
              </w:rPr>
            </w:pP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ind w:right="6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397,140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469,170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407,070</w:t>
            </w:r>
          </w:p>
        </w:tc>
        <w:tc>
          <w:tcPr>
            <w:tcW w:w="0" w:type="dxa"/>
            <w:vAlign w:val="bottom"/>
          </w:tcPr>
          <w:p>
            <w:pPr>
              <w:spacing w:after="0"/>
              <w:rPr>
                <w:sz w:val="1"/>
                <w:szCs w:val="1"/>
                <w:color w:val="auto"/>
              </w:rPr>
            </w:pPr>
          </w:p>
        </w:tc>
      </w:tr>
      <w:tr>
        <w:trPr>
          <w:trHeight w:val="215"/>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and cash equivalents</w:t>
            </w: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1,158,540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33,640</w:t>
            </w:r>
          </w:p>
        </w:tc>
        <w:tc>
          <w:tcPr>
            <w:tcW w:w="0" w:type="dxa"/>
            <w:vAlign w:val="bottom"/>
          </w:tcPr>
          <w:p>
            <w:pPr>
              <w:spacing w:after="0"/>
              <w:rPr>
                <w:sz w:val="1"/>
                <w:szCs w:val="1"/>
                <w:color w:val="auto"/>
              </w:rPr>
            </w:pPr>
          </w:p>
        </w:tc>
      </w:tr>
      <w:tr>
        <w:trPr>
          <w:trHeight w:val="23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(761,400)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439,150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373,430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ind w:left="760"/>
              <w:spacing w:after="0"/>
              <w:rPr>
                <w:sz w:val="20"/>
                <w:szCs w:val="20"/>
                <w:color w:val="auto"/>
              </w:rPr>
            </w:pPr>
            <w:r>
              <w:rPr>
                <w:rFonts w:ascii="Arial" w:cs="Arial" w:eastAsia="Arial" w:hAnsi="Arial"/>
                <w:sz w:val="16"/>
                <w:szCs w:val="16"/>
                <w:b w:val="1"/>
                <w:bCs w:val="1"/>
                <w:color w:val="auto"/>
              </w:rPr>
              <w:t>YOY Sales Growth %</w:t>
            </w:r>
          </w:p>
        </w:tc>
        <w:tc>
          <w:tcPr>
            <w:tcW w:w="1440" w:type="dxa"/>
            <w:vAlign w:val="bottom"/>
            <w:tcBorders>
              <w:bottom w:val="single" w:sz="8" w:color="auto"/>
            </w:tcBorders>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1640" w:type="dxa"/>
            <w:vAlign w:val="bottom"/>
            <w:gridSpan w:val="2"/>
          </w:tcPr>
          <w:p>
            <w:pPr>
              <w:ind w:left="440"/>
              <w:spacing w:after="0"/>
              <w:rPr>
                <w:sz w:val="20"/>
                <w:szCs w:val="20"/>
                <w:color w:val="auto"/>
              </w:rPr>
            </w:pPr>
            <w:r>
              <w:rPr>
                <w:rFonts w:ascii="Arial" w:cs="Arial" w:eastAsia="Arial" w:hAnsi="Arial"/>
                <w:sz w:val="16"/>
                <w:szCs w:val="16"/>
                <w:b w:val="1"/>
                <w:bCs w:val="1"/>
                <w:color w:val="auto"/>
              </w:rPr>
              <w:t>Organic</w:t>
            </w:r>
          </w:p>
        </w:tc>
        <w:tc>
          <w:tcPr>
            <w:tcW w:w="1660" w:type="dxa"/>
            <w:vAlign w:val="bottom"/>
            <w:gridSpan w:val="2"/>
          </w:tcPr>
          <w:p>
            <w:pPr>
              <w:ind w:left="280"/>
              <w:spacing w:after="0"/>
              <w:rPr>
                <w:sz w:val="20"/>
                <w:szCs w:val="20"/>
                <w:color w:val="auto"/>
              </w:rPr>
            </w:pPr>
            <w:r>
              <w:rPr>
                <w:rFonts w:ascii="Arial" w:cs="Arial" w:eastAsia="Arial" w:hAnsi="Arial"/>
                <w:sz w:val="16"/>
                <w:szCs w:val="16"/>
                <w:b w:val="1"/>
                <w:bCs w:val="1"/>
                <w:color w:val="auto"/>
              </w:rPr>
              <w:t>Divestitures</w:t>
            </w: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Foreign Exchange</w:t>
            </w:r>
          </w:p>
        </w:tc>
        <w:tc>
          <w:tcPr>
            <w:tcW w:w="144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19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Q3 2026 vs. Q3 2025</w:t>
            </w:r>
          </w:p>
        </w:tc>
        <w:tc>
          <w:tcPr>
            <w:tcW w:w="1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5"/>
        </w:trPr>
        <w:tc>
          <w:tcPr>
            <w:tcW w:w="4840" w:type="dxa"/>
            <w:vAlign w:val="bottom"/>
          </w:tcPr>
          <w:p>
            <w:pPr>
              <w:ind w:left="20"/>
              <w:spacing w:after="0"/>
              <w:rPr>
                <w:sz w:val="20"/>
                <w:szCs w:val="20"/>
                <w:color w:val="auto"/>
              </w:rPr>
            </w:pPr>
            <w:r>
              <w:rPr>
                <w:rFonts w:ascii="Arial" w:cs="Arial" w:eastAsia="Arial" w:hAnsi="Arial"/>
                <w:sz w:val="16"/>
                <w:szCs w:val="16"/>
                <w:color w:val="auto"/>
              </w:rPr>
              <w:t>Consolidated TriMas Corporation</w:t>
            </w:r>
          </w:p>
        </w:tc>
        <w:tc>
          <w:tcPr>
            <w:tcW w:w="1480" w:type="dxa"/>
            <w:vAlign w:val="bottom"/>
          </w:tcPr>
          <w:p>
            <w:pPr>
              <w:jc w:val="right"/>
              <w:spacing w:after="0"/>
              <w:rPr>
                <w:sz w:val="20"/>
                <w:szCs w:val="20"/>
                <w:color w:val="auto"/>
              </w:rPr>
            </w:pPr>
            <w:r>
              <w:rPr>
                <w:rFonts w:ascii="Arial" w:cs="Arial" w:eastAsia="Arial" w:hAnsi="Arial"/>
                <w:sz w:val="16"/>
                <w:szCs w:val="16"/>
                <w:color w:val="auto"/>
              </w:rPr>
              <w:t>7.2 %</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500" w:type="dxa"/>
            <w:vAlign w:val="bottom"/>
          </w:tcPr>
          <w:p>
            <w:pPr>
              <w:jc w:val="right"/>
              <w:spacing w:after="0"/>
              <w:rPr>
                <w:sz w:val="20"/>
                <w:szCs w:val="20"/>
                <w:color w:val="auto"/>
              </w:rPr>
            </w:pPr>
            <w:r>
              <w:rPr>
                <w:rFonts w:ascii="Arial" w:cs="Arial" w:eastAsia="Arial" w:hAnsi="Arial"/>
                <w:sz w:val="16"/>
                <w:szCs w:val="16"/>
                <w:color w:val="auto"/>
              </w:rPr>
              <w:t>0.5 %</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7.7 %</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Packaging</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Specialty Products</w:t>
            </w:r>
          </w:p>
        </w:tc>
        <w:tc>
          <w:tcPr>
            <w:tcW w:w="1480" w:type="dxa"/>
            <w:vAlign w:val="bottom"/>
          </w:tcPr>
          <w:p>
            <w:pPr>
              <w:jc w:val="right"/>
              <w:spacing w:after="0"/>
              <w:rPr>
                <w:sz w:val="20"/>
                <w:szCs w:val="20"/>
                <w:color w:val="auto"/>
              </w:rPr>
            </w:pPr>
            <w:r>
              <w:rPr>
                <w:rFonts w:ascii="Arial" w:cs="Arial" w:eastAsia="Arial" w:hAnsi="Arial"/>
                <w:sz w:val="16"/>
                <w:szCs w:val="16"/>
                <w:color w:val="auto"/>
              </w:rPr>
              <w:t>2.7 %</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44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109"/>
        </w:trPr>
        <w:tc>
          <w:tcPr>
            <w:tcW w:w="48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6"/>
                <w:szCs w:val="16"/>
                <w:b w:val="1"/>
                <w:bCs w:val="1"/>
                <w:color w:val="auto"/>
              </w:rPr>
              <w:t>YTD Q3 2026 vs. YTD Q3 2025</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TriMas Corporation</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15"/>
        </w:trPr>
        <w:tc>
          <w:tcPr>
            <w:tcW w:w="4840" w:type="dxa"/>
            <w:vAlign w:val="bottom"/>
          </w:tcPr>
          <w:p>
            <w:pPr>
              <w:ind w:left="140"/>
              <w:spacing w:after="0"/>
              <w:rPr>
                <w:sz w:val="20"/>
                <w:szCs w:val="20"/>
                <w:color w:val="auto"/>
              </w:rPr>
            </w:pPr>
            <w:r>
              <w:rPr>
                <w:rFonts w:ascii="Arial" w:cs="Arial" w:eastAsia="Arial" w:hAnsi="Arial"/>
                <w:sz w:val="16"/>
                <w:szCs w:val="16"/>
                <w:color w:val="auto"/>
              </w:rPr>
              <w:t>Packaging</w:t>
            </w:r>
          </w:p>
        </w:tc>
        <w:tc>
          <w:tcPr>
            <w:tcW w:w="1480" w:type="dxa"/>
            <w:vAlign w:val="bottom"/>
          </w:tcPr>
          <w:p>
            <w:pPr>
              <w:jc w:val="right"/>
              <w:spacing w:after="0"/>
              <w:rPr>
                <w:sz w:val="20"/>
                <w:szCs w:val="20"/>
                <w:color w:val="auto"/>
              </w:rPr>
            </w:pPr>
            <w:r>
              <w:rPr>
                <w:rFonts w:ascii="Arial" w:cs="Arial" w:eastAsia="Arial" w:hAnsi="Arial"/>
                <w:sz w:val="16"/>
                <w:szCs w:val="16"/>
                <w:color w:val="auto"/>
              </w:rPr>
              <w:t>3.4 %</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500" w:type="dxa"/>
            <w:vAlign w:val="bottom"/>
          </w:tcPr>
          <w:p>
            <w:pPr>
              <w:jc w:val="right"/>
              <w:spacing w:after="0"/>
              <w:rPr>
                <w:sz w:val="20"/>
                <w:szCs w:val="20"/>
                <w:color w:val="auto"/>
              </w:rPr>
            </w:pPr>
            <w:r>
              <w:rPr>
                <w:rFonts w:ascii="Arial" w:cs="Arial" w:eastAsia="Arial" w:hAnsi="Arial"/>
                <w:sz w:val="16"/>
                <w:szCs w:val="16"/>
                <w:color w:val="auto"/>
              </w:rPr>
              <w:t>2.4 %</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5.8 %</w:t>
            </w:r>
          </w:p>
        </w:tc>
      </w:tr>
      <w:tr>
        <w:trPr>
          <w:trHeight w:val="217"/>
        </w:trPr>
        <w:tc>
          <w:tcPr>
            <w:tcW w:w="4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Products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4"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Forecasted Diluted Earnings Per Share Guidance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27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Twelve months ended</w:t>
            </w:r>
          </w:p>
        </w:tc>
        <w:tc>
          <w:tcPr>
            <w:tcW w:w="520" w:type="dxa"/>
            <w:vAlign w:val="bottom"/>
          </w:tcPr>
          <w:p>
            <w:pPr>
              <w:spacing w:after="0"/>
              <w:rPr>
                <w:sz w:val="18"/>
                <w:szCs w:val="18"/>
                <w:color w:val="auto"/>
              </w:rPr>
            </w:pPr>
          </w:p>
        </w:tc>
      </w:tr>
      <w:tr>
        <w:trPr>
          <w:trHeight w:val="217"/>
        </w:trPr>
        <w:tc>
          <w:tcPr>
            <w:tcW w:w="802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December 31, 2026</w:t>
            </w:r>
          </w:p>
        </w:tc>
        <w:tc>
          <w:tcPr>
            <w:tcW w:w="520" w:type="dxa"/>
            <w:vAlign w:val="bottom"/>
            <w:tcBorders>
              <w:bottom w:val="single" w:sz="8" w:color="auto"/>
            </w:tcBorders>
          </w:tcPr>
          <w:p>
            <w:pPr>
              <w:spacing w:after="0"/>
              <w:rPr>
                <w:sz w:val="18"/>
                <w:szCs w:val="18"/>
                <w:color w:val="auto"/>
              </w:rPr>
            </w:pPr>
          </w:p>
        </w:tc>
      </w:tr>
      <w:tr>
        <w:trPr>
          <w:trHeight w:val="210"/>
        </w:trPr>
        <w:tc>
          <w:tcPr>
            <w:tcW w:w="8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520" w:type="dxa"/>
            <w:vAlign w:val="bottom"/>
            <w:tcBorders>
              <w:bottom w:val="single" w:sz="8" w:color="auto"/>
            </w:tcBorders>
          </w:tcPr>
          <w:p>
            <w:pPr>
              <w:spacing w:after="0"/>
              <w:rPr>
                <w:sz w:val="18"/>
                <w:szCs w:val="18"/>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 (GAAP)</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1.13</w:t>
            </w:r>
          </w:p>
        </w:tc>
      </w:tr>
      <w:tr>
        <w:trPr>
          <w:trHeight w:val="216"/>
        </w:trPr>
        <w:tc>
          <w:tcPr>
            <w:tcW w:w="8020" w:type="dxa"/>
            <w:vAlign w:val="bottom"/>
          </w:tcPr>
          <w:p>
            <w:pPr>
              <w:ind w:left="140"/>
              <w:spacing w:after="0" w:line="216" w:lineRule="exact"/>
              <w:rPr>
                <w:sz w:val="20"/>
                <w:szCs w:val="20"/>
                <w:color w:val="auto"/>
              </w:rPr>
            </w:pPr>
            <w:r>
              <w:rPr>
                <w:rFonts w:ascii="Arial" w:cs="Arial" w:eastAsia="Arial" w:hAnsi="Arial"/>
                <w:sz w:val="16"/>
                <w:szCs w:val="16"/>
                <w:color w:val="auto"/>
              </w:rPr>
              <w:t>Pre-tax amortization of acquisition-related intangible assets</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0.14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0.14</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 on amortization of acquisition-related intangible assets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(0.04)</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Pre-tax non-cash compensation expense</w:t>
            </w: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0.25</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0.28</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 on non-cash compensation expense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(0.06)</w:t>
            </w:r>
          </w:p>
        </w:tc>
      </w:tr>
      <w:tr>
        <w:trPr>
          <w:trHeight w:val="216"/>
        </w:trPr>
        <w:tc>
          <w:tcPr>
            <w:tcW w:w="80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Impact of Special Items</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0.25</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0.25</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1.60</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1.70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20" w:hanging="169"/>
        <w:spacing w:after="0" w:line="216" w:lineRule="auto"/>
        <w:tabs>
          <w:tab w:leader="none" w:pos="416"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These amounts relate to acquisitions completed as of October 29, 2026. The Company is unable to provide forward-looking estimates of future acquisitions, if any, that have not yet been consummated.</w:t>
      </w:r>
    </w:p>
    <w:p>
      <w:pPr>
        <w:spacing w:after="0" w:line="134" w:lineRule="exact"/>
        <w:rPr>
          <w:rFonts w:ascii="Arial" w:cs="Arial" w:eastAsia="Arial" w:hAnsi="Arial"/>
          <w:sz w:val="20"/>
          <w:szCs w:val="20"/>
          <w:color w:val="auto"/>
          <w:vertAlign w:val="superscript"/>
        </w:rPr>
      </w:pPr>
    </w:p>
    <w:p>
      <w:pPr>
        <w:jc w:val="both"/>
        <w:ind w:left="420" w:right="20" w:hanging="169"/>
        <w:spacing w:after="0" w:line="229" w:lineRule="auto"/>
        <w:tabs>
          <w:tab w:leader="none" w:pos="416"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The Company is unable to provide forward-looking estimates of Special Items without unreasonable effort, due to the uncertainty and inherent difficulty of predicting the occurrence and the financial impact of such items and the periods in which such items may be recognized. For the same reasons, the Company is unable to address the probable significance of the unavailable information, which could be material to future results.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248"/>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2026-10-29T08:44:48Z</dcterms:created>
  <dcterms:modified xsi:type="dcterms:W3CDTF">2026-10-29T08:44:48Z</dcterms:modified>
</cp:coreProperties>
</file>