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61"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(Mark One)</w:t>
      </w:r>
    </w:p>
    <w:p>
      <w:pPr>
        <w:spacing w:after="0" w:line="18" w:lineRule="exact"/>
        <w:rPr>
          <w:sz w:val="24"/>
          <w:szCs w:val="24"/>
          <w:color w:val="auto"/>
        </w:rPr>
      </w:pPr>
    </w:p>
    <w:p>
      <w:pPr>
        <w:ind w:left="1620" w:hanging="1005"/>
        <w:spacing w:after="0"/>
        <w:tabs>
          <w:tab w:leader="none" w:pos="1620" w:val="left"/>
        </w:tabs>
        <w:numPr>
          <w:ilvl w:val="0"/>
          <w:numId w:val="1"/>
        </w:numPr>
        <w:rPr>
          <w:rFonts w:ascii="MS PGothic" w:cs="MS PGothic" w:eastAsia="MS PGothic" w:hAnsi="MS PGothic"/>
          <w:sz w:val="58"/>
          <w:szCs w:val="58"/>
          <w:color w:val="auto"/>
          <w:vertAlign w:val="superscript"/>
        </w:rPr>
      </w:pPr>
      <w:r>
        <w:rPr>
          <w:rFonts w:ascii="Arial" w:cs="Arial" w:eastAsia="Arial" w:hAnsi="Arial"/>
          <w:sz w:val="20"/>
          <w:szCs w:val="20"/>
          <w:b w:val="1"/>
          <w:bCs w:val="1"/>
          <w:color w:val="auto"/>
        </w:rPr>
        <w:t>Quarterly Report Pursuant to Section 13 or 15(d) of the Securities Exchange Act of 1934</w:t>
      </w:r>
    </w:p>
    <w:p>
      <w:pPr>
        <w:spacing w:after="0" w:line="18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 w:lineRule="exact"/>
        <w:rPr>
          <w:sz w:val="24"/>
          <w:szCs w:val="24"/>
          <w:color w:val="auto"/>
        </w:rPr>
      </w:pPr>
    </w:p>
    <w:p>
      <w:pPr>
        <w:ind w:left="1620" w:hanging="1005"/>
        <w:spacing w:after="0"/>
        <w:tabs>
          <w:tab w:leader="none" w:pos="1620" w:val="left"/>
        </w:tabs>
        <w:numPr>
          <w:ilvl w:val="0"/>
          <w:numId w:val="2"/>
        </w:numPr>
        <w:rPr>
          <w:rFonts w:ascii="MS PGothic" w:cs="MS PGothic" w:eastAsia="MS PGothic" w:hAnsi="MS PGothic"/>
          <w:sz w:val="58"/>
          <w:szCs w:val="58"/>
          <w:color w:val="auto"/>
          <w:vertAlign w:val="superscript"/>
        </w:rPr>
      </w:pPr>
      <w:r>
        <w:rPr>
          <w:rFonts w:ascii="Arial" w:cs="Arial" w:eastAsia="Arial" w:hAnsi="Arial"/>
          <w:sz w:val="20"/>
          <w:szCs w:val="20"/>
          <w:b w:val="1"/>
          <w:bCs w:val="1"/>
          <w:color w:val="auto"/>
        </w:rPr>
        <w:t>Transition Report Pursuant to Section 13 or 15(d) of the Securities Exchange Act of 1934</w:t>
      </w:r>
    </w:p>
    <w:p>
      <w:pPr>
        <w:spacing w:after="0" w:line="154" w:lineRule="exact"/>
        <w:rPr>
          <w:sz w:val="24"/>
          <w:szCs w:val="24"/>
          <w:color w:val="auto"/>
        </w:rPr>
      </w:pPr>
    </w:p>
    <w:tbl>
      <w:tblPr>
        <w:tblLayout w:type="fixed"/>
        <w:tblInd w:w="110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40" w:type="dxa"/>
            <w:vAlign w:val="bottom"/>
            <w:gridSpan w:val="3"/>
          </w:tcPr>
          <w:p>
            <w:pPr>
              <w:ind w:left="80"/>
              <w:spacing w:after="0"/>
              <w:rPr>
                <w:sz w:val="20"/>
                <w:szCs w:val="20"/>
                <w:color w:val="auto"/>
              </w:rPr>
            </w:pPr>
            <w:r>
              <w:rPr>
                <w:rFonts w:ascii="Arial" w:cs="Arial" w:eastAsia="Arial" w:hAnsi="Arial"/>
                <w:sz w:val="18"/>
                <w:szCs w:val="18"/>
                <w:b w:val="1"/>
                <w:bCs w:val="1"/>
                <w:color w:val="auto"/>
              </w:rPr>
              <w:t>For the Transition Period from</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to</w:t>
            </w:r>
          </w:p>
        </w:tc>
        <w:tc>
          <w:tcPr>
            <w:tcW w:w="2980" w:type="dxa"/>
            <w:vAlign w:val="bottom"/>
            <w:gridSpan w:val="3"/>
          </w:tcPr>
          <w:p>
            <w:pPr>
              <w:jc w:val="right"/>
              <w:ind w:right="2710"/>
              <w:spacing w:after="0"/>
              <w:rPr>
                <w:sz w:val="20"/>
                <w:szCs w:val="20"/>
                <w:color w:val="auto"/>
              </w:rPr>
            </w:pPr>
            <w:r>
              <w:rPr>
                <w:rFonts w:ascii="Arial" w:cs="Arial" w:eastAsia="Arial" w:hAnsi="Arial"/>
                <w:sz w:val="18"/>
                <w:szCs w:val="18"/>
                <w:b w:val="1"/>
                <w:bCs w:val="1"/>
                <w:color w:val="auto"/>
              </w:rPr>
              <w:t>.</w:t>
            </w: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345"/>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00" w:type="dxa"/>
            <w:vAlign w:val="bottom"/>
            <w:gridSpan w:val="8"/>
          </w:tcPr>
          <w:p>
            <w:pPr>
              <w:jc w:val="center"/>
              <w:ind w:left="165"/>
              <w:spacing w:after="0"/>
              <w:rPr>
                <w:sz w:val="20"/>
                <w:szCs w:val="20"/>
                <w:color w:val="auto"/>
              </w:rPr>
            </w:pPr>
            <w:r>
              <w:rPr>
                <w:rFonts w:ascii="Arial" w:cs="Arial" w:eastAsia="Arial" w:hAnsi="Arial"/>
                <w:sz w:val="18"/>
                <w:szCs w:val="18"/>
                <w:b w:val="1"/>
                <w:bCs w:val="1"/>
                <w:color w:val="auto"/>
                <w:w w:val="90"/>
              </w:rPr>
              <w:t>Commission file number 001-10716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504"/>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00" w:type="dxa"/>
            <w:vAlign w:val="bottom"/>
            <w:gridSpan w:val="8"/>
          </w:tcPr>
          <w:p>
            <w:pPr>
              <w:jc w:val="center"/>
              <w:ind w:left="165"/>
              <w:spacing w:after="0"/>
              <w:rPr>
                <w:sz w:val="20"/>
                <w:szCs w:val="20"/>
                <w:color w:val="auto"/>
              </w:rPr>
            </w:pPr>
            <w:r>
              <w:rPr>
                <w:rFonts w:ascii="Arial" w:cs="Arial" w:eastAsia="Arial" w:hAnsi="Arial"/>
                <w:sz w:val="29"/>
                <w:szCs w:val="29"/>
                <w:b w:val="1"/>
                <w:bCs w:val="1"/>
                <w:color w:val="auto"/>
              </w:rPr>
              <w:t>TRIMAS CORPORATION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373"/>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00" w:type="dxa"/>
            <w:vAlign w:val="bottom"/>
            <w:gridSpan w:val="8"/>
          </w:tcPr>
          <w:p>
            <w:pPr>
              <w:jc w:val="center"/>
              <w:ind w:left="165"/>
              <w:spacing w:after="0"/>
              <w:rPr>
                <w:sz w:val="20"/>
                <w:szCs w:val="20"/>
                <w:color w:val="auto"/>
              </w:rPr>
            </w:pPr>
            <w:r>
              <w:rPr>
                <w:rFonts w:ascii="Arial" w:cs="Arial" w:eastAsia="Arial" w:hAnsi="Arial"/>
                <w:sz w:val="18"/>
                <w:szCs w:val="18"/>
                <w:color w:val="auto"/>
                <w:w w:val="90"/>
              </w:rPr>
              <w:t>(Exact name of registrant as specified in its charter)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gridSpan w:val="3"/>
          </w:tcPr>
          <w:p>
            <w:pPr>
              <w:jc w:val="center"/>
              <w:ind w:right="1320"/>
              <w:spacing w:after="0"/>
              <w:rPr>
                <w:sz w:val="20"/>
                <w:szCs w:val="20"/>
                <w:color w:val="auto"/>
              </w:rPr>
            </w:pPr>
            <w:r>
              <w:rPr>
                <w:rFonts w:ascii="Arial" w:cs="Arial" w:eastAsia="Arial" w:hAnsi="Arial"/>
                <w:sz w:val="18"/>
                <w:szCs w:val="18"/>
                <w:b w:val="1"/>
                <w:bCs w:val="1"/>
                <w:color w:val="auto"/>
                <w:w w:val="91"/>
              </w:rPr>
              <w:t>Delaware</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1"/>
              </w:rPr>
              <w:t>38-2687639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56"/>
        </w:trPr>
        <w:tc>
          <w:tcPr>
            <w:tcW w:w="4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340" w:type="dxa"/>
            <w:vAlign w:val="bottom"/>
            <w:gridSpan w:val="4"/>
          </w:tcPr>
          <w:p>
            <w:pPr>
              <w:jc w:val="center"/>
              <w:ind w:right="800"/>
              <w:spacing w:after="0"/>
              <w:rPr>
                <w:sz w:val="20"/>
                <w:szCs w:val="20"/>
                <w:color w:val="auto"/>
              </w:rPr>
            </w:pPr>
            <w:r>
              <w:rPr>
                <w:rFonts w:ascii="Arial" w:cs="Arial" w:eastAsia="Arial" w:hAnsi="Arial"/>
                <w:sz w:val="18"/>
                <w:szCs w:val="18"/>
                <w:color w:val="auto"/>
                <w:w w:val="93"/>
              </w:rPr>
              <w:t>(State or other jurisdiction of</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80" w:type="dxa"/>
            <w:vAlign w:val="bottom"/>
            <w:gridSpan w:val="6"/>
          </w:tcPr>
          <w:p>
            <w:pPr>
              <w:jc w:val="center"/>
              <w:ind w:right="2790"/>
              <w:spacing w:after="0"/>
              <w:rPr>
                <w:sz w:val="20"/>
                <w:szCs w:val="20"/>
                <w:color w:val="auto"/>
              </w:rPr>
            </w:pPr>
            <w:r>
              <w:rPr>
                <w:rFonts w:ascii="Arial" w:cs="Arial" w:eastAsia="Arial" w:hAnsi="Arial"/>
                <w:sz w:val="18"/>
                <w:szCs w:val="18"/>
                <w:color w:val="auto"/>
                <w:w w:val="92"/>
              </w:rPr>
              <w:t>(IRS Employer</w:t>
            </w:r>
          </w:p>
        </w:tc>
      </w:tr>
      <w:tr>
        <w:trPr>
          <w:trHeight w:val="230"/>
        </w:trPr>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40" w:type="dxa"/>
            <w:vAlign w:val="bottom"/>
            <w:gridSpan w:val="4"/>
          </w:tcPr>
          <w:p>
            <w:pPr>
              <w:jc w:val="center"/>
              <w:ind w:right="820"/>
              <w:spacing w:after="0"/>
              <w:rPr>
                <w:sz w:val="20"/>
                <w:szCs w:val="20"/>
                <w:color w:val="auto"/>
              </w:rPr>
            </w:pPr>
            <w:r>
              <w:rPr>
                <w:rFonts w:ascii="Arial" w:cs="Arial" w:eastAsia="Arial" w:hAnsi="Arial"/>
                <w:sz w:val="18"/>
                <w:szCs w:val="18"/>
                <w:color w:val="auto"/>
                <w:w w:val="92"/>
              </w:rPr>
              <w:t>incorporation or organization)</w:t>
            </w:r>
          </w:p>
        </w:tc>
        <w:tc>
          <w:tcPr>
            <w:tcW w:w="4240" w:type="dxa"/>
            <w:vAlign w:val="bottom"/>
            <w:gridSpan w:val="8"/>
          </w:tcPr>
          <w:p>
            <w:pPr>
              <w:jc w:val="center"/>
              <w:ind w:right="2610"/>
              <w:spacing w:after="0"/>
              <w:rPr>
                <w:sz w:val="20"/>
                <w:szCs w:val="20"/>
                <w:color w:val="auto"/>
              </w:rPr>
            </w:pPr>
            <w:r>
              <w:rPr>
                <w:rFonts w:ascii="Arial" w:cs="Arial" w:eastAsia="Arial" w:hAnsi="Arial"/>
                <w:sz w:val="18"/>
                <w:szCs w:val="18"/>
                <w:color w:val="auto"/>
                <w:w w:val="95"/>
              </w:rPr>
              <w:t>Identification No.)</w:t>
            </w:r>
          </w:p>
        </w:tc>
      </w:tr>
      <w:tr>
        <w:trPr>
          <w:trHeight w:val="324"/>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00" w:type="dxa"/>
            <w:vAlign w:val="bottom"/>
            <w:gridSpan w:val="8"/>
          </w:tcPr>
          <w:p>
            <w:pPr>
              <w:jc w:val="center"/>
              <w:ind w:left="165"/>
              <w:spacing w:after="0"/>
              <w:rPr>
                <w:sz w:val="20"/>
                <w:szCs w:val="20"/>
                <w:color w:val="auto"/>
              </w:rPr>
            </w:pPr>
            <w:r>
              <w:rPr>
                <w:rFonts w:ascii="Arial" w:cs="Arial" w:eastAsia="Arial" w:hAnsi="Arial"/>
                <w:sz w:val="18"/>
                <w:szCs w:val="18"/>
                <w:b w:val="1"/>
                <w:bCs w:val="1"/>
                <w:color w:val="auto"/>
                <w:w w:val="90"/>
              </w:rPr>
              <w:t>38505 Woodward Avenue, Suite 200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378"/>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00" w:type="dxa"/>
            <w:vAlign w:val="bottom"/>
            <w:gridSpan w:val="8"/>
          </w:tcPr>
          <w:p>
            <w:pPr>
              <w:jc w:val="center"/>
              <w:ind w:left="165"/>
              <w:spacing w:after="0"/>
              <w:rPr>
                <w:sz w:val="20"/>
                <w:szCs w:val="20"/>
                <w:color w:val="auto"/>
              </w:rPr>
            </w:pPr>
            <w:r>
              <w:rPr>
                <w:rFonts w:ascii="Arial" w:cs="Arial" w:eastAsia="Arial" w:hAnsi="Arial"/>
                <w:sz w:val="18"/>
                <w:szCs w:val="18"/>
                <w:b w:val="1"/>
                <w:bCs w:val="1"/>
                <w:color w:val="auto"/>
                <w:w w:val="91"/>
              </w:rPr>
              <w:t>Bloomfield Hills, Michigan 48304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378"/>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80" w:type="dxa"/>
            <w:vAlign w:val="bottom"/>
            <w:gridSpan w:val="11"/>
          </w:tcPr>
          <w:p>
            <w:pPr>
              <w:jc w:val="center"/>
              <w:ind w:right="2630"/>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378"/>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gridSpan w:val="3"/>
          </w:tcPr>
          <w:p>
            <w:pPr>
              <w:jc w:val="center"/>
              <w:ind w:left="1425"/>
              <w:spacing w:after="0"/>
              <w:rPr>
                <w:sz w:val="20"/>
                <w:szCs w:val="20"/>
                <w:color w:val="auto"/>
              </w:rPr>
            </w:pPr>
            <w:r>
              <w:rPr>
                <w:rFonts w:ascii="Arial" w:cs="Arial" w:eastAsia="Arial" w:hAnsi="Arial"/>
                <w:sz w:val="18"/>
                <w:szCs w:val="18"/>
                <w:b w:val="1"/>
                <w:bCs w:val="1"/>
                <w:color w:val="auto"/>
                <w:w w:val="90"/>
              </w:rPr>
              <w:t>(248) 631-5450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378"/>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00" w:type="dxa"/>
            <w:vAlign w:val="bottom"/>
            <w:gridSpan w:val="8"/>
          </w:tcPr>
          <w:p>
            <w:pPr>
              <w:jc w:val="center"/>
              <w:ind w:left="165"/>
              <w:spacing w:after="0"/>
              <w:rPr>
                <w:sz w:val="20"/>
                <w:szCs w:val="20"/>
                <w:color w:val="auto"/>
              </w:rPr>
            </w:pPr>
            <w:r>
              <w:rPr>
                <w:rFonts w:ascii="Arial" w:cs="Arial" w:eastAsia="Arial" w:hAnsi="Arial"/>
                <w:sz w:val="18"/>
                <w:szCs w:val="18"/>
                <w:color w:val="auto"/>
                <w:w w:val="89"/>
              </w:rPr>
              <w:t>(Registrant's telephone number, including area code)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99"/>
        </w:trPr>
        <w:tc>
          <w:tcPr>
            <w:tcW w:w="4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9"/>
              </w:rPr>
              <w:t>Trading symbol(s)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Name of exchange on which registered</w:t>
            </w:r>
          </w:p>
        </w:tc>
      </w:tr>
      <w:tr>
        <w:trPr>
          <w:trHeight w:val="20"/>
        </w:trPr>
        <w:tc>
          <w:tcPr>
            <w:tcW w:w="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r>
      <w:tr>
        <w:trPr>
          <w:trHeight w:val="291"/>
        </w:trPr>
        <w:tc>
          <w:tcPr>
            <w:tcW w:w="2340" w:type="dxa"/>
            <w:vAlign w:val="bottom"/>
            <w:gridSpan w:val="3"/>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540" w:type="dxa"/>
            <w:vAlign w:val="bottom"/>
          </w:tcPr>
          <w:p>
            <w:pPr>
              <w:spacing w:after="0"/>
              <w:rPr>
                <w:sz w:val="24"/>
                <w:szCs w:val="24"/>
                <w:color w:val="auto"/>
              </w:rPr>
            </w:pP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TRS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The NASDAQ Global Market LLC</w:t>
            </w:r>
          </w:p>
        </w:tc>
      </w:tr>
    </w:tbl>
    <w:p>
      <w:pPr>
        <w:spacing w:after="0" w:line="202" w:lineRule="exact"/>
        <w:rPr>
          <w:sz w:val="24"/>
          <w:szCs w:val="24"/>
          <w:color w:val="auto"/>
        </w:rPr>
      </w:pPr>
    </w:p>
    <w:p>
      <w:pPr>
        <w:jc w:val="both"/>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r>
        <w:rPr>
          <w:rFonts w:ascii="Arial" w:cs="Arial" w:eastAsia="Arial" w:hAnsi="Arial"/>
          <w:sz w:val="18"/>
          <w:szCs w:val="18"/>
          <w:color w:val="auto"/>
        </w:rPr>
        <w:t>.</w:t>
      </w:r>
    </w:p>
    <w:p>
      <w:pPr>
        <w:spacing w:after="0" w:line="156" w:lineRule="exact"/>
        <w:rPr>
          <w:sz w:val="24"/>
          <w:szCs w:val="24"/>
          <w:color w:val="auto"/>
        </w:rPr>
      </w:pPr>
    </w:p>
    <w:p>
      <w:pPr>
        <w:jc w:val="both"/>
        <w:spacing w:after="0" w:line="267"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MS PGothic" w:cs="MS PGothic" w:eastAsia="MS PGothic" w:hAnsi="MS PGothic"/>
          <w:sz w:val="20"/>
          <w:szCs w:val="20"/>
          <w:color w:val="auto"/>
        </w:rPr>
        <w:t>☐</w:t>
      </w:r>
      <w:r>
        <w:rPr>
          <w:rFonts w:ascii="Arial" w:cs="Arial" w:eastAsia="Arial" w:hAnsi="Arial"/>
          <w:sz w:val="17"/>
          <w:szCs w:val="17"/>
          <w:color w:val="auto"/>
        </w:rPr>
        <w:t>.</w:t>
      </w:r>
    </w:p>
    <w:p>
      <w:pPr>
        <w:spacing w:after="0" w:line="12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31" w:lineRule="exact"/>
        <w:rPr>
          <w:sz w:val="24"/>
          <w:szCs w:val="24"/>
          <w:color w:val="auto"/>
        </w:rPr>
      </w:pPr>
    </w:p>
    <w:tbl>
      <w:tblPr>
        <w:tblLayout w:type="fixed"/>
        <w:tblInd w:w="1440" w:type="dxa"/>
        <w:tblCellMar>
          <w:top w:w="0" w:type="dxa"/>
          <w:left w:w="0" w:type="dxa"/>
          <w:bottom w:w="0" w:type="dxa"/>
          <w:right w:w="0" w:type="dxa"/>
        </w:tblCellMar>
      </w:tblPr>
      <w:tr>
        <w:trPr>
          <w:trHeight w:val="385"/>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60" w:type="dxa"/>
            <w:vAlign w:val="bottom"/>
          </w:tcPr>
          <w:p>
            <w:pPr>
              <w:ind w:left="840"/>
              <w:spacing w:after="0" w:line="221" w:lineRule="exact"/>
              <w:rPr>
                <w:sz w:val="20"/>
                <w:szCs w:val="20"/>
                <w:color w:val="auto"/>
              </w:rPr>
            </w:pPr>
            <w:r>
              <w:rPr>
                <w:rFonts w:ascii="MS PGothic" w:cs="MS PGothic" w:eastAsia="MS PGothic" w:hAnsi="MS PGothic"/>
                <w:sz w:val="22"/>
                <w:szCs w:val="22"/>
                <w:color w:val="auto"/>
              </w:rPr>
              <w:t>☒</w:t>
            </w:r>
          </w:p>
        </w:tc>
        <w:tc>
          <w:tcPr>
            <w:tcW w:w="3260" w:type="dxa"/>
            <w:vAlign w:val="bottom"/>
          </w:tcPr>
          <w:p>
            <w:pPr>
              <w:ind w:left="64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594"/>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1660" w:type="dxa"/>
            <w:vAlign w:val="bottom"/>
          </w:tcPr>
          <w:p>
            <w:pPr>
              <w:ind w:left="840"/>
              <w:spacing w:after="0" w:line="221" w:lineRule="exact"/>
              <w:rPr>
                <w:sz w:val="20"/>
                <w:szCs w:val="20"/>
                <w:color w:val="auto"/>
              </w:rPr>
            </w:pPr>
            <w:r>
              <w:rPr>
                <w:rFonts w:ascii="MS PGothic" w:cs="MS PGothic" w:eastAsia="MS PGothic" w:hAnsi="MS PGothic"/>
                <w:sz w:val="22"/>
                <w:szCs w:val="22"/>
                <w:color w:val="auto"/>
              </w:rPr>
              <w:t>☐</w:t>
            </w:r>
          </w:p>
        </w:tc>
        <w:tc>
          <w:tcPr>
            <w:tcW w:w="3260" w:type="dxa"/>
            <w:vAlign w:val="bottom"/>
          </w:tcPr>
          <w:p>
            <w:pPr>
              <w:ind w:left="64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594"/>
        </w:trPr>
        <w:tc>
          <w:tcPr>
            <w:tcW w:w="2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60" w:type="dxa"/>
            <w:vAlign w:val="bottom"/>
          </w:tcPr>
          <w:p>
            <w:pPr>
              <w:ind w:left="64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6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94" w:lineRule="exact"/>
        <w:rPr>
          <w:sz w:val="24"/>
          <w:szCs w:val="24"/>
          <w:color w:val="auto"/>
        </w:rPr>
      </w:pPr>
    </w:p>
    <w:p>
      <w:pPr>
        <w:spacing w:after="0" w:line="26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95" w:lineRule="exact"/>
        <w:rPr>
          <w:sz w:val="24"/>
          <w:szCs w:val="24"/>
          <w:color w:val="auto"/>
        </w:rPr>
      </w:pPr>
    </w:p>
    <w:p>
      <w:pPr>
        <w:spacing w:after="0" w:line="230" w:lineRule="exact"/>
        <w:tabs>
          <w:tab w:leader="none" w:pos="88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As of July 22, 2020, the number of outstanding shares of the Registrant's common stock, $0.01 par value, was 45,503,644 shares.</w:t>
      </w:r>
    </w:p>
    <w:p>
      <w:pPr>
        <w:sectPr>
          <w:pgSz w:w="11900" w:h="16838" w:orient="portrait"/>
          <w:cols w:equalWidth="0" w:num="1">
            <w:col w:w="11240"/>
          </w:cols>
          <w:pgMar w:left="320" w:top="233" w:right="339" w:bottom="754"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gridSpan w:val="4"/>
          </w:tcPr>
          <w:p>
            <w:pPr>
              <w:jc w:val="center"/>
              <w:ind w:right="2940"/>
              <w:spacing w:after="0"/>
              <w:rPr>
                <w:sz w:val="20"/>
                <w:szCs w:val="20"/>
                <w:color w:val="auto"/>
              </w:rPr>
            </w:pPr>
            <w:r>
              <w:rPr>
                <w:rFonts w:ascii="Arial" w:cs="Arial" w:eastAsia="Arial" w:hAnsi="Arial"/>
                <w:sz w:val="18"/>
                <w:szCs w:val="18"/>
                <w:b w:val="1"/>
                <w:bCs w:val="1"/>
                <w:color w:val="auto"/>
                <w:w w:val="93"/>
              </w:rPr>
              <w:t>TriMas Corporation</w:t>
            </w:r>
          </w:p>
        </w:tc>
        <w:tc>
          <w:tcPr>
            <w:tcW w:w="320" w:type="dxa"/>
            <w:vAlign w:val="bottom"/>
          </w:tcPr>
          <w:p>
            <w:pPr>
              <w:spacing w:after="0"/>
              <w:rPr>
                <w:sz w:val="24"/>
                <w:szCs w:val="24"/>
                <w:color w:val="auto"/>
              </w:rPr>
            </w:pPr>
          </w:p>
        </w:tc>
      </w:tr>
      <w:tr>
        <w:trPr>
          <w:trHeight w:val="378"/>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gridSpan w:val="4"/>
          </w:tcPr>
          <w:p>
            <w:pPr>
              <w:jc w:val="center"/>
              <w:ind w:right="2940"/>
              <w:spacing w:after="0"/>
              <w:rPr>
                <w:sz w:val="20"/>
                <w:szCs w:val="20"/>
                <w:color w:val="auto"/>
              </w:rPr>
            </w:pPr>
            <w:r>
              <w:rPr>
                <w:rFonts w:ascii="Arial" w:cs="Arial" w:eastAsia="Arial" w:hAnsi="Arial"/>
                <w:sz w:val="18"/>
                <w:szCs w:val="18"/>
                <w:b w:val="1"/>
                <w:bCs w:val="1"/>
                <w:color w:val="auto"/>
                <w:w w:val="93"/>
              </w:rPr>
              <w:t>Index</w:t>
            </w:r>
          </w:p>
        </w:tc>
        <w:tc>
          <w:tcPr>
            <w:tcW w:w="320" w:type="dxa"/>
            <w:vAlign w:val="bottom"/>
          </w:tcPr>
          <w:p>
            <w:pPr>
              <w:spacing w:after="0"/>
              <w:rPr>
                <w:sz w:val="24"/>
                <w:szCs w:val="24"/>
                <w:color w:val="auto"/>
              </w:rPr>
            </w:pPr>
          </w:p>
        </w:tc>
      </w:tr>
      <w:tr>
        <w:trPr>
          <w:trHeight w:val="459"/>
        </w:trPr>
        <w:tc>
          <w:tcPr>
            <w:tcW w:w="1840" w:type="dxa"/>
            <w:vAlign w:val="bottom"/>
          </w:tcPr>
          <w:p>
            <w:pPr>
              <w:ind w:left="106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w:t>
              </w:r>
            </w:hyperlink>
          </w:p>
        </w:tc>
        <w:tc>
          <w:tcPr>
            <w:tcW w:w="8040" w:type="dxa"/>
            <w:vAlign w:val="bottom"/>
            <w:gridSpan w:val="10"/>
          </w:tcPr>
          <w:p>
            <w:pPr>
              <w:ind w:left="20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Financial Information</w:t>
              </w:r>
            </w:hyperlink>
          </w:p>
        </w:tc>
        <w:tc>
          <w:tcPr>
            <w:tcW w:w="320" w:type="dxa"/>
            <w:vAlign w:val="bottom"/>
          </w:tcPr>
          <w:p>
            <w:pPr>
              <w:spacing w:after="0"/>
              <w:rPr>
                <w:sz w:val="24"/>
                <w:szCs w:val="24"/>
                <w:color w:val="auto"/>
              </w:rPr>
            </w:pPr>
          </w:p>
        </w:tc>
      </w:tr>
      <w:tr>
        <w:trPr>
          <w:trHeight w:val="500"/>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7"/>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Forward-Looking Statements</w:t>
              </w:r>
            </w:hyperlink>
          </w:p>
        </w:tc>
        <w:tc>
          <w:tcPr>
            <w:tcW w:w="32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2</w:t>
              </w:r>
            </w:hyperlink>
          </w:p>
        </w:tc>
      </w:tr>
      <w:tr>
        <w:trPr>
          <w:trHeight w:val="499"/>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6920" w:type="dxa"/>
            <w:vAlign w:val="bottom"/>
            <w:gridSpan w:val="7"/>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Financial Statements</w:t>
              </w:r>
            </w:hyperlink>
          </w:p>
        </w:tc>
        <w:tc>
          <w:tcPr>
            <w:tcW w:w="32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500"/>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7"/>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 as of June 30, 2020 and December 31, 2019</w:t>
              </w:r>
            </w:hyperlink>
          </w:p>
        </w:tc>
        <w:tc>
          <w:tcPr>
            <w:tcW w:w="32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459"/>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7"/>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Consolidated Statement of Operations for the Three and Six Months Ended June 30, 2020 and</w:t>
              </w:r>
            </w:hyperlink>
          </w:p>
        </w:tc>
        <w:tc>
          <w:tcPr>
            <w:tcW w:w="320" w:type="dxa"/>
            <w:vAlign w:val="bottom"/>
          </w:tcPr>
          <w:p>
            <w:pPr>
              <w:spacing w:after="0"/>
              <w:rPr>
                <w:sz w:val="24"/>
                <w:szCs w:val="24"/>
                <w:color w:val="auto"/>
              </w:rPr>
            </w:pPr>
          </w:p>
        </w:tc>
      </w:tr>
      <w:tr>
        <w:trPr>
          <w:trHeight w:val="196"/>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2019</w:t>
              </w:r>
            </w:hyperlink>
          </w:p>
        </w:tc>
        <w:tc>
          <w:tcPr>
            <w:tcW w:w="7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jc w:val="right"/>
              <w:spacing w:after="0" w:line="196"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tc>
      </w:tr>
      <w:tr>
        <w:trPr>
          <w:trHeight w:val="480"/>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 of Comprehensive Income for the Three and Six Months Ended June</w:t>
              </w:r>
            </w:hyperlink>
          </w:p>
        </w:tc>
        <w:tc>
          <w:tcPr>
            <w:tcW w:w="20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r>
      <w:tr>
        <w:trPr>
          <w:trHeight w:val="196"/>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30, 2020 and 2019</w:t>
              </w:r>
            </w:hyperlink>
          </w:p>
        </w:tc>
        <w:tc>
          <w:tcPr>
            <w:tcW w:w="5580" w:type="dxa"/>
            <w:vAlign w:val="bottom"/>
            <w:gridSpan w:val="4"/>
          </w:tcPr>
          <w:p>
            <w:pPr>
              <w:spacing w:after="0"/>
              <w:rPr>
                <w:sz w:val="17"/>
                <w:szCs w:val="17"/>
                <w:color w:val="auto"/>
              </w:rPr>
            </w:pPr>
          </w:p>
        </w:tc>
        <w:tc>
          <w:tcPr>
            <w:tcW w:w="320" w:type="dxa"/>
            <w:vAlign w:val="bottom"/>
          </w:tcPr>
          <w:p>
            <w:pPr>
              <w:jc w:val="right"/>
              <w:spacing w:after="0" w:line="196"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tc>
      </w:tr>
      <w:tr>
        <w:trPr>
          <w:trHeight w:val="520"/>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7"/>
          </w:tcPr>
          <w:p>
            <w:pPr>
              <w:spacing w:after="0"/>
              <w:rPr>
                <w:rFonts w:ascii="Arial" w:cs="Arial" w:eastAsia="Arial" w:hAnsi="Arial"/>
                <w:sz w:val="18"/>
                <w:szCs w:val="18"/>
                <w:u w:val="single" w:color="auto"/>
                <w:color w:val="0000EE"/>
                <w:w w:val="96"/>
              </w:rPr>
            </w:pPr>
            <w:hyperlink w:anchor="page7">
              <w:r>
                <w:rPr>
                  <w:rFonts w:ascii="Arial" w:cs="Arial" w:eastAsia="Arial" w:hAnsi="Arial"/>
                  <w:sz w:val="18"/>
                  <w:szCs w:val="18"/>
                  <w:u w:val="single" w:color="auto"/>
                  <w:color w:val="0000EE"/>
                  <w:w w:val="96"/>
                </w:rPr>
                <w:t>Consolidated Statement of Cash Flows for the Six Months Ended June 30, 2020 and 2019</w:t>
              </w:r>
            </w:hyperlink>
          </w:p>
        </w:tc>
        <w:tc>
          <w:tcPr>
            <w:tcW w:w="32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6</w:t>
              </w:r>
            </w:hyperlink>
          </w:p>
        </w:tc>
      </w:tr>
      <w:tr>
        <w:trPr>
          <w:trHeight w:val="459"/>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7"/>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Consolidated Statement of Shareholders' Equity for the Three and Six Months Ended June 30,</w:t>
              </w:r>
            </w:hyperlink>
          </w:p>
        </w:tc>
        <w:tc>
          <w:tcPr>
            <w:tcW w:w="320" w:type="dxa"/>
            <w:vAlign w:val="bottom"/>
          </w:tcPr>
          <w:p>
            <w:pPr>
              <w:spacing w:after="0"/>
              <w:rPr>
                <w:sz w:val="24"/>
                <w:szCs w:val="24"/>
                <w:color w:val="auto"/>
              </w:rPr>
            </w:pPr>
          </w:p>
        </w:tc>
      </w:tr>
      <w:tr>
        <w:trPr>
          <w:trHeight w:val="196"/>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7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2020 and 2019</w:t>
              </w:r>
            </w:hyperlink>
          </w:p>
        </w:tc>
        <w:tc>
          <w:tcPr>
            <w:tcW w:w="160" w:type="dxa"/>
            <w:vAlign w:val="bottom"/>
            <w:gridSpan w:val="2"/>
          </w:tcPr>
          <w:p>
            <w:pPr>
              <w:spacing w:after="0"/>
              <w:rPr>
                <w:sz w:val="17"/>
                <w:szCs w:val="17"/>
                <w:color w:val="auto"/>
              </w:rPr>
            </w:pPr>
          </w:p>
        </w:tc>
        <w:tc>
          <w:tcPr>
            <w:tcW w:w="320" w:type="dxa"/>
            <w:vAlign w:val="bottom"/>
          </w:tcPr>
          <w:p>
            <w:pPr>
              <w:jc w:val="right"/>
              <w:spacing w:after="0" w:line="196" w:lineRule="exact"/>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7</w:t>
              </w:r>
            </w:hyperlink>
          </w:p>
        </w:tc>
      </w:tr>
      <w:tr>
        <w:trPr>
          <w:trHeight w:val="20"/>
        </w:trPr>
        <w:tc>
          <w:tcPr>
            <w:tcW w:w="1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8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0"/>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7"/>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Financial Statements</w:t>
              </w:r>
            </w:hyperlink>
          </w:p>
        </w:tc>
        <w:tc>
          <w:tcPr>
            <w:tcW w:w="32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8</w:t>
              </w:r>
            </w:hyperlink>
          </w:p>
        </w:tc>
      </w:tr>
      <w:tr>
        <w:trPr>
          <w:trHeight w:val="499"/>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2.</w:t>
              </w:r>
            </w:hyperlink>
          </w:p>
        </w:tc>
        <w:tc>
          <w:tcPr>
            <w:tcW w:w="6920" w:type="dxa"/>
            <w:vAlign w:val="bottom"/>
            <w:gridSpan w:val="7"/>
          </w:tcPr>
          <w:p>
            <w:pPr>
              <w:spacing w:after="0"/>
              <w:rPr>
                <w:rFonts w:ascii="Arial" w:cs="Arial" w:eastAsia="Arial" w:hAnsi="Arial"/>
                <w:sz w:val="18"/>
                <w:szCs w:val="18"/>
                <w:u w:val="single" w:color="auto"/>
                <w:color w:val="0000EE"/>
                <w:w w:val="97"/>
              </w:rPr>
            </w:pPr>
            <w:hyperlink w:anchor="page26">
              <w:r>
                <w:rPr>
                  <w:rFonts w:ascii="Arial" w:cs="Arial" w:eastAsia="Arial" w:hAnsi="Arial"/>
                  <w:sz w:val="18"/>
                  <w:szCs w:val="18"/>
                  <w:u w:val="single" w:color="auto"/>
                  <w:color w:val="0000EE"/>
                  <w:w w:val="97"/>
                </w:rPr>
                <w:t>Management's Discussion and Analysis of Financial Condition and Results of Operations</w:t>
              </w:r>
            </w:hyperlink>
          </w:p>
        </w:tc>
        <w:tc>
          <w:tcPr>
            <w:tcW w:w="32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25</w:t>
              </w:r>
            </w:hyperlink>
          </w:p>
        </w:tc>
      </w:tr>
      <w:tr>
        <w:trPr>
          <w:trHeight w:val="500"/>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3.</w:t>
              </w:r>
            </w:hyperlink>
          </w:p>
        </w:tc>
        <w:tc>
          <w:tcPr>
            <w:tcW w:w="6920" w:type="dxa"/>
            <w:vAlign w:val="bottom"/>
            <w:gridSpan w:val="7"/>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Quantitative and Qualitative Disclosures about Market Risk</w:t>
              </w:r>
            </w:hyperlink>
          </w:p>
        </w:tc>
        <w:tc>
          <w:tcPr>
            <w:tcW w:w="32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42</w:t>
              </w:r>
            </w:hyperlink>
          </w:p>
        </w:tc>
      </w:tr>
      <w:tr>
        <w:trPr>
          <w:trHeight w:val="500"/>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4.</w:t>
              </w:r>
            </w:hyperlink>
          </w:p>
        </w:tc>
        <w:tc>
          <w:tcPr>
            <w:tcW w:w="6920" w:type="dxa"/>
            <w:vAlign w:val="bottom"/>
            <w:gridSpan w:val="7"/>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Controls and Procedures</w:t>
              </w:r>
            </w:hyperlink>
          </w:p>
        </w:tc>
        <w:tc>
          <w:tcPr>
            <w:tcW w:w="32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42</w:t>
              </w:r>
            </w:hyperlink>
          </w:p>
        </w:tc>
      </w:tr>
      <w:tr>
        <w:trPr>
          <w:trHeight w:val="499"/>
        </w:trPr>
        <w:tc>
          <w:tcPr>
            <w:tcW w:w="1840" w:type="dxa"/>
            <w:vAlign w:val="bottom"/>
          </w:tcPr>
          <w:p>
            <w:pPr>
              <w:ind w:left="1060"/>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Part II.</w:t>
              </w:r>
            </w:hyperlink>
          </w:p>
        </w:tc>
        <w:tc>
          <w:tcPr>
            <w:tcW w:w="8040" w:type="dxa"/>
            <w:vAlign w:val="bottom"/>
            <w:gridSpan w:val="10"/>
          </w:tcPr>
          <w:p>
            <w:pPr>
              <w:ind w:left="200"/>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Other Information</w:t>
              </w:r>
            </w:hyperlink>
          </w:p>
        </w:tc>
        <w:tc>
          <w:tcPr>
            <w:tcW w:w="320" w:type="dxa"/>
            <w:vAlign w:val="bottom"/>
          </w:tcPr>
          <w:p>
            <w:pPr>
              <w:spacing w:after="0"/>
              <w:rPr>
                <w:sz w:val="24"/>
                <w:szCs w:val="24"/>
                <w:color w:val="auto"/>
              </w:rPr>
            </w:pPr>
          </w:p>
        </w:tc>
      </w:tr>
      <w:tr>
        <w:trPr>
          <w:trHeight w:val="500"/>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1.</w:t>
              </w:r>
            </w:hyperlink>
          </w:p>
        </w:tc>
        <w:tc>
          <w:tcPr>
            <w:tcW w:w="6920" w:type="dxa"/>
            <w:vAlign w:val="bottom"/>
            <w:gridSpan w:val="7"/>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Legal Proceedings</w:t>
              </w:r>
            </w:hyperlink>
          </w:p>
        </w:tc>
        <w:tc>
          <w:tcPr>
            <w:tcW w:w="32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43</w:t>
              </w:r>
            </w:hyperlink>
          </w:p>
        </w:tc>
      </w:tr>
      <w:tr>
        <w:trPr>
          <w:trHeight w:val="500"/>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1A.</w:t>
              </w:r>
            </w:hyperlink>
          </w:p>
        </w:tc>
        <w:tc>
          <w:tcPr>
            <w:tcW w:w="6920" w:type="dxa"/>
            <w:vAlign w:val="bottom"/>
            <w:gridSpan w:val="7"/>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Risk Factors</w:t>
              </w:r>
            </w:hyperlink>
          </w:p>
        </w:tc>
        <w:tc>
          <w:tcPr>
            <w:tcW w:w="32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43</w:t>
              </w:r>
            </w:hyperlink>
          </w:p>
        </w:tc>
      </w:tr>
      <w:tr>
        <w:trPr>
          <w:trHeight w:val="500"/>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2.</w:t>
              </w:r>
            </w:hyperlink>
          </w:p>
        </w:tc>
        <w:tc>
          <w:tcPr>
            <w:tcW w:w="6920" w:type="dxa"/>
            <w:vAlign w:val="bottom"/>
            <w:gridSpan w:val="7"/>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Unregistered Sales of Equity Securities and Use of Proceeds</w:t>
              </w:r>
            </w:hyperlink>
          </w:p>
        </w:tc>
        <w:tc>
          <w:tcPr>
            <w:tcW w:w="32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44</w:t>
              </w:r>
            </w:hyperlink>
          </w:p>
        </w:tc>
      </w:tr>
      <w:tr>
        <w:trPr>
          <w:trHeight w:val="499"/>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3.</w:t>
              </w:r>
            </w:hyperlink>
          </w:p>
        </w:tc>
        <w:tc>
          <w:tcPr>
            <w:tcW w:w="6920" w:type="dxa"/>
            <w:vAlign w:val="bottom"/>
            <w:gridSpan w:val="7"/>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Defaults Upon Senior Securities</w:t>
              </w:r>
            </w:hyperlink>
          </w:p>
        </w:tc>
        <w:tc>
          <w:tcPr>
            <w:tcW w:w="32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44</w:t>
              </w:r>
            </w:hyperlink>
          </w:p>
        </w:tc>
      </w:tr>
      <w:tr>
        <w:trPr>
          <w:trHeight w:val="500"/>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4.</w:t>
              </w:r>
            </w:hyperlink>
          </w:p>
        </w:tc>
        <w:tc>
          <w:tcPr>
            <w:tcW w:w="6920" w:type="dxa"/>
            <w:vAlign w:val="bottom"/>
            <w:gridSpan w:val="7"/>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Mine Safety Disclosures</w:t>
              </w:r>
            </w:hyperlink>
          </w:p>
        </w:tc>
        <w:tc>
          <w:tcPr>
            <w:tcW w:w="32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44</w:t>
              </w:r>
            </w:hyperlink>
          </w:p>
        </w:tc>
      </w:tr>
      <w:tr>
        <w:trPr>
          <w:trHeight w:val="500"/>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5.</w:t>
              </w:r>
            </w:hyperlink>
          </w:p>
        </w:tc>
        <w:tc>
          <w:tcPr>
            <w:tcW w:w="6920" w:type="dxa"/>
            <w:vAlign w:val="bottom"/>
            <w:gridSpan w:val="7"/>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Other Information</w:t>
              </w:r>
            </w:hyperlink>
          </w:p>
        </w:tc>
        <w:tc>
          <w:tcPr>
            <w:tcW w:w="32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44</w:t>
              </w:r>
            </w:hyperlink>
          </w:p>
        </w:tc>
      </w:tr>
      <w:tr>
        <w:trPr>
          <w:trHeight w:val="499"/>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6.</w:t>
              </w:r>
            </w:hyperlink>
          </w:p>
        </w:tc>
        <w:tc>
          <w:tcPr>
            <w:tcW w:w="6920" w:type="dxa"/>
            <w:vAlign w:val="bottom"/>
            <w:gridSpan w:val="7"/>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Exhibits</w:t>
              </w:r>
            </w:hyperlink>
          </w:p>
        </w:tc>
        <w:tc>
          <w:tcPr>
            <w:tcW w:w="320" w:type="dxa"/>
            <w:vAlign w:val="bottom"/>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45</w:t>
              </w:r>
            </w:hyperlink>
          </w:p>
        </w:tc>
      </w:tr>
      <w:tr>
        <w:trPr>
          <w:trHeight w:val="459"/>
        </w:trPr>
        <w:tc>
          <w:tcPr>
            <w:tcW w:w="1840" w:type="dxa"/>
            <w:vAlign w:val="bottom"/>
          </w:tcPr>
          <w:p>
            <w:pPr>
              <w:spacing w:after="0"/>
              <w:rPr>
                <w:sz w:val="24"/>
                <w:szCs w:val="24"/>
                <w:color w:val="auto"/>
              </w:rPr>
            </w:pPr>
          </w:p>
        </w:tc>
        <w:tc>
          <w:tcPr>
            <w:tcW w:w="1120" w:type="dxa"/>
            <w:vAlign w:val="bottom"/>
            <w:gridSpan w:val="3"/>
          </w:tcPr>
          <w:p>
            <w:pPr>
              <w:ind w:left="200"/>
              <w:spacing w:after="0"/>
              <w:rPr>
                <w:rFonts w:ascii="Arial" w:cs="Arial" w:eastAsia="Arial" w:hAnsi="Arial"/>
                <w:sz w:val="18"/>
                <w:szCs w:val="18"/>
                <w:color w:val="0000EE"/>
              </w:rPr>
            </w:pPr>
            <w:hyperlink w:anchor="page47">
              <w:r>
                <w:rPr>
                  <w:rFonts w:ascii="Arial" w:cs="Arial" w:eastAsia="Arial" w:hAnsi="Arial"/>
                  <w:sz w:val="18"/>
                  <w:szCs w:val="18"/>
                  <w:u w:val="single" w:color="auto"/>
                  <w:color w:val="0000EE"/>
                </w:rPr>
                <w:t>Signature</w:t>
              </w:r>
            </w:hyperlink>
            <w:r>
              <w:rPr>
                <w:rFonts w:ascii="Arial" w:cs="Arial" w:eastAsia="Arial" w:hAnsi="Arial"/>
                <w:sz w:val="18"/>
                <w:szCs w:val="18"/>
                <w:color w:val="0033CC"/>
              </w:rPr>
              <w:t>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46</w:t>
              </w:r>
            </w:hyperlink>
          </w:p>
        </w:tc>
      </w:tr>
      <w:tr>
        <w:trPr>
          <w:trHeight w:val="695"/>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Borders>
              <w:top w:val="single" w:sz="8" w:color="0033CC"/>
            </w:tcBorders>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gridSpan w:val="4"/>
          </w:tcPr>
          <w:p>
            <w:pPr>
              <w:jc w:val="center"/>
              <w:ind w:right="1310"/>
              <w:spacing w:after="0"/>
              <w:rPr>
                <w:sz w:val="20"/>
                <w:szCs w:val="20"/>
                <w:color w:val="auto"/>
              </w:rPr>
            </w:pPr>
            <w:r>
              <w:rPr>
                <w:rFonts w:ascii="Arial" w:cs="Arial" w:eastAsia="Arial" w:hAnsi="Arial"/>
                <w:sz w:val="18"/>
                <w:szCs w:val="18"/>
                <w:color w:val="auto"/>
                <w:w w:val="79"/>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0200"/>
          </w:cols>
          <w:pgMar w:left="320" w:top="125" w:right="13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forward-looking statements are subject to numerous assumptions, risks and uncertainties which could materially affect our business, financial condition or future results including, but not limited to: the severity and duration of the ongoing corona virus (“COVID-19”) pandemic on our operations, customers and suppliers, as well as related actions taken by governmental authorities and other third parties in response, each of which is uncertain, rapidly changing and difficult to predict; general economic and currency conditions; material and energy costs;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information technology and other cyber-related risks; the performance of our subcontractors and suppliers; supply constraints; market demand; intellectual property factors; litigation; government and regulatory actions, including, without limitation, the impact of tariffs, quotas and surcharges; our leverage; liabilities imposed by our debt instruments; labor disputes; changes to fiscal and tax policies; contingent liabilities relating to acquisition activities; the disruption of operations from catastrophic or extraordinary events, including natural disasters or public health crises; the potential impact of Brexit; tax considerations relating to the Cequent spin-off; our future prospects; and other risks that are discussed in Part I, Item 1A, "Risk Factors," in our Annual Report on Form 10-K for the year ended December 31, 2019 and elsewhere in this report.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7"/>
              </w:rPr>
              <w:t>June 30,</w:t>
            </w:r>
          </w:p>
        </w:tc>
        <w:tc>
          <w:tcPr>
            <w:tcW w:w="22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71"/>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2019</w:t>
            </w: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358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172,470</w:t>
            </w: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w w:val="94"/>
              </w:rPr>
              <w:t>Receivables, net of reserves of approximately $3.7 million and $2.1 million as of June 30, 2020 and</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December 31, 2019, respectively</w:t>
            </w:r>
          </w:p>
        </w:tc>
        <w:tc>
          <w:tcPr>
            <w:tcW w:w="26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123,320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108,860</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132,660</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18,900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20,050</w:t>
            </w: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348,360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434,040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210,960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214,330</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27,850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376,320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334,640</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intangibles, net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188,170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161,390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3,630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19,950</w:t>
            </w:r>
          </w:p>
        </w:tc>
      </w:tr>
      <w:tr>
        <w:trPr>
          <w:trHeight w:val="297"/>
        </w:trPr>
        <w:tc>
          <w:tcPr>
            <w:tcW w:w="77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1,184,900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1,192,700</w:t>
            </w:r>
          </w:p>
        </w:tc>
      </w:tr>
      <w:tr>
        <w:trPr>
          <w:trHeight w:val="237"/>
        </w:trPr>
        <w:tc>
          <w:tcPr>
            <w:tcW w:w="776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72,670</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46,680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42,020</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liabilities, current portion</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5,100</w:t>
            </w:r>
          </w:p>
        </w:tc>
      </w:tr>
      <w:tr>
        <w:trPr>
          <w:trHeight w:val="237"/>
        </w:trPr>
        <w:tc>
          <w:tcPr>
            <w:tcW w:w="77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113,340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119,790</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295,260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294,690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29,330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23,100</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16,830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57,910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40,810</w:t>
            </w: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523,800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495,220</w:t>
            </w:r>
          </w:p>
        </w:tc>
      </w:tr>
      <w:tr>
        <w:trPr>
          <w:trHeight w:val="209"/>
        </w:trPr>
        <w:tc>
          <w:tcPr>
            <w:tcW w:w="7760" w:type="dxa"/>
            <w:vAlign w:val="bottom"/>
          </w:tcPr>
          <w:p>
            <w:pPr>
              <w:ind w:left="40"/>
              <w:spacing w:after="0"/>
              <w:rPr>
                <w:sz w:val="20"/>
                <w:szCs w:val="20"/>
                <w:color w:val="auto"/>
              </w:rPr>
            </w:pPr>
            <w:r>
              <w:rPr>
                <w:rFonts w:ascii="Arial" w:cs="Arial" w:eastAsia="Arial" w:hAnsi="Arial"/>
                <w:sz w:val="18"/>
                <w:szCs w:val="18"/>
                <w:color w:val="auto"/>
              </w:rPr>
              <w:t>Preferred stock, $0.01 par: Authorized 100,000,000 shares;</w:t>
            </w: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30"/>
        </w:trPr>
        <w:tc>
          <w:tcPr>
            <w:tcW w:w="7760" w:type="dxa"/>
            <w:vAlign w:val="bottom"/>
          </w:tcPr>
          <w:p>
            <w:pPr>
              <w:ind w:left="40"/>
              <w:spacing w:after="0"/>
              <w:rPr>
                <w:sz w:val="20"/>
                <w:szCs w:val="20"/>
                <w:color w:val="auto"/>
              </w:rPr>
            </w:pPr>
            <w:r>
              <w:rPr>
                <w:rFonts w:ascii="Arial" w:cs="Arial" w:eastAsia="Arial" w:hAnsi="Arial"/>
                <w:sz w:val="18"/>
                <w:szCs w:val="18"/>
                <w:color w:val="auto"/>
              </w:rPr>
              <w:t>Issued and outstanding: None</w:t>
            </w:r>
          </w:p>
        </w:tc>
        <w:tc>
          <w:tcPr>
            <w:tcW w:w="2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$0.01 par: Authorized 400,000,000 shares;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Issued and outstanding: 43,502,103 shares at June 30, 2020 and 44,562,679 shares at December 31, 2019</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Paid-in capital</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753,430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782,880</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(79,850)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661,100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697,480</w:t>
            </w:r>
          </w:p>
        </w:tc>
      </w:tr>
      <w:tr>
        <w:trPr>
          <w:trHeight w:val="257"/>
        </w:trPr>
        <w:tc>
          <w:tcPr>
            <w:tcW w:w="776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1,184,900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1,192,700</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40"/>
          </w:cols>
          <w:pgMar w:left="320" w:top="125" w:right="3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 except for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540" w:type="dxa"/>
            <w:vAlign w:val="bottom"/>
            <w:gridSpan w:val="4"/>
          </w:tcPr>
          <w:p>
            <w:pPr>
              <w:jc w:val="right"/>
              <w:ind w:right="69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199,550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382,340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364,200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(162,320)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(137,040)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(298,740)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(263,620)</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100,580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(55,380)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(81,920)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(53,720)</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profit (loss)</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46,860</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Income (loss) before income tax expense</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(21,250)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24,790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40,580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(15,700)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18,720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33,270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97"/>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22,020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41,110</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(loss)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50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97"/>
        </w:trPr>
        <w:tc>
          <w:tcPr>
            <w:tcW w:w="55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income (loss)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 average common shares—basic</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43,463,235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45,592,075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43,832,144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45,585,445</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Diluted earnings (loss) per share:</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43"/>
        </w:trPr>
        <w:tc>
          <w:tcPr>
            <w:tcW w:w="5520" w:type="dxa"/>
            <w:vAlign w:val="bottom"/>
          </w:tcPr>
          <w:p>
            <w:pPr>
              <w:ind w:left="50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(loss)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20" w:type="dxa"/>
            <w:vAlign w:val="bottom"/>
          </w:tcPr>
          <w:p>
            <w:pPr>
              <w:ind w:left="500"/>
              <w:spacing w:after="0"/>
              <w:rPr>
                <w:sz w:val="20"/>
                <w:szCs w:val="20"/>
                <w:color w:val="auto"/>
              </w:rPr>
            </w:pPr>
            <w:r>
              <w:rPr>
                <w:rFonts w:ascii="Arial" w:cs="Arial" w:eastAsia="Arial" w:hAnsi="Arial"/>
                <w:sz w:val="18"/>
                <w:szCs w:val="18"/>
                <w:color w:val="auto"/>
              </w:rPr>
              <w:t>Weighted average common shares—diluted</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43,463,235</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45,828,315</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43,832,144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45,910,249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50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5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r>
      <w:tr>
        <w:trPr>
          <w:trHeight w:val="33"/>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41,110</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plans (Note 18)</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 (Note 11)</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1,490</w:t>
            </w:r>
          </w:p>
        </w:tc>
      </w:tr>
      <w:tr>
        <w:trPr>
          <w:trHeight w:val="237"/>
        </w:trPr>
        <w:tc>
          <w:tcPr>
            <w:tcW w:w="5520" w:type="dxa"/>
            <w:vAlign w:val="bottom"/>
          </w:tcPr>
          <w:p>
            <w:pPr>
              <w:ind w:left="18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1,490</w:t>
            </w: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20,490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42,600</w:t>
            </w: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gridSpan w:val="4"/>
          </w:tcPr>
          <w:p>
            <w:pPr>
              <w:jc w:val="right"/>
              <w:ind w:right="59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(2,580)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41,110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Arial" w:cs="Arial" w:eastAsia="Arial" w:hAnsi="Arial"/>
                <w:sz w:val="18"/>
                <w:szCs w:val="18"/>
                <w:color w:val="auto"/>
              </w:rPr>
              <w:t>Income (loss) from continuing operations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33,270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Adjustments to reconcile income (loss) from continuing operations to net cash provided by operating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 net of acquisition impact:</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Loss on dispositions of assets</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11,990</w:t>
            </w: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10,150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9,380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issue costs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4,130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Non-cash change in legacy liability estimate</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23,400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in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Decrease in inventories</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Decrease in accounts payable and accrued liabilities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(24,410)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37"/>
        </w:trPr>
        <w:tc>
          <w:tcPr>
            <w:tcW w:w="800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30,840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32,770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37"/>
        </w:trPr>
        <w:tc>
          <w:tcPr>
            <w:tcW w:w="800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 net of acquisition impact</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30,840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29,280</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businesses,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(67,030)</w:t>
            </w: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Net proceeds from disposition of business, property and equipment</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investing activities of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(78,530)</w:t>
            </w:r>
          </w:p>
        </w:tc>
        <w:tc>
          <w:tcPr>
            <w:tcW w:w="0" w:type="dxa"/>
            <w:vAlign w:val="bottom"/>
          </w:tcPr>
          <w:p>
            <w:pPr>
              <w:spacing w:after="0"/>
              <w:rPr>
                <w:sz w:val="1"/>
                <w:szCs w:val="1"/>
                <w:color w:val="auto"/>
              </w:rPr>
            </w:pPr>
          </w:p>
        </w:tc>
      </w:tr>
      <w:tr>
        <w:trPr>
          <w:trHeight w:val="243"/>
        </w:trPr>
        <w:tc>
          <w:tcPr>
            <w:tcW w:w="8000" w:type="dxa"/>
            <w:vAlign w:val="bottom"/>
          </w:tcPr>
          <w:p>
            <w:pPr>
              <w:ind w:left="500"/>
              <w:spacing w:after="0"/>
              <w:rPr>
                <w:sz w:val="20"/>
                <w:szCs w:val="20"/>
                <w:color w:val="auto"/>
              </w:rPr>
            </w:pPr>
            <w:r>
              <w:rPr>
                <w:rFonts w:ascii="Arial" w:cs="Arial" w:eastAsia="Arial" w:hAnsi="Arial"/>
                <w:sz w:val="18"/>
                <w:szCs w:val="18"/>
                <w:color w:val="auto"/>
              </w:rPr>
              <w:t>Net cash used for investing activities of discontinued operations</w:t>
            </w:r>
          </w:p>
        </w:tc>
        <w:tc>
          <w:tcPr>
            <w:tcW w:w="3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(79,310)</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borrowings on revolving credit facilities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245,700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93,220</w:t>
            </w: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Repayments of borrowings on revolving credit facilities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(247,320)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(92,410)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surrendered upon exercise and vesting of equity awards to cover taxes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Payments to purchase common stock</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(15,420)</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financing activities of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(17,840)</w:t>
            </w:r>
          </w:p>
        </w:tc>
        <w:tc>
          <w:tcPr>
            <w:tcW w:w="0" w:type="dxa"/>
            <w:vAlign w:val="bottom"/>
          </w:tcPr>
          <w:p>
            <w:pPr>
              <w:spacing w:after="0"/>
              <w:rPr>
                <w:sz w:val="1"/>
                <w:szCs w:val="1"/>
                <w:color w:val="auto"/>
              </w:rPr>
            </w:pPr>
          </w:p>
        </w:tc>
      </w:tr>
      <w:tr>
        <w:trPr>
          <w:trHeight w:val="243"/>
        </w:trPr>
        <w:tc>
          <w:tcPr>
            <w:tcW w:w="8000" w:type="dxa"/>
            <w:vAlign w:val="bottom"/>
          </w:tcPr>
          <w:p>
            <w:pPr>
              <w:ind w:left="500"/>
              <w:spacing w:after="0"/>
              <w:rPr>
                <w:sz w:val="20"/>
                <w:szCs w:val="20"/>
                <w:color w:val="auto"/>
              </w:rPr>
            </w:pPr>
            <w:r>
              <w:rPr>
                <w:rFonts w:ascii="Arial" w:cs="Arial" w:eastAsia="Arial" w:hAnsi="Arial"/>
                <w:sz w:val="18"/>
                <w:szCs w:val="18"/>
                <w:color w:val="auto"/>
              </w:rPr>
              <w:t>Net cash provided by financing activities of discontinued operations</w:t>
            </w:r>
          </w:p>
        </w:tc>
        <w:tc>
          <w:tcPr>
            <w:tcW w:w="3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(35,760)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(17,840)</w:t>
            </w:r>
          </w:p>
        </w:tc>
        <w:tc>
          <w:tcPr>
            <w:tcW w:w="0" w:type="dxa"/>
            <w:vAlign w:val="bottom"/>
          </w:tcPr>
          <w:p>
            <w:pPr>
              <w:spacing w:after="0"/>
              <w:rPr>
                <w:sz w:val="1"/>
                <w:szCs w:val="1"/>
                <w:color w:val="auto"/>
              </w:rPr>
            </w:pPr>
          </w:p>
        </w:tc>
      </w:tr>
      <w:tr>
        <w:trPr>
          <w:trHeight w:val="236"/>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for the period</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(67,870)</w:t>
            </w: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At beginning of period</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172,470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108,150</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65,250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40,280</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80"/>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7,150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6,190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000" w:type="dxa"/>
            <w:vAlign w:val="bottom"/>
          </w:tcPr>
          <w:p>
            <w:pPr>
              <w:ind w:left="500"/>
              <w:spacing w:after="0"/>
              <w:rPr>
                <w:sz w:val="20"/>
                <w:szCs w:val="20"/>
                <w:color w:val="auto"/>
              </w:rPr>
            </w:pPr>
            <w:r>
              <w:rPr>
                <w:rFonts w:ascii="Arial" w:cs="Arial" w:eastAsia="Arial" w:hAnsi="Arial"/>
                <w:sz w:val="18"/>
                <w:szCs w:val="18"/>
                <w:color w:val="auto"/>
              </w:rPr>
              <w:t>Cash paid for taxes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3,410</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10,160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40"/>
          </w:cols>
          <w:pgMar w:left="320" w:top="125" w:right="339" w:bottom="1041"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25" w:right="339" w:bottom="1041"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Stock</w:t>
            </w:r>
          </w:p>
        </w:tc>
        <w:tc>
          <w:tcPr>
            <w:tcW w:w="22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60" w:type="dxa"/>
            <w:vAlign w:val="bottom"/>
          </w:tcPr>
          <w:p>
            <w:pPr>
              <w:spacing w:after="0"/>
              <w:rPr>
                <w:sz w:val="18"/>
                <w:szCs w:val="18"/>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33"/>
        </w:trPr>
        <w:tc>
          <w:tcPr>
            <w:tcW w:w="4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782,880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697,480</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13,120</w:t>
            </w: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(3,680)</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Purchase of common stock</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(31,570)</w:t>
            </w: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Shares surrendered upon exercise and vesting of equity</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to cover taxes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1,940</w:t>
            </w:r>
          </w:p>
        </w:tc>
      </w:tr>
      <w:tr>
        <w:trPr>
          <w:trHeight w:val="27"/>
        </w:trPr>
        <w:tc>
          <w:tcPr>
            <w:tcW w:w="4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March 31, 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751,440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675,460</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(15,700)</w:t>
            </w: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29"/>
        </w:trPr>
        <w:tc>
          <w:tcPr>
            <w:tcW w:w="4400" w:type="dxa"/>
            <w:vAlign w:val="bottom"/>
          </w:tcPr>
          <w:p>
            <w:pPr>
              <w:ind w:left="40"/>
              <w:spacing w:after="0"/>
              <w:rPr>
                <w:sz w:val="20"/>
                <w:szCs w:val="20"/>
                <w:color w:val="auto"/>
              </w:rPr>
            </w:pPr>
            <w:r>
              <w:rPr>
                <w:rFonts w:ascii="Arial" w:cs="Arial" w:eastAsia="Arial" w:hAnsi="Arial"/>
                <w:sz w:val="18"/>
                <w:szCs w:val="18"/>
                <w:color w:val="auto"/>
                <w:w w:val="97"/>
              </w:rPr>
              <w:t>Shares surrendered upon exercise and vesting of equity</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400" w:type="dxa"/>
            <w:vAlign w:val="bottom"/>
          </w:tcPr>
          <w:p>
            <w:pPr>
              <w:ind w:left="40"/>
              <w:spacing w:after="0"/>
              <w:rPr>
                <w:sz w:val="20"/>
                <w:szCs w:val="20"/>
                <w:color w:val="auto"/>
              </w:rPr>
            </w:pPr>
            <w:r>
              <w:rPr>
                <w:rFonts w:ascii="Arial" w:cs="Arial" w:eastAsia="Arial" w:hAnsi="Arial"/>
                <w:sz w:val="18"/>
                <w:szCs w:val="18"/>
                <w:color w:val="auto"/>
              </w:rPr>
              <w:t>awards to cover taxes</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2,740</w:t>
            </w:r>
          </w:p>
        </w:tc>
      </w:tr>
      <w:tr>
        <w:trPr>
          <w:trHeight w:val="257"/>
        </w:trPr>
        <w:tc>
          <w:tcPr>
            <w:tcW w:w="4400" w:type="dxa"/>
            <w:vAlign w:val="bottom"/>
          </w:tcPr>
          <w:p>
            <w:pPr>
              <w:ind w:left="40"/>
              <w:spacing w:after="0"/>
              <w:rPr>
                <w:sz w:val="20"/>
                <w:szCs w:val="20"/>
                <w:color w:val="auto"/>
              </w:rPr>
            </w:pPr>
            <w:r>
              <w:rPr>
                <w:rFonts w:ascii="Arial" w:cs="Arial" w:eastAsia="Arial" w:hAnsi="Arial"/>
                <w:sz w:val="18"/>
                <w:szCs w:val="18"/>
                <w:color w:val="auto"/>
              </w:rPr>
              <w:t>Balances, June 30, 2020</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753,430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(82,430)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661,100</w:t>
            </w: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35"/>
        </w:trPr>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Stock</w:t>
            </w:r>
          </w:p>
        </w:tc>
        <w:tc>
          <w:tcPr>
            <w:tcW w:w="22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60" w:type="dxa"/>
            <w:vAlign w:val="bottom"/>
          </w:tcPr>
          <w:p>
            <w:pPr>
              <w:spacing w:after="0"/>
              <w:rPr>
                <w:sz w:val="18"/>
                <w:szCs w:val="18"/>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33"/>
        </w:trPr>
        <w:tc>
          <w:tcPr>
            <w:tcW w:w="4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620,450</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19,090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19,090</w:t>
            </w: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3,020</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Purchase of common stock</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Shares surrendered upon exercise and vesting of equity</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to cover taxes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1,320</w:t>
            </w: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accounting standards adoption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Balances, March 31, 2019</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814,530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(159,380)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640,510</w:t>
            </w: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22,020</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r>
      <w:tr>
        <w:trPr>
          <w:trHeight w:val="229"/>
        </w:trPr>
        <w:tc>
          <w:tcPr>
            <w:tcW w:w="4400" w:type="dxa"/>
            <w:vAlign w:val="bottom"/>
          </w:tcPr>
          <w:p>
            <w:pPr>
              <w:ind w:left="40"/>
              <w:spacing w:after="0"/>
              <w:rPr>
                <w:sz w:val="20"/>
                <w:szCs w:val="20"/>
                <w:color w:val="auto"/>
              </w:rPr>
            </w:pPr>
            <w:r>
              <w:rPr>
                <w:rFonts w:ascii="Arial" w:cs="Arial" w:eastAsia="Arial" w:hAnsi="Arial"/>
                <w:sz w:val="18"/>
                <w:szCs w:val="18"/>
                <w:color w:val="auto"/>
                <w:w w:val="97"/>
              </w:rPr>
              <w:t>Shares surrendered upon exercise and vesting of equity</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400" w:type="dxa"/>
            <w:vAlign w:val="bottom"/>
          </w:tcPr>
          <w:p>
            <w:pPr>
              <w:ind w:left="40"/>
              <w:spacing w:after="0"/>
              <w:rPr>
                <w:sz w:val="20"/>
                <w:szCs w:val="20"/>
                <w:color w:val="auto"/>
              </w:rPr>
            </w:pPr>
            <w:r>
              <w:rPr>
                <w:rFonts w:ascii="Arial" w:cs="Arial" w:eastAsia="Arial" w:hAnsi="Arial"/>
                <w:sz w:val="18"/>
                <w:szCs w:val="18"/>
                <w:color w:val="auto"/>
              </w:rPr>
              <w:t>awards to cover taxes</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w:t>
            </w:r>
          </w:p>
        </w:tc>
      </w:tr>
      <w:tr>
        <w:trPr>
          <w:trHeight w:val="257"/>
        </w:trPr>
        <w:tc>
          <w:tcPr>
            <w:tcW w:w="4400" w:type="dxa"/>
            <w:vAlign w:val="bottom"/>
          </w:tcPr>
          <w:p>
            <w:pPr>
              <w:ind w:left="40"/>
              <w:spacing w:after="0"/>
              <w:rPr>
                <w:sz w:val="20"/>
                <w:szCs w:val="20"/>
                <w:color w:val="auto"/>
              </w:rPr>
            </w:pPr>
            <w:r>
              <w:rPr>
                <w:rFonts w:ascii="Arial" w:cs="Arial" w:eastAsia="Arial" w:hAnsi="Arial"/>
                <w:sz w:val="18"/>
                <w:szCs w:val="18"/>
                <w:color w:val="auto"/>
              </w:rPr>
              <w:t>Balances, June 30, 2019</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800,900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(137,360)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647,360</w:t>
            </w: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TriMas Corporation ("TriMas" or the "Company"), and its consolidated subsidiaries, designs, engineers and manufactures innovative products under leading brand names for customers primarily in the consumer products, aerospace &amp; defense, and industrial markets.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quarter of 2020, TriMas began reporting its machined components operations, located in Stanton, California and Tolleson, Arizona, as part of its Aerospace segment. The operations were previously reported in the Specialty Products segment. The move of these operations into TriMas Aerospace facilitates a more rapid approach to achieving anticipated synergies from the recent RSA Engineered Products ("RSA") acquisition, allowing the Company to better leverage the machining competencies and resources across its aerospace businesses. See Note 15, "</w:t>
      </w:r>
      <w:r>
        <w:rPr>
          <w:rFonts w:ascii="Arial" w:cs="Arial" w:eastAsia="Arial" w:hAnsi="Arial"/>
          <w:sz w:val="18"/>
          <w:szCs w:val="18"/>
          <w:i w:val="1"/>
          <w:iCs w:val="1"/>
          <w:color w:val="auto"/>
        </w:rPr>
        <w:t>Segment Information</w:t>
      </w:r>
      <w:r>
        <w:rPr>
          <w:rFonts w:ascii="Arial" w:cs="Arial" w:eastAsia="Arial" w:hAnsi="Arial"/>
          <w:sz w:val="18"/>
          <w:szCs w:val="18"/>
          <w:color w:val="auto"/>
        </w:rPr>
        <w:t>," for further information on each of the Company's reportable segments.</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on December 20, 2019, the Company completed the sale of its Lamons division (“Lamons”), a transaction entered into with an investment fund sponsored by First Reserve on November 1, 2019. Lamons was sold for approximately $135 million in cash. The financial results of Lamons were previously reported within the Company's Specialty Products segment, and are presented as discontinued operations for all periods presented in the financial statements attached hereto.</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the second quarter of 2020, the Company elected to change its method of accounting for asbestos-related defense costs from accruing for probable and reasonably estimable defense costs associated with known claims expected to settle to accrue for all future defense costs for both known and unknown claims, which the Company now believes are reasonably estimable. The Company believes this change is preferable, as asbestos-related defense costs represent expenditures related to legacy activities that do not contribute to current or future revenue generating activities, and recording an estimate of the full liability for asbestos-related costs, where estimable with reasonable precision, provides a more complete assessment of the liability associated with resolving asbestos-related claims. This accounting change has been reflected as a change in accounting estimate effected by a change in accounting principle. See Note 14,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for further information on this change.</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The preparation of financial statements also requires management of the Company to make estimates and assumptions that affect the reported amounts of assets and liabilities. Actual results may differ from such estimates and assumptions due to risks and uncertainties, including uncertainty in the current economic environment due to the ongoing outbreak of a new strain of the coronavirus (“COVID-19”). While the full impact of COVID-19 is unknown and cannot be reasonably estimated at this time, the Company has made appropriate accounting estimates based on the facts and circumstances available as of the reporting date. To the extent there are differences between these estimates and actual results, the Company's consolidated financial statements may be materially affected.</w:t>
      </w:r>
    </w:p>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Results of operations for interim periods are not necessarily indicative of results for the full year, and certain prior year amounts have been reclassified to conform to current year presentation. The accompanying consolidated financial statements and notes thereto should be read in conjunction with the Company's 2019 Annual Report on Form 10-K.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2019-12, "Income Taxes (Topic 740): Simplifying the Accounting for Income Taxes" ("ASU 2019-12"), which removes specific exceptions to the general principles in Topic 740, simplifies the accounting for income taxes and provides clarification of certain aspects of current guidance. ASU 2019-12 is effective for fiscal years, and interim periods within those years, beginning after December 15, 2020, with early adoption permitted. The Company is in the process of assessing the impact of adoption on its consolidated financial statements.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2018, the FASB issued ASU 2018-14, "Compensation - Retirement Benefits - Defined Benefit Plans - General (Subtopic 715-20)" ("ASU 2018-14"), which modifies the disclosure requirements for employers who sponsor defined benefit pension or other postretirement plans. ASU 2018-14 is effective for fiscal years ending after December 15, 2020, with early adoption permitted. ASU 2018-14 is to be applied retrospectively to all periods presented. The Company is in the process of assessing the impact of adoption on its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20, 2019, the Company completed the sale of Lamons to two wholly-owned subsidiaries of an investment fund sponsored by First Reserve, pursuant to an Asset and Stock Purchase Agreement dated as of November 1, 2019 (the “Purchase Agreement”), for a purchase price of $135 million, subject to certain adjustments as set forth in the Purchase Agreement. The transaction was finalized in the first quarter of 2020 and resulted in a $1.8 million payment to the Company.</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historical results for Lamons are shown in the accompanying consolidated statement of operations as a discontinued operation. Results of discontinued operations are summarized as follows (dollars in thousands):</w:t>
      </w:r>
    </w:p>
    <w:p>
      <w:pPr>
        <w:spacing w:after="0" w:line="387" w:lineRule="exact"/>
        <w:rPr>
          <w:sz w:val="20"/>
          <w:szCs w:val="20"/>
          <w:color w:val="auto"/>
        </w:rPr>
      </w:pPr>
    </w:p>
    <w:tbl>
      <w:tblPr>
        <w:tblLayout w:type="fixed"/>
        <w:tblInd w:w="68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center"/>
              <w:ind w:right="152"/>
              <w:spacing w:after="0"/>
              <w:rPr>
                <w:sz w:val="20"/>
                <w:szCs w:val="20"/>
                <w:color w:val="auto"/>
              </w:rPr>
            </w:pPr>
            <w:r>
              <w:rPr>
                <w:rFonts w:ascii="Arial" w:cs="Arial" w:eastAsia="Arial" w:hAnsi="Arial"/>
                <w:sz w:val="16"/>
                <w:szCs w:val="16"/>
                <w:b w:val="1"/>
                <w:bCs w:val="1"/>
                <w:color w:val="auto"/>
                <w:w w:val="90"/>
              </w:rPr>
              <w:t>Three months ended</w:t>
            </w:r>
          </w:p>
        </w:tc>
        <w:tc>
          <w:tcPr>
            <w:tcW w:w="320" w:type="dxa"/>
            <w:vAlign w:val="bottom"/>
          </w:tcPr>
          <w:p>
            <w:pPr>
              <w:spacing w:after="0"/>
              <w:rPr>
                <w:sz w:val="17"/>
                <w:szCs w:val="17"/>
                <w:color w:val="auto"/>
              </w:rPr>
            </w:pPr>
          </w:p>
        </w:tc>
        <w:tc>
          <w:tcPr>
            <w:tcW w:w="1740" w:type="dxa"/>
            <w:vAlign w:val="bottom"/>
          </w:tcPr>
          <w:p>
            <w:pPr>
              <w:jc w:val="center"/>
              <w:ind w:right="172"/>
              <w:spacing w:after="0"/>
              <w:rPr>
                <w:sz w:val="20"/>
                <w:szCs w:val="20"/>
                <w:color w:val="auto"/>
              </w:rPr>
            </w:pPr>
            <w:r>
              <w:rPr>
                <w:rFonts w:ascii="Arial" w:cs="Arial" w:eastAsia="Arial" w:hAnsi="Arial"/>
                <w:sz w:val="16"/>
                <w:szCs w:val="16"/>
                <w:b w:val="1"/>
                <w:bCs w:val="1"/>
                <w:color w:val="auto"/>
                <w:w w:val="89"/>
              </w:rPr>
              <w:t>Six months ended</w:t>
            </w:r>
          </w:p>
        </w:tc>
      </w:tr>
      <w:tr>
        <w:trPr>
          <w:trHeight w:val="210"/>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ind w:right="152"/>
              <w:spacing w:after="0"/>
              <w:rPr>
                <w:sz w:val="20"/>
                <w:szCs w:val="20"/>
                <w:color w:val="auto"/>
              </w:rPr>
            </w:pPr>
            <w:r>
              <w:rPr>
                <w:rFonts w:ascii="Arial" w:cs="Arial" w:eastAsia="Arial" w:hAnsi="Arial"/>
                <w:sz w:val="16"/>
                <w:szCs w:val="16"/>
                <w:b w:val="1"/>
                <w:bCs w:val="1"/>
                <w:color w:val="auto"/>
                <w:w w:val="90"/>
              </w:rPr>
              <w:t>June 30,</w:t>
            </w:r>
          </w:p>
        </w:tc>
        <w:tc>
          <w:tcPr>
            <w:tcW w:w="320" w:type="dxa"/>
            <w:vAlign w:val="bottom"/>
          </w:tcPr>
          <w:p>
            <w:pPr>
              <w:spacing w:after="0"/>
              <w:rPr>
                <w:sz w:val="18"/>
                <w:szCs w:val="18"/>
                <w:color w:val="auto"/>
              </w:rPr>
            </w:pPr>
          </w:p>
        </w:tc>
        <w:tc>
          <w:tcPr>
            <w:tcW w:w="1740" w:type="dxa"/>
            <w:vAlign w:val="bottom"/>
          </w:tcPr>
          <w:p>
            <w:pPr>
              <w:jc w:val="center"/>
              <w:ind w:right="172"/>
              <w:spacing w:after="0"/>
              <w:rPr>
                <w:sz w:val="20"/>
                <w:szCs w:val="20"/>
                <w:color w:val="auto"/>
              </w:rPr>
            </w:pPr>
            <w:r>
              <w:rPr>
                <w:rFonts w:ascii="Arial" w:cs="Arial" w:eastAsia="Arial" w:hAnsi="Arial"/>
                <w:sz w:val="16"/>
                <w:szCs w:val="16"/>
                <w:b w:val="1"/>
                <w:bCs w:val="1"/>
                <w:color w:val="auto"/>
                <w:w w:val="87"/>
              </w:rPr>
              <w:t>June 30,</w:t>
            </w:r>
          </w:p>
        </w:tc>
      </w:tr>
      <w:tr>
        <w:trPr>
          <w:trHeight w:val="33"/>
        </w:trPr>
        <w:tc>
          <w:tcPr>
            <w:tcW w:w="5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center"/>
              <w:ind w:right="172"/>
              <w:spacing w:after="0"/>
              <w:rPr>
                <w:sz w:val="20"/>
                <w:szCs w:val="20"/>
                <w:color w:val="auto"/>
              </w:rPr>
            </w:pPr>
            <w:r>
              <w:rPr>
                <w:rFonts w:ascii="Arial" w:cs="Arial" w:eastAsia="Arial" w:hAnsi="Arial"/>
                <w:sz w:val="16"/>
                <w:szCs w:val="16"/>
                <w:b w:val="1"/>
                <w:bCs w:val="1"/>
                <w:color w:val="auto"/>
                <w:w w:val="89"/>
              </w:rPr>
              <w:t>2019</w:t>
            </w:r>
          </w:p>
        </w:tc>
        <w:tc>
          <w:tcPr>
            <w:tcW w:w="320" w:type="dxa"/>
            <w:vAlign w:val="bottom"/>
          </w:tcPr>
          <w:p>
            <w:pPr>
              <w:spacing w:after="0"/>
              <w:rPr>
                <w:sz w:val="20"/>
                <w:szCs w:val="20"/>
                <w:color w:val="auto"/>
              </w:rPr>
            </w:pPr>
          </w:p>
        </w:tc>
        <w:tc>
          <w:tcPr>
            <w:tcW w:w="1740" w:type="dxa"/>
            <w:vAlign w:val="bottom"/>
          </w:tcPr>
          <w:p>
            <w:pPr>
              <w:jc w:val="center"/>
              <w:ind w:right="172"/>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48,540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96,460</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(36,980)</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(71,870)</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11,560</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24,590</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(7,510)</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(14,490)</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profit</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4,050</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10,100</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1820" w:type="dxa"/>
            <w:vAlign w:val="bottom"/>
          </w:tcPr>
          <w:p>
            <w:pPr>
              <w:jc w:val="right"/>
              <w:ind w:right="52"/>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4,180</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10,120</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(880)</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(2,280)</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5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from discontinued operations, net of tax</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3,300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7,840</w:t>
            </w: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disaggregated net sales by primary market served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w w:val="97"/>
              </w:rPr>
              <w:t>Three months ended June 30,</w:t>
            </w:r>
          </w:p>
        </w:tc>
        <w:tc>
          <w:tcPr>
            <w:tcW w:w="440" w:type="dxa"/>
            <w:vAlign w:val="bottom"/>
          </w:tcPr>
          <w:p>
            <w:pPr>
              <w:spacing w:after="0"/>
              <w:rPr>
                <w:sz w:val="18"/>
                <w:szCs w:val="18"/>
                <w:color w:val="auto"/>
              </w:rPr>
            </w:pPr>
          </w:p>
        </w:tc>
        <w:tc>
          <w:tcPr>
            <w:tcW w:w="2680" w:type="dxa"/>
            <w:vAlign w:val="bottom"/>
            <w:gridSpan w:val="3"/>
          </w:tcPr>
          <w:p>
            <w:pPr>
              <w:jc w:val="right"/>
              <w:ind w:right="49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08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080" w:type="dxa"/>
            <w:vAlign w:val="bottom"/>
            <w:gridSpan w:val="2"/>
          </w:tcPr>
          <w:p>
            <w:pPr>
              <w:ind w:left="40"/>
              <w:spacing w:after="0"/>
              <w:rPr>
                <w:sz w:val="20"/>
                <w:szCs w:val="20"/>
                <w:color w:val="auto"/>
              </w:rPr>
            </w:pPr>
            <w:r>
              <w:rPr>
                <w:rFonts w:ascii="Arial" w:cs="Arial" w:eastAsia="Arial" w:hAnsi="Arial"/>
                <w:sz w:val="16"/>
                <w:szCs w:val="16"/>
                <w:b w:val="1"/>
                <w:bCs w:val="1"/>
                <w:color w:val="auto"/>
              </w:rPr>
              <w:t>Customer Markets</w:t>
            </w:r>
          </w:p>
        </w:tc>
        <w:tc>
          <w:tcPr>
            <w:tcW w:w="320" w:type="dxa"/>
            <w:vAlign w:val="bottom"/>
          </w:tcPr>
          <w:p>
            <w:pPr>
              <w:spacing w:after="0"/>
              <w:rPr>
                <w:sz w:val="20"/>
                <w:szCs w:val="20"/>
                <w:color w:val="auto"/>
              </w:rPr>
            </w:pPr>
          </w:p>
        </w:tc>
        <w:tc>
          <w:tcPr>
            <w:tcW w:w="1140" w:type="dxa"/>
            <w:vAlign w:val="bottom"/>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0"/>
                <w:szCs w:val="20"/>
                <w:color w:val="auto"/>
              </w:rPr>
            </w:pPr>
          </w:p>
        </w:tc>
        <w:tc>
          <w:tcPr>
            <w:tcW w:w="1120" w:type="dxa"/>
            <w:vAlign w:val="bottom"/>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20"/>
                <w:szCs w:val="20"/>
                <w:color w:val="auto"/>
              </w:rPr>
            </w:pPr>
          </w:p>
        </w:tc>
        <w:tc>
          <w:tcPr>
            <w:tcW w:w="11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33"/>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Consumer Products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104,530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82,060</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183,590</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149,980</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Aerospace &amp; Defense</w:t>
            </w: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42,610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49,510</w:t>
            </w:r>
          </w:p>
        </w:tc>
        <w:tc>
          <w:tcPr>
            <w:tcW w:w="4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91,530</w:t>
            </w:r>
          </w:p>
        </w:tc>
        <w:tc>
          <w:tcPr>
            <w:tcW w:w="4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95,090</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59,260</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107,220</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119,130</w:t>
            </w:r>
          </w:p>
        </w:tc>
      </w:tr>
      <w:tr>
        <w:trPr>
          <w:trHeight w:val="257"/>
        </w:trPr>
        <w:tc>
          <w:tcPr>
            <w:tcW w:w="5080" w:type="dxa"/>
            <w:vAlign w:val="bottom"/>
            <w:gridSpan w:val="2"/>
          </w:tcPr>
          <w:p>
            <w:pPr>
              <w:ind w:left="280"/>
              <w:spacing w:after="0"/>
              <w:rPr>
                <w:sz w:val="20"/>
                <w:szCs w:val="20"/>
                <w:color w:val="auto"/>
              </w:rPr>
            </w:pPr>
            <w:r>
              <w:rPr>
                <w:rFonts w:ascii="Arial" w:cs="Arial" w:eastAsia="Arial" w:hAnsi="Arial"/>
                <w:sz w:val="18"/>
                <w:szCs w:val="18"/>
                <w:color w:val="auto"/>
              </w:rPr>
              <w:t>Total net sales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199,550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190,830</w:t>
            </w:r>
          </w:p>
        </w:tc>
        <w:tc>
          <w:tcPr>
            <w:tcW w:w="4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382,340</w:t>
            </w:r>
          </w:p>
        </w:tc>
        <w:tc>
          <w:tcPr>
            <w:tcW w:w="4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364,200</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Packaging segment earns revenues from the consumer products (comprised of the beauty and personal care, home care, food and beverage, pharmaceutical and nutraceutical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w:t>
      </w:r>
    </w:p>
    <w:p>
      <w:pPr>
        <w:sectPr>
          <w:pgSz w:w="11900" w:h="16838" w:orient="portrait"/>
          <w:cols w:equalWidth="0" w:num="1">
            <w:col w:w="11240"/>
          </w:cols>
          <w:pgMar w:left="320" w:top="125" w:right="3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Realignment Actions</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three months ended June 30, 2020, the Company executed certain realignment actions, primarily in its Aerospace and Specialty Products segments, in response to reductions in current and expected future end market demand. The Company recorded a non-cash charge of approximately $13.2 million related to inventory reductions, primarily as a result of a strategic decision in its Arrow Engine division to narrow its product line focus. The Company also recorded a non-cash charge of approximately $2.2 million related to certain production equipment removed from service given reduced demand levels. In addition, the Company reduced its employment levels given lower customer demand during second quarter 2020, incurring approximately $3.1 million in severance charges, of which approximately $1.9 million was paid by June 30, 2020. For the three months ended June 30, 2020, approximately $16.0 million and $2.5 million of these charges were included in cost of sales and selling, general and administrative expenses, respectively, in the accompanying consolidated statement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Acquisitions</w:t>
      </w:r>
    </w:p>
    <w:p>
      <w:pPr>
        <w:spacing w:after="0" w:line="2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On April 17, 2020, the Company acquired the Rapak</w:t>
      </w:r>
      <w:r>
        <w:rPr>
          <w:rFonts w:ascii="Arial" w:cs="Arial" w:eastAsia="Arial" w:hAnsi="Arial"/>
          <w:sz w:val="18"/>
          <w:szCs w:val="18"/>
          <w:color w:val="auto"/>
        </w:rPr>
        <w:t>®</w:t>
      </w:r>
      <w:r>
        <w:rPr>
          <w:rFonts w:ascii="Arial" w:cs="Arial" w:eastAsia="Arial" w:hAnsi="Arial"/>
          <w:sz w:val="17"/>
          <w:szCs w:val="17"/>
          <w:color w:val="auto"/>
        </w:rPr>
        <w:t xml:space="preserve"> brand, including certain bag-in-box product lines and assets ("Rapak") for an aggregate amount of approximately $11.4 million, subject to normal course adjustments. Rapak, which is reported in the Company's Packaging segment, has manufacturing locations in Indiana, California and Illinois, and historically generated approximately $30 million in annual revenue.</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27, 2020, the Company acquired RSA Engineered Products, a manufacturer of complex, highly-engineered and proprietary ducting, connectors and related products for air management systems used in aerospace and defense applications, for an aggregate amount of approximately $83.7 million, net of cash acquired, subject to normal course adjustments. The fair value of assets acquired and liabilities assumed included approximately $80.2 million of goodwill and intangible assets, $10.1 million of net working capital, $2.1 million of property and equipment, and $8.7 million of net deferred tax liabilities. RSA, which is reported in the Company's Aerospace segment, is located in Simi Valley, California and historically generated approximately $30 million in annual revenue.</w:t>
      </w:r>
    </w:p>
    <w:p>
      <w:pPr>
        <w:spacing w:after="0" w:line="2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connection with the acquisitions, the Company recorded approximately $2.3 million and $2.8 million of non-cash purchase accounting-related expenses during the three and six months ended June 30, 2020, respectively, within cost of sales related to the step-up in value and subsequent sale of inventory.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Acquisitions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2019, the Company acquired Taplast S.p.A. ("Taplast"), a designer and manufacturer of dispensers, closures and containers for the beauty and personal care, home care, and food and beverage packaging markets, for an aggregate amount of approximately $44.7 million, net of cash acquired. With manufacturing locations in both Italy and Slovakia, Taplast serves markets in Europe and North America and historically generated approximately $32 million in annual revenue. Taplast is reported in the Company's Packaging segment.</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2019, the Company acquired Plastic Srl, a manufacturer of single-bodied and assembled polymeric caps and closures for use in home care products, for an aggregate amount of approximately $22.4 million, net of cash acquired. Located in Italy, Plastic Srl serves the home care market throughout Italy and other European countries and historically generated approximately $12 million in annual revenue. Plastic Srl is reported in the Company's Packaging segment.</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acquisitions, the Company recorded approximately $0.2 million and $1.2 million of non-cash purchase accounting-related expenses during the three and six months ended June 30, 2019, respectively. Of these amounts, approximately $0.9 million was recognized during the six months ended June 30, 2019, within selling, general and administrative expenses, primarily related to the write-off of the Plastic Srl trade name acquired that will not be used. In addition, approximately $0.2 million and $0.3 million was recognized during the three and six months ended June 30, 2019, respectively, within cost of sales related to the step-up in value and subsequent sale of inventory.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assesses goodwill and other intangible assets for impairment on an annual basis as of October 1, and more frequently if there are changes in the business climate or as a result of a triggering event taking place. The Company considered the current and potential future market and economic impacts that may result from the COVID-19 pandemic, including its impact on the Company's reporting units, and also assessed the change in its market capitalization during the first and second quarter of 2020. Based on this review, and after consideration of the historical excess in fair value over carrying value within the Company's reporting units, the Company determined that there was not a triggering event which would require an interim impairment test to be performed.</w:t>
      </w:r>
    </w:p>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2020, the Company began reporting its machined products operations within the Aerospace segment. These operations were previously reported in the Company's Specialty Products segment. As a result of the reporting structure change, goodwill of approximately $12.7 million was reassigned from the Specialty Products segment to the Aerospace segment.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 months ended June 30, 2020 are summarized as follows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Packaging</w:t>
            </w: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Aerospace</w:t>
            </w: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Specialty Products</w:t>
            </w:r>
          </w:p>
        </w:tc>
        <w:tc>
          <w:tcPr>
            <w:tcW w:w="32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33"/>
        </w:trPr>
        <w:tc>
          <w:tcPr>
            <w:tcW w:w="5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133,690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334,640</w:t>
            </w: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Goodwill from acquisitions</w:t>
            </w:r>
          </w:p>
        </w:tc>
        <w:tc>
          <w:tcPr>
            <w:tcW w:w="2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43,260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43,260</w:t>
            </w:r>
          </w:p>
        </w:tc>
      </w:tr>
      <w:tr>
        <w:trPr>
          <w:trHeight w:val="27"/>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Goodwill reassigned in segment realignment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(1,580)</w:t>
            </w:r>
          </w:p>
        </w:tc>
      </w:tr>
      <w:tr>
        <w:trPr>
          <w:trHeight w:val="27"/>
        </w:trPr>
        <w:tc>
          <w:tcPr>
            <w:tcW w:w="5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2020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180,070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189,690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376,320</w:t>
            </w:r>
          </w:p>
        </w:tc>
      </w:tr>
      <w:tr>
        <w:trPr>
          <w:trHeight w:val="20"/>
        </w:trPr>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amortizes its other intangible assets over periods ranging from one to 30 years. The gross carrying amounts and accumulated amortization of the Company's other intangibles are summarized below (dollars in thousands):</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5"/>
          </w:tcPr>
          <w:p>
            <w:pPr>
              <w:ind w:left="860"/>
              <w:spacing w:after="0"/>
              <w:rPr>
                <w:sz w:val="20"/>
                <w:szCs w:val="20"/>
                <w:color w:val="auto"/>
              </w:rPr>
            </w:pPr>
            <w:r>
              <w:rPr>
                <w:rFonts w:ascii="Arial" w:cs="Arial" w:eastAsia="Arial" w:hAnsi="Arial"/>
                <w:sz w:val="16"/>
                <w:szCs w:val="16"/>
                <w:b w:val="1"/>
                <w:bCs w:val="1"/>
                <w:color w:val="auto"/>
              </w:rPr>
              <w:t>As of June 30, 2020</w:t>
            </w:r>
          </w:p>
        </w:tc>
        <w:tc>
          <w:tcPr>
            <w:tcW w:w="200" w:type="dxa"/>
            <w:vAlign w:val="bottom"/>
          </w:tcPr>
          <w:p>
            <w:pPr>
              <w:spacing w:after="0"/>
              <w:rPr>
                <w:sz w:val="18"/>
                <w:szCs w:val="18"/>
                <w:color w:val="auto"/>
              </w:rPr>
            </w:pPr>
          </w:p>
        </w:tc>
        <w:tc>
          <w:tcPr>
            <w:tcW w:w="3240" w:type="dxa"/>
            <w:vAlign w:val="bottom"/>
            <w:gridSpan w:val="4"/>
          </w:tcPr>
          <w:p>
            <w:pPr>
              <w:jc w:val="right"/>
              <w:ind w:right="772"/>
              <w:spacing w:after="0"/>
              <w:rPr>
                <w:sz w:val="20"/>
                <w:szCs w:val="20"/>
                <w:color w:val="auto"/>
              </w:rPr>
            </w:pPr>
            <w:r>
              <w:rPr>
                <w:rFonts w:ascii="Arial" w:cs="Arial" w:eastAsia="Arial" w:hAnsi="Arial"/>
                <w:sz w:val="16"/>
                <w:szCs w:val="16"/>
                <w:b w:val="1"/>
                <w:bCs w:val="1"/>
                <w:color w:val="auto"/>
              </w:rPr>
              <w:t>As of December 31, 2019</w:t>
            </w:r>
          </w:p>
        </w:tc>
      </w:tr>
      <w:tr>
        <w:trPr>
          <w:trHeight w:val="33"/>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Gross Carrying</w:t>
            </w:r>
          </w:p>
        </w:tc>
        <w:tc>
          <w:tcPr>
            <w:tcW w:w="26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Gross Carrying</w:t>
            </w:r>
          </w:p>
        </w:tc>
        <w:tc>
          <w:tcPr>
            <w:tcW w:w="240" w:type="dxa"/>
            <w:vAlign w:val="bottom"/>
          </w:tcPr>
          <w:p>
            <w:pPr>
              <w:spacing w:after="0"/>
              <w:rPr>
                <w:sz w:val="18"/>
                <w:szCs w:val="18"/>
                <w:color w:val="auto"/>
              </w:rPr>
            </w:pPr>
          </w:p>
        </w:tc>
        <w:tc>
          <w:tcPr>
            <w:tcW w:w="1420" w:type="dxa"/>
            <w:vAlign w:val="bottom"/>
          </w:tcPr>
          <w:p>
            <w:pPr>
              <w:jc w:val="right"/>
              <w:ind w:right="292"/>
              <w:spacing w:after="0"/>
              <w:rPr>
                <w:sz w:val="20"/>
                <w:szCs w:val="20"/>
                <w:color w:val="auto"/>
              </w:rPr>
            </w:pPr>
            <w:r>
              <w:rPr>
                <w:rFonts w:ascii="Arial" w:cs="Arial" w:eastAsia="Arial" w:hAnsi="Arial"/>
                <w:sz w:val="16"/>
                <w:szCs w:val="16"/>
                <w:b w:val="1"/>
                <w:bCs w:val="1"/>
                <w:color w:val="auto"/>
              </w:rPr>
              <w:t>Accumulated</w:t>
            </w:r>
          </w:p>
        </w:tc>
      </w:tr>
      <w:tr>
        <w:trPr>
          <w:trHeight w:val="210"/>
        </w:trPr>
        <w:tc>
          <w:tcPr>
            <w:tcW w:w="4160" w:type="dxa"/>
            <w:vAlign w:val="bottom"/>
            <w:gridSpan w:val="2"/>
          </w:tcPr>
          <w:p>
            <w:pPr>
              <w:ind w:left="20"/>
              <w:spacing w:after="0"/>
              <w:rPr>
                <w:sz w:val="20"/>
                <w:szCs w:val="20"/>
                <w:color w:val="auto"/>
              </w:rPr>
            </w:pPr>
            <w:r>
              <w:rPr>
                <w:rFonts w:ascii="Arial" w:cs="Arial" w:eastAsia="Arial" w:hAnsi="Arial"/>
                <w:sz w:val="16"/>
                <w:szCs w:val="16"/>
                <w:b w:val="1"/>
                <w:bCs w:val="1"/>
                <w:color w:val="auto"/>
              </w:rPr>
              <w:t>Intangible Category by Useful Life</w:t>
            </w:r>
          </w:p>
        </w:tc>
        <w:tc>
          <w:tcPr>
            <w:tcW w:w="2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26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240" w:type="dxa"/>
            <w:vAlign w:val="bottom"/>
          </w:tcPr>
          <w:p>
            <w:pPr>
              <w:spacing w:after="0"/>
              <w:rPr>
                <w:sz w:val="18"/>
                <w:szCs w:val="18"/>
                <w:color w:val="auto"/>
              </w:rPr>
            </w:pPr>
          </w:p>
        </w:tc>
        <w:tc>
          <w:tcPr>
            <w:tcW w:w="1420" w:type="dxa"/>
            <w:vAlign w:val="bottom"/>
          </w:tcPr>
          <w:p>
            <w:pPr>
              <w:jc w:val="right"/>
              <w:ind w:right="272"/>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gridSpan w:val="2"/>
          </w:tcPr>
          <w:p>
            <w:pPr>
              <w:ind w:left="160"/>
              <w:spacing w:after="0"/>
              <w:rPr>
                <w:sz w:val="20"/>
                <w:szCs w:val="20"/>
                <w:color w:val="auto"/>
              </w:rPr>
            </w:pPr>
            <w:r>
              <w:rPr>
                <w:rFonts w:ascii="Arial" w:cs="Arial" w:eastAsia="Arial" w:hAnsi="Arial"/>
                <w:sz w:val="18"/>
                <w:szCs w:val="18"/>
                <w:color w:val="auto"/>
              </w:rPr>
              <w:t>Customer relationships, 5 – 12 years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100,160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(54,200)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73,860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(49,910)</w:t>
            </w: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Customer relationships, 15 – 25 years</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122,280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122,280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(56,010)</w:t>
            </w:r>
          </w:p>
        </w:tc>
      </w:tr>
      <w:tr>
        <w:trPr>
          <w:trHeight w:val="237"/>
        </w:trPr>
        <w:tc>
          <w:tcPr>
            <w:tcW w:w="4160" w:type="dxa"/>
            <w:vAlign w:val="bottom"/>
            <w:gridSpan w:val="2"/>
          </w:tcPr>
          <w:p>
            <w:pPr>
              <w:ind w:left="380"/>
              <w:spacing w:after="0"/>
              <w:rPr>
                <w:sz w:val="20"/>
                <w:szCs w:val="20"/>
                <w:color w:val="auto"/>
              </w:rPr>
            </w:pPr>
            <w:r>
              <w:rPr>
                <w:rFonts w:ascii="Arial" w:cs="Arial" w:eastAsia="Arial" w:hAnsi="Arial"/>
                <w:sz w:val="18"/>
                <w:szCs w:val="18"/>
                <w:color w:val="auto"/>
              </w:rPr>
              <w:t>Total customer relationships</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222,440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(113,430)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196,140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(105,920)</w:t>
            </w: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Technology and other, 1 – 15 years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(29,790)</w:t>
            </w:r>
          </w:p>
        </w:tc>
      </w:tr>
      <w:tr>
        <w:trPr>
          <w:trHeight w:val="243"/>
        </w:trPr>
        <w:tc>
          <w:tcPr>
            <w:tcW w:w="4160" w:type="dxa"/>
            <w:vAlign w:val="bottom"/>
            <w:gridSpan w:val="2"/>
          </w:tcPr>
          <w:p>
            <w:pPr>
              <w:ind w:left="160"/>
              <w:spacing w:after="0"/>
              <w:rPr>
                <w:sz w:val="20"/>
                <w:szCs w:val="20"/>
                <w:color w:val="auto"/>
              </w:rPr>
            </w:pPr>
            <w:r>
              <w:rPr>
                <w:rFonts w:ascii="Arial" w:cs="Arial" w:eastAsia="Arial" w:hAnsi="Arial"/>
                <w:sz w:val="18"/>
                <w:szCs w:val="18"/>
                <w:color w:val="auto"/>
              </w:rPr>
              <w:t>Technology and other, 17 – 30 years</w:t>
            </w: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(38,620)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43,300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(37,620)</w:t>
            </w:r>
          </w:p>
        </w:tc>
      </w:tr>
      <w:tr>
        <w:trPr>
          <w:trHeight w:val="27"/>
        </w:trPr>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technology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(67,410)</w:t>
            </w: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Trademark/Trade names</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371,460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(183,290)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334,720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(173,330)</w:t>
            </w: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770"/>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operations is summarized as follows (dollars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3140" w:type="dxa"/>
            <w:vAlign w:val="bottom"/>
            <w:gridSpan w:val="6"/>
          </w:tcPr>
          <w:p>
            <w:pPr>
              <w:ind w:left="52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680" w:type="dxa"/>
            <w:vAlign w:val="bottom"/>
            <w:gridSpan w:val="4"/>
          </w:tcPr>
          <w:p>
            <w:pPr>
              <w:jc w:val="right"/>
              <w:ind w:right="49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33"/>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other, included in cost of sales</w:t>
            </w:r>
          </w:p>
        </w:tc>
        <w:tc>
          <w:tcPr>
            <w:tcW w:w="920" w:type="dxa"/>
            <w:vAlign w:val="bottom"/>
            <w:tcBorders>
              <w:bottom w:val="single" w:sz="8" w:color="CCEEFF"/>
            </w:tcBorders>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2,400</w:t>
            </w:r>
          </w:p>
        </w:tc>
      </w:tr>
      <w:tr>
        <w:trPr>
          <w:trHeight w:val="229"/>
        </w:trPr>
        <w:tc>
          <w:tcPr>
            <w:tcW w:w="5080" w:type="dxa"/>
            <w:vAlign w:val="bottom"/>
          </w:tcPr>
          <w:p>
            <w:pPr>
              <w:ind w:left="40"/>
              <w:spacing w:after="0"/>
              <w:rPr>
                <w:sz w:val="20"/>
                <w:szCs w:val="20"/>
                <w:color w:val="auto"/>
              </w:rPr>
            </w:pPr>
            <w:r>
              <w:rPr>
                <w:rFonts w:ascii="Arial" w:cs="Arial" w:eastAsia="Arial" w:hAnsi="Arial"/>
                <w:sz w:val="18"/>
                <w:szCs w:val="18"/>
                <w:color w:val="auto"/>
              </w:rPr>
              <w:t>Customer relationships, included in selling, general and</w:t>
            </w: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8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92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4,040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7,680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6,980</w:t>
            </w:r>
          </w:p>
        </w:tc>
      </w:tr>
      <w:tr>
        <w:trPr>
          <w:trHeight w:val="27"/>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amortization expense</w:t>
            </w:r>
          </w:p>
        </w:tc>
        <w:tc>
          <w:tcPr>
            <w:tcW w:w="92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5,300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10,150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9,380</w:t>
            </w: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June 30,</w:t>
            </w:r>
          </w:p>
        </w:tc>
        <w:tc>
          <w:tcPr>
            <w:tcW w:w="200" w:type="dxa"/>
            <w:vAlign w:val="bottom"/>
          </w:tcPr>
          <w:p>
            <w:pPr>
              <w:spacing w:after="0"/>
              <w:rPr>
                <w:sz w:val="17"/>
                <w:szCs w:val="17"/>
                <w:color w:val="auto"/>
              </w:rPr>
            </w:pPr>
          </w:p>
        </w:tc>
        <w:tc>
          <w:tcPr>
            <w:tcW w:w="1360" w:type="dxa"/>
            <w:vAlign w:val="bottom"/>
          </w:tcPr>
          <w:p>
            <w:pPr>
              <w:jc w:val="center"/>
              <w:ind w:right="173"/>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center"/>
              <w:ind w:right="213"/>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73,320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68,350</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30,670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30,560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33,750</w:t>
            </w:r>
          </w:p>
        </w:tc>
        <w:tc>
          <w:tcPr>
            <w:tcW w:w="0" w:type="dxa"/>
            <w:vAlign w:val="bottom"/>
          </w:tcPr>
          <w:p>
            <w:pPr>
              <w:spacing w:after="0"/>
              <w:rPr>
                <w:sz w:val="1"/>
                <w:szCs w:val="1"/>
                <w:color w:val="auto"/>
              </w:rPr>
            </w:pPr>
          </w:p>
        </w:tc>
      </w:tr>
      <w:tr>
        <w:trPr>
          <w:trHeight w:val="257"/>
        </w:trPr>
        <w:tc>
          <w:tcPr>
            <w:tcW w:w="8000" w:type="dxa"/>
            <w:vAlign w:val="bottom"/>
          </w:tcPr>
          <w:p>
            <w:pPr>
              <w:ind w:left="280"/>
              <w:spacing w:after="0"/>
              <w:rPr>
                <w:sz w:val="20"/>
                <w:szCs w:val="20"/>
                <w:color w:val="auto"/>
              </w:rPr>
            </w:pPr>
            <w:r>
              <w:rPr>
                <w:rFonts w:ascii="Arial" w:cs="Arial" w:eastAsia="Arial" w:hAnsi="Arial"/>
                <w:sz w:val="18"/>
                <w:szCs w:val="18"/>
                <w:color w:val="auto"/>
              </w:rPr>
              <w:t>Total inventories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140,890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132,660</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9. Property and Equipment, Net</w:t>
            </w: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8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000" w:type="dxa"/>
            <w:vAlign w:val="bottom"/>
          </w:tcPr>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June 30,</w:t>
            </w:r>
          </w:p>
        </w:tc>
        <w:tc>
          <w:tcPr>
            <w:tcW w:w="200" w:type="dxa"/>
            <w:vAlign w:val="bottom"/>
          </w:tcPr>
          <w:p>
            <w:pPr>
              <w:spacing w:after="0"/>
              <w:rPr>
                <w:sz w:val="24"/>
                <w:szCs w:val="24"/>
                <w:color w:val="auto"/>
              </w:rPr>
            </w:pPr>
          </w:p>
        </w:tc>
        <w:tc>
          <w:tcPr>
            <w:tcW w:w="1360" w:type="dxa"/>
            <w:vAlign w:val="bottom"/>
          </w:tcPr>
          <w:p>
            <w:pPr>
              <w:jc w:val="center"/>
              <w:ind w:right="173"/>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center"/>
              <w:ind w:right="213"/>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19,110</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Buildings</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85,820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84,880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329,120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326,990</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434,500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430,980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223,540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216,650</w:t>
            </w:r>
          </w:p>
        </w:tc>
        <w:tc>
          <w:tcPr>
            <w:tcW w:w="0" w:type="dxa"/>
            <w:vAlign w:val="bottom"/>
          </w:tcPr>
          <w:p>
            <w:pPr>
              <w:spacing w:after="0"/>
              <w:rPr>
                <w:sz w:val="1"/>
                <w:szCs w:val="1"/>
                <w:color w:val="auto"/>
              </w:rPr>
            </w:pPr>
          </w:p>
        </w:tc>
      </w:tr>
      <w:tr>
        <w:trPr>
          <w:trHeight w:val="257"/>
        </w:trPr>
        <w:tc>
          <w:tcPr>
            <w:tcW w:w="800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210,960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214,330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 included in the accompanying consolidated statement of operations is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2720" w:type="dxa"/>
            <w:vAlign w:val="bottom"/>
            <w:gridSpan w:val="4"/>
          </w:tcPr>
          <w:p>
            <w:pPr>
              <w:ind w:left="640"/>
              <w:spacing w:after="0"/>
              <w:rPr>
                <w:sz w:val="20"/>
                <w:szCs w:val="20"/>
                <w:color w:val="auto"/>
              </w:rPr>
            </w:pPr>
            <w:r>
              <w:rPr>
                <w:rFonts w:ascii="Arial" w:cs="Arial" w:eastAsia="Arial" w:hAnsi="Arial"/>
                <w:sz w:val="16"/>
                <w:szCs w:val="16"/>
                <w:b w:val="1"/>
                <w:bCs w:val="1"/>
                <w:color w:val="auto"/>
                <w:w w:val="91"/>
              </w:rPr>
              <w:t>Three months ended June 30,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6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620" w:type="dxa"/>
            <w:vAlign w:val="bottom"/>
          </w:tcPr>
          <w:p>
            <w:pPr>
              <w:spacing w:after="0"/>
              <w:rPr>
                <w:sz w:val="20"/>
                <w:szCs w:val="20"/>
                <w:color w:val="auto"/>
              </w:rPr>
            </w:pPr>
          </w:p>
        </w:tc>
        <w:tc>
          <w:tcPr>
            <w:tcW w:w="1020" w:type="dxa"/>
            <w:vAlign w:val="bottom"/>
          </w:tcPr>
          <w:p>
            <w:pPr>
              <w:ind w:left="640"/>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4"/>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33"/>
        </w:trPr>
        <w:tc>
          <w:tcPr>
            <w:tcW w:w="46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 included in cost of sales</w:t>
            </w:r>
          </w:p>
        </w:tc>
        <w:tc>
          <w:tcPr>
            <w:tcW w:w="1020" w:type="dxa"/>
            <w:vAlign w:val="bottom"/>
            <w:tcBorders>
              <w:bottom w:val="single" w:sz="8" w:color="CCEEFF"/>
            </w:tcBorders>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11,440</w:t>
            </w:r>
          </w:p>
        </w:tc>
      </w:tr>
      <w:tr>
        <w:trPr>
          <w:trHeight w:val="229"/>
        </w:trPr>
        <w:tc>
          <w:tcPr>
            <w:tcW w:w="4620" w:type="dxa"/>
            <w:vAlign w:val="bottom"/>
          </w:tcPr>
          <w:p>
            <w:pPr>
              <w:ind w:left="40"/>
              <w:spacing w:after="0"/>
              <w:rPr>
                <w:sz w:val="20"/>
                <w:szCs w:val="20"/>
                <w:color w:val="auto"/>
              </w:rPr>
            </w:pPr>
            <w:r>
              <w:rPr>
                <w:rFonts w:ascii="Arial" w:cs="Arial" w:eastAsia="Arial" w:hAnsi="Arial"/>
                <w:sz w:val="18"/>
                <w:szCs w:val="18"/>
                <w:color w:val="auto"/>
              </w:rPr>
              <w:t>Depreciation expense, included in selling, general and</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62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02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550</w:t>
            </w:r>
          </w:p>
        </w:tc>
      </w:tr>
      <w:tr>
        <w:trPr>
          <w:trHeight w:val="27"/>
        </w:trPr>
        <w:tc>
          <w:tcPr>
            <w:tcW w:w="46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depreciation expense</w:t>
            </w:r>
          </w:p>
        </w:tc>
        <w:tc>
          <w:tcPr>
            <w:tcW w:w="102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8,110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6,300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14,770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11,990</w:t>
            </w:r>
          </w:p>
        </w:tc>
      </w:tr>
      <w:tr>
        <w:trPr>
          <w:trHeight w:val="20"/>
        </w:trPr>
        <w:tc>
          <w:tcPr>
            <w:tcW w:w="4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debt consists of the following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7"/>
                <w:szCs w:val="17"/>
                <w:color w:val="auto"/>
              </w:rPr>
            </w:pPr>
          </w:p>
        </w:tc>
        <w:tc>
          <w:tcPr>
            <w:tcW w:w="1360" w:type="dxa"/>
            <w:vAlign w:val="bottom"/>
          </w:tcPr>
          <w:p>
            <w:pPr>
              <w:jc w:val="right"/>
              <w:ind w:right="234"/>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7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53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534"/>
              <w:spacing w:after="0"/>
              <w:rPr>
                <w:sz w:val="20"/>
                <w:szCs w:val="20"/>
                <w:color w:val="auto"/>
              </w:rPr>
            </w:pPr>
            <w:r>
              <w:rPr>
                <w:rFonts w:ascii="Arial" w:cs="Arial" w:eastAsia="Arial" w:hAnsi="Arial"/>
                <w:sz w:val="16"/>
                <w:szCs w:val="16"/>
                <w:b w:val="1"/>
                <w:bCs w:val="1"/>
                <w:color w:val="auto"/>
              </w:rPr>
              <w:t>2019</w:t>
            </w:r>
          </w:p>
        </w:tc>
      </w:tr>
      <w:tr>
        <w:trPr>
          <w:trHeight w:val="33"/>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4.875% Senior Notes due October 2025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(5,310)</w:t>
            </w:r>
          </w:p>
        </w:tc>
      </w:tr>
      <w:tr>
        <w:trPr>
          <w:trHeight w:val="27"/>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295,260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294,690</w:t>
            </w:r>
          </w:p>
        </w:tc>
      </w:tr>
      <w:tr>
        <w:trPr>
          <w:trHeight w:val="20"/>
        </w:trPr>
        <w:tc>
          <w:tcPr>
            <w:tcW w:w="7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September 2017, the Company issued $300.0 million aggregate principal amount of 4.875% senior notes due October 15, 2025 ("Senior Notes") at par value in a private placement under Rule 144A of the Securities Act of 1933, as amended. The Senior Notes accrue interest at a rate of 4.875% per annum, payable semi-annually in arrears on April 15 and October 15, commencing on April 15, 2018. The payment of principal and interest is jointly and severally guaranteed, on a senior unsecured basis, by certain subsidiaries of the Company (each a "Guarantor" and collectively the "Guarantors"). The Senior Notes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existing and future senior indebtedness and subordinated to all existing and future secured indebtedness to the extent of the value of the assets securing such indebtedness.</w:t>
      </w:r>
    </w:p>
    <w:p>
      <w:pPr>
        <w:spacing w:after="0" w:line="23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October 15, 2020, the Company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the Company may redeem all or part of the Senior Notes at a redemption price equal to 100% of the principal amount thereof, plus accrued and unpaid interest, if any, to the redemption date, plus a "make whole" premium. On or after October 15, 2020, the Company may redeem all or part of the Senior Notes at the redemption prices (expressed as percentages of principal amount) set forth below, plus accrued and unpaid interest, if any, to the redemption date, if redeemed during the twelve-month period beginning on October 15 of the years indicated below:</w:t>
      </w:r>
    </w:p>
    <w:p>
      <w:pPr>
        <w:spacing w:after="0" w:line="200" w:lineRule="exact"/>
        <w:rPr>
          <w:sz w:val="20"/>
          <w:szCs w:val="20"/>
          <w:color w:val="auto"/>
        </w:rPr>
      </w:pPr>
    </w:p>
    <w:p>
      <w:pPr>
        <w:spacing w:after="0" w:line="207" w:lineRule="exact"/>
        <w:rPr>
          <w:sz w:val="20"/>
          <w:szCs w:val="20"/>
          <w:color w:val="auto"/>
        </w:rPr>
      </w:pPr>
    </w:p>
    <w:tbl>
      <w:tblPr>
        <w:tblLayout w:type="fixed"/>
        <w:tblInd w:w="2620" w:type="dxa"/>
        <w:tblCellMar>
          <w:top w:w="0" w:type="dxa"/>
          <w:left w:w="0" w:type="dxa"/>
          <w:bottom w:w="0" w:type="dxa"/>
          <w:right w:w="0" w:type="dxa"/>
        </w:tblCellMar>
      </w:tblPr>
      <w:tr>
        <w:trPr>
          <w:trHeight w:val="210"/>
        </w:trPr>
        <w:tc>
          <w:tcPr>
            <w:tcW w:w="394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w:t>
            </w:r>
          </w:p>
        </w:tc>
        <w:tc>
          <w:tcPr>
            <w:tcW w:w="2080" w:type="dxa"/>
            <w:vAlign w:val="bottom"/>
          </w:tcPr>
          <w:p>
            <w:pPr>
              <w:jc w:val="right"/>
              <w:ind w:right="572"/>
              <w:spacing w:after="0"/>
              <w:rPr>
                <w:sz w:val="20"/>
                <w:szCs w:val="20"/>
                <w:color w:val="auto"/>
              </w:rPr>
            </w:pPr>
            <w:r>
              <w:rPr>
                <w:rFonts w:ascii="Arial" w:cs="Arial" w:eastAsia="Arial" w:hAnsi="Arial"/>
                <w:sz w:val="16"/>
                <w:szCs w:val="16"/>
                <w:b w:val="1"/>
                <w:bCs w:val="1"/>
                <w:color w:val="auto"/>
              </w:rPr>
              <w:t>Percentage</w:t>
            </w:r>
          </w:p>
        </w:tc>
      </w:tr>
      <w:tr>
        <w:trPr>
          <w:trHeight w:val="33"/>
        </w:trPr>
        <w:tc>
          <w:tcPr>
            <w:tcW w:w="36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3"/>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102.438%</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101.219%</w:t>
            </w:r>
          </w:p>
        </w:tc>
      </w:tr>
      <w:tr>
        <w:trPr>
          <w:trHeight w:val="27"/>
        </w:trPr>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 and thereafter</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7"/>
        </w:trPr>
        <w:tc>
          <w:tcPr>
            <w:tcW w:w="36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party to a credit agreement ("Credit Agreement") consisting of a $300.0 million senior secured revolving credit facility, which permits borrowings denominated in specific foreign currencies, subject to a $125.0 million sub limit, matures on September 20, 2022 and is subject to interest at London Interbank Offered Rate ("LIBOR") plus 1.50%. The interest rate spread is based upon the leverage ratio, as defined, as of the most recent determination date.</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revolving credit facility allows for the issuance of letters of credit, not to exceed $40.0 million in aggregate. At June 30, 2020, the Company had no amounts outstanding under its revolving credit facility and had approximately $284.1 million potentially available after giving effect to approximately $15.9 million of letters of credit issued and outstanding. At December 31, 2019, the Company had no amounts outstanding under its revolving credit facility and had approximately $283.9 million potentially available after giving effect to approximately $16.1 million of letters of credit issued and outstanding. The Company's borrowing capacity was not reduced by leverage restrictions contained in the Credit Agreement as of June 30, 2020 and December 31, 2019. The Company previously drew $150 million on its revolving credit facility in March 2020 to defend against potential uncertainty or liquidity issues in the financial markets as a result of the COVID-19 pandemic, but repaid this amount during second quarter 2020.</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June 30, 2020, the Company was in compliance with its financial covenants contained in the Credit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valuations of the Senior Notes and other debt were determined based on Level 2 inputs under the fair value hierarchy, as defined. The carrying amounts and fair values were as follows (dollars in thousands):</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 2020</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gridSpan w:val="4"/>
          </w:tcPr>
          <w:p>
            <w:pPr>
              <w:jc w:val="right"/>
              <w:ind w:right="1095"/>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3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48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20"/>
                <w:szCs w:val="20"/>
                <w:color w:val="auto"/>
              </w:rPr>
            </w:pPr>
          </w:p>
        </w:tc>
        <w:tc>
          <w:tcPr>
            <w:tcW w:w="1460" w:type="dxa"/>
            <w:vAlign w:val="bottom"/>
          </w:tcPr>
          <w:p>
            <w:pPr>
              <w:jc w:val="right"/>
              <w:ind w:right="435"/>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309,000</w:t>
            </w:r>
          </w:p>
        </w:tc>
      </w:tr>
      <w:tr>
        <w:trPr>
          <w:trHeight w:val="27"/>
        </w:trPr>
        <w:tc>
          <w:tcPr>
            <w:tcW w:w="3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Designated as Hedging Instruments</w:t>
      </w:r>
    </w:p>
    <w:p>
      <w:pPr>
        <w:spacing w:after="0" w:line="2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2018, the Company entered into cross-currency swap agreements to hedge its net investment in Euro-denominated assets against future volatility in the exchange rate between the U.S. dollar and the Euro. By doing so, the Company synthetically converted a portion of its U.S. dollar-based long-term debt into Euro-denominated long-term debt. The agreements have a five year tenor at notional amounts declining from $125.0 million to $75.0 million over the contract period. Under the terms of the swap agreements, the Company is to receive net interest payments at a fixed rate of approximately 2.9% of the notional amount. At inception, the cross-currency swaps were designated as net investment hedges.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and December 31, 2019, the fair value carrying amount of the Company's derivative instruments are recorded as follows (dollars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4"/>
          </w:tcPr>
          <w:p>
            <w:pPr>
              <w:jc w:val="right"/>
              <w:ind w:right="296"/>
              <w:spacing w:after="0"/>
              <w:rPr>
                <w:sz w:val="20"/>
                <w:szCs w:val="20"/>
                <w:color w:val="auto"/>
              </w:rPr>
            </w:pPr>
            <w:r>
              <w:rPr>
                <w:rFonts w:ascii="Arial" w:cs="Arial" w:eastAsia="Arial" w:hAnsi="Arial"/>
                <w:sz w:val="16"/>
                <w:szCs w:val="16"/>
                <w:b w:val="1"/>
                <w:bCs w:val="1"/>
                <w:color w:val="auto"/>
                <w:w w:val="99"/>
              </w:rPr>
              <w:t>Asset / (Liability) Derivatives</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w:t>
            </w:r>
          </w:p>
        </w:tc>
        <w:tc>
          <w:tcPr>
            <w:tcW w:w="160" w:type="dxa"/>
            <w:vAlign w:val="bottom"/>
          </w:tcPr>
          <w:p>
            <w:pPr>
              <w:spacing w:after="0"/>
              <w:rPr>
                <w:sz w:val="18"/>
                <w:szCs w:val="18"/>
                <w:color w:val="auto"/>
              </w:rPr>
            </w:pPr>
          </w:p>
        </w:tc>
        <w:tc>
          <w:tcPr>
            <w:tcW w:w="1200" w:type="dxa"/>
            <w:vAlign w:val="bottom"/>
          </w:tcPr>
          <w:p>
            <w:pPr>
              <w:jc w:val="center"/>
              <w:ind w:right="96"/>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400" w:type="dxa"/>
            <w:vAlign w:val="bottom"/>
            <w:gridSpan w:val="2"/>
          </w:tcPr>
          <w:p>
            <w:pPr>
              <w:ind w:left="5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4040" w:type="dxa"/>
            <w:vAlign w:val="bottom"/>
            <w:gridSpan w:val="2"/>
          </w:tcPr>
          <w:p>
            <w:pPr>
              <w:ind w:left="1180"/>
              <w:spacing w:after="0"/>
              <w:rPr>
                <w:sz w:val="20"/>
                <w:szCs w:val="20"/>
                <w:color w:val="auto"/>
              </w:rPr>
            </w:pPr>
            <w:r>
              <w:rPr>
                <w:rFonts w:ascii="Arial" w:cs="Arial" w:eastAsia="Arial" w:hAnsi="Arial"/>
                <w:sz w:val="16"/>
                <w:szCs w:val="16"/>
                <w:b w:val="1"/>
                <w:bCs w:val="1"/>
                <w:color w:val="auto"/>
              </w:rPr>
              <w:t>Balance Sheet Caption</w:t>
            </w:r>
          </w:p>
        </w:tc>
        <w:tc>
          <w:tcPr>
            <w:tcW w:w="240" w:type="dxa"/>
            <w:vAlign w:val="bottom"/>
          </w:tcPr>
          <w:p>
            <w:pPr>
              <w:spacing w:after="0"/>
              <w:rPr>
                <w:sz w:val="18"/>
                <w:szCs w:val="18"/>
                <w:color w:val="auto"/>
              </w:rPr>
            </w:pPr>
          </w:p>
        </w:tc>
        <w:tc>
          <w:tcPr>
            <w:tcW w:w="1100" w:type="dxa"/>
            <w:vAlign w:val="bottom"/>
          </w:tcPr>
          <w:p>
            <w:pPr>
              <w:jc w:val="right"/>
              <w:ind w:right="437"/>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6"/>
              <w:spacing w:after="0"/>
              <w:rPr>
                <w:sz w:val="20"/>
                <w:szCs w:val="20"/>
                <w:color w:val="auto"/>
              </w:rPr>
            </w:pPr>
            <w:r>
              <w:rPr>
                <w:rFonts w:ascii="Arial" w:cs="Arial" w:eastAsia="Arial" w:hAnsi="Arial"/>
                <w:sz w:val="16"/>
                <w:szCs w:val="16"/>
                <w:b w:val="1"/>
                <w:bCs w:val="1"/>
                <w:color w:val="auto"/>
              </w:rPr>
              <w:t>2019</w:t>
            </w:r>
          </w:p>
        </w:tc>
      </w:tr>
      <w:tr>
        <w:trPr>
          <w:trHeight w:val="33"/>
        </w:trPr>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Investment Hedges</w:t>
            </w:r>
          </w:p>
        </w:tc>
        <w:tc>
          <w:tcPr>
            <w:tcW w:w="3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gridSpan w:val="2"/>
          </w:tcPr>
          <w:p>
            <w:pPr>
              <w:ind w:left="180"/>
              <w:spacing w:after="0"/>
              <w:rPr>
                <w:sz w:val="20"/>
                <w:szCs w:val="20"/>
                <w:color w:val="auto"/>
              </w:rPr>
            </w:pPr>
            <w:r>
              <w:rPr>
                <w:rFonts w:ascii="Arial" w:cs="Arial" w:eastAsia="Arial" w:hAnsi="Arial"/>
                <w:sz w:val="18"/>
                <w:szCs w:val="18"/>
                <w:color w:val="auto"/>
              </w:rPr>
              <w:t>Cross-currency swaps</w:t>
            </w: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7,580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4,460</w:t>
            </w:r>
          </w:p>
        </w:tc>
      </w:tr>
    </w:tbl>
    <w:p>
      <w:pPr>
        <w:spacing w:after="0" w:line="200" w:lineRule="exact"/>
        <w:rPr>
          <w:sz w:val="20"/>
          <w:szCs w:val="20"/>
          <w:color w:val="auto"/>
        </w:rPr>
      </w:pPr>
    </w:p>
    <w:p>
      <w:pPr>
        <w:spacing w:after="0" w:line="2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income recognized in accumulated other comprehensive income (loss) ("AOCI") on derivative contracts designated as hedging instruments as of June 30, 2020 and December 31, 2019, and the amounts reclassified from AOCI into earnings for the three and six months ended June 30, 2020 and 2019 (dollars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Amount of Income Recognized</w:t>
      </w:r>
    </w:p>
    <w:p>
      <w:pPr>
        <w:spacing w:after="0" w:line="49"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in AOCI on Derivative</w:t>
      </w:r>
    </w:p>
    <w:p>
      <w:pPr>
        <w:spacing w:after="0" w:line="19" w:lineRule="exact"/>
        <w:rPr>
          <w:sz w:val="20"/>
          <w:szCs w:val="20"/>
          <w:color w:val="auto"/>
        </w:rPr>
      </w:pPr>
    </w:p>
    <w:p>
      <w:pPr>
        <w:jc w:val="center"/>
        <w:ind w:left="400"/>
        <w:spacing w:after="0"/>
        <w:rPr>
          <w:sz w:val="20"/>
          <w:szCs w:val="20"/>
          <w:color w:val="auto"/>
        </w:rPr>
      </w:pPr>
      <w:r>
        <w:rPr>
          <w:rFonts w:ascii="Arial" w:cs="Arial" w:eastAsia="Arial" w:hAnsi="Arial"/>
          <w:sz w:val="15"/>
          <w:szCs w:val="15"/>
          <w:b w:val="1"/>
          <w:bCs w:val="1"/>
          <w:color w:val="auto"/>
        </w:rPr>
        <w:t>(Effective Portion, net of tax)</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Amount of Income (Loss) Reclassified</w:t>
      </w:r>
    </w:p>
    <w:p>
      <w:pPr>
        <w:spacing w:after="0" w:line="26"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from AOCI into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33020</wp:posOffset>
            </wp:positionV>
            <wp:extent cx="2777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8" w:lineRule="exact"/>
        <w:rPr>
          <w:sz w:val="20"/>
          <w:szCs w:val="20"/>
          <w:color w:val="auto"/>
        </w:rPr>
      </w:pPr>
    </w:p>
    <w:p>
      <w:pPr>
        <w:spacing w:after="0"/>
        <w:tabs>
          <w:tab w:leader="none" w:pos="2320" w:val="left"/>
        </w:tabs>
        <w:rPr>
          <w:sz w:val="20"/>
          <w:szCs w:val="20"/>
          <w:color w:val="auto"/>
        </w:rPr>
      </w:pPr>
      <w:r>
        <w:rPr>
          <w:rFonts w:ascii="Arial" w:cs="Arial" w:eastAsia="Arial" w:hAnsi="Arial"/>
          <w:sz w:val="16"/>
          <w:szCs w:val="16"/>
          <w:b w:val="1"/>
          <w:bCs w:val="1"/>
          <w:color w:val="auto"/>
        </w:rPr>
        <w:t>Three months ended</w:t>
      </w:r>
      <w:r>
        <w:rPr>
          <w:sz w:val="20"/>
          <w:szCs w:val="20"/>
          <w:color w:val="auto"/>
        </w:rPr>
        <w:tab/>
      </w:r>
      <w:r>
        <w:rPr>
          <w:rFonts w:ascii="Arial" w:cs="Arial" w:eastAsia="Arial" w:hAnsi="Arial"/>
          <w:sz w:val="14"/>
          <w:szCs w:val="14"/>
          <w:b w:val="1"/>
          <w:bCs w:val="1"/>
          <w:color w:val="auto"/>
        </w:rPr>
        <w:t>Six months ended</w:t>
      </w:r>
    </w:p>
    <w:p>
      <w:pPr>
        <w:spacing w:after="0" w:line="26" w:lineRule="exact"/>
        <w:rPr>
          <w:sz w:val="20"/>
          <w:szCs w:val="20"/>
          <w:color w:val="auto"/>
        </w:rPr>
      </w:pPr>
    </w:p>
    <w:p>
      <w:pPr>
        <w:ind w:left="420"/>
        <w:spacing w:after="0"/>
        <w:tabs>
          <w:tab w:leader="none" w:pos="2640" w:val="left"/>
        </w:tabs>
        <w:rPr>
          <w:sz w:val="20"/>
          <w:szCs w:val="20"/>
          <w:color w:val="auto"/>
        </w:rPr>
      </w:pPr>
      <w:r>
        <w:rPr>
          <w:rFonts w:ascii="Arial" w:cs="Arial" w:eastAsia="Arial" w:hAnsi="Arial"/>
          <w:sz w:val="16"/>
          <w:szCs w:val="16"/>
          <w:b w:val="1"/>
          <w:bCs w:val="1"/>
          <w:color w:val="auto"/>
        </w:rPr>
        <w:t>June 30,</w:t>
      </w:r>
      <w:r>
        <w:rPr>
          <w:sz w:val="20"/>
          <w:szCs w:val="20"/>
          <w:color w:val="auto"/>
        </w:rPr>
        <w:tab/>
      </w:r>
      <w:r>
        <w:rPr>
          <w:rFonts w:ascii="Arial" w:cs="Arial" w:eastAsia="Arial" w:hAnsi="Arial"/>
          <w:sz w:val="14"/>
          <w:szCs w:val="14"/>
          <w:b w:val="1"/>
          <w:bCs w:val="1"/>
          <w:color w:val="auto"/>
        </w:rPr>
        <w:t>June 30,</w:t>
      </w:r>
    </w:p>
    <w:p>
      <w:pPr>
        <w:spacing w:after="0" w:line="32" w:lineRule="exact"/>
        <w:rPr>
          <w:sz w:val="20"/>
          <w:szCs w:val="20"/>
          <w:color w:val="auto"/>
        </w:rPr>
      </w:pPr>
    </w:p>
    <w:p>
      <w:pPr>
        <w:sectPr>
          <w:pgSz w:w="11900" w:h="16838" w:orient="portrait"/>
          <w:cols w:equalWidth="0" w:num="2">
            <w:col w:w="6520" w:space="720"/>
            <w:col w:w="40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Location of Income</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r>
      <w:tr>
        <w:trPr>
          <w:trHeight w:val="203"/>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of</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As of</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(Loss) Reclassified from</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December 31,</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AOCI into Earnings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0"/>
        </w:trPr>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57"/>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7"/>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(Effective Portion)</w:t>
            </w:r>
          </w:p>
        </w:tc>
        <w:tc>
          <w:tcPr>
            <w:tcW w:w="240" w:type="dxa"/>
            <w:vAlign w:val="bottom"/>
          </w:tcPr>
          <w:p>
            <w:pPr>
              <w:spacing w:after="0"/>
              <w:rPr>
                <w:sz w:val="18"/>
                <w:szCs w:val="18"/>
                <w:color w:val="auto"/>
              </w:rPr>
            </w:pPr>
          </w:p>
        </w:tc>
        <w:tc>
          <w:tcPr>
            <w:tcW w:w="780" w:type="dxa"/>
            <w:vAlign w:val="bottom"/>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5"/>
              <w:spacing w:after="0"/>
              <w:rPr>
                <w:sz w:val="20"/>
                <w:szCs w:val="20"/>
                <w:color w:val="auto"/>
              </w:rPr>
            </w:pPr>
            <w:r>
              <w:rPr>
                <w:rFonts w:ascii="Arial" w:cs="Arial" w:eastAsia="Arial" w:hAnsi="Arial"/>
                <w:sz w:val="16"/>
                <w:szCs w:val="16"/>
                <w:b w:val="1"/>
                <w:bCs w:val="1"/>
                <w:color w:val="auto"/>
              </w:rPr>
              <w:t>2019</w:t>
            </w:r>
          </w:p>
        </w:tc>
      </w:tr>
      <w:tr>
        <w:trPr>
          <w:trHeight w:val="33"/>
        </w:trPr>
        <w:tc>
          <w:tcPr>
            <w:tcW w:w="2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9"/>
              </w:rPr>
              <w:t>Net Investment Hedges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2040" w:type="dxa"/>
            <w:vAlign w:val="bottom"/>
          </w:tcPr>
          <w:p>
            <w:pPr>
              <w:ind w:left="180"/>
              <w:spacing w:after="0"/>
              <w:rPr>
                <w:sz w:val="20"/>
                <w:szCs w:val="20"/>
                <w:color w:val="auto"/>
              </w:rPr>
            </w:pPr>
            <w:r>
              <w:rPr>
                <w:rFonts w:ascii="Arial" w:cs="Arial" w:eastAsia="Arial" w:hAnsi="Arial"/>
                <w:sz w:val="18"/>
                <w:szCs w:val="18"/>
                <w:color w:val="auto"/>
              </w:rPr>
              <w:t>Cross-currency swaps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6,530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112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112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Over the next 12 months, the Company does not expect to reclassify any pre-tax deferred amounts from AOCI into earnings.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2020, the Company was party to foreign currency exchange forward contracts to economically hedge changes in foreign currency rates with notional amounts of approximately $48.8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British pound and the Chinese yuan, and have various settlement dates through July 2020. These contracts are not designated as hedge instruments; therefore, gains and losses on these contracts are recognized each period directly into the consolidated statement of operations.</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effects of derivatives not designated as hedging instruments on the Company's consolidated statement of operations (dollars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40" w:type="dxa"/>
            <w:vAlign w:val="bottom"/>
            <w:gridSpan w:val="7"/>
          </w:tcPr>
          <w:p>
            <w:pPr>
              <w:ind w:left="20"/>
              <w:spacing w:after="0"/>
              <w:rPr>
                <w:sz w:val="20"/>
                <w:szCs w:val="20"/>
                <w:color w:val="auto"/>
              </w:rPr>
            </w:pPr>
            <w:r>
              <w:rPr>
                <w:rFonts w:ascii="Arial" w:cs="Arial" w:eastAsia="Arial" w:hAnsi="Arial"/>
                <w:sz w:val="16"/>
                <w:szCs w:val="16"/>
                <w:b w:val="1"/>
                <w:bCs w:val="1"/>
                <w:color w:val="auto"/>
                <w:w w:val="90"/>
              </w:rPr>
              <w:t>Amount of Income Recognized in</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5"/>
          </w:tcPr>
          <w:p>
            <w:pPr>
              <w:spacing w:after="0"/>
              <w:rPr>
                <w:sz w:val="20"/>
                <w:szCs w:val="20"/>
                <w:color w:val="auto"/>
              </w:rPr>
            </w:pPr>
            <w:r>
              <w:rPr>
                <w:rFonts w:ascii="Arial" w:cs="Arial" w:eastAsia="Arial" w:hAnsi="Arial"/>
                <w:sz w:val="16"/>
                <w:szCs w:val="16"/>
                <w:b w:val="1"/>
                <w:bCs w:val="1"/>
                <w:color w:val="auto"/>
              </w:rPr>
              <w:t>Earnings on Derivatives</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7"/>
              </w:rPr>
              <w:t>Three months ended</w:t>
            </w:r>
          </w:p>
        </w:tc>
        <w:tc>
          <w:tcPr>
            <w:tcW w:w="240" w:type="dxa"/>
            <w:vAlign w:val="bottom"/>
          </w:tcPr>
          <w:p>
            <w:pPr>
              <w:spacing w:after="0"/>
              <w:rPr>
                <w:sz w:val="18"/>
                <w:szCs w:val="18"/>
                <w:color w:val="auto"/>
              </w:rPr>
            </w:pPr>
          </w:p>
        </w:tc>
        <w:tc>
          <w:tcPr>
            <w:tcW w:w="1900" w:type="dxa"/>
            <w:vAlign w:val="bottom"/>
            <w:gridSpan w:val="4"/>
          </w:tcPr>
          <w:p>
            <w:pPr>
              <w:jc w:val="center"/>
              <w:ind w:right="115"/>
              <w:spacing w:after="0"/>
              <w:rPr>
                <w:sz w:val="20"/>
                <w:szCs w:val="20"/>
                <w:color w:val="auto"/>
              </w:rPr>
            </w:pPr>
            <w:r>
              <w:rPr>
                <w:rFonts w:ascii="Arial" w:cs="Arial" w:eastAsia="Arial" w:hAnsi="Arial"/>
                <w:sz w:val="16"/>
                <w:szCs w:val="16"/>
                <w:b w:val="1"/>
                <w:bCs w:val="1"/>
                <w:color w:val="auto"/>
                <w:w w:val="88"/>
              </w:rPr>
              <w:t>Six months ended</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jc w:val="center"/>
              <w:ind w:left="437"/>
              <w:spacing w:after="0"/>
              <w:rPr>
                <w:sz w:val="20"/>
                <w:szCs w:val="20"/>
                <w:color w:val="auto"/>
              </w:rPr>
            </w:pPr>
            <w:r>
              <w:rPr>
                <w:rFonts w:ascii="Arial" w:cs="Arial" w:eastAsia="Arial" w:hAnsi="Arial"/>
                <w:sz w:val="16"/>
                <w:szCs w:val="16"/>
                <w:b w:val="1"/>
                <w:bCs w:val="1"/>
                <w:color w:val="auto"/>
                <w:w w:val="90"/>
              </w:rPr>
              <w:t>June 30,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2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Location of Income</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Recognized in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2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Earnings on Derivatives</w:t>
            </w:r>
          </w:p>
        </w:tc>
        <w:tc>
          <w:tcPr>
            <w:tcW w:w="240" w:type="dxa"/>
            <w:vAlign w:val="bottom"/>
          </w:tcPr>
          <w:p>
            <w:pPr>
              <w:spacing w:after="0"/>
              <w:rPr>
                <w:sz w:val="18"/>
                <w:szCs w:val="18"/>
                <w:color w:val="auto"/>
              </w:rPr>
            </w:pPr>
          </w:p>
        </w:tc>
        <w:tc>
          <w:tcPr>
            <w:tcW w:w="780" w:type="dxa"/>
            <w:vAlign w:val="bottom"/>
          </w:tcPr>
          <w:p>
            <w:pPr>
              <w:jc w:val="right"/>
              <w:ind w:right="257"/>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7"/>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55"/>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28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6"/>
              </w:rPr>
              <w:t>Derivatives not designated as hedging instruments</w:t>
            </w:r>
          </w:p>
        </w:tc>
        <w:tc>
          <w:tcPr>
            <w:tcW w:w="2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Foreign exchange contracts</w:t>
            </w:r>
          </w:p>
        </w:tc>
        <w:tc>
          <w:tcPr>
            <w:tcW w:w="2580" w:type="dxa"/>
            <w:vAlign w:val="bottom"/>
            <w:gridSpan w:val="2"/>
          </w:tcPr>
          <w:p>
            <w:pPr>
              <w:ind w:left="160"/>
              <w:spacing w:after="0"/>
              <w:rPr>
                <w:sz w:val="20"/>
                <w:szCs w:val="20"/>
                <w:color w:val="auto"/>
              </w:rPr>
            </w:pPr>
            <w:r>
              <w:rPr>
                <w:rFonts w:ascii="Arial" w:cs="Arial" w:eastAsia="Arial" w:hAnsi="Arial"/>
                <w:sz w:val="18"/>
                <w:szCs w:val="18"/>
                <w:color w:val="auto"/>
              </w:rPr>
              <w:t>Other income,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550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Derivatives</w:t>
      </w:r>
    </w:p>
    <w:p>
      <w:pPr>
        <w:spacing w:after="0" w:line="2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June 30, 2020 and December 31, 2019 are shown below (dollars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Quoted Prices in</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Active Markets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55"/>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for Identical</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Significant Other</w:t>
            </w:r>
          </w:p>
        </w:tc>
        <w:tc>
          <w:tcPr>
            <w:tcW w:w="160" w:type="dxa"/>
            <w:vAlign w:val="bottom"/>
          </w:tcPr>
          <w:p>
            <w:pPr>
              <w:spacing w:after="0"/>
              <w:rPr>
                <w:sz w:val="17"/>
                <w:szCs w:val="17"/>
                <w:color w:val="auto"/>
              </w:rPr>
            </w:pPr>
          </w:p>
        </w:tc>
        <w:tc>
          <w:tcPr>
            <w:tcW w:w="1200" w:type="dxa"/>
            <w:vAlign w:val="bottom"/>
          </w:tcPr>
          <w:p>
            <w:pPr>
              <w:jc w:val="center"/>
              <w:ind w:right="75"/>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Asset /</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rPr>
              <w:t>Observable Inputs</w:t>
            </w:r>
          </w:p>
        </w:tc>
        <w:tc>
          <w:tcPr>
            <w:tcW w:w="160" w:type="dxa"/>
            <w:vAlign w:val="bottom"/>
          </w:tcPr>
          <w:p>
            <w:pPr>
              <w:spacing w:after="0"/>
              <w:rPr>
                <w:sz w:val="17"/>
                <w:szCs w:val="17"/>
                <w:color w:val="auto"/>
              </w:rPr>
            </w:pPr>
          </w:p>
        </w:tc>
        <w:tc>
          <w:tcPr>
            <w:tcW w:w="1200" w:type="dxa"/>
            <w:vAlign w:val="bottom"/>
          </w:tcPr>
          <w:p>
            <w:pPr>
              <w:jc w:val="center"/>
              <w:ind w:right="55"/>
              <w:spacing w:after="0"/>
              <w:rPr>
                <w:sz w:val="20"/>
                <w:szCs w:val="20"/>
                <w:color w:val="auto"/>
              </w:rPr>
            </w:pPr>
            <w:r>
              <w:rPr>
                <w:rFonts w:ascii="Arial" w:cs="Arial" w:eastAsia="Arial" w:hAnsi="Arial"/>
                <w:sz w:val="16"/>
                <w:szCs w:val="16"/>
                <w:b w:val="1"/>
                <w:bCs w:val="1"/>
                <w:color w:val="auto"/>
                <w:w w:val="95"/>
              </w:rPr>
              <w:t>Inputs</w:t>
            </w:r>
          </w:p>
        </w:tc>
      </w:tr>
      <w:tr>
        <w:trPr>
          <w:trHeight w:val="210"/>
        </w:trPr>
        <w:tc>
          <w:tcPr>
            <w:tcW w:w="428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1360" w:type="dxa"/>
            <w:vAlign w:val="bottom"/>
            <w:gridSpan w:val="2"/>
          </w:tcPr>
          <w:p>
            <w:pPr>
              <w:ind w:left="260"/>
              <w:spacing w:after="0"/>
              <w:rPr>
                <w:sz w:val="20"/>
                <w:szCs w:val="20"/>
                <w:color w:val="auto"/>
              </w:rPr>
            </w:pPr>
            <w:r>
              <w:rPr>
                <w:rFonts w:ascii="Arial" w:cs="Arial" w:eastAsia="Arial" w:hAnsi="Arial"/>
                <w:sz w:val="16"/>
                <w:szCs w:val="16"/>
                <w:b w:val="1"/>
                <w:bCs w:val="1"/>
                <w:color w:val="auto"/>
              </w:rPr>
              <w:t>Frequency</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(Liability)</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1)</w:t>
            </w:r>
          </w:p>
        </w:tc>
        <w:tc>
          <w:tcPr>
            <w:tcW w:w="2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(Level 2)</w:t>
            </w:r>
          </w:p>
        </w:tc>
        <w:tc>
          <w:tcPr>
            <w:tcW w:w="160" w:type="dxa"/>
            <w:vAlign w:val="bottom"/>
          </w:tcPr>
          <w:p>
            <w:pPr>
              <w:spacing w:after="0"/>
              <w:rPr>
                <w:sz w:val="18"/>
                <w:szCs w:val="18"/>
                <w:color w:val="auto"/>
              </w:rPr>
            </w:pPr>
          </w:p>
        </w:tc>
        <w:tc>
          <w:tcPr>
            <w:tcW w:w="1200" w:type="dxa"/>
            <w:vAlign w:val="bottom"/>
          </w:tcPr>
          <w:p>
            <w:pPr>
              <w:jc w:val="center"/>
              <w:ind w:right="75"/>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4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June 30, 2020</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Cross-currency swaps</w:t>
            </w: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Recurring</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7,580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7,580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exchange contracts</w:t>
            </w:r>
          </w:p>
        </w:tc>
        <w:tc>
          <w:tcPr>
            <w:tcW w:w="1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Recurring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2019</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Cross-currency swaps</w:t>
            </w:r>
          </w:p>
        </w:tc>
        <w:tc>
          <w:tcPr>
            <w:tcW w:w="1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Recurring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Foreign exchange contracts</w:t>
            </w: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Recurring</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certain equipment and facilities under non-cancelable operating leases. Leases with an initial term of 12 months or less are not recorded on the balance sheet; expense related to these leases is recognized on a straight-line basis over the lease term.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88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ind w:left="26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4"/>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33"/>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3,140</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Short-term, variable and other lease costs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410</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cost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4,250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3,550</w:t>
            </w: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70"/>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4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are as follows (dollars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w w:val="94"/>
              </w:rPr>
              <w:t>Operating Leases</w:t>
            </w:r>
            <w:r>
              <w:rPr>
                <w:rFonts w:ascii="Arial" w:cs="Arial" w:eastAsia="Arial" w:hAnsi="Arial"/>
                <w:sz w:val="25"/>
                <w:szCs w:val="25"/>
                <w:color w:val="auto"/>
                <w:w w:val="94"/>
                <w:vertAlign w:val="superscript"/>
              </w:rPr>
              <w:t>(a)</w:t>
            </w:r>
          </w:p>
        </w:tc>
      </w:tr>
      <w:tr>
        <w:trPr>
          <w:trHeight w:val="243"/>
        </w:trPr>
        <w:tc>
          <w:tcPr>
            <w:tcW w:w="9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 (excluding the six months ended June 30, 2020)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3,880</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7,370</w:t>
            </w:r>
          </w:p>
        </w:tc>
      </w:tr>
      <w:tr>
        <w:trPr>
          <w:trHeight w:val="27"/>
        </w:trPr>
        <w:tc>
          <w:tcPr>
            <w:tcW w:w="9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6,590</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5,630</w:t>
            </w:r>
          </w:p>
        </w:tc>
      </w:tr>
      <w:tr>
        <w:trPr>
          <w:trHeight w:val="27"/>
        </w:trPr>
        <w:tc>
          <w:tcPr>
            <w:tcW w:w="9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4,320</w:t>
            </w:r>
          </w:p>
        </w:tc>
      </w:tr>
      <w:tr>
        <w:trPr>
          <w:trHeight w:val="243"/>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13,560</w:t>
            </w:r>
          </w:p>
        </w:tc>
      </w:tr>
      <w:tr>
        <w:trPr>
          <w:trHeight w:val="27"/>
        </w:trPr>
        <w:tc>
          <w:tcPr>
            <w:tcW w:w="9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3"/>
        </w:trPr>
        <w:tc>
          <w:tcPr>
            <w:tcW w:w="9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lease payments</w:t>
            </w:r>
          </w:p>
        </w:tc>
        <w:tc>
          <w:tcPr>
            <w:tcW w:w="26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41,350</w:t>
            </w:r>
          </w:p>
        </w:tc>
      </w:tr>
      <w:tr>
        <w:trPr>
          <w:trHeight w:val="237"/>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Less: Imputed interest</w:t>
            </w:r>
          </w:p>
        </w:tc>
        <w:tc>
          <w:tcPr>
            <w:tcW w:w="26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(5,540)</w:t>
            </w:r>
          </w:p>
        </w:tc>
      </w:tr>
      <w:tr>
        <w:trPr>
          <w:trHeight w:val="27"/>
        </w:trPr>
        <w:tc>
          <w:tcPr>
            <w:tcW w:w="9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35,810</w:t>
            </w:r>
          </w:p>
        </w:tc>
      </w:tr>
      <w:tr>
        <w:trPr>
          <w:trHeight w:val="20"/>
        </w:trPr>
        <w:tc>
          <w:tcPr>
            <w:tcW w:w="9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340" w:hanging="332"/>
        <w:spacing w:after="0" w:line="273" w:lineRule="auto"/>
        <w:tabs>
          <w:tab w:leader="none" w:pos="340" w:val="left"/>
        </w:tabs>
        <w:numPr>
          <w:ilvl w:val="0"/>
          <w:numId w:val="3"/>
        </w:numPr>
        <w:rPr>
          <w:rFonts w:ascii="Arial" w:cs="Arial" w:eastAsia="Arial" w:hAnsi="Arial"/>
          <w:sz w:val="9"/>
          <w:szCs w:val="9"/>
          <w:color w:val="auto"/>
        </w:rPr>
      </w:pPr>
      <w:r>
        <w:rPr>
          <w:rFonts w:ascii="Arial" w:cs="Arial" w:eastAsia="Arial" w:hAnsi="Arial"/>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weighted-average remaining lease term of the Company's operating leases as of June 30, 2020 is approximately 6.6 years. The weighted-average discount rate as of June 30, 2020 is approximately 4.7%.</w:t>
      </w:r>
    </w:p>
    <w:p>
      <w:pPr>
        <w:spacing w:after="0" w:line="2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Cash paid for amounts included in the measurement of operating lease liabilities was approximately $3.0 million and $3.2 million during the six months ended June 30, 2020 and 2019, respectively, and is included in cash flows provided by operating activities in the consolidated statement of cash flows.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Right-of-use assets obtained in exchange for lease liabilities were approximately $10.2 million, primarily due to the acquisitions of RSA and Rapak, and $0.9 million during the six months ended June 30, 2020 and 2019,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long-term liabilities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7"/>
                <w:szCs w:val="17"/>
                <w:color w:val="auto"/>
              </w:rPr>
            </w:pPr>
          </w:p>
        </w:tc>
        <w:tc>
          <w:tcPr>
            <w:tcW w:w="1360" w:type="dxa"/>
            <w:vAlign w:val="bottom"/>
          </w:tcPr>
          <w:p>
            <w:pPr>
              <w:jc w:val="right"/>
              <w:ind w:right="254"/>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53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534"/>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asbestos-related liabilities</w:t>
            </w:r>
          </w:p>
        </w:tc>
        <w:tc>
          <w:tcPr>
            <w:tcW w:w="4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30,110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34,610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long-term liabilities</w:t>
            </w:r>
          </w:p>
        </w:tc>
        <w:tc>
          <w:tcPr>
            <w:tcW w:w="4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57,910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40,810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jc w:val="right"/>
              <w:ind w:right="2170"/>
              <w:spacing w:after="0"/>
              <w:rPr>
                <w:sz w:val="20"/>
                <w:szCs w:val="20"/>
                <w:color w:val="auto"/>
              </w:rPr>
            </w:pPr>
            <w:r>
              <w:rPr>
                <w:rFonts w:ascii="Arial" w:cs="Arial" w:eastAsia="Arial" w:hAnsi="Arial"/>
                <w:sz w:val="18"/>
                <w:szCs w:val="18"/>
                <w:color w:val="auto"/>
              </w:rPr>
              <w:t>17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1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2020, the Company was a party to 352 pending cases involving an aggregate of 4,732 claims primarily alleging personal injury from exposure to asbestos containing materials formerly used in gaskets (both encapsulated and otherwise) manufactured or distributed by Lamons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Average</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Claims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Claims</w:t>
            </w:r>
          </w:p>
        </w:tc>
        <w:tc>
          <w:tcPr>
            <w:tcW w:w="1220" w:type="dxa"/>
            <w:vAlign w:val="bottom"/>
            <w:gridSpan w:val="2"/>
          </w:tcPr>
          <w:p>
            <w:pPr>
              <w:ind w:left="320"/>
              <w:spacing w:after="0"/>
              <w:rPr>
                <w:sz w:val="20"/>
                <w:szCs w:val="20"/>
                <w:color w:val="auto"/>
              </w:rPr>
            </w:pPr>
            <w:r>
              <w:rPr>
                <w:rFonts w:ascii="Arial" w:cs="Arial" w:eastAsia="Arial" w:hAnsi="Arial"/>
                <w:sz w:val="16"/>
                <w:szCs w:val="16"/>
                <w:b w:val="1"/>
                <w:bCs w:val="1"/>
                <w:color w:val="auto"/>
              </w:rPr>
              <w:t>Claims</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5"/>
              </w:rPr>
              <w:t>Claims</w:t>
            </w:r>
          </w:p>
        </w:tc>
        <w:tc>
          <w:tcPr>
            <w:tcW w:w="2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settlement</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pending at</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Claims filed</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dismissed</w:t>
            </w: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settled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pending at</w:t>
            </w:r>
          </w:p>
        </w:tc>
        <w:tc>
          <w:tcPr>
            <w:tcW w:w="2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amount per</w:t>
            </w:r>
          </w:p>
        </w:tc>
        <w:tc>
          <w:tcPr>
            <w:tcW w:w="140" w:type="dxa"/>
            <w:vAlign w:val="bottom"/>
          </w:tcPr>
          <w:p>
            <w:pPr>
              <w:spacing w:after="0"/>
              <w:rPr>
                <w:sz w:val="17"/>
                <w:szCs w:val="17"/>
                <w:color w:val="auto"/>
              </w:rPr>
            </w:pPr>
          </w:p>
        </w:tc>
        <w:tc>
          <w:tcPr>
            <w:tcW w:w="1080" w:type="dxa"/>
            <w:vAlign w:val="bottom"/>
          </w:tcPr>
          <w:p>
            <w:pPr>
              <w:jc w:val="center"/>
              <w:ind w:right="55"/>
              <w:spacing w:after="0"/>
              <w:rPr>
                <w:sz w:val="20"/>
                <w:szCs w:val="20"/>
                <w:color w:val="auto"/>
              </w:rPr>
            </w:pPr>
            <w:r>
              <w:rPr>
                <w:rFonts w:ascii="Arial" w:cs="Arial" w:eastAsia="Arial" w:hAnsi="Arial"/>
                <w:sz w:val="16"/>
                <w:szCs w:val="16"/>
                <w:b w:val="1"/>
                <w:bCs w:val="1"/>
                <w:color w:val="auto"/>
                <w:w w:val="87"/>
              </w:rPr>
              <w:t>Total defense</w:t>
            </w:r>
          </w:p>
        </w:tc>
      </w:tr>
      <w:tr>
        <w:trPr>
          <w:trHeight w:val="203"/>
        </w:trPr>
        <w:tc>
          <w:tcPr>
            <w:tcW w:w="228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beginning of</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during</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during</w:t>
            </w:r>
          </w:p>
        </w:tc>
        <w:tc>
          <w:tcPr>
            <w:tcW w:w="1220" w:type="dxa"/>
            <w:vAlign w:val="bottom"/>
            <w:gridSpan w:val="2"/>
          </w:tcPr>
          <w:p>
            <w:pPr>
              <w:ind w:left="320"/>
              <w:spacing w:after="0"/>
              <w:rPr>
                <w:sz w:val="20"/>
                <w:szCs w:val="20"/>
                <w:color w:val="auto"/>
              </w:rPr>
            </w:pPr>
            <w:r>
              <w:rPr>
                <w:rFonts w:ascii="Arial" w:cs="Arial" w:eastAsia="Arial" w:hAnsi="Arial"/>
                <w:sz w:val="16"/>
                <w:szCs w:val="16"/>
                <w:b w:val="1"/>
                <w:bCs w:val="1"/>
                <w:color w:val="auto"/>
              </w:rPr>
              <w:t>during</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7"/>
              </w:rPr>
              <w:t>end of</w:t>
            </w:r>
          </w:p>
        </w:tc>
        <w:tc>
          <w:tcPr>
            <w:tcW w:w="2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claim during</w:t>
            </w:r>
          </w:p>
        </w:tc>
        <w:tc>
          <w:tcPr>
            <w:tcW w:w="140" w:type="dxa"/>
            <w:vAlign w:val="bottom"/>
          </w:tcPr>
          <w:p>
            <w:pPr>
              <w:spacing w:after="0"/>
              <w:rPr>
                <w:sz w:val="17"/>
                <w:szCs w:val="17"/>
                <w:color w:val="auto"/>
              </w:rPr>
            </w:pPr>
          </w:p>
        </w:tc>
        <w:tc>
          <w:tcPr>
            <w:tcW w:w="1080" w:type="dxa"/>
            <w:vAlign w:val="bottom"/>
          </w:tcPr>
          <w:p>
            <w:pPr>
              <w:jc w:val="center"/>
              <w:ind w:right="75"/>
              <w:spacing w:after="0"/>
              <w:rPr>
                <w:sz w:val="20"/>
                <w:szCs w:val="20"/>
                <w:color w:val="auto"/>
              </w:rPr>
            </w:pPr>
            <w:r>
              <w:rPr>
                <w:rFonts w:ascii="Arial" w:cs="Arial" w:eastAsia="Arial" w:hAnsi="Arial"/>
                <w:sz w:val="16"/>
                <w:szCs w:val="16"/>
                <w:b w:val="1"/>
                <w:bCs w:val="1"/>
                <w:color w:val="auto"/>
                <w:w w:val="87"/>
              </w:rPr>
              <w:t>costs during</w:t>
            </w:r>
          </w:p>
        </w:tc>
      </w:tr>
      <w:tr>
        <w:trPr>
          <w:trHeight w:val="210"/>
        </w:trPr>
        <w:tc>
          <w:tcPr>
            <w:tcW w:w="228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period</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period</w:t>
            </w: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period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3"/>
              </w:rPr>
              <w:t>period</w:t>
            </w:r>
          </w:p>
        </w:tc>
        <w:tc>
          <w:tcPr>
            <w:tcW w:w="2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period</w:t>
            </w:r>
          </w:p>
        </w:tc>
        <w:tc>
          <w:tcPr>
            <w:tcW w:w="140" w:type="dxa"/>
            <w:vAlign w:val="bottom"/>
          </w:tcPr>
          <w:p>
            <w:pPr>
              <w:spacing w:after="0"/>
              <w:rPr>
                <w:sz w:val="18"/>
                <w:szCs w:val="18"/>
                <w:color w:val="auto"/>
              </w:rPr>
            </w:pPr>
          </w:p>
        </w:tc>
        <w:tc>
          <w:tcPr>
            <w:tcW w:w="1080" w:type="dxa"/>
            <w:vAlign w:val="bottom"/>
          </w:tcPr>
          <w:p>
            <w:pPr>
              <w:ind w:left="240"/>
              <w:spacing w:after="0"/>
              <w:rPr>
                <w:sz w:val="20"/>
                <w:szCs w:val="20"/>
                <w:color w:val="auto"/>
              </w:rPr>
            </w:pPr>
            <w:r>
              <w:rPr>
                <w:rFonts w:ascii="Arial" w:cs="Arial" w:eastAsia="Arial" w:hAnsi="Arial"/>
                <w:sz w:val="16"/>
                <w:szCs w:val="16"/>
                <w:b w:val="1"/>
                <w:bCs w:val="1"/>
                <w:color w:val="auto"/>
              </w:rPr>
              <w:t>period</w:t>
            </w:r>
          </w:p>
        </w:tc>
      </w:tr>
      <w:tr>
        <w:trPr>
          <w:trHeight w:val="33"/>
        </w:trPr>
        <w:tc>
          <w:tcPr>
            <w:tcW w:w="22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2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Six Months Ended June 30,</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7"/>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4,759</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4,732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54,375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9"/>
              </w:rPr>
              <w:t>1,090,000</w:t>
            </w:r>
          </w:p>
        </w:tc>
      </w:tr>
      <w:tr>
        <w:trPr>
          <w:trHeight w:val="229"/>
        </w:trPr>
        <w:tc>
          <w:tcPr>
            <w:tcW w:w="2280" w:type="dxa"/>
            <w:vAlign w:val="bottom"/>
          </w:tcPr>
          <w:p>
            <w:pPr>
              <w:ind w:left="40"/>
              <w:spacing w:after="0"/>
              <w:rPr>
                <w:sz w:val="20"/>
                <w:szCs w:val="20"/>
                <w:color w:val="auto"/>
              </w:rPr>
            </w:pPr>
            <w:r>
              <w:rPr>
                <w:rFonts w:ascii="Arial" w:cs="Arial" w:eastAsia="Arial" w:hAnsi="Arial"/>
                <w:sz w:val="18"/>
                <w:szCs w:val="18"/>
                <w:color w:val="auto"/>
              </w:rPr>
              <w:t>Fiscal Year Ended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280" w:type="dxa"/>
            <w:vAlign w:val="bottom"/>
          </w:tcPr>
          <w:p>
            <w:pPr>
              <w:ind w:left="40"/>
              <w:spacing w:after="0"/>
              <w:rPr>
                <w:sz w:val="20"/>
                <w:szCs w:val="20"/>
                <w:color w:val="auto"/>
              </w:rPr>
            </w:pPr>
            <w:r>
              <w:rPr>
                <w:rFonts w:ascii="Arial" w:cs="Arial" w:eastAsia="Arial" w:hAnsi="Arial"/>
                <w:sz w:val="18"/>
                <w:szCs w:val="18"/>
                <w:color w:val="auto"/>
              </w:rPr>
              <w:t>December 31, 2019</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4,820</w:t>
            </w:r>
          </w:p>
        </w:tc>
        <w:tc>
          <w:tcPr>
            <w:tcW w:w="12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4,759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16,616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260"/>
              <w:spacing w:after="0"/>
              <w:rPr>
                <w:sz w:val="20"/>
                <w:szCs w:val="20"/>
                <w:color w:val="auto"/>
              </w:rPr>
            </w:pPr>
            <w:r>
              <w:rPr>
                <w:rFonts w:ascii="Arial" w:cs="Arial" w:eastAsia="Arial" w:hAnsi="Arial"/>
                <w:sz w:val="18"/>
                <w:szCs w:val="18"/>
                <w:color w:val="auto"/>
                <w:w w:val="99"/>
              </w:rPr>
              <w:t>2,250,000</w:t>
            </w:r>
          </w:p>
        </w:tc>
      </w:tr>
    </w:tbl>
    <w:p>
      <w:pPr>
        <w:spacing w:after="0" w:line="200" w:lineRule="exact"/>
        <w:rPr>
          <w:sz w:val="20"/>
          <w:szCs w:val="20"/>
          <w:color w:val="auto"/>
        </w:rPr>
      </w:pPr>
    </w:p>
    <w:p>
      <w:pPr>
        <w:spacing w:after="0" w:line="2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4,732 claims pending at June 30, 2020, 55 set forth specific amounts of damages (other than those stating the statutory minimum or maximum). At June 30, 2020, of the 55 claims that set forth specific amounts, there were no claims seeking specific amounts for punitive damages. Below is a breakdown of the compensatory damages sought for those claims seeking specific amounts: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Compensatory</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980" w:type="dxa"/>
            <w:vAlign w:val="bottom"/>
            <w:vMerge w:val="restart"/>
          </w:tcPr>
          <w:p>
            <w:pPr>
              <w:ind w:left="40"/>
              <w:spacing w:after="0"/>
              <w:rPr>
                <w:sz w:val="20"/>
                <w:szCs w:val="20"/>
                <w:color w:val="auto"/>
              </w:rPr>
            </w:pPr>
            <w:r>
              <w:rPr>
                <w:rFonts w:ascii="Arial" w:cs="Arial" w:eastAsia="Arial" w:hAnsi="Arial"/>
                <w:sz w:val="18"/>
                <w:szCs w:val="18"/>
                <w:color w:val="auto"/>
              </w:rPr>
              <w:t>Range of damages sought (dollars in millions)</w:t>
            </w:r>
          </w:p>
        </w:tc>
        <w:tc>
          <w:tcPr>
            <w:tcW w:w="14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$0.0 to $0.6</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$0.6 to $5.0</w:t>
            </w:r>
          </w:p>
        </w:tc>
        <w:tc>
          <w:tcPr>
            <w:tcW w:w="1340" w:type="dxa"/>
            <w:vAlign w:val="bottom"/>
          </w:tcPr>
          <w:p>
            <w:pPr>
              <w:jc w:val="right"/>
              <w:ind w:right="395"/>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claims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69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Relatively few claims have reached the discovery stage and even fewer claims have gone past the discovery stage. Total settlement costs (exclusive of defense costs) for all such cases, some of which were filed over 25 years ago, have been approximately $9.8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has been significant volatility in the historical number of claim filings and costs to defend, with previous claim counts and spend levels much higher than current levels. Management believes this volatility was associated more with tort reform, plaintiff practices and state-specific legal dockets than the Company’s underlying asbestos-related exposures. In the past 3 years, however, the number of new claim filings, and costs to defend, have become much more consistent, ranging between 143 to 173 new claims per year and total defense costs ranging between $2.2 million and $2.3 million.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higher degree of consistency in census data and spend levels, as well as lower claim activity levels and an evolving defense strategy, has allowed the Company to more effectively and efficiently manage claims, making process or local counsel arrangement improvements where possible. Given the consistency of activity over a multi-year period, the Company believed a trend may have formed where it could be possible to reasonably estimate its future cash exposure for all asbestos-related activity with an adequate level of precision. As such, the Company commissioned an actuary to help evaluate the nature and predictability of its asbestos-related costs, and provide an actuarial range of estimates of future exposures. Based upon its review of the actuarial study, which was completed in June 2020 using data as of December 31, 2019 and which projected spend levels through a terminal year of 2064, the Company affirmed its belief that it now has the ability to reasonably estimate its future asbestos-related exposures for pending as well as unknown future claims.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June 30, 2020, the Company elected to change its method of accounting for asbestos-related defense costs from accruing for probable and reasonably estimable defense costs associated with known claims expected to settle to accrue for all future defense costs for both known and unknown claims, which the Company now believes are reasonably estimable. The Company believes this change is preferable, as asbestos-related defense costs represent expenditures related to legacy activities that do not contribute to current or future revenue generating activities, and recording an estimate of the full liability for asbestos-related costs, where estimable with reasonable precision, provides a more complete assessment of the liability associated with resolving asbestos-related claims.</w:t>
      </w:r>
    </w:p>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accounting change has been reflected as a change in accounting estimate effected by a change in accounting principle. In the three months ended June 30, 2020, the Company recorded a non-cash, pre-tax charge for asbestos-related costs of approximately $23.4 million, which is included in selling, general and administrative expenses in the accompanying consolidated statement of operations.</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change in accounting estimate, the Company’s liability for asbestos-related claims will be based on a study from the Company’s third-party actuary, the Company's review of the study, as well as the Company’s own review of asbestos claims and claim resolution activity. The study from the Company’s actuary, based on data as of December 31, 2019, provided for a range of possible future liability from $31.5 million to $43.3 million. The Company does not believe any amount within the range of potential outcomes represents a better estimate than another given the many factors and assumptions inherent in the projections. Therefore, the Company has recorded the liability at the low-end of the range. As of June 30, 2020, the Company’s total asbestos-related liability is $30.3 million, and is included in accrued liabilities and other long-term liabilities, respectively, in the accompanying consolidated balance sheet.</w:t>
      </w:r>
    </w:p>
    <w:p>
      <w:pPr>
        <w:spacing w:after="0" w:line="2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The Company will continue to be solely responsible for defense costs and indemnity payments prior to the commencement of coverage under this agreement, the duration of which would be subject to the scope of damage awards and settlements paid. Based upon the Company’s review of the actuarial study, the Company does not believe it is probable that it will reach the threshold of qualified future settlements required to commence excess carrier insurance coverage under the coverage-in-place agreement.</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Company recorded a significant non-cash charge in the three months ended June 30, 2020 in connection with its change in accounting policy, 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or cash flows.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TriMas reports its operations in three reportable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a standardized set of processes to manage and drive results and strategy across its multi-industry businesses.</w:t>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Within each of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Packaging – </w:t>
      </w:r>
      <w:r>
        <w:rPr>
          <w:rFonts w:ascii="Arial" w:cs="Arial" w:eastAsia="Arial" w:hAnsi="Arial"/>
          <w:sz w:val="18"/>
          <w:szCs w:val="18"/>
          <w:color w:val="auto"/>
        </w:rPr>
        <w:t>The Packaging segment, which consists primarily of the Rieke</w:t>
      </w:r>
      <w:r>
        <w:rPr>
          <w:rFonts w:ascii="Arial" w:cs="Arial" w:eastAsia="Arial" w:hAnsi="Arial"/>
          <w:sz w:val="25"/>
          <w:szCs w:val="25"/>
          <w:color w:val="auto"/>
          <w:vertAlign w:val="superscript"/>
        </w:rPr>
        <w:t>®</w:t>
      </w:r>
      <w:r>
        <w:rPr>
          <w:rFonts w:ascii="Arial" w:cs="Arial" w:eastAsia="Arial" w:hAnsi="Arial"/>
          <w:sz w:val="18"/>
          <w:szCs w:val="18"/>
          <w:color w:val="auto"/>
        </w:rPr>
        <w:t>, Taplast, Stolz and Rapak® brands, develops and manufactures a broad array</w:t>
      </w:r>
      <w:r>
        <w:rPr>
          <w:rFonts w:ascii="Arial" w:cs="Arial" w:eastAsia="Arial" w:hAnsi="Arial"/>
          <w:sz w:val="18"/>
          <w:szCs w:val="18"/>
          <w:b w:val="1"/>
          <w:bCs w:val="1"/>
          <w:color w:val="auto"/>
        </w:rPr>
        <w:t xml:space="preserve"> </w:t>
      </w:r>
      <w:r>
        <w:rPr>
          <w:rFonts w:ascii="Arial" w:cs="Arial" w:eastAsia="Arial" w:hAnsi="Arial"/>
          <w:sz w:val="18"/>
          <w:szCs w:val="18"/>
          <w:color w:val="auto"/>
        </w:rPr>
        <w:t>of dispensing products (such as foaming pumps, lotion and hand soap pumps, sanitizer pumps, beverage dispensers, perfume sprayers, nasal sprayers and trigger sprayers), polymeric and steel caps and closures (such as food lids, flip-top closures, child resistance caps, drum and pail closures and flexible spouts), polymeric jar products, and fully integrated dispensers for fill-ready bag-in-box applications, all for a variety of consumer products submarkets including, but not limited to, beauty and personal care, home care, food and beverage, and pharmaceutical and nutraceutical, as well as the industrial market.</w:t>
      </w:r>
    </w:p>
    <w:p>
      <w:pPr>
        <w:spacing w:after="0" w:line="255" w:lineRule="exact"/>
        <w:rPr>
          <w:sz w:val="20"/>
          <w:szCs w:val="20"/>
          <w:color w:val="auto"/>
        </w:rPr>
      </w:pPr>
    </w:p>
    <w:p>
      <w:pPr>
        <w:jc w:val="both"/>
        <w:spacing w:after="0" w:line="213" w:lineRule="auto"/>
        <w:rPr>
          <w:sz w:val="20"/>
          <w:szCs w:val="20"/>
          <w:color w:val="auto"/>
        </w:rPr>
      </w:pPr>
      <w:r>
        <w:rPr>
          <w:rFonts w:ascii="Arial" w:cs="Arial" w:eastAsia="Arial" w:hAnsi="Arial"/>
          <w:sz w:val="17"/>
          <w:szCs w:val="17"/>
          <w:b w:val="1"/>
          <w:bCs w:val="1"/>
          <w:color w:val="auto"/>
        </w:rPr>
        <w:t xml:space="preserve">Aerospace – </w:t>
      </w:r>
      <w:r>
        <w:rPr>
          <w:rFonts w:ascii="Arial" w:cs="Arial" w:eastAsia="Arial" w:hAnsi="Arial"/>
          <w:sz w:val="17"/>
          <w:szCs w:val="17"/>
          <w:color w:val="auto"/>
        </w:rPr>
        <w:t>The Aerospace segment, which includes the Monogram Aerospace Fasteners</w:t>
      </w:r>
      <w:r>
        <w:rPr>
          <w:rFonts w:ascii="Arial" w:cs="Arial" w:eastAsia="Arial" w:hAnsi="Arial"/>
          <w:sz w:val="24"/>
          <w:szCs w:val="24"/>
          <w:color w:val="auto"/>
          <w:vertAlign w:val="superscript"/>
        </w:rPr>
        <w:t>™</w:t>
      </w:r>
      <w:r>
        <w:rPr>
          <w:rFonts w:ascii="Arial" w:cs="Arial" w:eastAsia="Arial" w:hAnsi="Arial"/>
          <w:sz w:val="17"/>
          <w:szCs w:val="17"/>
          <w:color w:val="auto"/>
        </w:rPr>
        <w:t>, Allfast Fastening Systems</w:t>
      </w:r>
      <w:r>
        <w:rPr>
          <w:rFonts w:ascii="Arial" w:cs="Arial" w:eastAsia="Arial" w:hAnsi="Arial"/>
          <w:sz w:val="24"/>
          <w:szCs w:val="24"/>
          <w:color w:val="auto"/>
          <w:vertAlign w:val="superscript"/>
        </w:rPr>
        <w:t>®</w:t>
      </w:r>
      <w:r>
        <w:rPr>
          <w:rFonts w:ascii="Arial" w:cs="Arial" w:eastAsia="Arial" w:hAnsi="Arial"/>
          <w:sz w:val="17"/>
          <w:szCs w:val="17"/>
          <w:color w:val="auto"/>
        </w:rPr>
        <w:t>, Mac Fasteners</w:t>
      </w:r>
      <w:r>
        <w:rPr>
          <w:rFonts w:ascii="Arial" w:cs="Arial" w:eastAsia="Arial" w:hAnsi="Arial"/>
          <w:sz w:val="24"/>
          <w:szCs w:val="24"/>
          <w:color w:val="auto"/>
          <w:vertAlign w:val="superscript"/>
        </w:rPr>
        <w:t>™</w:t>
      </w:r>
      <w:r>
        <w:rPr>
          <w:rFonts w:ascii="Arial" w:cs="Arial" w:eastAsia="Arial" w:hAnsi="Arial"/>
          <w:sz w:val="17"/>
          <w:szCs w:val="17"/>
          <w:color w:val="auto"/>
        </w:rPr>
        <w:t>, RSA</w:t>
      </w:r>
      <w:r>
        <w:rPr>
          <w:rFonts w:ascii="Arial" w:cs="Arial" w:eastAsia="Arial" w:hAnsi="Arial"/>
          <w:sz w:val="17"/>
          <w:szCs w:val="17"/>
          <w:b w:val="1"/>
          <w:bCs w:val="1"/>
          <w:color w:val="auto"/>
        </w:rPr>
        <w:t xml:space="preserve"> </w:t>
      </w:r>
      <w:r>
        <w:rPr>
          <w:rFonts w:ascii="Arial" w:cs="Arial" w:eastAsia="Arial" w:hAnsi="Arial"/>
          <w:sz w:val="17"/>
          <w:szCs w:val="17"/>
          <w:color w:val="auto"/>
        </w:rPr>
        <w:t>Engineered Products and Martinic Engineering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brands, develops, qualifies and manufactures highly-engineered, precision fasteners, tubular products and assemblies for fluid conveyance, and machined products and assemblies to serve the aerospace and defense market.</w:t>
      </w:r>
    </w:p>
    <w:p>
      <w:pPr>
        <w:spacing w:after="0" w:line="255" w:lineRule="exact"/>
        <w:rPr>
          <w:sz w:val="20"/>
          <w:szCs w:val="20"/>
          <w:color w:val="auto"/>
        </w:rPr>
      </w:pPr>
    </w:p>
    <w:p>
      <w:pPr>
        <w:jc w:val="both"/>
        <w:ind w:right="20"/>
        <w:spacing w:after="0" w:line="229" w:lineRule="auto"/>
        <w:rPr>
          <w:sz w:val="20"/>
          <w:szCs w:val="20"/>
          <w:color w:val="auto"/>
        </w:rPr>
      </w:pPr>
      <w:r>
        <w:rPr>
          <w:rFonts w:ascii="Arial" w:cs="Arial" w:eastAsia="Arial" w:hAnsi="Arial"/>
          <w:sz w:val="17"/>
          <w:szCs w:val="17"/>
          <w:b w:val="1"/>
          <w:bCs w:val="1"/>
          <w:color w:val="auto"/>
        </w:rPr>
        <w:t xml:space="preserve">Specialty Products – </w:t>
      </w:r>
      <w:r>
        <w:rPr>
          <w:rFonts w:ascii="Arial" w:cs="Arial" w:eastAsia="Arial" w:hAnsi="Arial"/>
          <w:sz w:val="17"/>
          <w:szCs w:val="17"/>
          <w:color w:val="auto"/>
        </w:rPr>
        <w:t>The Specialty Products segment, which includes the Norris Cylinder</w:t>
      </w:r>
      <w:r>
        <w:rPr>
          <w:rFonts w:ascii="Arial" w:cs="Arial" w:eastAsia="Arial" w:hAnsi="Arial"/>
          <w:sz w:val="24"/>
          <w:szCs w:val="24"/>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Arrow</w:t>
      </w:r>
      <w:r>
        <w:rPr>
          <w:rFonts w:ascii="Arial" w:cs="Arial" w:eastAsia="Arial" w:hAnsi="Arial"/>
          <w:sz w:val="24"/>
          <w:szCs w:val="24"/>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Engine brands, designs, manufactures and</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distributes highly-engineered steel cylinders, wellhead engines and compression systems for use within industrial markets.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Segment activity is as follows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7"/>
                <w:szCs w:val="17"/>
                <w:color w:val="auto"/>
              </w:rPr>
            </w:pPr>
          </w:p>
        </w:tc>
        <w:tc>
          <w:tcPr>
            <w:tcW w:w="2680" w:type="dxa"/>
            <w:vAlign w:val="bottom"/>
            <w:gridSpan w:val="4"/>
          </w:tcPr>
          <w:p>
            <w:pPr>
              <w:jc w:val="right"/>
              <w:ind w:right="79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Packaging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128,830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103,990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228,880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192,830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91,530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95,090</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28,110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37,330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61,930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76,280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199,550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190,830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382,340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364,200</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40,280</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Aerospace</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13,460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(32,040)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(16,990)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27,060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46,860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Equity Awards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grant any stock option awards during the six months ended June 30, 2020. Information related to stock options at June 30, 2020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Average Remaining</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580" w:type="dxa"/>
            <w:vAlign w:val="bottom"/>
            <w:gridSpan w:val="2"/>
          </w:tcPr>
          <w:p>
            <w:pPr>
              <w:jc w:val="right"/>
              <w:ind w:right="35"/>
              <w:spacing w:after="0"/>
              <w:rPr>
                <w:sz w:val="20"/>
                <w:szCs w:val="20"/>
                <w:color w:val="auto"/>
              </w:rPr>
            </w:pPr>
            <w:r>
              <w:rPr>
                <w:rFonts w:ascii="Arial" w:cs="Arial" w:eastAsia="Arial" w:hAnsi="Arial"/>
                <w:sz w:val="16"/>
                <w:szCs w:val="16"/>
                <w:b w:val="1"/>
                <w:bCs w:val="1"/>
                <w:color w:val="auto"/>
                <w:w w:val="98"/>
              </w:rPr>
              <w:t>Aggregate Intrinsic</w:t>
            </w:r>
          </w:p>
        </w:tc>
      </w:tr>
      <w:tr>
        <w:trPr>
          <w:trHeight w:val="210"/>
        </w:trPr>
        <w:tc>
          <w:tcPr>
            <w:tcW w:w="46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Stock Options</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Option Price</w:t>
            </w: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360" w:type="dxa"/>
            <w:vAlign w:val="bottom"/>
          </w:tcPr>
          <w:p>
            <w:pPr>
              <w:spacing w:after="0"/>
              <w:rPr>
                <w:sz w:val="18"/>
                <w:szCs w:val="18"/>
                <w:color w:val="auto"/>
              </w:rPr>
            </w:pPr>
          </w:p>
        </w:tc>
        <w:tc>
          <w:tcPr>
            <w:tcW w:w="1220" w:type="dxa"/>
            <w:vAlign w:val="bottom"/>
          </w:tcPr>
          <w:p>
            <w:pPr>
              <w:jc w:val="right"/>
              <w:ind w:right="515"/>
              <w:spacing w:after="0"/>
              <w:rPr>
                <w:sz w:val="20"/>
                <w:szCs w:val="20"/>
                <w:color w:val="auto"/>
              </w:rPr>
            </w:pPr>
            <w:r>
              <w:rPr>
                <w:rFonts w:ascii="Arial" w:cs="Arial" w:eastAsia="Arial" w:hAnsi="Arial"/>
                <w:sz w:val="16"/>
                <w:szCs w:val="16"/>
                <w:b w:val="1"/>
                <w:bCs w:val="1"/>
                <w:color w:val="auto"/>
              </w:rPr>
              <w:t>Value</w:t>
            </w:r>
          </w:p>
        </w:tc>
      </w:tr>
      <w:tr>
        <w:trPr>
          <w:trHeight w:val="33"/>
        </w:trPr>
        <w:tc>
          <w:tcPr>
            <w:tcW w:w="46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2020</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Outstanding at June 30, 2020</w:t>
            </w:r>
          </w:p>
        </w:tc>
        <w:tc>
          <w:tcPr>
            <w:tcW w:w="1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912,000</w:t>
            </w:r>
          </w:p>
        </w:tc>
      </w:tr>
      <w:tr>
        <w:trPr>
          <w:trHeight w:val="20"/>
        </w:trPr>
        <w:tc>
          <w:tcPr>
            <w:tcW w:w="46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2020, 150,000 stock options outstanding were exercisable under the Company's long-term equity incentive plans. As of June 30, 2020, there was no unrecognized compensation cost related to stock options remaining.</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recognized no stock-based compensation expense related to stock options during the three and six months ended June 30, 2020 and approximately $0.1 million of stock-based compensation expense during the three and six months ended June 30, 2019. The stock-based compensation expense is included in selling, general and administrative expenses in the accompanying consolidated statement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awarded the following restricted stock units ("RSUs") during the six months ended June 30, 2020:</w:t>
      </w:r>
    </w:p>
    <w:p>
      <w:pPr>
        <w:spacing w:after="0" w:line="279"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granted 178,666 RSUs to certain employees, which are subject only to a service condition and vest ratably over three years so long as the employee remains with the Company;</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granted 31,816 RSUs to certain employees, which are subject only to a service condition and fully vest at the end of three years so long as the employee remains with the Company;</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granted 2,558 RSUs to certain employees, which are subject only to a service condition and vest one year from the date of grant so long as the employee remains with the Company;</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granted 30,590 RSUs to its non-employee independent directors, which vest one year from date of grant so long as the director and/or Company does not terminate the director's service prior to the vesting date; and</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issued 2,394 RSUs related to director fee deferrals during the six months ended June 30, 2020 as certain of the Company's directors elected to defer all or a portion of their directors fees and to receive the amount in Company common stock at a future date.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2020, the Company awarded 113,146 performance-based RSUs to certain Company key employees which vest three years from the grant date as long as the employee remains with the Company. These awards are earned 50% based upon the Company's achievement of an earnings per share compound annual growth rate ("EPS CAGR") metric over a period beginning January 1, 2020 and ending December 31, 2022. The remaining 50% of the awards are earned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0.56% and annualized volatility of 26.2%. Depending on the performance achieved for these two metrics, the amount of shares earned, if any, can vary for each metric from 0% of the target award to a maximum of 200% of the target award.</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the Company awarded 87,034 performance-based RSUs to certain Company key divisional employees which vest three years from the grant date as long as the employee remains with the Company. These awards are earned based upon the Company's stock price performance over the period from January 1, 2020 and ending December 31, 2022. The stock price achievement is calculated based on the Company's average closing stock price for each quarter end for the 20 trading days up to and including March 31, June 30, September 30, and December 31, 2022, respectively. The Company estimates the grant-date fair value subject to a market condition using a Monte Carlo simulation model, using the following weighted average assumptions: risk-free rate of 0.85% and annualized volatility of 25.2%. Depending on the performance achieved for this metric, the amount of shares earned if any, can vary from 0% of the target award to a maximum of 160% of the target award, although it automatically is earned at the target award level if the Company's stock price is equal to or greater than a specified stock price for either five consecutive trading days or 20 total trading days during the performance period.</w:t>
      </w: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2017, the Company awarded performance-based RSUs to certain Company key employees which were earned based upon the Company's TSR relative to the TSR of the common stock of a pre-defined industry peer-group and measured over a period beginning January 1, 2017 and ending on December 31, 2019. Depending on the performance achieved, the amount of shares earned could vary from 0% of the target award to a maximum of 200% of the target award. The Company attained 127.4% of the target, resulting in an increase of 27,567 shares during the six months ended 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RSUs at June 30, 2020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Average Remaining</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Number of Unvested</w:t>
            </w:r>
          </w:p>
        </w:tc>
        <w:tc>
          <w:tcPr>
            <w:tcW w:w="1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Grant Date Fair</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580" w:type="dxa"/>
            <w:vAlign w:val="bottom"/>
            <w:gridSpan w:val="2"/>
          </w:tcPr>
          <w:p>
            <w:pPr>
              <w:jc w:val="right"/>
              <w:ind w:right="35"/>
              <w:spacing w:after="0"/>
              <w:rPr>
                <w:sz w:val="20"/>
                <w:szCs w:val="20"/>
                <w:color w:val="auto"/>
              </w:rPr>
            </w:pPr>
            <w:r>
              <w:rPr>
                <w:rFonts w:ascii="Arial" w:cs="Arial" w:eastAsia="Arial" w:hAnsi="Arial"/>
                <w:sz w:val="16"/>
                <w:szCs w:val="16"/>
                <w:b w:val="1"/>
                <w:bCs w:val="1"/>
                <w:color w:val="auto"/>
                <w:w w:val="98"/>
              </w:rPr>
              <w:t>Aggregate Intrinsic</w:t>
            </w:r>
          </w:p>
        </w:tc>
      </w:tr>
      <w:tr>
        <w:trPr>
          <w:trHeight w:val="210"/>
        </w:trPr>
        <w:tc>
          <w:tcPr>
            <w:tcW w:w="46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RSUs</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360" w:type="dxa"/>
            <w:vAlign w:val="bottom"/>
          </w:tcPr>
          <w:p>
            <w:pPr>
              <w:spacing w:after="0"/>
              <w:rPr>
                <w:sz w:val="18"/>
                <w:szCs w:val="18"/>
                <w:color w:val="auto"/>
              </w:rPr>
            </w:pPr>
          </w:p>
        </w:tc>
        <w:tc>
          <w:tcPr>
            <w:tcW w:w="1220" w:type="dxa"/>
            <w:vAlign w:val="bottom"/>
          </w:tcPr>
          <w:p>
            <w:pPr>
              <w:jc w:val="right"/>
              <w:ind w:right="515"/>
              <w:spacing w:after="0"/>
              <w:rPr>
                <w:sz w:val="20"/>
                <w:szCs w:val="20"/>
                <w:color w:val="auto"/>
              </w:rPr>
            </w:pPr>
            <w:r>
              <w:rPr>
                <w:rFonts w:ascii="Arial" w:cs="Arial" w:eastAsia="Arial" w:hAnsi="Arial"/>
                <w:sz w:val="16"/>
                <w:szCs w:val="16"/>
                <w:b w:val="1"/>
                <w:bCs w:val="1"/>
                <w:color w:val="auto"/>
              </w:rPr>
              <w:t>Value</w:t>
            </w:r>
          </w:p>
        </w:tc>
      </w:tr>
      <w:tr>
        <w:trPr>
          <w:trHeight w:val="33"/>
        </w:trPr>
        <w:tc>
          <w:tcPr>
            <w:tcW w:w="46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2020</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622,528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473,771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580" w:type="dxa"/>
            <w:vAlign w:val="bottom"/>
          </w:tcPr>
          <w:p>
            <w:pPr>
              <w:jc w:val="right"/>
              <w:spacing w:after="0"/>
              <w:rPr>
                <w:sz w:val="20"/>
                <w:szCs w:val="20"/>
                <w:color w:val="auto"/>
              </w:rPr>
            </w:pPr>
            <w:r>
              <w:rPr>
                <w:rFonts w:ascii="Arial" w:cs="Arial" w:eastAsia="Arial" w:hAnsi="Arial"/>
                <w:sz w:val="18"/>
                <w:szCs w:val="18"/>
                <w:color w:val="auto"/>
              </w:rPr>
              <w:t>(9,583)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29.59</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2020</w:t>
            </w: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789,513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26.51</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18,908,836</w:t>
            </w:r>
          </w:p>
        </w:tc>
      </w:tr>
      <w:tr>
        <w:trPr>
          <w:trHeight w:val="20"/>
        </w:trPr>
        <w:tc>
          <w:tcPr>
            <w:tcW w:w="46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there was approximately $12.2 million of unrecognized compensation cost related to unvested RSUs that is expected to be recorded over a weighted average period of 2.3 years.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stock-based compensation expense related to RSUs of approximately $2.7 million and $1.6 million during the three months ended June 30, 2020 and 2019, respectively and approximately $4.7 million and $2.9 million during the six months ended June 30, 2020 and 2019, respectively. The stock-based compensation expense is included in selling, general and administrative expenses in the accompanying consolidated statement of operations.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2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income is divided by the weighted average number of common shares outstanding during the period to calculate basic earnings per share. Diluted earnings per share is calculated to give effect to stock options and RSUs. For the three and six months ended June 30, 2020, no restricted shares or options to purchase shares were included in the computation of net income (loss) per share because to do so would be anti-dilutive. The following table summarizes the dilutive effect of RSUs and options to purchase common stock for the three and six months ended June 30, 2020 and 2019:</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9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0"/>
              </w:rPr>
              <w:t>Three months ended</w:t>
            </w:r>
          </w:p>
        </w:tc>
        <w:tc>
          <w:tcPr>
            <w:tcW w:w="27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Six months ended</w:t>
            </w:r>
          </w:p>
        </w:tc>
      </w:tr>
      <w:tr>
        <w:trPr>
          <w:trHeight w:val="210"/>
        </w:trPr>
        <w:tc>
          <w:tcPr>
            <w:tcW w:w="5520" w:type="dxa"/>
            <w:vAlign w:val="bottom"/>
          </w:tcPr>
          <w:p>
            <w:pPr>
              <w:spacing w:after="0"/>
              <w:rPr>
                <w:sz w:val="18"/>
                <w:szCs w:val="18"/>
                <w:color w:val="auto"/>
              </w:rPr>
            </w:pPr>
          </w:p>
        </w:tc>
        <w:tc>
          <w:tcPr>
            <w:tcW w:w="1820" w:type="dxa"/>
            <w:vAlign w:val="bottom"/>
            <w:gridSpan w:val="3"/>
          </w:tcPr>
          <w:p>
            <w:pPr>
              <w:jc w:val="center"/>
              <w:ind w:left="954"/>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center"/>
              <w:ind w:left="954"/>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5520" w:type="dxa"/>
            <w:vAlign w:val="bottom"/>
          </w:tcPr>
          <w:p>
            <w:pPr>
              <w:spacing w:after="0"/>
              <w:rPr>
                <w:sz w:val="20"/>
                <w:szCs w:val="20"/>
                <w:color w:val="auto"/>
              </w:rPr>
            </w:pPr>
          </w:p>
        </w:tc>
        <w:tc>
          <w:tcPr>
            <w:tcW w:w="1380" w:type="dxa"/>
            <w:vAlign w:val="bottom"/>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340" w:type="dxa"/>
            <w:vAlign w:val="bottom"/>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33"/>
        </w:trPr>
        <w:tc>
          <w:tcPr>
            <w:tcW w:w="55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shares—basic</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43,463,235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45,592,075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43,832,144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45,585,445</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w:t>
            </w:r>
          </w:p>
        </w:tc>
        <w:tc>
          <w:tcPr>
            <w:tcW w:w="18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174,571</w:t>
            </w:r>
          </w:p>
        </w:tc>
        <w:tc>
          <w:tcPr>
            <w:tcW w:w="100" w:type="dxa"/>
            <w:vAlign w:val="bottom"/>
          </w:tcPr>
          <w:p>
            <w:pPr>
              <w:spacing w:after="0"/>
              <w:rPr>
                <w:sz w:val="21"/>
                <w:szCs w:val="21"/>
                <w:color w:val="auto"/>
              </w:rPr>
            </w:pPr>
          </w:p>
        </w:tc>
        <w:tc>
          <w:tcPr>
            <w:tcW w:w="17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253,796</w:t>
            </w:r>
          </w:p>
        </w:tc>
      </w:tr>
      <w:tr>
        <w:trPr>
          <w:trHeight w:val="27"/>
        </w:trPr>
        <w:tc>
          <w:tcPr>
            <w:tcW w:w="5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w:t>
            </w:r>
          </w:p>
        </w:tc>
        <w:tc>
          <w:tcPr>
            <w:tcW w:w="182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61,669</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71,008</w:t>
            </w: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Weighted average common shares—diluted</w:t>
            </w:r>
          </w:p>
        </w:tc>
        <w:tc>
          <w:tcPr>
            <w:tcW w:w="13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43,463,235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7"/>
              </w:rPr>
              <w:t>45,828,315</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43,832,144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45,910,249</w:t>
            </w:r>
          </w:p>
        </w:tc>
      </w:tr>
      <w:tr>
        <w:trPr>
          <w:trHeight w:val="20"/>
        </w:trPr>
        <w:tc>
          <w:tcPr>
            <w:tcW w:w="55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the Company announced its Board of Directors had authorized the Company to increase the purchase of its common stock up to $250 million in the aggregate. The initial authorization, approved in November 2015, authorized up to $50 million in the aggregate of its common stock. The Company purchased no shares during the three months ended June 30, 2020 and 1,253,650 shares of its outstanding common stock for approximately $31.6 million during the six months ended June 30, 2020. During the three and six months ended June 30, 2019, the Company purchased 502,500 and 527,400 shares of its outstanding common stock for approximately $14.7 million and $15.4 million,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Defined Benefit Plans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periodic pension benefit costs for the Company's defined benefit pension plans cover certain foreign employees, union hourly employees and salaried employees. The components of net periodic pension cost are as follows (dollars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Pension Plans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r>
      <w:tr>
        <w:trPr>
          <w:trHeight w:val="209"/>
        </w:trPr>
        <w:tc>
          <w:tcPr>
            <w:tcW w:w="5520" w:type="dxa"/>
            <w:vAlign w:val="bottom"/>
          </w:tcPr>
          <w:p>
            <w:pPr>
              <w:spacing w:after="0"/>
              <w:rPr>
                <w:sz w:val="18"/>
                <w:szCs w:val="18"/>
                <w:color w:val="auto"/>
              </w:rPr>
            </w:pPr>
          </w:p>
        </w:tc>
        <w:tc>
          <w:tcPr>
            <w:tcW w:w="2320" w:type="dxa"/>
            <w:vAlign w:val="bottom"/>
            <w:gridSpan w:val="4"/>
          </w:tcPr>
          <w:p>
            <w:pPr>
              <w:jc w:val="right"/>
              <w:ind w:right="113"/>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4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40" w:type="dxa"/>
            <w:vAlign w:val="bottom"/>
            <w:gridSpan w:val="3"/>
          </w:tcPr>
          <w:p>
            <w:pPr>
              <w:jc w:val="right"/>
              <w:ind w:right="533"/>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433"/>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33"/>
        </w:trPr>
        <w:tc>
          <w:tcPr>
            <w:tcW w:w="55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costs</w:t>
            </w:r>
          </w:p>
        </w:tc>
        <w:tc>
          <w:tcPr>
            <w:tcW w:w="880" w:type="dxa"/>
            <w:vAlign w:val="bottom"/>
            <w:tcBorders>
              <w:bottom w:val="single" w:sz="8" w:color="CCEEFF"/>
            </w:tcBorders>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Interest costs</w:t>
            </w:r>
          </w:p>
        </w:tc>
        <w:tc>
          <w:tcPr>
            <w:tcW w:w="880" w:type="dxa"/>
            <w:vAlign w:val="bottom"/>
          </w:tcPr>
          <w:p>
            <w:pPr>
              <w:spacing w:after="0"/>
              <w:rPr>
                <w:sz w:val="21"/>
                <w:szCs w:val="21"/>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540</w:t>
            </w:r>
          </w:p>
        </w:tc>
      </w:tr>
      <w:tr>
        <w:trPr>
          <w:trHeight w:val="27"/>
        </w:trPr>
        <w:tc>
          <w:tcPr>
            <w:tcW w:w="5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880" w:type="dxa"/>
            <w:vAlign w:val="bottom"/>
          </w:tcPr>
          <w:p>
            <w:pPr>
              <w:spacing w:after="0"/>
              <w:rPr>
                <w:sz w:val="21"/>
                <w:szCs w:val="21"/>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290</w:t>
            </w:r>
          </w:p>
        </w:tc>
      </w:tr>
      <w:tr>
        <w:trPr>
          <w:trHeight w:val="27"/>
        </w:trPr>
        <w:tc>
          <w:tcPr>
            <w:tcW w:w="55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88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650</w:t>
            </w:r>
          </w:p>
        </w:tc>
      </w:tr>
      <w:tr>
        <w:trPr>
          <w:trHeight w:val="20"/>
        </w:trPr>
        <w:tc>
          <w:tcPr>
            <w:tcW w:w="5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operations.</w:t>
      </w:r>
    </w:p>
    <w:p>
      <w:pPr>
        <w:spacing w:after="0" w:line="2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contributed approximately $0.3 million and $0.7 million to its defined benefit pension plans during the three and six months ended June 30, 2020. The Company expects to contribute approximately $1.1 million to its defined benefit pension plans for the full year 2020.</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Other Comprehensive Income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six months ended June 30, 2020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Defined Benefit</w:t>
            </w:r>
          </w:p>
        </w:tc>
        <w:tc>
          <w:tcPr>
            <w:tcW w:w="14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w:t>
            </w:r>
          </w:p>
        </w:tc>
        <w:tc>
          <w:tcPr>
            <w:tcW w:w="18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5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60" w:type="dxa"/>
            <w:vAlign w:val="bottom"/>
          </w:tcPr>
          <w:p>
            <w:pPr>
              <w:jc w:val="right"/>
              <w:ind w:right="352"/>
              <w:spacing w:after="0"/>
              <w:rPr>
                <w:sz w:val="20"/>
                <w:szCs w:val="20"/>
                <w:color w:val="auto"/>
              </w:rPr>
            </w:pPr>
            <w:r>
              <w:rPr>
                <w:rFonts w:ascii="Arial" w:cs="Arial" w:eastAsia="Arial" w:hAnsi="Arial"/>
                <w:sz w:val="16"/>
                <w:szCs w:val="16"/>
                <w:b w:val="1"/>
                <w:bCs w:val="1"/>
                <w:color w:val="auto"/>
              </w:rPr>
              <w:t>Total</w:t>
            </w:r>
          </w:p>
        </w:tc>
      </w:tr>
      <w:tr>
        <w:trPr>
          <w:trHeight w:val="33"/>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2019</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70"/>
        </w:trPr>
        <w:tc>
          <w:tcPr>
            <w:tcW w:w="59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(4,650)</w:t>
            </w:r>
          </w:p>
        </w:tc>
      </w:tr>
      <w:tr>
        <w:trPr>
          <w:trHeight w:val="270"/>
        </w:trPr>
        <w:tc>
          <w:tcPr>
            <w:tcW w:w="59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37"/>
        </w:trPr>
        <w:tc>
          <w:tcPr>
            <w:tcW w:w="596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(4,340)</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2020</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(10,340)</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$0.8 million. See Note 11,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340" w:hanging="332"/>
        <w:spacing w:after="0"/>
        <w:tabs>
          <w:tab w:leader="none" w:pos="340" w:val="left"/>
        </w:tabs>
        <w:numPr>
          <w:ilvl w:val="0"/>
          <w:numId w:val="5"/>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$0.1 million. See Note 18,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six months ended June 30, 2019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86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Defined Benefit</w:t>
            </w:r>
          </w:p>
        </w:tc>
        <w:tc>
          <w:tcPr>
            <w:tcW w:w="16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Derivative</w:t>
            </w: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5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8"/>
                <w:szCs w:val="18"/>
                <w:color w:val="auto"/>
              </w:rPr>
            </w:pPr>
          </w:p>
        </w:tc>
        <w:tc>
          <w:tcPr>
            <w:tcW w:w="940" w:type="dxa"/>
            <w:vAlign w:val="bottom"/>
          </w:tcPr>
          <w:p>
            <w:pPr>
              <w:jc w:val="right"/>
              <w:ind w:right="331"/>
              <w:spacing w:after="0"/>
              <w:rPr>
                <w:sz w:val="20"/>
                <w:szCs w:val="20"/>
                <w:color w:val="auto"/>
              </w:rPr>
            </w:pPr>
            <w:r>
              <w:rPr>
                <w:rFonts w:ascii="Arial" w:cs="Arial" w:eastAsia="Arial" w:hAnsi="Arial"/>
                <w:sz w:val="16"/>
                <w:szCs w:val="16"/>
                <w:b w:val="1"/>
                <w:bCs w:val="1"/>
                <w:color w:val="auto"/>
              </w:rPr>
              <w:t>Total</w:t>
            </w:r>
          </w:p>
        </w:tc>
      </w:tr>
      <w:tr>
        <w:trPr>
          <w:trHeight w:val="33"/>
        </w:trPr>
        <w:tc>
          <w:tcPr>
            <w:tcW w:w="5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r>
      <w:tr>
        <w:trPr>
          <w:trHeight w:val="270"/>
        </w:trPr>
        <w:tc>
          <w:tcPr>
            <w:tcW w:w="586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unrealized gains arising during the period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1,290</w:t>
            </w:r>
          </w:p>
        </w:tc>
      </w:tr>
      <w:tr>
        <w:trPr>
          <w:trHeight w:val="270"/>
        </w:trPr>
        <w:tc>
          <w:tcPr>
            <w:tcW w:w="586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7"/>
        </w:trPr>
        <w:tc>
          <w:tcPr>
            <w:tcW w:w="5860" w:type="dxa"/>
            <w:vAlign w:val="bottom"/>
          </w:tcPr>
          <w:p>
            <w:pPr>
              <w:ind w:left="160"/>
              <w:spacing w:after="0"/>
              <w:rPr>
                <w:sz w:val="20"/>
                <w:szCs w:val="20"/>
                <w:color w:val="auto"/>
              </w:rPr>
            </w:pPr>
            <w:r>
              <w:rPr>
                <w:rFonts w:ascii="Arial" w:cs="Arial" w:eastAsia="Arial" w:hAnsi="Arial"/>
                <w:sz w:val="18"/>
                <w:szCs w:val="18"/>
                <w:color w:val="auto"/>
              </w:rPr>
              <w:t>Net current-period other comprehensive income (loss)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1,490</w:t>
            </w:r>
          </w:p>
        </w:tc>
      </w:tr>
      <w:tr>
        <w:trPr>
          <w:trHeight w:val="27"/>
        </w:trPr>
        <w:tc>
          <w:tcPr>
            <w:tcW w:w="5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stranded tax effects</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Balance, June 30, 2019</w:t>
            </w: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(16,630)</w:t>
            </w:r>
          </w:p>
        </w:tc>
      </w:tr>
      <w:tr>
        <w:trPr>
          <w:trHeight w:val="20"/>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$0.5 million. See Note 11,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340" w:hanging="332"/>
        <w:spacing w:after="0"/>
        <w:tabs>
          <w:tab w:leader="none" w:pos="340" w:val="left"/>
        </w:tabs>
        <w:numPr>
          <w:ilvl w:val="0"/>
          <w:numId w:val="6"/>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$0.1 million. See Note 18,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diversified global manufacturer and provider of products for customers primarily in the consumer products, aerospace &amp; defense and industrial markets. Our wide range of innovative product solutions are engineered and designed to solve application-specific challenges that our customers face. We believe our businesses share important and distinguishing characteristics, including: well-recognized and leading brand names in the focused markets we serve; innovative product technologies and features; customer approved processes and qualified products; established distribution networks; relatively low ongoing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w:t>
      </w:r>
    </w:p>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2019, we completed the sale of our Lamons division ("Lamons"), a manufacturer and distributor of industrial sealing, fastening and specialty products primarily used in the petrochemical and petroleum-refining industries, to two wholly-owned subsidiaries of an investment fund sponsored by First Reserve. The sale of Lamons was an important strategic step for TriMas, in streamlining our portfolio of businesses, as it significantly reduced our exposure to the oil and gas market from over 20% of net sales in 2019 to less than 3% in second quarter 2020, and allowed us to further invest in our Packaging and Aerospace segments. We received net after-tax proceeds from the sale of approximately $110.9 million in 2019, subject to certain adjustments as set forth in the Purchase Agreement which were finalized in the first quarter of 2020, resulting in a $1.8 million payment to us. The financial results of Lamons were previously reported within our Specialty Products segment. The financial position, results of operations and cash flows of Lamons are reported as discontinued operations for all periods presented through the date of disposition.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Factors Affecting Our Reported Results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businesses and results of operations depend upon general economic conditions. We serve customers in industries that are highly competitive, cyclical and that may be significantly impacted by changes in economic or geopolitical conditions.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President of the United States declared the coronavirus ("COVID-19") outbreak a national emergency, as the World Health Organization determined it was a pandemic. In response to the COVID-19 pandemic, federal, provincial, state, county and local governments and public health organizations or authorities around the world have implemented a variety of measures intended to control the spread of the virus, including quarantines, "shelter-in-place" or "stay-at-home" and similar orders, travel restrictions, business curtailments and closures, social distancing, personal hygiene requirements, and other measures.</w:t>
      </w:r>
    </w:p>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been and continue to be focused on making sure the working environments for our employees are safe so our operations have the ability to deliver the products needed to support the COVID-19 pandemic. Nearly all of our manufacturing sites have been deemed essential operations and remained open through the past four months at varying levels of capacity and efficiency, experiencing only temporary shutdowns due to country-specific government mandates or for thorough cleaning as a result of suspected COVID-19 cases. The health of our employees, and the ability of our facilities to remain operational in the current regulated environment, will be critical to our future results of operations.</w:t>
      </w:r>
    </w:p>
    <w:p>
      <w:pPr>
        <w:spacing w:after="0" w:line="2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divisions were impacted in first quarter 2020 at differing levels and times, beginning with our Asian facilities and strategic supply network, both primarily in China, in late January, followed by our European (primarily Italy) and North American facilities in February and March. We implemented new work rules and processes, which promote social distancing and increased hygiene to ensure the safety of our employees, particularly at our production facilities. These measures, while not easily quantifiable, have increased the level of production inefficiencies related to absenteeism, the resulting inefficient manufacturing scheduling and short-term idling of production. We continue to operate with these protocols in place, which have impacted our second quarter results.</w:t>
      </w:r>
    </w:p>
    <w:p>
      <w:pPr>
        <w:spacing w:after="0" w:line="2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Overall, our second quarter 2020 net sales increased compared to second quarter 2019, primarily as a result of robust organic sales growth in our Packaging segment, particularly for dispensing and closure products we supply that are used to fight the spread of germs, and as a result of acquisitions. These increases more than offset declines in sales in our Aerospace and Specialty Products segments, primarily related to the effects of the COVID-19 pandemic.</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most significant drivers of change in results of operations in second quarter 2020 compared with second quarter 2019 were a change in accounting policy for asbestos-related defense costs, realignment expenses we incurred in response to decreased customer demand following the COVID-19 outbreak, and the impact of our recent acquisitions.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second quarter 2020, we elected to change our accounting policy for asbestos-related defense costs from accruing for probable and reasonably estimable defense costs associated with known claims expected to settle to accruing for all future defense costs for both known and unknown claims, which we now believe can be reasonably estimated. This accounting change has been reflected as a change in accounting estimate effected by a change in accounting principle. We recorded a non-cash, pre-tax charge for asbestos-related costs of approximately $23.4 million, which is included in selling, general and administrative expenses.</w:t>
      </w:r>
    </w:p>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undertook certain realignment actions, primarily in our Aerospace and Specialty Products segments, during second quarter 2020 in response to reduced end market demand following the outbreak of COVID-19. We recorded non-cash charges of approximately $13.2 million related to inventory reductions, primarily as a result of a strategic decision in our Arrow Engine division to streamline its product line offering. We also recorded charges of approximately $2.2 million related to certain production equipment removed from service given reduced demand levels. In addition, we reduced our employment levels given lower customer demand, incurring approximately $3.1 million in severance charges.</w:t>
      </w: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2020, we acquired the Rapak brand, including certain bag-in-box product lines and assets ("Rapak") for an aggregate amount of approximately $11.4 million. Rapak, which is reported in our Packaging segment, has three manufacturing locations in the United States. Rapak contributed approximately $4.5 million of net sales during the second quarter within our Packaging segment, although it is performing near break-even operating profit as demand for its products, particularly those used in quick service restaurant applications, has significantly declined from pre-acquisition levels in 2019 due to the impact of COVID-19.</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February 2020, we completed the acquisition of RSA Engineered Products ("RSA"), a provider of highly-engineered and proprietary components for air management systems used in critical flight applications, for an aggregate amount of approximately $83.7 million, net of cash acquired. RSA is located in Simi Valley, California and designs, engineers and manufactures highly-engineered components, including air ducting products, connectors and flexible joints, predominantly used in aerospace and defense engine bleed air, anti-icing and environmental control system applications. RSA contributed approximately $5.9 million of net sales during the second quarter within our Aerospace segment.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Key Risks that May Affect Our Reported Results</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COVID-19 pandemic impacted our second quarter results, and we expect it will continue to impact us in the future at varying degrees. We expect the second quarter robust customer demand we experienced for our Packaging segment's dispensers and closures used in personal care and home care (such as cleaning and laundry applications) to continue. We are actively collaborating with our customers and strategic supply partners to manage production capacity and supply chain availability as efficiently as possible. We believe industrial demand in North America will continue to be lower than in 2019, and we are uncertain how demand will be impacted as many of the shelter-in-place orders are adjusted or lifted, particularly in North America, where orders for our industrial cylinders, for example, are heavily influenced by spring and summer levels of construction and HVAC activity, which has yet to commence in a meaningful way. We expect the aerospace market to experience the most severe dislocation going forward. With the current travel restrictions and significant drop in passenger miles, aircraft manufacturers have begun to slow or halt production, and we experienced a significant drop in aerospace-related sales in late second quarter, and expect demand for our products tied to commercial aircraft build rates to decline significantly compared with first half 2020 as well as 2019 levels for the remainder of the year.</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executed realignment actions in the second quarter of 2020, primarily in our Aerospace and Specialty Products segments, to protect against the uncertain end market demand. We will continue to assess further actions if required. However, as a result of the pandemic's impact on global economic activity, and the continued potential impact to our future results of operations, as well as to TriMas' market capitalization, we may record additional cash and non-cash charges related to incremental realignment actions, as well as for uncollectible customer account balances, excess inventory and idle production equipment. Further, we may be required to conduct an evaluation of triggering events as to whether there is a reduction in the fair value of our goodwill and intangible assets, particularly in our Aerospace divisions, if the sales decline that occurred in June 2020 continues, which could result in an impairment charge.</w:t>
      </w:r>
    </w:p>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Despite the potential decline in future demand levels and results of operations as a result of the COVID-19 pandemic, at present, we believe our capital structure is in a solid position, and we have ample cash and available liquidity under our revolving credit facility sufficient to meet our debt service obligations, capital expenditure requirements and other short-term and long-term obligations for the foreseeable future.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extent of the COVID-19 pandemic's effect on our operational and financial performance will depend in large part on future developments, which cannot be predicted with confidence at this time. Future developments include the duration, scope and severity of the pandemic, the actions taken to contain or mitigate its impact, and the resumption of widespread economic activity. Due to the inherent uncertainty of the unprecedented and rapidly evolving situation, we are unable to predict with any confidence the likely impact of the COVID-19 pandemic on our future operations.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Beyond the unique risks presented by the COVID-19 pandemic, other critical factors affecting our ability to succeed include: our ability to create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sensitive to price movements in our raw materials supply base. Our largest raw material purchases are for resins (such as polypropylene and polyethylene), steel, aluminum and other oil and metal-based purchased components. While material cost changes did not have a significant impact in the first half of 2020 compared with first half 2019, there has been some volatility over the past two years as a direct and indirect result of foreign trade policy, where tariffs on certain of our commodity-based products sourced from Asia have been instituted, and certain North American suppliers have opportunistically increased their prices. As needed, we have taken actions, and will continue to take actions, to mitigate such increases, including implementing commercial pricing adjustments, resourcing to alternate suppliers and insourcing of previously sourced products to better leverage our global manufacturing footprint. Although we believe we are generally able to mitigate the impact of higher commodity costs, we may experience additional material costs and disruptions in supply in the future and may not be able to pass along higher costs to our customers in the form of price increases or otherwise mitigate the impacts to our operating results.</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have escalator/de-escalator clauses in commercial contracts with certain of our customers, or can modify prices based on market conditions to recover higher costs, we cannot be assured of full cost recovery in the open market.</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Arrow Engine business in our Specialty Products segment is sensitive to the demand for natural gas and crude oil in North America. For example, demand for engine, pump jack and compressor products are impacted by active oil and gas rig counts and wellhead investment activities. Separately, oil-based commodity costs are a significant driver of raw materials and purchased components used within our Packaging segment.</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Each year, as a core tenet of the TBM, our businesses target cost savings from Kaizen and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continue to evaluate alternatives to redeploy the cash generated by our businesses, one of which includes returning capital to our shareholders. In November 2015, our Board of Directors authorized up to $50 million in share repurchases. During 2019, our Board of Directors increased the authorization to $75 million in February, and later to $150 million in November. In first quarter 2020, our Board of Directors further increased the authorization to $250 million. In the six months ended June 30, 2020, we purchased 1,253,650 shares of our outstanding common stock for approximately $31.6 million. During the three and six months ended June 30, 2019, we purchased 527,400 shares of our outstanding common stock for approximately $15.4 million.</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increase in share repurchase authorization includes the value of shares already purchased under the previous authorization. We will continue to evaluate opportunities to return capital to shareholders through the purchase of our common stock, depending on market conditions and other factors. In March 2020, given the uncertainty surrounding the COVID-19 pandemic, we temporarily suspended our share repurchase program in order to conserve available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financial information for our reportable segments for the three months ended June 30, 2020 and 2019 (dollars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 June 30,</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As a Percentage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71"/>
              <w:spacing w:after="0"/>
              <w:rPr>
                <w:sz w:val="20"/>
                <w:szCs w:val="20"/>
                <w:color w:val="auto"/>
              </w:rPr>
            </w:pPr>
            <w:r>
              <w:rPr>
                <w:rFonts w:ascii="Arial" w:cs="Arial" w:eastAsia="Arial" w:hAnsi="Arial"/>
                <w:sz w:val="16"/>
                <w:szCs w:val="16"/>
                <w:b w:val="1"/>
                <w:bCs w:val="1"/>
                <w:color w:val="auto"/>
                <w:w w:val="99"/>
              </w:rPr>
              <w:t>As a Percentage</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3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680" w:type="dxa"/>
            <w:vAlign w:val="bottom"/>
            <w:gridSpan w:val="2"/>
          </w:tcPr>
          <w:p>
            <w:pPr>
              <w:ind w:left="320"/>
              <w:spacing w:after="0"/>
              <w:rPr>
                <w:sz w:val="20"/>
                <w:szCs w:val="20"/>
                <w:color w:val="auto"/>
              </w:rPr>
            </w:pPr>
            <w:r>
              <w:rPr>
                <w:rFonts w:ascii="Arial" w:cs="Arial" w:eastAsia="Arial" w:hAnsi="Arial"/>
                <w:sz w:val="16"/>
                <w:szCs w:val="16"/>
                <w:b w:val="1"/>
                <w:bCs w:val="1"/>
                <w:color w:val="auto"/>
              </w:rPr>
              <w:t>of Net Sales</w:t>
            </w:r>
          </w:p>
        </w:tc>
        <w:tc>
          <w:tcPr>
            <w:tcW w:w="360" w:type="dxa"/>
            <w:vAlign w:val="bottom"/>
          </w:tcPr>
          <w:p>
            <w:pPr>
              <w:spacing w:after="0"/>
              <w:rPr>
                <w:sz w:val="18"/>
                <w:szCs w:val="18"/>
                <w:color w:val="auto"/>
              </w:rPr>
            </w:pPr>
          </w:p>
        </w:tc>
        <w:tc>
          <w:tcPr>
            <w:tcW w:w="1180" w:type="dxa"/>
            <w:vAlign w:val="bottom"/>
          </w:tcPr>
          <w:p>
            <w:pPr>
              <w:jc w:val="right"/>
              <w:ind w:right="510"/>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420" w:type="dxa"/>
            <w:vAlign w:val="bottom"/>
          </w:tcPr>
          <w:p>
            <w:pPr>
              <w:jc w:val="right"/>
              <w:ind w:right="21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128,830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64.6 %</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103,990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42,610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49,510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28,110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14.1 %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37,330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199,550</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190,830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Profit (Loss)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37,850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32,740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2,670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13,230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97"/>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37,230</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53,790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13,810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10.7 %</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10,100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2,650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2,410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32,040</w:t>
            </w:r>
          </w:p>
        </w:tc>
        <w:tc>
          <w:tcPr>
            <w:tcW w:w="2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55,380</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26,730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24,040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18.7 %</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22,640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(5,940)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5,410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(32,040)</w:t>
            </w:r>
          </w:p>
        </w:tc>
        <w:tc>
          <w:tcPr>
            <w:tcW w:w="2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(18,150)</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27,060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5,050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3.9 %</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3,800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960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8,110</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6,300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2,320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1.8 %</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2,480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4620" w:type="dxa"/>
            <w:vAlign w:val="bottom"/>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5,300</w:t>
            </w:r>
          </w:p>
        </w:tc>
        <w:tc>
          <w:tcPr>
            <w:tcW w:w="2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2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4,750</w:t>
            </w:r>
          </w:p>
        </w:tc>
        <w:tc>
          <w:tcPr>
            <w:tcW w:w="2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4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25" w:right="339" w:bottom="439"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financial information for our reportable segments for the six months ended June 30, 2020 and 2019 (dollars in thousands):</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40" w:type="dxa"/>
            <w:vAlign w:val="bottom"/>
            <w:gridSpan w:val="5"/>
          </w:tcPr>
          <w:p>
            <w:pPr>
              <w:ind w:left="680"/>
              <w:spacing w:after="0"/>
              <w:rPr>
                <w:sz w:val="20"/>
                <w:szCs w:val="20"/>
                <w:color w:val="auto"/>
              </w:rPr>
            </w:pPr>
            <w:r>
              <w:rPr>
                <w:rFonts w:ascii="Arial" w:cs="Arial" w:eastAsia="Arial" w:hAnsi="Arial"/>
                <w:sz w:val="16"/>
                <w:szCs w:val="16"/>
                <w:b w:val="1"/>
                <w:bCs w:val="1"/>
                <w:color w:val="auto"/>
              </w:rPr>
              <w:t>Six months ended June 30,</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As a Percentage</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71"/>
              <w:spacing w:after="0"/>
              <w:rPr>
                <w:sz w:val="20"/>
                <w:szCs w:val="20"/>
                <w:color w:val="auto"/>
              </w:rPr>
            </w:pPr>
            <w:r>
              <w:rPr>
                <w:rFonts w:ascii="Arial" w:cs="Arial" w:eastAsia="Arial" w:hAnsi="Arial"/>
                <w:sz w:val="16"/>
                <w:szCs w:val="16"/>
                <w:b w:val="1"/>
                <w:bCs w:val="1"/>
                <w:color w:val="auto"/>
                <w:w w:val="99"/>
              </w:rPr>
              <w:t>As a Percentage</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53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680" w:type="dxa"/>
            <w:vAlign w:val="bottom"/>
            <w:gridSpan w:val="2"/>
          </w:tcPr>
          <w:p>
            <w:pPr>
              <w:ind w:left="320"/>
              <w:spacing w:after="0"/>
              <w:rPr>
                <w:sz w:val="20"/>
                <w:szCs w:val="20"/>
                <w:color w:val="auto"/>
              </w:rPr>
            </w:pPr>
            <w:r>
              <w:rPr>
                <w:rFonts w:ascii="Arial" w:cs="Arial" w:eastAsia="Arial" w:hAnsi="Arial"/>
                <w:sz w:val="16"/>
                <w:szCs w:val="16"/>
                <w:b w:val="1"/>
                <w:bCs w:val="1"/>
                <w:color w:val="auto"/>
              </w:rPr>
              <w:t>of Net Sales</w:t>
            </w:r>
          </w:p>
        </w:tc>
        <w:tc>
          <w:tcPr>
            <w:tcW w:w="380" w:type="dxa"/>
            <w:vAlign w:val="bottom"/>
          </w:tcPr>
          <w:p>
            <w:pPr>
              <w:spacing w:after="0"/>
              <w:rPr>
                <w:sz w:val="18"/>
                <w:szCs w:val="18"/>
                <w:color w:val="auto"/>
              </w:rPr>
            </w:pPr>
          </w:p>
        </w:tc>
        <w:tc>
          <w:tcPr>
            <w:tcW w:w="1280" w:type="dxa"/>
            <w:vAlign w:val="bottom"/>
          </w:tcPr>
          <w:p>
            <w:pPr>
              <w:jc w:val="right"/>
              <w:ind w:right="590"/>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420" w:type="dxa"/>
            <w:vAlign w:val="bottom"/>
          </w:tcPr>
          <w:p>
            <w:pPr>
              <w:jc w:val="right"/>
              <w:ind w:right="21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228,880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59.9 %</w:t>
            </w:r>
          </w:p>
        </w:tc>
        <w:tc>
          <w:tcPr>
            <w:tcW w:w="2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192,830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91,530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23.9 %</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95,090</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61,930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16.2 %</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76,280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382,340</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364,200</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Gross Profit (Loss)</w:t>
            </w: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66,530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60,710</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14,580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15.9 %</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25,030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2,490</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14,840</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97"/>
        </w:trPr>
        <w:tc>
          <w:tcPr>
            <w:tcW w:w="44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83,600</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21.9 %</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100,580</w:t>
            </w:r>
          </w:p>
        </w:tc>
        <w:tc>
          <w:tcPr>
            <w:tcW w:w="20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Selling, General and Administrative Expenses</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24,210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10.6 %</w:t>
            </w:r>
          </w:p>
        </w:tc>
        <w:tc>
          <w:tcPr>
            <w:tcW w:w="2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20,430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11,570</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8.1 %</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4,730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39,000</w:t>
            </w:r>
          </w:p>
        </w:tc>
        <w:tc>
          <w:tcPr>
            <w:tcW w:w="2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16,990</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4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81,920</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21.4 %</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53,720</w:t>
            </w:r>
          </w:p>
        </w:tc>
        <w:tc>
          <w:tcPr>
            <w:tcW w:w="20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 (Loss)</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42,320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18.5 %</w:t>
            </w:r>
          </w:p>
        </w:tc>
        <w:tc>
          <w:tcPr>
            <w:tcW w:w="2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40,280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13,460</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10,110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2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(16,990)</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4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1,680</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0.4 %</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46,860</w:t>
            </w:r>
          </w:p>
        </w:tc>
        <w:tc>
          <w:tcPr>
            <w:tcW w:w="20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9,140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4.0 %</w:t>
            </w:r>
          </w:p>
        </w:tc>
        <w:tc>
          <w:tcPr>
            <w:tcW w:w="2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7,060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3,340</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2.9 %</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1,450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4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14,770</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11,990</w:t>
            </w:r>
          </w:p>
        </w:tc>
        <w:tc>
          <w:tcPr>
            <w:tcW w:w="20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4,650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2.0 %</w:t>
            </w:r>
          </w:p>
        </w:tc>
        <w:tc>
          <w:tcPr>
            <w:tcW w:w="2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4,850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4,270</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0.4 %</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4440" w:type="dxa"/>
            <w:vAlign w:val="bottom"/>
          </w:tcPr>
          <w:p>
            <w:pPr>
              <w:ind w:left="2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10,150</w:t>
            </w:r>
          </w:p>
        </w:tc>
        <w:tc>
          <w:tcPr>
            <w:tcW w:w="2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2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9,380</w:t>
            </w:r>
          </w:p>
        </w:tc>
        <w:tc>
          <w:tcPr>
            <w:tcW w:w="2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The principal factors impacting us during the three months ended June 30, 2020, compared with the three months ended June 30, 2019, were:</w:t>
      </w:r>
    </w:p>
    <w:p>
      <w:pPr>
        <w:spacing w:after="0" w:line="304" w:lineRule="exact"/>
        <w:rPr>
          <w:sz w:val="20"/>
          <w:szCs w:val="20"/>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change in our accounting policy for asbestos-related defense costs in second quarter 2020;</w:t>
      </w:r>
    </w:p>
    <w:p>
      <w:pPr>
        <w:spacing w:after="0" w:line="279"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realignment expenses, primarily in our Aerospace and Specialty Products segments, in response to reduced end market demand following the outbreak of COVID-19;</w:t>
      </w:r>
    </w:p>
    <w:p>
      <w:pPr>
        <w:spacing w:after="0" w:line="224"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our Packaging segment's organic sales and related operating profit as a result of significantly higher demand, primarily for products used to help fight the spread of germs;</w:t>
      </w:r>
    </w:p>
    <w:p>
      <w:pPr>
        <w:spacing w:after="0" w:line="224"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sales and related profit within our Specialty Products and Aerospace reportable segments, primarily as a result of the COVID-19 pandemic; and</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our recent acquisitions, primarily RSA in February 2020, and Rapak in April 2020.</w:t>
      </w:r>
    </w:p>
    <w:p>
      <w:pPr>
        <w:sectPr>
          <w:pgSz w:w="11900" w:h="16838" w:orient="portrait"/>
          <w:cols w:equalWidth="0" w:num="1">
            <w:col w:w="11240"/>
          </w:cols>
          <w:pgMar w:left="320" w:top="125" w:right="339" w:bottom="129"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25" w:right="339" w:bottom="129"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with Three Months Ended June 30, 2019</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Overall, net sales increased approximately $8.7 million, or 4.6%, to $199.6 million for the three months ended June 30, 2020, as compared with $190.8 million in the three months ended June 30, 2019, driven by our recent acquisitions, which contributed approximately $13.0 million of inorganic sales. Organic sales, excluding the impact of currency exchange, decreased approximately $1.9 million, as sales increases in our Packaging segment, primarily for dispenser products used in applications that help fight the spread of germs, were offset by lower sales in our Aerospace and Specialty Products segments. In addition, net sales were lower by approximately $2.4 million due to unfavorable currency exchange, as our reported results in U.S. dollars were negatively impacted as a result of the stronger U.S. dollar relative to foreign currencies.</w:t>
      </w: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Gross profit margin (gross profit as a percentage of sales) approximated 18.7% and 28.2% for the three months ended June 30, 2020 and 2019, respectively. Gross profit margin decreased, as the impact of higher sales levels was more than offset by the impact of approximately $16.0 million of realignment expenses, $14.3 million of which were non-cash and $1.7 million were cash expenses, primarily in our Aerospace and Specialty Products segments, of which where we executed actions to lower our cost structure in response to reduced end market demand following the outbreak of the COVID-19 pandemic. In addition, we recorded approximately $2.1 million greater non-cash purchase accounting charges in the three months ended June 30, 2020 than the three months ended June 30, 2019 for the step-up of inventory to fair value and subsequent amortization related to our acquisitions. Our second quarter 2020 gross profit margin was also impacted by a less favorable product sales mix, as well as lower fixed cost absorption and higher production inefficiencies, both due primarily to the COVID-19 pandemic.</w:t>
      </w:r>
    </w:p>
    <w:p>
      <w:pPr>
        <w:spacing w:after="0" w:line="23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Operating profit (loss) margin (operating profit as a percentage of sales) approximated 9.1% and 14.2% for the three months ended June 30, 2020 and 2019, respectively. Operating profit (loss) decreased approximately $45.2 million to an operating loss of approximately $18.2 million in the three months ended June 30, 2020, from an operating profit of approximately $27.1 million for the three months ended June 30, 2019. This decrease was primarily as a result of a non-cash, pre-tax charge for asbestos-related costs of approximately $23.4 million in second quarter 2020 due to a change in accounting policy, as well as due to approximately $18.5 million of realignment expenses recorded in second quarter 2020, of which $15.4 million were non-cash and $3.1 million were cash expenses, primarily in our Aerospace and Specialty Products segments, where we executed actions to lower our cost structure in response to reduced end market demand following the outbreak of COVID-19. While higher sales contributed additional operating profit, this increase was more than offset by increased purchase accounting expenses, a less favorable product sales mix, and lower fixed cost absorption and higher production inefficiencies, both due in large part to the COVID-19 pandemic.</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expense increased approximately $0.7 million to $4.2 million for the three months ended June 30, 2020, as compared to $3.5 million for the three months ended June 30, 2019, primarily as a result of increased weighted average borrowings from approximately $338.3 million during the three months ended June 30, 2019 to approximately $465.6 million during the three months ended June 30, 2020. We drew $150 million on our revolving credit facility in first quarter 2020 to ensure availability of cash on hand, but subsequently repaid this amount late in second quarter 2020.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decreased approximately $0.1 million, to $1.1 million for the three months ended June 30, 2020, as compared to $1.2 million for the three months ended June 30, 2019, primarily due to a decrease in foreign currency gains.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effective income tax rate for the three months ended June 30, 2020 and 2019 was 26.1% and 24.5%, respectively, as we recorded a tax benefit of approximately $5.6 million for the three months ended June 30, 2020 as compared to tax expense of approximately $6.1 million for the three months ended June 30, 2019. The effective tax rate for the quarter ended June 30, 2020 was impacted by a decrease in profitability resulting from various one-time charges, including a change in the Company’s accounting policy for asbestos-related defense costs. This change was treated as a discrete item in determining tax expense for the quarter.</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(loss) from continuing operations decreased approximately $34.4 million, to a net loss of $15.7 million for the three months ended June 30, 2020, as compared to net income of $18.7 million for the three months ended June 30, 2019. The decrease was the result of a decrease in operating profit (loss) of approximately $45.2 million, an increase in interest expense, a decrease in other income, net, partially offset by an increase in income tax benefit (expense) of approximately $11.6 million.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Packaging. </w:t>
      </w:r>
      <w:r>
        <w:rPr>
          <w:rFonts w:ascii="Arial" w:cs="Arial" w:eastAsia="Arial" w:hAnsi="Arial"/>
          <w:sz w:val="17"/>
          <w:szCs w:val="17"/>
          <w:color w:val="auto"/>
        </w:rPr>
        <w:t>Net sales increased approximately $24.8 million, or 23.9%, to $128.8 million in the three months ended June 30, 2020, as compared to $104.0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in the three months ended June 30, 2019. Acquisition-related growth was approximately $7.1 million, comprised of approximately $4.5 million of sales from our April 2020 acquisition of Rapak as well as $2.6 million of April 2020 sales for Taplast, which was acquired in late April 2019. Sales of dispensing products used in beauty and personal care and home care applications increased by approximately $8.6 million, primarily for personal hygiene applications, as demand rose, in part, due to the COVID-19 pandemic. Sales of products used in food and beverage markets increased by approximately $5.7 million, primarily due to higher sales of beverage dispensers, including pumps and related products, in North America. Sales of products used in industrial markets increased by approximately $3.0 million, primarily due to higher demand within North America, some of which we believe is attributable to higher sales of products used in the transportation of bulk sanitizer and industrial cleaning solutions. These increases were partially offset by approximately $2.4 million of unfavorable currency exchange, as our reported results in U.S. dollars were negatively impacted as a result of the stronger U.S. dollar relative to foreign currencies.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Gross profit increased approximately $5.1 million to $37.9 million, or 29.4% of sales, in the three months ended June 30, 2020, as compared to $32.7 million, or 31.5% of sales, in the three months ended June 30, 2019, primarily due to increased sales levels. These increases were partially offset by approximately $0.9 million in non-cash realignment costs during second quarter 2020 primarily related to the disposal of certain equipment removed from service and approximately $0.8 million for a purchase accounting non-cash charge related to the step-up of Rapak's inventory to fair value and subsequent amortization. Gross profit margin was lower than second quarter 2019 due to lower production efficiencies and a less favorable product sales mix, including the impact of Rapak generating low gross profit, excluding the inventory step-up amortization, at current demand levels. Gross profit and margin were also impacted by approximately $0.7 million of unfavorable currency exchange, as our reported results in U.S. dollars were negatively impacted as a result of the stronger U.S. dollar relative to foreign currencies.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increased approximately $3.7 million to $13.8 million, or 10.7% of sales, in the three months ended June 30, 2020, as compared to $10.1 million, or 9.7% of sales, in the three months ended June 30, 2019, as we incurred approximately $1.4 million in charges associated with second quarter 2020 realignment actions, primarily for severance. In addition, our acquisitions added approximately $0.9 million of higher ongoing selling, general and administrative costs. The remaining increase was primarily related to higher personnel-related expenses to support our sales growth initiatives.</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increased approximately $1.4 million to $24.0 million, or 18.7% of sales, in the three months ended June 30, 2020, as compared to $22.6 million, or 21.8% of sales, in the three months ended June 30, 2019, as the impact of increased sales was mostly offset by realignment charges taken during the quarter, purchase accounting adjustments, a less favorable product sales mix, production inefficiencies as a result of the COVID-19 pandemic and higher selling, general and administrative expenses.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for the three months ended June 30, 2020 decreased approximately $6.9 million, or 13.9%, to $42.6 million, as compared to $49.5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June 30, 2019. RSA, acquired in February 2020, contributed approximately $5.9 million of sales. Sales of our fastener and machined components products declined by approximately $8.7 million and $4.1 million, respectively, both due to lower demand resulting from reduced aircraft production following the onset of the COVID-19 pandemic, with fastener sales also lower than second quarter 2019, as expected, due to the 737 Max grounding.</w:t>
      </w:r>
    </w:p>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Gross profit decreased approximately $10.6 million to $2.7 million, or 6.3% of sales, in the three months ended June 30, 2020, from $13.2 million, or 26.7% of sales, in the three months ended June 30, 2019, due in part to the decrease in sales levels and related lower fixed cost absorption and production inefficiencies due to the impact of the COVID-19 pandemic. During the second quarter of 2020, we executed certain realignment actions to protect against uncertain end market demand and other adverse effects following the outbreak of the COVID-19 pandemic, resulting in charges of approximately $4.2 million related to inventory reductions, approximately $1.7 million related to severance as we reduced our manufacturing employment levels and approximately $0.3 million related to production equipment removed from service. In addition, we recorded an approximate $1.5 million purchase accounting non-cash charge related to the step-up of RSA's inventory to fair value and subsequent amortization.</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increased approximately $1.3 million to approximately $6.9 million, or 16.1% of sales, in the three months ended June 30, 2020, as compared to $5.6 million, or 11.3% of sales, in the three months ended June 30, 2019, primarily due to ongoing costs of RSA as well as approximately $0.4 million of realignment expenses.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profit (loss) decreased approximately $11.9 million to an operating loss of $4.2 million, or 9.9% of sales, in the three months ended June 30, 2020, as compared to an operating profit of $7.7 million, or 15.5% of sales in the three months ended June 30, 2019, primarily due to the impact of realignment charges taken during the second quarter of 2020, as well as the impact of lower sales levels which resulted in lower fixed cost absorption and higher production inefficiencies as a result of the COVID-19 pandemic, and the recognition of the purchase accounting adjustment related to RSA's inventory step-up to fair value and subsequent amortization.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Specialty Products. </w:t>
      </w:r>
      <w:r>
        <w:rPr>
          <w:rFonts w:ascii="Arial" w:cs="Arial" w:eastAsia="Arial" w:hAnsi="Arial"/>
          <w:sz w:val="16"/>
          <w:szCs w:val="16"/>
          <w:color w:val="auto"/>
        </w:rPr>
        <w:t>Net sales for the three months ended June 30, 2020 decreased approximately $9.2 million, or 24.7%, to $28.1 million, as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$37.3 million in the three months ended June 30, 2019. Sales of our cylinder products decreased approximately $8.2 million, as lower demand for steel cylinders used in construction and HVAC end markets in North America more than offset a modest increase in the sale of cylinders used for oxygen and other medical applications. Sales of engines, compressors and related parts used in upstream oil and gas applications decreased by approximately $1.0 million, primarily as a result low oil-field activity in North America given further reductions in rig counts, and included approximately $0.7 million of sales in second quarter 2020 related to the liquidation of non-core inventory following our strategic decision to streamline Arrow Engine's product line offering.</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Gross profit (loss) decreased approximately $11.1 million to a gross loss of $3.3 million, or 11.7% of sales, in the three months ended June 30, 2020, as compared to gross profit of $7.8 million, or 20.9% of sales, in the three months ended June 30, 2019, due in part to the decrease in sales levels and related lower fixed cost absorption and production inefficiencies, primarily from the impact of the COVID-19 pandemic. During the second quarter of 2020, we executed certain realignment actions in response to reduced end market demand, resulting in approximately $9.0 million non-cash charges in the second quarter of 2020, primarily related to Arrow Engine streamlining its product line offering and liquidating the non-core inventory.</w:t>
      </w: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approximately $0.2 million to $2.7 million, or 9.4% of sales, in the three months ended June 30, 2020, as compared to $2.4 million, or 6.5% of sales, in the three months ended June 30, 2019. During second quarter 2020, we incurred selling, general and administrative realignment expenses of approximately $0.7 million related to severance as we reduced our employment levels, which was partially offset by reduced spending levels as a result of lower activity levels.</w:t>
      </w:r>
    </w:p>
    <w:p>
      <w:pPr>
        <w:spacing w:after="0" w:line="2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profit (loss) decreased approximately $11.4 million to an operating loss of $5.9 million, or 21.1% of sales, in the three months ended June 30, 2020, as compared to an operating profit of $5.4 million, or 14.5% of sales, in the three months ended June 30, 2019, primarily as a result of the second quarter 2020 realignment actions, as well as due to the impact of lower sales and related lower fixed cost absorption and production inefficiencies.</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2780" w:type="dxa"/>
            <w:vAlign w:val="bottom"/>
            <w:gridSpan w:val="4"/>
          </w:tcPr>
          <w:p>
            <w:pPr>
              <w:ind w:left="620"/>
              <w:spacing w:after="0"/>
              <w:rPr>
                <w:sz w:val="20"/>
                <w:szCs w:val="20"/>
                <w:color w:val="auto"/>
              </w:rPr>
            </w:pPr>
            <w:r>
              <w:rPr>
                <w:rFonts w:ascii="Arial" w:cs="Arial" w:eastAsia="Arial" w:hAnsi="Arial"/>
                <w:sz w:val="16"/>
                <w:szCs w:val="16"/>
                <w:b w:val="1"/>
                <w:bCs w:val="1"/>
                <w:color w:val="auto"/>
                <w:w w:val="94"/>
              </w:rPr>
              <w:t>Three months ended June 30,</w:t>
            </w:r>
          </w:p>
        </w:tc>
        <w:tc>
          <w:tcPr>
            <w:tcW w:w="460" w:type="dxa"/>
            <w:vAlign w:val="bottom"/>
          </w:tcPr>
          <w:p>
            <w:pPr>
              <w:spacing w:after="0"/>
              <w:rPr>
                <w:sz w:val="18"/>
                <w:szCs w:val="18"/>
                <w:color w:val="auto"/>
              </w:rPr>
            </w:pPr>
          </w:p>
        </w:tc>
      </w:tr>
      <w:tr>
        <w:trPr>
          <w:trHeight w:val="33"/>
        </w:trPr>
        <w:tc>
          <w:tcPr>
            <w:tcW w:w="80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0"/>
        </w:trPr>
        <w:tc>
          <w:tcPr>
            <w:tcW w:w="8000" w:type="dxa"/>
            <w:vAlign w:val="bottom"/>
          </w:tcPr>
          <w:p>
            <w:pPr>
              <w:spacing w:after="0"/>
              <w:rPr>
                <w:sz w:val="20"/>
                <w:szCs w:val="20"/>
                <w:color w:val="auto"/>
              </w:rPr>
            </w:pPr>
          </w:p>
        </w:tc>
        <w:tc>
          <w:tcPr>
            <w:tcW w:w="1040" w:type="dxa"/>
            <w:vAlign w:val="bottom"/>
          </w:tcPr>
          <w:p>
            <w:pPr>
              <w:ind w:left="620"/>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73"/>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20"/>
                <w:szCs w:val="20"/>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040" w:type="dxa"/>
            <w:vAlign w:val="bottom"/>
            <w:tcBorders>
              <w:bottom w:val="single" w:sz="8" w:color="CCEEFF"/>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Non-cash stock compensation</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Legacy expenses</w:t>
            </w: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57"/>
        </w:trPr>
        <w:tc>
          <w:tcPr>
            <w:tcW w:w="8000" w:type="dxa"/>
            <w:vAlign w:val="bottom"/>
          </w:tcPr>
          <w:p>
            <w:pPr>
              <w:ind w:left="280"/>
              <w:spacing w:after="0"/>
              <w:rPr>
                <w:sz w:val="20"/>
                <w:szCs w:val="20"/>
                <w:color w:val="auto"/>
              </w:rPr>
            </w:pPr>
            <w:r>
              <w:rPr>
                <w:rFonts w:ascii="Arial" w:cs="Arial" w:eastAsia="Arial" w:hAnsi="Arial"/>
                <w:sz w:val="18"/>
                <w:szCs w:val="18"/>
                <w:color w:val="auto"/>
              </w:rPr>
              <w:t>Corporate expenses</w:t>
            </w:r>
          </w:p>
        </w:tc>
        <w:tc>
          <w:tcPr>
            <w:tcW w:w="104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w:t>
            </w:r>
          </w:p>
        </w:tc>
      </w:tr>
      <w:tr>
        <w:trPr>
          <w:trHeight w:val="20"/>
        </w:trPr>
        <w:tc>
          <w:tcPr>
            <w:tcW w:w="8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Corporate expenses increased approximately $23.4 million to $32.0 million for the three months ended June 30, 2020, from $8.6 million for the three months ended June 30, 2019, primarily as a result of the $23.4 million non-cash charge in second quarter 2020 due to the change of our accounting policy for asbestos-related defense costs. Non-cash stock compensation expense increased due to the timing and nature of equity awards in 2020 compared with 2019, the impact of which was offset by lower corporate operating expenses and reduced non-asbestos-related legacy expenses.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with Six Months Ended June 30, 2019</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Overall, net sales increased approximately $18.1 million, or 5.0%, to $382.3 million for the six months ended June 30, 2020, as compared with $364.2 million in the six months ended June 30, 2019. Acquisitions contributed approximately $23.5 million of inorganic sales growth. Organic sales, excluding the impact of currency exchange, decreased by approximately $2.0 million, as sales increases in our Packaging segment, primarily for products used in applications that help fight the spread of germs, were offset by lower sales in our Aerospace and Specialty Products segments. In addition, net sales were lower by approximately $3.3 million due to unfavorable currency exchange, as our reported results in U.S. dollars were negatively impacted as a result of the stronger U.S. dollar relative to foreign currencies.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Gross profit margin (gross profit as a percentage of sales) approximated 21.9% and 27.6% for the six months ended June 30, 2020 and 2019, respectively. Gross profit margin decreased, as the impact of higher sales levels was more than offset by the impact of approximately $16.0 million of realignment expenses, $14.3 million of which were non-cash and $1.7 million were cash expenses, primarily in our Aerospace and Specialty Products segments, where we executed actions to lower our cost structure in response to reduced end market demand following the outbreak of COVID-19 pandemic. In addition, we recorded approximately $2.8 million of purchase accounting non-cash charges in the six months ended June 30, 2020 for the step-up of inventory to fair value and subsequent amortization related to our RSA and Rapak acquisitions as compared to approximately $0.3 million of such charges for our 2019 acquisitions in the six months ended June 30, 2019. Our gross profit margin in the first six months of 2020 was also impacted by a less favorable product sales mix, lower fixed cost absorption and higher production inefficiencies due primarily to the COVID-19 pandemic.</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Operating profit margin (operating profit as a percentage of sales) approximated 0.4% and 12.9% for the six months ended June 30, 2020 and 2019, respectively. Operating profit decreased approximately $45.2 million, or 96.4%, to $1.7 million for the six months ended June 30, 2020, compared to $46.9 million for the six months ended June 30, 2019. This decrease was primarily as a result of a non-cash, pre-tax charge for asbestos-related costs of approximately $23.4 million in the first half of 2020 due to a change in accounting policy, as well as due to approximately $18.5 million of realignment expenses recorded in the first half of 2020, of which $15.4 million were non-cash and $3.1 million were cash expenses, primarily in our Aerospace and Specialty Products segments, where we executed actions to lower our cost structure in response to reduced end market demand following the outbreak of COVID-19. While higher operating profit was generated from higher sales levels, this impact was more than offset by a less favorable product sales mix, lower fixed cost absorption and higher production inefficiencies due in large part to the COVID-19 pandemic. Operating profit (loss) also decreased as a result of increased purchase accounting expenses and as a result of unfavorable currency exchange.</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expense increased approximately $0.9 million, to $7.8 million, for the six months ended June 30, 2020, as compared to $6.9 million for the six months ended June 30, 2019, primarily as a result of increased weighted average borrowings from approximately $329.5 million during the six months ended June 30, 2019 to approximately $413.6 million during the six months ended June 30, 2020. We drew $150 million on our revolving credit facility in first quarter 2020 to ensure availability of cash on hand, but subsequently repaid this amount late in second quarter 2020.</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income, net increased approximately $0.4 million, to $1.1 million for the six months ended June 30, 2020, from $0.7 million of other expense, net for the six months ended June 30, 2019, primarily due to a year over year decrease in losses on transactions denominated in foreign currencies.</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effective income tax rate for the six months ended June 30, 2020 and 2019 was 49.2% and 18.0%, respectively, as we recorded a tax benefit of approximately $2.5 million for the six months ended June 30, 2020 as compared to tax expense of approximately $7.3 million for the six months ended June 30, 2019. The effective tax rate for the six months ended June 30, 2020 was impacted by a decrease in profitability resulting from various one-time charges, including a change in the Company’s accounting policy for asbestos-related defense costs. This change was treated as a discrete item in determining tax expense for the six months ended June 30, 2020. In addition, we recognized discrete items that occurred during the first six months of 2019 as compared to first six months of 2020, including the reversal of uncertain tax benefits for which the statute of limitations expired, excess tax benefits related to share based compensation that vested in 2019, and a reduction in deferred tax liabilities resulting from the implementation of state tax planning initiatives.</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(loss) from continuing operations decreased by approximately $35.9 million, to a loss of $2.6 million for the six months ended June 30, 2020, compared to income of $33.3 million for the six months ended June 30, 2019. The decrease was primarily the result of a decrease in operating profit of approximately $45.2 million and an increase in interest expense, partially offset by an increase in income tax benefit (expense) of approximately $9.8 million and an increase in other income, net.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Packaging. </w:t>
      </w:r>
      <w:r>
        <w:rPr>
          <w:rFonts w:ascii="Arial" w:cs="Arial" w:eastAsia="Arial" w:hAnsi="Arial"/>
          <w:sz w:val="16"/>
          <w:szCs w:val="16"/>
          <w:color w:val="auto"/>
        </w:rPr>
        <w:t>Net sales increased approximately $36.1 million, or 18.7%, to $228.9 million in the six months ended June 30, 2020, as compared to $192.8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the six months ended June 30, 2019. Acquisition-related growth was approximately $14.6 million, comprised of approximately $4.5 million of sales from our April 2020 acquisition of Rapak as well as $10.1 million of January through April 2020 sales for Taplast, which was acquired in late April 2019. Sales of dispensing products used in beauty and personal care and home care applications increased by approximately $12.1 million, primarily as demand increased for personal hygiene applications due to heightened awareness of reducing the spread of germs following the COVID-19 pandemic. Sales of products used in food and beverage markets increased by approximately $7.2 million, primarily due to higher sales of beverage dispensers, including pumps and related products, in North America. Sales of products used in industrial markets increased by approximately $3.4 million, primarily due to higher demand within North America, some of which we believe is attributable to higher sales of products used in the transportation of bulk sanitizer and industrial cleaning solutions. These increases were partially offset by approximately $3.3 million of unfavorable currency exchange, as our reported results in U.S. dollars were negatively impacted as a result of the stronger U.S. dollar relative to foreign currencies.</w:t>
      </w:r>
    </w:p>
    <w:p>
      <w:pPr>
        <w:spacing w:after="0" w:line="22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Packaging's gross profit increased approximately $5.8 million to $66.5 million, or 29.1% of sales, in the six months ended June 30, 2020, as compared to $60.7 million, or 31.5% of sales, in the six months ended June 30, 2019, primarily due to increased sales levels, which was partially offset by approximately $0.9 million in non-cash realignment costs during second quarter 2020 primarily related to the disposal of certain equipment which was taken out of service and approximately $0.8 million for a purchase accounting non-cash charge related to the step-up of Rapak's inventory to fair value and subsequent amortization. Gross profit margin was lower than second quarter 2019 due to a less favorable product sales mix. In addition, gross profit margin was further reduced due to generally lower production efficiencies, as well as Rapak currently generating low gross profit at current demand levels, both as a result of the impacts of the COVID-19 pandemic. Gross profit and margin were also impacted by approximately $1.0 million of unfavorable currency exchange, as our reported results in U.S. dollars were negatively impacted as a result of the stronger U.S. dollar relative to foreign currencies.</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Packaging's selling, general and administrative expenses increased approximately $3.8 million to $24.2 million, or 10.6% of sales, in the six months ended June 30, 2020, as compared to $20.4 million, or 10.6% of sales, in the six months ended June 30, 2019, as we incurred approximately $1.4 million in charges associated with our realignment actions, primarily for severance. We also incurred approximately $1.6 million of higher ongoing selling, general and administrative costs associated with our acquisitions, as well as recorded higher personnel-related expenses given higher demand for our products. This increase was partially offset by an approximate $0.8 million non-cash charge during the three months ended March 31, 2019 related to the write-off of the trade name acquired in the Plastic Srl acquisition that was not used.</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Packaging's operating profit increased approximately $2.0 million to $42.3 million, or 18.5% of sales, in the six months ended June 30, 2020, as compared to $40.3 million, or 20.9% of sales, in the six months ended June 30, 2019, as a result of increased sales, which was partially offset by realignment charges taken during the second quarter of 2020, the recognition of the purchase accounting adjustment related to Rapak's inventory step-up to fair value and subsequent amortization, a less favorable product sales mix, production inefficiencies as a result of COVID-19 and higher selling, general and administrative expenses.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for the six months ended June 30, 2020 decreased approximately $3.6 million, or 3.7%, to $91.5 million, as compared to $95.1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six months ended June 30, 2019. The February 2020 acquisition of RSA contributed approximately $8.9 million of sales. Sales of our fastener and machined components products declined by approximately $7.8 million and $4.7 million, respectively, both due to lower demand resulting from current and expected future reduced air travel due to the COVID-19 pandemic, with fastener sales also lower than the first half of 2019, as expected, due to the 737 Max grounding.</w:t>
      </w:r>
    </w:p>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Gross profit within Aerospace decreased approximately $10.5 million to $14.6 million, or 15.9% of sales, in the six months ended June 30, 2020, from $25.0 million, or 26.3% of sales, in the six months ended June 30, 2019, due in part to the decrease in sales levels and related lower fixed cost absorption and production inefficiencies due to the impact of the COVID-19 pandemic. During the second quarter of 2020, we undertook certain realignment actions to protect against uncertain end market demand related to the COVID-19 pandemic, resulting in charges of approximately $4.2 million related to inventory reductions, $1.7 million related to severance as we reduced our manufacturing employment levels and $0.3 million related to production equipment removed from service given current demand levels. In addition, we recorded an approximate $2.0 million purchase accounting non-cash charge related to the step-up of RSA's inventory to fair value and subsequent amortization during the first half of 2020.</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increased approximately $2.1 million to $13.7 million, or 15.0% of sales, in the six months ended June 30, 2020, as compared to $11.6 million, or 12.2% of sales, in the six months ended June 30, 2019, primarily due to ongoing costs of RSA, as well as approximately $0.4 million of realignment expenses incurred in the first half of 2020.</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profit within Aerospace decreased approximately $12.6 million to $0.9 million, or 1.0% of sales, in the six months ended June 30, 2020, as compared to $13.5 million, or 14.2% of sales, in the six months ended June 30, 2019, primarily due to the impact of realignment charges in second quarter 2020, as well as the impact of lower sales levels which resulted in lower fixed cost absorption and higher production inefficiencies as a result of the COVID-19 pandemic, the recognition of the purchase accounting adjustment related to RSA's inventory step-up to fair value and subsequent amortization and higher selling, general and administrative expenses.</w:t>
      </w:r>
    </w:p>
    <w:p>
      <w:pPr>
        <w:spacing w:after="0" w:line="2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Specialty Products. </w:t>
      </w:r>
      <w:r>
        <w:rPr>
          <w:rFonts w:ascii="Arial" w:cs="Arial" w:eastAsia="Arial" w:hAnsi="Arial"/>
          <w:sz w:val="17"/>
          <w:szCs w:val="17"/>
          <w:color w:val="auto"/>
        </w:rPr>
        <w:t>Net sales for the six months ended June 30, 2020 decreased approximately $14.4 million, or 18.8%, to $61.9 million, as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$76.3 million in the six months ended June 30, 2019. Sales of our cylinder products decreased by approximately $11.9 million, as lower demand for steel cylinders used in construction and HVAC activity in North America more than offset a modest increase in the sale of cylinders used for oxygen and other medical applications. Sales of engines, compressors and related parts used in upstream oil and gas applications decreased by approximately $2.5 million, primarily as a result of low oil-field activity in North America given the low price of oil and included approximately $0.7 million of sales related to the liquidation of non-core inventory following our strategic decision to streamline Arrow Engine's product line offering.</w:t>
      </w:r>
    </w:p>
    <w:p>
      <w:pPr>
        <w:spacing w:after="0" w:line="23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Gross profit within Specialty Products decreased approximately $12.4 million to $2.5 million, or 4.0% of sales, in the six months ended June 30, 2020, as compared to $14.8 million, or 19.5% of sales, in the six months ended June 30, 2019, due in part to the decrease in sales levels and related lower fixed cost absorption and production inefficiencies due primarily to the impact of the COVID-19 pandemic. During the second quarter of 2020, we undertook certain realignment actions in response to reduced end market demand as a result of the COVID-19 pandemic, resulting in approximately $9.0 million of non-cash charges in the second quarter of 2020, primarily related to Arrow Engine streamlining its product line offering and liquidating its non-core inventory.</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within Specialty Products increased approximately $0.3 million to $5.0 million, or 8.1% of sales, in the six months ended June 30, 2020, as compared to $4.7 million, or 6.2% of sales, in the six months ended June 30, 2019. During the first half of 2020, we incurred selling, general and administrative realignment expenses of approximately $0.7 million related to severance as we reduced our employment levels, which was partially offset by reduced spending levels as a result of lower activity levels.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(loss) within Specialty Products decreased approximately $12.6 million to an operating loss of $2.5 million, or 4.1% of sales, in the six months ended June 30, 2020, as compared to $10.1 million of operating profit, or 13.3% of sales, in the six months ended June 30, 2019, primarily as a result of the second quarter 2020 realignment actions, as well as due to the impact of lower sales and related lower fixed cost absorption and production inefficiencies.</w:t>
      </w: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net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2720" w:type="dxa"/>
            <w:vAlign w:val="bottom"/>
            <w:gridSpan w:val="4"/>
          </w:tcPr>
          <w:p>
            <w:pPr>
              <w:jc w:val="right"/>
              <w:ind w:right="73"/>
              <w:spacing w:after="0"/>
              <w:rPr>
                <w:sz w:val="20"/>
                <w:szCs w:val="20"/>
                <w:color w:val="auto"/>
              </w:rPr>
            </w:pPr>
            <w:r>
              <w:rPr>
                <w:rFonts w:ascii="Arial" w:cs="Arial" w:eastAsia="Arial" w:hAnsi="Arial"/>
                <w:sz w:val="16"/>
                <w:szCs w:val="16"/>
                <w:b w:val="1"/>
                <w:bCs w:val="1"/>
                <w:color w:val="auto"/>
              </w:rPr>
              <w:t>Six months ended June 30,</w:t>
            </w:r>
          </w:p>
        </w:tc>
        <w:tc>
          <w:tcPr>
            <w:tcW w:w="520" w:type="dxa"/>
            <w:vAlign w:val="bottom"/>
          </w:tcPr>
          <w:p>
            <w:pPr>
              <w:spacing w:after="0"/>
              <w:rPr>
                <w:sz w:val="18"/>
                <w:szCs w:val="18"/>
                <w:color w:val="auto"/>
              </w:rPr>
            </w:pPr>
          </w:p>
        </w:tc>
      </w:tr>
      <w:tr>
        <w:trPr>
          <w:trHeight w:val="33"/>
        </w:trPr>
        <w:tc>
          <w:tcPr>
            <w:tcW w:w="80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0"/>
        </w:trPr>
        <w:tc>
          <w:tcPr>
            <w:tcW w:w="80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20"/>
                <w:szCs w:val="20"/>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040" w:type="dxa"/>
            <w:vAlign w:val="bottom"/>
            <w:tcBorders>
              <w:bottom w:val="single" w:sz="8" w:color="CCEEFF"/>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Non-cash stock compensation</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Legacy expenses</w:t>
            </w: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57"/>
        </w:trPr>
        <w:tc>
          <w:tcPr>
            <w:tcW w:w="8000" w:type="dxa"/>
            <w:vAlign w:val="bottom"/>
          </w:tcPr>
          <w:p>
            <w:pPr>
              <w:ind w:left="280"/>
              <w:spacing w:after="0"/>
              <w:rPr>
                <w:sz w:val="20"/>
                <w:szCs w:val="20"/>
                <w:color w:val="auto"/>
              </w:rPr>
            </w:pPr>
            <w:r>
              <w:rPr>
                <w:rFonts w:ascii="Arial" w:cs="Arial" w:eastAsia="Arial" w:hAnsi="Arial"/>
                <w:sz w:val="18"/>
                <w:szCs w:val="18"/>
                <w:color w:val="auto"/>
              </w:rPr>
              <w:t>Corporate expenses</w:t>
            </w:r>
          </w:p>
        </w:tc>
        <w:tc>
          <w:tcPr>
            <w:tcW w:w="104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r>
      <w:tr>
        <w:trPr>
          <w:trHeight w:val="20"/>
        </w:trPr>
        <w:tc>
          <w:tcPr>
            <w:tcW w:w="8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Corporate expenses increased approximately $22.0 million to $39.0 million for the six months ended June 30, 2020, from $17.0 million for the six months ended June 30, 2019, primarily as a result of the $23.4 million non-cash charge in second quarter 2020 due to the change of our accounting policy for asbestos-related defense costs from accruing for probable and reasonably estimable defense costs associated with known claims expected to settle to accrue for all future defense costs for both known and unknown claims, which we now believe can be reasonably estimated. Non-cash stock compensation expense increased due to the timing and nature of equity awards in 2020 compared with 2019, the impact of which was more than offset by lower corporate operating expenses and the favorable resolution of a legacy matter during the first half of 2020.</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flows provided by operating activities were approximately $30.8 million for the six months ended June 30, 2020, as compared to approximately $32.8 million for the six months ended June 30, 2019. Significant changes in cash flows provided by operating activities and the reasons for such changes were as follows:</w:t>
      </w:r>
    </w:p>
    <w:p>
      <w:pPr>
        <w:spacing w:after="0" w:line="238" w:lineRule="exact"/>
        <w:rPr>
          <w:sz w:val="20"/>
          <w:szCs w:val="20"/>
          <w:color w:val="auto"/>
        </w:rPr>
      </w:pPr>
    </w:p>
    <w:p>
      <w:pPr>
        <w:jc w:val="both"/>
        <w:ind w:left="980" w:hanging="324"/>
        <w:spacing w:after="0" w:line="296"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six months ended June 30, 2020, the Company generated approximately $52.1 million of cash, based on the reported net loss of approximately $2.6 million and after considering the effects of non-cash items related to depreciation, amortization, loss on dispositions of assets, changes in deferred income taxes, stock-based compensation, asbestos-related change in liability estimate and other operating activities. For the six months ended June 30, 2019, the Company generated approximately $61.1 million in cash flows based on the reported net income from continuing operations of approximately $33.3 million and after considering the effects of similar non-cash items.</w:t>
      </w:r>
    </w:p>
    <w:p>
      <w:pPr>
        <w:spacing w:after="0" w:line="215"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accounts receivable resulted in a use of cash of approximately $12.3 million and $5.7 million for the six months ended June 30, 2020 and 2019, respectively. The increased use of cash for each of the six month periods is due primarily to the timing of sales and collection of cash related thereto within the periods. Days sales outstanding of receivables remained relatively flat compared to the comparable 2019 period.</w:t>
      </w:r>
    </w:p>
    <w:p>
      <w:pPr>
        <w:spacing w:after="0" w:line="240"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decreased our investment in inventory by approximately $5.3 million for the six months ended June 30, 2020, and by approximately $0.4 million for the six months ended June 30, 2019. Our days sales in inventory decreased by approximately ten days in 2020 compared with the comparable 2019 period as a result of second quarter 2020 realignment actions to reduce inventory, primarily related to our strategic decision in our Arrow Engine division to streamline its product line offering. We continue to moderate inventory levels in line with sales levels.</w:t>
      </w:r>
    </w:p>
    <w:p>
      <w:pPr>
        <w:spacing w:after="0" w:line="211"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Decreases in prepaid expenses and other assets resulted in a source of cash of approximately $0.3 million for the six months ended June 30, 2020 and of approximately $1.4 million for the six months ended June 30, 2019. These changes were primarily a result of the timing of payments made for income taxes and certain operating expenses.</w:t>
      </w:r>
    </w:p>
    <w:p>
      <w:pPr>
        <w:spacing w:after="0" w:line="237"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Decreases in accounts payable and accrued liabilities resulted in a use of cash of approximately $14.5 million and $24.4 million for the six months ended June 30, 2020 and 2019, respectively, primarily as a result of the timing of payments made to suppliers and the mix of vendors and related terms. Days accounts payable on hand decreased by approximately nine days in 2020 compared with the comparable 2019 period, primarily as we paid certain key Packaging vendors more quickly in 2020 to ensure our orders remained a top priority for them given our robust demand levels and minimal available capacity in the marketplace.</w:t>
      </w:r>
    </w:p>
    <w:p>
      <w:pPr>
        <w:spacing w:after="0" w:line="24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cash used for investing activities of continuing operations for the six months ended June 30, 2020 and 2019 was approximately $102.3 million and $78.5 million, respectively. During the first six months of 2020, we paid approximately $95.2 million, net of cash acquired, to acquire RSA and Rapak. We incurred approximately $9.3 million in capital expenditures, as we continued our investment in growth, capacity and productivity-related capital projects. We also received proceeds from disposition of business, property and equipment of approximately $2.1 million. During the first six months of 2019, we incurred approximately $11.5 million in capital expenditures and paid approximately $67.0 million, net of cash acquired, to acquire Plastic Srl and Taplast.</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used for financing activities for the six months ended June 30, 2020 was approximately $35.8 million, while net cash used for financing activities was $17.8 million for the six months ended June 30, 2019. During the first six months of 2020, we made net repayments of approximately $1.6 million on our revolving credit facilities. We also purchased approximately $31.6 million of outstanding common stock and used a net cash amount of approximately $2.6 million related to our stock compensation arrangements. During the first six months of 2019, we borrowed approximately $0.8 million, net of repayments, on our revolving credit facilities. We also purchased approximately $15.4 million of outstanding common stock and used a net cash amount of approximately $3.2 million related to our stock compensation arrangements.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$300.0 million aggregate principal amount of senior notes accrue interest at a rate of 4.875% per annum, payable semi-annually in arrears on April 15 and October 15, commencing on April 15, 2018 ("Senior Notes"). The payment of principal and interest is jointly and severally guaranteed, on a senior unsecured basis by certain named subsidiaries of the Company (each a "Guarantor" and collectively the "Guarantors"). The Senior Notes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existing and future senior indebtedness and subordinated to all existing and future secured indebtedness to the extent of the value of the assets securing such indebtedness. For the six months ended June 30, 2020, our consolidated subsidiaries that do not guarantee the Senior Notes represented approximately 21% of the total of guarantor and non-guarantor net sales, treating each as a consolidated group and excluding intercompany transactions between guarantor and non-guarantor subsidiaries. In addition, our non-guarantor subsidiaries represented approximately 31% and 15% of the total guarantor and non-guarantor assets and liabilities, respectively, as of June 30, 2020, treating the guarantor and non-guarantor subsidiaries each as a consolidated group and excluding intercompany transactions between such groups.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October 15, 2020, we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we may redeem all or part of the Senior Notes at a redemption price equal to 100% of the principal amount thereof, plus accrued and unpaid interest, if any, to the redemption date, plus a "make whole" premium.</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party to a credit agreement ("Credit Agreement") consisting of a $300.0 million senior secured revolving credit facility, which permits borrowings denominated in specific foreign currencies, subject to a $125.0 million sub limit. The Credit Agreement matures on September 20, 2022 and is subject to interest at London Interbank Offered Rate ("LIBOR") plus 1.50%. The interest rate spread is based upon the leverage ratio, as defined, as of the most recent determination date. The Credit Agreement allows issuance of letters of credit, not to exceed $40.0 million in aggregate, against revolving credit facility commitments.</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June 30, 2020. If we were to complete an acquisition which qualifies for a Covenant Holiday Period, as defined in our Credit Agreement, then our permitted total net leverage ratio cannot exceed 4.50 to 1.00 during that period. Our actual total net leverage ratio was 1.60 to 1.00 at June 30, 2020. Our permitted senior secured net leverage ratio under the Credit Agreement is 3.50 to 1.00 as of June 30, 2020. If we were to complete an acquisition which qualifies for a Covenant Holiday Period, as defined in our Credit Agreement, then our permitted senior secured net leverage ratio cannot exceed 4.00 to 1.00 during that period. Our actual senior secured net leverage ratio was not meaningful at June 30, 2020. Our permitted interest expense coverage ratio under the Credit Agreement is 3.00 to 1.00 as of June 30, 2020. Our actual interest expense coverage ratio was 12.71 to 1.00 at June 30, 2020. At June 30, 2020, we were in compliance with our financial covenants.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twelve months ended June 30, 2020 (dollars in thousands). We present Consolidated Bank EBITDA to show our performance under our financial covenants.</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6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0"/>
              </w:rPr>
              <w:t>Ended June 30, 2020</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6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54,930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gridSpan w:val="4"/>
          </w:tcPr>
          <w:p>
            <w:pPr>
              <w:ind w:left="20"/>
              <w:spacing w:after="0"/>
              <w:rPr>
                <w:sz w:val="20"/>
                <w:szCs w:val="20"/>
                <w:color w:val="auto"/>
              </w:rPr>
            </w:pPr>
            <w:r>
              <w:rPr>
                <w:rFonts w:ascii="Arial" w:cs="Arial" w:eastAsia="Arial" w:hAnsi="Arial"/>
                <w:sz w:val="18"/>
                <w:szCs w:val="18"/>
                <w:color w:val="auto"/>
              </w:rPr>
              <w:t>Bank stipulated adjustments:</w:t>
            </w: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14,830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gridSpan w:val="3"/>
          </w:tcPr>
          <w:p>
            <w:pPr>
              <w:ind w:left="240"/>
              <w:spacing w:after="0"/>
              <w:rPr>
                <w:sz w:val="20"/>
                <w:szCs w:val="20"/>
                <w:color w:val="auto"/>
              </w:rPr>
            </w:pPr>
            <w:r>
              <w:rPr>
                <w:rFonts w:ascii="Arial" w:cs="Arial" w:eastAsia="Arial" w:hAnsi="Arial"/>
                <w:sz w:val="18"/>
                <w:szCs w:val="18"/>
                <w:color w:val="auto"/>
              </w:rPr>
              <w:t>Income tax expense</w:t>
            </w: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26,250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48,770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00" w:type="dxa"/>
            <w:vAlign w:val="bottom"/>
            <w:gridSpan w:val="3"/>
          </w:tcPr>
          <w:p>
            <w:pPr>
              <w:ind w:left="240"/>
              <w:spacing w:after="0" w:line="270" w:lineRule="exact"/>
              <w:rPr>
                <w:sz w:val="20"/>
                <w:szCs w:val="20"/>
                <w:color w:val="auto"/>
              </w:rPr>
            </w:pPr>
            <w:r>
              <w:rPr>
                <w:rFonts w:ascii="Arial" w:cs="Arial" w:eastAsia="Arial" w:hAnsi="Arial"/>
                <w:sz w:val="18"/>
                <w:szCs w:val="18"/>
                <w:color w:val="auto"/>
              </w:rPr>
              <w:t>Non-cash compensation expense</w:t>
            </w:r>
            <w:r>
              <w:rPr>
                <w:rFonts w:ascii="Arial" w:cs="Arial" w:eastAsia="Arial" w:hAnsi="Arial"/>
                <w:sz w:val="25"/>
                <w:szCs w:val="25"/>
                <w:color w:val="auto"/>
                <w:vertAlign w:val="superscript"/>
              </w:rPr>
              <w:t>(1)</w:t>
            </w:r>
          </w:p>
        </w:tc>
        <w:tc>
          <w:tcPr>
            <w:tcW w:w="3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8,090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Other non-cash expenses or losses</w:t>
            </w:r>
          </w:p>
        </w:tc>
        <w:tc>
          <w:tcPr>
            <w:tcW w:w="3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16,920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00" w:type="dxa"/>
            <w:vAlign w:val="bottom"/>
            <w:gridSpan w:val="3"/>
          </w:tcPr>
          <w:p>
            <w:pPr>
              <w:ind w:left="240"/>
              <w:spacing w:after="0" w:line="270" w:lineRule="exact"/>
              <w:rPr>
                <w:sz w:val="20"/>
                <w:szCs w:val="20"/>
                <w:color w:val="auto"/>
              </w:rPr>
            </w:pPr>
            <w:r>
              <w:rPr>
                <w:rFonts w:ascii="Arial" w:cs="Arial" w:eastAsia="Arial" w:hAnsi="Arial"/>
                <w:sz w:val="18"/>
                <w:szCs w:val="18"/>
                <w:color w:val="auto"/>
              </w:rPr>
              <w:t>Non-recurring expenses or costs</w:t>
            </w:r>
            <w:r>
              <w:rPr>
                <w:rFonts w:ascii="Arial" w:cs="Arial" w:eastAsia="Arial" w:hAnsi="Arial"/>
                <w:sz w:val="25"/>
                <w:szCs w:val="25"/>
                <w:color w:val="auto"/>
                <w:vertAlign w:val="superscript"/>
              </w:rPr>
              <w:t>(2)</w:t>
            </w:r>
          </w:p>
        </w:tc>
        <w:tc>
          <w:tcPr>
            <w:tcW w:w="3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7,310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Extraordinary, non-recurring or unusual gains or losses</w:t>
            </w:r>
          </w:p>
        </w:tc>
        <w:tc>
          <w:tcPr>
            <w:tcW w:w="3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20,990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gridSpan w:val="3"/>
          </w:tcPr>
          <w:p>
            <w:pPr>
              <w:ind w:left="240"/>
              <w:spacing w:after="0"/>
              <w:rPr>
                <w:sz w:val="20"/>
                <w:szCs w:val="20"/>
                <w:color w:val="auto"/>
              </w:rPr>
            </w:pPr>
            <w:r>
              <w:rPr>
                <w:rFonts w:ascii="Arial" w:cs="Arial" w:eastAsia="Arial" w:hAnsi="Arial"/>
                <w:sz w:val="18"/>
                <w:szCs w:val="18"/>
                <w:color w:val="auto"/>
              </w:rPr>
              <w:t>Effects of purchase accounting adjustments</w:t>
            </w: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2,110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Business and asset dispositions</w:t>
            </w:r>
          </w:p>
        </w:tc>
        <w:tc>
          <w:tcPr>
            <w:tcW w:w="3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gridSpan w:val="3"/>
          </w:tcPr>
          <w:p>
            <w:pPr>
              <w:ind w:left="240"/>
              <w:spacing w:after="0"/>
              <w:rPr>
                <w:sz w:val="20"/>
                <w:szCs w:val="20"/>
                <w:color w:val="auto"/>
              </w:rPr>
            </w:pPr>
            <w:r>
              <w:rPr>
                <w:rFonts w:ascii="Arial" w:cs="Arial" w:eastAsia="Arial" w:hAnsi="Arial"/>
                <w:sz w:val="18"/>
                <w:szCs w:val="18"/>
                <w:color w:val="auto"/>
              </w:rPr>
              <w:t>Permitted acquisitions</w:t>
            </w: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5,030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Permitted dispositions</w:t>
            </w:r>
          </w:p>
        </w:tc>
        <w:tc>
          <w:tcPr>
            <w:tcW w:w="3360" w:type="dxa"/>
            <w:vAlign w:val="bottom"/>
            <w:shd w:val="clear" w:color="auto" w:fill="CCEEFF"/>
          </w:tcPr>
          <w:p>
            <w:pPr>
              <w:jc w:val="right"/>
              <w:ind w:right="3137"/>
              <w:spacing w:after="0"/>
              <w:rPr>
                <w:sz w:val="20"/>
                <w:szCs w:val="20"/>
                <w:color w:val="auto"/>
              </w:rPr>
            </w:pPr>
            <w:r>
              <w:rPr>
                <w:rFonts w:ascii="Arial" w:cs="Arial" w:eastAsia="Arial" w:hAnsi="Arial"/>
                <w:sz w:val="13"/>
                <w:szCs w:val="13"/>
                <w:color w:val="auto"/>
                <w:w w:val="87"/>
                <w:shd w:val="clear" w:color="auto" w:fill="CCEEFF"/>
              </w:rPr>
              <w:t>(3)</w:t>
            </w:r>
          </w:p>
        </w:tc>
        <w:tc>
          <w:tcPr>
            <w:tcW w:w="3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(46,430)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1580" w:type="dxa"/>
            <w:vAlign w:val="bottom"/>
            <w:tcBorders>
              <w:bottom w:val="single" w:sz="8" w:color="CCEEFF"/>
            </w:tcBorders>
            <w:vMerge w:val="continue"/>
            <w:shd w:val="clear" w:color="auto" w:fill="CCEEFF"/>
          </w:tcPr>
          <w:p>
            <w:pPr>
              <w:spacing w:after="0"/>
              <w:rPr>
                <w:sz w:val="8"/>
                <w:szCs w:val="8"/>
                <w:color w:val="auto"/>
              </w:rPr>
            </w:pPr>
          </w:p>
        </w:tc>
        <w:tc>
          <w:tcPr>
            <w:tcW w:w="3360" w:type="dxa"/>
            <w:vAlign w:val="bottom"/>
            <w:tcBorders>
              <w:bottom w:val="single" w:sz="8" w:color="CCEEFF"/>
            </w:tcBorders>
            <w:shd w:val="clear" w:color="auto" w:fill="CCEEFF"/>
          </w:tcPr>
          <w:p>
            <w:pPr>
              <w:spacing w:after="0"/>
              <w:rPr>
                <w:sz w:val="8"/>
                <w:szCs w:val="8"/>
                <w:color w:val="auto"/>
              </w:rPr>
            </w:pPr>
          </w:p>
        </w:tc>
        <w:tc>
          <w:tcPr>
            <w:tcW w:w="374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360" w:type="dxa"/>
            <w:vAlign w:val="bottom"/>
            <w:tcBorders>
              <w:bottom w:val="single" w:sz="8" w:color="CCEEFF"/>
            </w:tcBorders>
            <w:gridSpan w:val="3"/>
            <w:vMerge w:val="continue"/>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5220" w:type="dxa"/>
            <w:vAlign w:val="bottom"/>
            <w:gridSpan w:val="4"/>
          </w:tcPr>
          <w:p>
            <w:pPr>
              <w:ind w:left="20"/>
              <w:spacing w:after="0"/>
              <w:rPr>
                <w:sz w:val="20"/>
                <w:szCs w:val="20"/>
                <w:color w:val="auto"/>
              </w:rPr>
            </w:pPr>
            <w:r>
              <w:rPr>
                <w:rFonts w:ascii="Arial" w:cs="Arial" w:eastAsia="Arial" w:hAnsi="Arial"/>
                <w:sz w:val="18"/>
                <w:szCs w:val="18"/>
                <w:color w:val="auto"/>
              </w:rPr>
              <w:t>Consolidated Bank EBITDA, as defined</w:t>
            </w:r>
          </w:p>
        </w:tc>
        <w:tc>
          <w:tcPr>
            <w:tcW w:w="4440" w:type="dxa"/>
            <w:vAlign w:val="bottom"/>
            <w:gridSpan w:val="3"/>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159,670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3"/>
          </w:tcPr>
          <w:p>
            <w:pPr>
              <w:jc w:val="right"/>
              <w:ind w:right="431"/>
              <w:spacing w:after="0"/>
              <w:rPr>
                <w:sz w:val="20"/>
                <w:szCs w:val="20"/>
                <w:color w:val="auto"/>
              </w:rPr>
            </w:pPr>
            <w:r>
              <w:rPr>
                <w:rFonts w:ascii="Arial" w:cs="Arial" w:eastAsia="Arial" w:hAnsi="Arial"/>
                <w:sz w:val="16"/>
                <w:szCs w:val="16"/>
                <w:b w:val="1"/>
                <w:bCs w:val="1"/>
                <w:color w:val="auto"/>
              </w:rPr>
              <w:t>June 30, 2020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Indebtedness, as defined</w:t>
            </w:r>
          </w:p>
        </w:tc>
        <w:tc>
          <w:tcPr>
            <w:tcW w:w="4440" w:type="dxa"/>
            <w:vAlign w:val="bottom"/>
            <w:tcBorders>
              <w:bottom w:val="single" w:sz="8" w:color="CCEEFF"/>
            </w:tcBorders>
            <w:gridSpan w:val="3"/>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254,890</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gridSpan w:val="4"/>
          </w:tcPr>
          <w:p>
            <w:pPr>
              <w:ind w:left="20"/>
              <w:spacing w:after="0"/>
              <w:rPr>
                <w:sz w:val="20"/>
                <w:szCs w:val="20"/>
                <w:color w:val="auto"/>
              </w:rPr>
            </w:pPr>
            <w:r>
              <w:rPr>
                <w:rFonts w:ascii="Arial" w:cs="Arial" w:eastAsia="Arial" w:hAnsi="Arial"/>
                <w:sz w:val="18"/>
                <w:szCs w:val="18"/>
                <w:color w:val="auto"/>
              </w:rPr>
              <w:t>Consolidated Bank EBITDA, as defined</w:t>
            </w: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159,670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net leverage ratio</w:t>
            </w:r>
          </w:p>
        </w:tc>
        <w:tc>
          <w:tcPr>
            <w:tcW w:w="3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7"/>
        </w:trPr>
        <w:tc>
          <w:tcPr>
            <w:tcW w:w="5220" w:type="dxa"/>
            <w:vAlign w:val="bottom"/>
            <w:gridSpan w:val="4"/>
          </w:tcPr>
          <w:p>
            <w:pPr>
              <w:ind w:left="20"/>
              <w:spacing w:after="0"/>
              <w:rPr>
                <w:sz w:val="20"/>
                <w:szCs w:val="20"/>
                <w:color w:val="auto"/>
              </w:rPr>
            </w:pPr>
            <w:r>
              <w:rPr>
                <w:rFonts w:ascii="Arial" w:cs="Arial" w:eastAsia="Arial" w:hAnsi="Arial"/>
                <w:sz w:val="18"/>
                <w:szCs w:val="18"/>
                <w:color w:val="auto"/>
              </w:rPr>
              <w:t>Covenant requirement</w:t>
            </w:r>
          </w:p>
        </w:tc>
        <w:tc>
          <w:tcPr>
            <w:tcW w:w="3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4.00</w:t>
            </w: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3"/>
          </w:tcPr>
          <w:p>
            <w:pPr>
              <w:jc w:val="right"/>
              <w:ind w:right="451"/>
              <w:spacing w:after="0"/>
              <w:rPr>
                <w:sz w:val="20"/>
                <w:szCs w:val="20"/>
                <w:color w:val="auto"/>
              </w:rPr>
            </w:pPr>
            <w:r>
              <w:rPr>
                <w:rFonts w:ascii="Arial" w:cs="Arial" w:eastAsia="Arial" w:hAnsi="Arial"/>
                <w:sz w:val="16"/>
                <w:szCs w:val="16"/>
                <w:b w:val="1"/>
                <w:bCs w:val="1"/>
                <w:color w:val="auto"/>
              </w:rPr>
              <w:t>June 30, 2020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00" w:type="dxa"/>
            <w:vAlign w:val="bottom"/>
            <w:gridSpan w:val="3"/>
            <w:shd w:val="clear" w:color="auto" w:fill="CCEEFF"/>
          </w:tcPr>
          <w:p>
            <w:pPr>
              <w:ind w:left="20"/>
              <w:spacing w:after="0" w:line="263" w:lineRule="exact"/>
              <w:rPr>
                <w:sz w:val="20"/>
                <w:szCs w:val="20"/>
                <w:color w:val="auto"/>
              </w:rPr>
            </w:pPr>
            <w:r>
              <w:rPr>
                <w:rFonts w:ascii="Arial" w:cs="Arial" w:eastAsia="Arial" w:hAnsi="Arial"/>
                <w:sz w:val="18"/>
                <w:szCs w:val="18"/>
                <w:color w:val="auto"/>
              </w:rPr>
              <w:t>Total Senior Secured Indebtedness</w:t>
            </w:r>
            <w:r>
              <w:rPr>
                <w:rFonts w:ascii="Arial" w:cs="Arial" w:eastAsia="Arial" w:hAnsi="Arial"/>
                <w:sz w:val="25"/>
                <w:szCs w:val="25"/>
                <w:color w:val="auto"/>
                <w:vertAlign w:val="superscript"/>
              </w:rPr>
              <w:t>(4)</w:t>
            </w:r>
          </w:p>
        </w:tc>
        <w:tc>
          <w:tcPr>
            <w:tcW w:w="4440" w:type="dxa"/>
            <w:vAlign w:val="bottom"/>
            <w:gridSpan w:val="3"/>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(45,110)</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gridSpan w:val="3"/>
          </w:tcPr>
          <w:p>
            <w:pPr>
              <w:ind w:left="20"/>
              <w:spacing w:after="0"/>
              <w:rPr>
                <w:sz w:val="20"/>
                <w:szCs w:val="20"/>
                <w:color w:val="auto"/>
              </w:rPr>
            </w:pPr>
            <w:r>
              <w:rPr>
                <w:rFonts w:ascii="Arial" w:cs="Arial" w:eastAsia="Arial" w:hAnsi="Arial"/>
                <w:sz w:val="18"/>
                <w:szCs w:val="18"/>
                <w:color w:val="auto"/>
              </w:rPr>
              <w:t>Consolidated Bank EBITDA, as defined</w:t>
            </w: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159,670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Senior secured net leverage ratio</w:t>
            </w:r>
          </w:p>
        </w:tc>
        <w:tc>
          <w:tcPr>
            <w:tcW w:w="374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n/m</w:t>
            </w:r>
          </w:p>
        </w:tc>
        <w:tc>
          <w:tcPr>
            <w:tcW w:w="220" w:type="dxa"/>
            <w:vAlign w:val="bottom"/>
            <w:tcBorders>
              <w:top w:val="single" w:sz="8" w:color="CCEEFF"/>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8"/>
              </w:rPr>
              <w:t>x</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gridSpan w:val="3"/>
          </w:tcPr>
          <w:p>
            <w:pPr>
              <w:ind w:left="20"/>
              <w:spacing w:after="0"/>
              <w:rPr>
                <w:sz w:val="20"/>
                <w:szCs w:val="20"/>
                <w:color w:val="auto"/>
              </w:rPr>
            </w:pPr>
            <w:r>
              <w:rPr>
                <w:rFonts w:ascii="Arial" w:cs="Arial" w:eastAsia="Arial" w:hAnsi="Arial"/>
                <w:sz w:val="18"/>
                <w:szCs w:val="18"/>
                <w:color w:val="auto"/>
              </w:rPr>
              <w:t>Covenant requirement</w:t>
            </w:r>
          </w:p>
        </w:tc>
        <w:tc>
          <w:tcPr>
            <w:tcW w:w="374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3.50</w:t>
            </w:r>
          </w:p>
        </w:tc>
        <w:tc>
          <w:tcPr>
            <w:tcW w:w="240" w:type="dxa"/>
            <w:vAlign w:val="bottom"/>
            <w:gridSpan w:val="3"/>
          </w:tcPr>
          <w:p>
            <w:pPr>
              <w:jc w:val="right"/>
              <w:ind w:right="140"/>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6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0"/>
              </w:rPr>
              <w:t>Ended June 30, 2020</w:t>
            </w:r>
          </w:p>
        </w:tc>
        <w:tc>
          <w:tcPr>
            <w:tcW w:w="0" w:type="dxa"/>
            <w:vAlign w:val="bottom"/>
          </w:tcPr>
          <w:p>
            <w:pPr>
              <w:spacing w:after="0"/>
              <w:rPr>
                <w:sz w:val="1"/>
                <w:szCs w:val="1"/>
                <w:color w:val="auto"/>
              </w:rPr>
            </w:pPr>
          </w:p>
        </w:tc>
      </w:tr>
      <w:tr>
        <w:trPr>
          <w:trHeight w:val="33"/>
        </w:trPr>
        <w:tc>
          <w:tcPr>
            <w:tcW w:w="280" w:type="dxa"/>
            <w:vAlign w:val="bottom"/>
            <w:tcBorders>
              <w:bottom w:val="single" w:sz="8" w:color="CCEEFF"/>
            </w:tcBorders>
            <w:gridSpan w:val="2"/>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6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14,830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gridSpan w:val="4"/>
          </w:tcPr>
          <w:p>
            <w:pPr>
              <w:ind w:left="20"/>
              <w:spacing w:after="0"/>
              <w:rPr>
                <w:sz w:val="20"/>
                <w:szCs w:val="20"/>
                <w:color w:val="auto"/>
              </w:rPr>
            </w:pPr>
            <w:r>
              <w:rPr>
                <w:rFonts w:ascii="Arial" w:cs="Arial" w:eastAsia="Arial" w:hAnsi="Arial"/>
                <w:sz w:val="18"/>
                <w:szCs w:val="18"/>
                <w:color w:val="auto"/>
              </w:rPr>
              <w:t>Bank stipulated adjustments:</w:t>
            </w: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gridSpan w:val="3"/>
          </w:tcPr>
          <w:p>
            <w:pPr>
              <w:ind w:left="240"/>
              <w:spacing w:after="0"/>
              <w:rPr>
                <w:sz w:val="20"/>
                <w:szCs w:val="20"/>
                <w:color w:val="auto"/>
              </w:rPr>
            </w:pPr>
            <w:r>
              <w:rPr>
                <w:rFonts w:ascii="Arial" w:cs="Arial" w:eastAsia="Arial" w:hAnsi="Arial"/>
                <w:sz w:val="18"/>
                <w:szCs w:val="18"/>
                <w:color w:val="auto"/>
                <w:w w:val="96"/>
              </w:rPr>
              <w:t>Non-cash amounts attributable to amortization of financing costs</w:t>
            </w: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(1,370)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gridSpan w:val="2"/>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4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12,560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jc w:val="right"/>
              <w:ind w:right="3170"/>
              <w:spacing w:after="0"/>
              <w:rPr>
                <w:sz w:val="20"/>
                <w:szCs w:val="20"/>
                <w:color w:val="auto"/>
              </w:rPr>
            </w:pPr>
            <w:r>
              <w:rPr>
                <w:rFonts w:ascii="Arial" w:cs="Arial" w:eastAsia="Arial" w:hAnsi="Arial"/>
                <w:sz w:val="18"/>
                <w:szCs w:val="18"/>
                <w:color w:val="auto"/>
              </w:rPr>
              <w:t>38</w:t>
            </w: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ind w:right="452"/>
              <w:spacing w:after="0"/>
              <w:rPr>
                <w:sz w:val="20"/>
                <w:szCs w:val="20"/>
                <w:color w:val="auto"/>
              </w:rPr>
            </w:pPr>
            <w:r>
              <w:rPr>
                <w:rFonts w:ascii="Arial" w:cs="Arial" w:eastAsia="Arial" w:hAnsi="Arial"/>
                <w:sz w:val="16"/>
                <w:szCs w:val="16"/>
                <w:b w:val="1"/>
                <w:bCs w:val="1"/>
                <w:color w:val="auto"/>
              </w:rPr>
              <w:t>June 30, 2020</w:t>
            </w:r>
          </w:p>
        </w:tc>
        <w:tc>
          <w:tcPr>
            <w:tcW w:w="220" w:type="dxa"/>
            <w:vAlign w:val="bottom"/>
          </w:tcPr>
          <w:p>
            <w:pPr>
              <w:spacing w:after="0"/>
              <w:rPr>
                <w:sz w:val="18"/>
                <w:szCs w:val="18"/>
                <w:color w:val="auto"/>
              </w:rPr>
            </w:pPr>
          </w:p>
        </w:tc>
      </w:tr>
      <w:tr>
        <w:trPr>
          <w:trHeight w:val="33"/>
        </w:trPr>
        <w:tc>
          <w:tcPr>
            <w:tcW w:w="8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Bank EBITDA, as defined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159,670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320" w:type="dxa"/>
            <w:vAlign w:val="bottom"/>
          </w:tcPr>
          <w:p>
            <w:pPr>
              <w:spacing w:after="0"/>
              <w:rPr>
                <w:sz w:val="21"/>
                <w:szCs w:val="21"/>
                <w:color w:val="auto"/>
              </w:rPr>
            </w:pP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12,560</w:t>
            </w:r>
          </w:p>
        </w:tc>
        <w:tc>
          <w:tcPr>
            <w:tcW w:w="220" w:type="dxa"/>
            <w:vAlign w:val="bottom"/>
          </w:tcPr>
          <w:p>
            <w:pPr>
              <w:spacing w:after="0"/>
              <w:rPr>
                <w:sz w:val="21"/>
                <w:szCs w:val="21"/>
                <w:color w:val="auto"/>
              </w:rPr>
            </w:pPr>
          </w:p>
        </w:tc>
      </w:tr>
      <w:tr>
        <w:trPr>
          <w:trHeight w:val="27"/>
        </w:trPr>
        <w:tc>
          <w:tcPr>
            <w:tcW w:w="8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3"/>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Actual interest expense coverage ratio</w:t>
            </w:r>
          </w:p>
        </w:tc>
        <w:tc>
          <w:tcPr>
            <w:tcW w:w="3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12.71</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w:t>
            </w:r>
          </w:p>
        </w:tc>
      </w:tr>
      <w:tr>
        <w:trPr>
          <w:trHeight w:val="257"/>
        </w:trPr>
        <w:tc>
          <w:tcPr>
            <w:tcW w:w="898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32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3.00</w:t>
            </w:r>
          </w:p>
        </w:tc>
        <w:tc>
          <w:tcPr>
            <w:tcW w:w="220" w:type="dxa"/>
            <w:vAlign w:val="bottom"/>
          </w:tcPr>
          <w:p>
            <w:pPr>
              <w:ind w:left="20"/>
              <w:spacing w:after="0"/>
              <w:rPr>
                <w:sz w:val="20"/>
                <w:szCs w:val="20"/>
                <w:color w:val="auto"/>
              </w:rPr>
            </w:pPr>
            <w:r>
              <w:rPr>
                <w:rFonts w:ascii="Arial" w:cs="Arial" w:eastAsia="Arial" w:hAnsi="Arial"/>
                <w:sz w:val="18"/>
                <w:szCs w:val="18"/>
                <w:color w:val="auto"/>
              </w:rPr>
              <w:t>x</w:t>
            </w:r>
          </w:p>
        </w:tc>
      </w:tr>
      <w:tr>
        <w:trPr>
          <w:trHeight w:val="20"/>
        </w:trPr>
        <w:tc>
          <w:tcPr>
            <w:tcW w:w="8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7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Non-cash compensation expenses resulting from the grant of equity awards.</w:t>
      </w:r>
    </w:p>
    <w:p>
      <w:pPr>
        <w:spacing w:after="0" w:line="136" w:lineRule="exact"/>
        <w:rPr>
          <w:rFonts w:ascii="Arial" w:cs="Arial" w:eastAsia="Arial" w:hAnsi="Arial"/>
          <w:sz w:val="9"/>
          <w:szCs w:val="9"/>
          <w:color w:val="auto"/>
        </w:rPr>
      </w:pPr>
    </w:p>
    <w:p>
      <w:pPr>
        <w:ind w:left="340" w:hanging="332"/>
        <w:spacing w:after="0"/>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Non-recurring costs and expenses relating to diligence and transaction costs, purchase accounting costs, severance, relocation, restructuring and curtailment expenses.</w:t>
      </w:r>
    </w:p>
    <w:p>
      <w:pPr>
        <w:spacing w:after="0" w:line="136" w:lineRule="exact"/>
        <w:rPr>
          <w:rFonts w:ascii="Arial" w:cs="Arial" w:eastAsia="Arial" w:hAnsi="Arial"/>
          <w:sz w:val="9"/>
          <w:szCs w:val="9"/>
          <w:color w:val="auto"/>
        </w:rPr>
      </w:pPr>
    </w:p>
    <w:p>
      <w:pPr>
        <w:ind w:left="340" w:hanging="332"/>
        <w:spacing w:after="0"/>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EBITDA from permitted dispositions, as defined.</w:t>
      </w:r>
    </w:p>
    <w:p>
      <w:pPr>
        <w:spacing w:after="0" w:line="136" w:lineRule="exact"/>
        <w:rPr>
          <w:rFonts w:ascii="Arial" w:cs="Arial" w:eastAsia="Arial" w:hAnsi="Arial"/>
          <w:sz w:val="9"/>
          <w:szCs w:val="9"/>
          <w:color w:val="auto"/>
        </w:rPr>
      </w:pPr>
    </w:p>
    <w:p>
      <w:pPr>
        <w:ind w:left="340" w:hanging="332"/>
        <w:spacing w:after="0"/>
        <w:tabs>
          <w:tab w:leader="none" w:pos="340" w:val="left"/>
        </w:tabs>
        <w:numPr>
          <w:ilvl w:val="0"/>
          <w:numId w:val="9"/>
        </w:numPr>
        <w:rPr>
          <w:rFonts w:ascii="Arial" w:cs="Arial" w:eastAsia="Arial" w:hAnsi="Arial"/>
          <w:sz w:val="8"/>
          <w:szCs w:val="8"/>
          <w:color w:val="auto"/>
        </w:rPr>
      </w:pPr>
      <w:r>
        <w:rPr>
          <w:rFonts w:ascii="Arial" w:cs="Arial" w:eastAsia="Arial" w:hAnsi="Arial"/>
          <w:sz w:val="13"/>
          <w:szCs w:val="13"/>
          <w:color w:val="auto"/>
        </w:rPr>
        <w:t>Senior secured indebtedness is negative at June 30, 2020 due to the deduction of certain unrestricted cash and unrestricted permitted investments as allowed under the Credit Agreement.</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June 30, 2020, we had no amounts outstanding under our revolving credit facility and had approximately $284.1 million potentially available after giving effect to approximately $15.9 million of letters of credit issued and outstanding. At December 31, 2019, we had no amounts outstanding under our revolving credit facility and had approximately $283.9 million potentially available after giving effect to approximately $16.1 million of letters of credit issued and outstanding. The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Our borrowing capacity was not reduced by leverage restrictions contained in the Credit Agreement as of June 30, 2020 and December 31, 2019.</w:t>
      </w:r>
    </w:p>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typically use cash on hand from our domestic and foreign subsidiaries to pay down amounts outstanding under our revolving credit facility, as applicable.</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weighted average borrowings during the first six months of 2020 approximated $413.6 million, compared to approximately $329.5 million during the first six months of 2019, due to our March 2020 proactive $150 million draw on our revolving credit facility to ensure availability of cash on hand given the potential uncertainty surrounding the financial markets as a result of the COVID-19 pandemic. We repaid the $150 million during second quarter 2020.</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considering the economic uncertainty surrounding the potential business impacts from the COVID-19 pandemic with respect to our operations, supply chains, distribution channels, and end-market customers, we have taken certain defensive actions as we monitor our cash position and available liquidity. These actions have included suspending our repurchase of our common stock during second quarter 2020, borrowing on our revolving credit facility, tightening our capital expenditures, advanced monitoring of our accounts receivable balances and flexing cost structures of operations expected to be most impacted by COVID-19.</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more than half of our cash on hand as of June 30, 2020 is located outside of the U.S., given available funding under our revolving credit facility of $284.1 million at June 30, 2020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variable interest rates on our revolving credit facility. At June 30, 2020, 1-Month LIBOR approximated 0.16%. At June 30, 2020, we had no amounts outstanding on our revolving credit facility and, therefore, no variable rate-based borrowings outstanding.</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our long-term debt, we have other cash commitments related to leases. We account for these lease transactions as operating leases, and annual rent expense for continuing operations related thereto approximated $7.5 million in 2019. We expect leasing will continue to be an available financing option to fund future capital expenditure requirements.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2020, we announced our Board of Directors had authorized us to increase the purchase of our common stock up to $250 million in the aggregate, an increase of $100 million from the prior authorization. In addition in March 2020, given the uncertainty surrounding the COVID-19 pandemic, we temporarily suspended our share repurchase program; therefore, we did not purchase any common stock during the three months ended June 30, 2020. In the six months ended June 30, 2020, we purchased 1,253,650 shares of our outstanding common stock for an aggregate purchase price of approximately $31.6 million. Since the initial authorization through June 30, 2020 we have purchased 2,926,332 shares of our outstanding common stock for an aggregate purchase price of approximately $80.5 million. We will continue to evaluate opportunities to return capital to shareholders through the purchase of our common stock, depending on market conditions, including the potential impact of the COVID-19 pandemic and other factors.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June 30, 2020, we were party to foreign exchange forward and swap contracts to hedge changes in foreign currency exchange rates with notional amounts of approximately $48.8 million. We also use cross-currency swap agreements to mitigate currency risks associated with the net investment in certain of our foreign subsidiaries. See Note 11,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subject to interest risk as it relates to our long-term debt. We have historically used interest rate swap agreements to fix the variable portion of our debt to manage this risk. See Note 10, "</w:t>
      </w:r>
      <w:r>
        <w:rPr>
          <w:rFonts w:ascii="Arial" w:cs="Arial" w:eastAsia="Arial" w:hAnsi="Arial"/>
          <w:sz w:val="18"/>
          <w:szCs w:val="18"/>
          <w:i w:val="1"/>
          <w:iCs w:val="1"/>
          <w:color w:val="auto"/>
        </w:rPr>
        <w:t>Long-term Debt</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 for additional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w:t>
      </w:r>
      <w:r>
        <w:rPr>
          <w:rFonts w:ascii="Arial" w:cs="Arial" w:eastAsia="Arial" w:hAnsi="Arial"/>
          <w:sz w:val="18"/>
          <w:szCs w:val="18"/>
          <w:color w:val="auto"/>
          <w:vertAlign w:val="superscript"/>
        </w:rPr>
        <w:t>SM</w:t>
      </w:r>
      <w:r>
        <w:rPr>
          <w:rFonts w:ascii="Arial" w:cs="Arial" w:eastAsia="Arial" w:hAnsi="Arial"/>
          <w:sz w:val="18"/>
          <w:szCs w:val="18"/>
          <w:color w:val="auto"/>
        </w:rPr>
        <w:t>. Our stock trades under the symbol "TRS."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and certain of our outstanding debt obligations are rated by Standard &amp; Poor's and Moody's. On June 12, 2020, Moody's affirmed a Ba3 rating to our Senior Notes, as presented in Note 10,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included in Part I, Item 1, </w:t>
      </w:r>
      <w:r>
        <w:rPr>
          <w:rFonts w:ascii="Arial" w:cs="Arial" w:eastAsia="Arial" w:hAnsi="Arial"/>
          <w:sz w:val="17"/>
          <w:szCs w:val="17"/>
          <w:i w:val="1"/>
          <w:iCs w:val="1"/>
          <w:color w:val="auto"/>
        </w:rPr>
        <w:t>"Notes to Unaudited Consolidated Financial Statements"</w:t>
      </w:r>
      <w:r>
        <w:rPr>
          <w:rFonts w:ascii="Arial" w:cs="Arial" w:eastAsia="Arial" w:hAnsi="Arial"/>
          <w:sz w:val="17"/>
          <w:szCs w:val="17"/>
          <w:color w:val="auto"/>
        </w:rPr>
        <w:t xml:space="preserve"> within this quarterly report on Form 10-Q. Moody's also affirmed a Ba2 Corporate Family Rating and maintained its outlook as stable. On February 12, 2020, Standard &amp; Poor's affirmed a BB- rating to our senior unsecured debt,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Through the first half of 2020, we experienced year-over-year overall growth in sales, driven by robust organic growth in our Packaging segment and from acquisitions, which were partially offset by organic sales decreases in our Aerospace and Specialty Products segments. We expect these general segment trends for sales to continue in the back half of 2020 compared with back half 2019, with Packaging likely to continue to experience robust demand, particularly for dispensing and closure products that help fight the spread of germs, while Specialty Products sales are expected to be lower than back half 2019 unless industrial activity begins to recover. However, we expect our Aerospace segment to experience a further sales decline in the second half of 2020, as compared to the second half of 2019, as customer orders have reduced significantly as aircraft manufacturers slow or halt production in response to low demand for new planes following the onset of the COVID-19 pandemic. Although we have taken realignment actions to somewhat mitigate the impact of the lower demand levels, a clear picture for our business has yet to emerge, and we are unable to predict the full extent or duration of these impacts at this time.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managing production capacity to prevailing demand conditions where practical and have taken steps to reduce controllable costs. As we continue to navigate through this uncertain period, our goal will be to continue to mitigate the impact of lower volumes and execute strategic manufacturing footprint actions for our businesses experiencing decreased end-market demand, so we are positioned to gain operating leverage when certain end markets begin to recover. For those end markets where demand may increase, such as for our Packaging segment's dispensers and closures used in applications that help fight the spread of germs, improve personal hygiene, and advance home and industrial cleaning, we will continue to collaborate with our customers and strategic supply partners to ensure availability of capacity to fulfill requisite orders, while also investing in localizing supply where necessary.</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continued uncertainties resulting from the COVID-19 pandemic, their potential impact to our future results of operations, as well as to TriMas' market capitalization, we may record additional cash and non-cash charges related to further realignment actions, as well for uncollectible customer account balances, excess inventory and idle production equipment. Further, we may be required to conduct an evaluation of triggering events as to whether there is a reduction in the fair value of our goodwill and intangible assets, particularly in our Aerospace divisions where the impact of COVID-19 has resulted in decreased end-market demand for our fastener and machined component product, which we believe could result in an impairment charge if the significant decline in sales that began in June 2020 continues. At this time, we are not able to practically estimate the extent or amount of such potential cash and non-cash charges.</w:t>
      </w:r>
    </w:p>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Despite the expected pressure to future demand levels and results of operations, at present, we believe our capital structure is in solid position. We believe we have sufficient headroom under our financial covenants, and ample cash and available liquidity under our revolving credit facility, to meet our debt service, capital expenditure and other short-term and long-term obligations for the foreseeable future.</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to continue to leverage the tenets of the TriMas Business Model to address the ongoing challenges presented by the COVID-19 pandemic, and on a longer-term basis, achieve our growth plans, execute continuous improvement initiatives to offset inflationary pressures, and seek lower-cost sources for input costs, all while continuously assessing the appropriateness of our manufacturing footprint and fixed-cost structure.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accounting policies require the application of significant judgment by management in selecting the appropriate assumptions used in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June 30, 2020, the Company changed its accounting policy for asbestos-related matters, for which the new policy is described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Asbestos-related Matters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accrue loss reserves for asbestos-related matters based upon an estimate of the ultimate liability for claims incurred, whether reported or not, including an estimate of future settlement costs and costs to defend. We utilize known facts and historical trends for Company-specific and general market asbestos-related activity, as well as an actuarial valuation in determining estimated required reserves which we believe are probable and reasonably estimable. Asbestos-related accruals are assessed at each balance sheet date to determine if the liability remains reasonably stated. Accruals for asbestos-related matters are included in the consolidated balance sheet in “Accrued liabilities” and “Other long-term liabilities.”</w:t>
      </w:r>
    </w:p>
    <w:p>
      <w:pPr>
        <w:spacing w:after="0" w:line="2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Other than for the accounting policy for asbestos-related matters, there were no material changes to the items that we disclosed as our critical accounting policies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the Annual Report on Form 10-K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for details about our primary market risks, and the objectives and strategies used to manage these risks. Also see Note 10, "</w:t>
      </w:r>
      <w:r>
        <w:rPr>
          <w:rFonts w:ascii="Arial" w:cs="Arial" w:eastAsia="Arial" w:hAnsi="Arial"/>
          <w:sz w:val="18"/>
          <w:szCs w:val="18"/>
          <w:i w:val="1"/>
          <w:iCs w:val="1"/>
          <w:color w:val="auto"/>
        </w:rPr>
        <w:t>Long-term Debt</w:t>
      </w:r>
      <w:r>
        <w:rPr>
          <w:rFonts w:ascii="Arial" w:cs="Arial" w:eastAsia="Arial" w:hAnsi="Arial"/>
          <w:sz w:val="18"/>
          <w:szCs w:val="18"/>
          <w:color w:val="auto"/>
        </w:rPr>
        <w:t>," and Note 11,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included within this quarterly report on Form 10-Q for additional information.</w:t>
      </w: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June 30, 2020,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June 30, 2020, the Company's disclosure controls and procedures are effective to provide reasonable assurance that they would meet their objectives.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COVID-19 pandemic, we have required certain employees, some of whom are involved in the operation of our internal controls over financial reporting, to work from home. Despite this change, there have been no changes in the Company's internal control over financial reporting during the quarter ended June 30, 2020 that have materially affected, or are reasonably likely to materially affect, the Company's internal control over financial reporting. We are continually monitoring and assessing the COVID-19 pandemic on our internal controls to minimize any impact it may have on their design and operating effectiveness.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information set forth in this report, including without limitation, the risk factor presented below, updates and should be read in conjunction with, the risk factors and information disclosed in Part 1,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year ended December 31, 2019.</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novel coronavirus (COVID-19) pandemic has had, and is expected to continue to have, a significant impact on the Company's operations and results.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late January 2020, we have been managing matters related to the global COVID-19 pandemic, including impacts to our operations and strategic supplier-partners in Asia, and, more recently, our manufacturing operations in Europe and North America. As a result of COVID-19, we have experienced temporary disruptions in the operation and workforce staffing of certain of our manufacturing facilities, as we were early adopters of many of the workplace guidelines recently published by the U.S. Centers for Disease Control and Prevention ("CDC") and took precautionary measures when necessary. COVID-19 has also affected our customers and suppliers, and we are collaborating with them to minimize supply chain disruptions. In response to the pandemic and related mitigation measures, we also implemented pandemic and business continuity plans, as well as other precautionary measures on behalf of our customers and employees, including supporting remote work opportunities for certain of our employees. While we believe that all these measures have been necessary or appropriate, they have resulted in additional costs and may adversely impact our business and financial performance in the future or expose us to additional unknown risks.</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COVID-19 pandemic has impacted our results of operations, and we expect it will continue to impact us in the future at varying levels. For example, due in part to the impact of the COVID-19 pandemic, sales for our dispensing and closure products increased, while sales in our Aerospace and Specialty Products segments decreased, in the second quarter of 2020. Although it is not possible to predict the ultimate impact of COVID-19, including on our business, results of operations, financial position or cash flows, such impacts that may be material include, but are not limited to: (i) shifting customer demand for many of our products, including those used in cosmetic, personal care, pharmaceutical, household product, food and beverage, and industrial markets, as well as aerospace markets; (ii) increased credit risk, including increased failure by customers experiencing business disruptions to make timely payments; (iii) reduced availability and productivity of employees, as well as increased costs associated with our high-deductible medical insurance plan if our employees become ill; (iv) increased operational risks as a result of manufacturing facility disruptions or remote work arrangements, including the potential effects on internal controls and procedures, as well as cybersecurity risks and increased vulnerability to security breaches, information technology disruptions and other similar events; (v) delays and disruptions in the availability of and timely delivery of materials and components used in our operations, as well as increased costs for such materials and components; (vi) customer requirements to accelerate the relocation of certain of our production lines to North America, which may increase our capital investment needs and launch costs; (vii) a negative impact on liquidity position; (viii) any impairment in value of tangible or intangible assets which could be recorded as a result of weaker economic conditions; and (ix) increased costs and less ability to access funds under our existing credit facility and the capital markets.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extent of the COVID-19 pandemic's effect on our operational and financial performance will depend in large part on future developments, which cannot be predicted with confidence at this time. Future developments include the duration, scope and severity of the pandemic, the actions taken to contain or mitigate its impact, and the resumption of widespread economic activity. In addition, because we cannot predict the impact that COVID-19 will ultimately have, the actual impact may also exacerbate other risks discussed in Item 1A. “Risk Factors” in our Annual Report on Form 10-K for the fiscal year ended December 31, 2019, any of which could have a material effect on us.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about purchases made by the Company, or on behalf of the Company by an affiliated purchaser, of shares of the Company's common stock during the three months ended June 30, 2020.</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6"/>
              </w:rPr>
              <w:t>Shares Purchased as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Value of Shares that</w:t>
            </w:r>
          </w:p>
        </w:tc>
      </w:tr>
      <w:tr>
        <w:trPr>
          <w:trHeight w:val="203"/>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ind w:left="260"/>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7"/>
                <w:szCs w:val="17"/>
                <w:color w:val="auto"/>
              </w:rPr>
            </w:pPr>
          </w:p>
        </w:tc>
        <w:tc>
          <w:tcPr>
            <w:tcW w:w="180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Average Price Paid per</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7"/>
                <w:szCs w:val="17"/>
                <w:color w:val="auto"/>
              </w:rPr>
            </w:pPr>
          </w:p>
        </w:tc>
        <w:tc>
          <w:tcPr>
            <w:tcW w:w="1800" w:type="dxa"/>
            <w:vAlign w:val="bottom"/>
            <w:gridSpan w:val="2"/>
          </w:tcPr>
          <w:p>
            <w:pPr>
              <w:jc w:val="right"/>
              <w:ind w:right="34"/>
              <w:spacing w:after="0"/>
              <w:rPr>
                <w:sz w:val="20"/>
                <w:szCs w:val="20"/>
                <w:color w:val="auto"/>
              </w:rPr>
            </w:pPr>
            <w:r>
              <w:rPr>
                <w:rFonts w:ascii="Arial" w:cs="Arial" w:eastAsia="Arial" w:hAnsi="Arial"/>
                <w:sz w:val="16"/>
                <w:szCs w:val="16"/>
                <w:b w:val="1"/>
                <w:bCs w:val="1"/>
                <w:color w:val="auto"/>
                <w:w w:val="96"/>
              </w:rPr>
              <w:t>May Yet Be Purchased</w:t>
            </w:r>
          </w:p>
        </w:tc>
      </w:tr>
      <w:tr>
        <w:trPr>
          <w:trHeight w:val="243"/>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4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Shares Purchased</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 xml:space="preserve">Programs </w:t>
            </w:r>
            <w:r>
              <w:rPr>
                <w:rFonts w:ascii="Arial" w:cs="Arial" w:eastAsia="Arial" w:hAnsi="Arial"/>
                <w:sz w:val="21"/>
                <w:szCs w:val="21"/>
                <w:b w:val="1"/>
                <w:bCs w:val="1"/>
                <w:color w:val="auto"/>
                <w:w w:val="87"/>
                <w:vertAlign w:val="superscript"/>
              </w:rPr>
              <w:t>(1)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1"/>
              </w:rPr>
              <w:t xml:space="preserve">Under the Program </w:t>
            </w:r>
            <w:r>
              <w:rPr>
                <w:rFonts w:ascii="Arial" w:cs="Arial" w:eastAsia="Arial" w:hAnsi="Arial"/>
                <w:sz w:val="21"/>
                <w:szCs w:val="21"/>
                <w:b w:val="1"/>
                <w:bCs w:val="1"/>
                <w:color w:val="auto"/>
                <w:w w:val="91"/>
                <w:vertAlign w:val="superscript"/>
              </w:rPr>
              <w:t>(1)</w:t>
            </w:r>
          </w:p>
        </w:tc>
      </w:tr>
      <w:tr>
        <w:trPr>
          <w:trHeight w:val="243"/>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2020 to April 30, 2020</w:t>
            </w:r>
          </w:p>
        </w:tc>
        <w:tc>
          <w:tcPr>
            <w:tcW w:w="16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169,543,834</w:t>
            </w: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May 1, 2020 to May 31, 2020</w:t>
            </w:r>
          </w:p>
        </w:tc>
        <w:tc>
          <w:tcPr>
            <w:tcW w:w="1680" w:type="dxa"/>
            <w:vAlign w:val="bottom"/>
          </w:tcPr>
          <w:p>
            <w:pPr>
              <w:ind w:left="14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680" w:type="dxa"/>
            <w:vAlign w:val="bottom"/>
          </w:tcPr>
          <w:p>
            <w:pPr>
              <w:ind w:left="13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169,543,834</w:t>
            </w:r>
          </w:p>
        </w:tc>
      </w:tr>
      <w:tr>
        <w:trPr>
          <w:trHeight w:val="27"/>
        </w:trPr>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2020 to June 30, 2020</w:t>
            </w:r>
          </w:p>
        </w:tc>
        <w:tc>
          <w:tcPr>
            <w:tcW w:w="16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169,543,834</w:t>
            </w:r>
          </w:p>
        </w:tc>
      </w:tr>
      <w:tr>
        <w:trPr>
          <w:trHeight w:val="257"/>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169,543,834</w:t>
            </w: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jc w:val="both"/>
        <w:ind w:left="340" w:hanging="332"/>
        <w:spacing w:after="0" w:line="252" w:lineRule="auto"/>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In March 2020, the Company announced its Board of Directors had authorized the Company to increase the purchase of its common stock up to $250 million in the aggregate from its previous authorization of $150 million. The increased authorization includes the value of shares already purchased under the previous authorization. Pursuant to this share repurchase program, during the three months ended June 30, 2020, the Company did not repurchase any shares of its common stock. The share repurchase program is effective and has no expiration date.</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5"/>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11200" w:type="dxa"/>
            <w:vAlign w:val="bottom"/>
            <w:gridSpan w:val="6"/>
          </w:tcPr>
          <w:p>
            <w:pPr>
              <w:spacing w:after="0"/>
              <w:rPr>
                <w:sz w:val="20"/>
                <w:szCs w:val="20"/>
                <w:color w:val="auto"/>
              </w:rPr>
            </w:pPr>
            <w:r>
              <w:rPr>
                <w:rFonts w:ascii="Arial" w:cs="Arial" w:eastAsia="Arial" w:hAnsi="Arial"/>
                <w:sz w:val="18"/>
                <w:szCs w:val="18"/>
                <w:b w:val="1"/>
                <w:bCs w:val="1"/>
                <w:color w:val="auto"/>
              </w:rPr>
              <w:t>Exhibits Index:</w:t>
            </w:r>
          </w:p>
        </w:tc>
      </w:tr>
      <w:tr>
        <w:trPr>
          <w:trHeight w:val="553"/>
        </w:trPr>
        <w:tc>
          <w:tcPr>
            <w:tcW w:w="640" w:type="dxa"/>
            <w:vAlign w:val="bottom"/>
          </w:tcPr>
          <w:p>
            <w:pPr>
              <w:ind w:left="40"/>
              <w:spacing w:after="0"/>
              <w:rPr>
                <w:sz w:val="20"/>
                <w:szCs w:val="20"/>
                <w:color w:val="auto"/>
              </w:rPr>
            </w:pPr>
            <w:r>
              <w:rPr>
                <w:rFonts w:ascii="Arial" w:cs="Arial" w:eastAsia="Arial" w:hAnsi="Arial"/>
                <w:sz w:val="18"/>
                <w:szCs w:val="18"/>
                <w:color w:val="auto"/>
              </w:rPr>
              <w:t>3.1</w:t>
            </w:r>
          </w:p>
        </w:tc>
        <w:tc>
          <w:tcPr>
            <w:tcW w:w="1080" w:type="dxa"/>
            <w:vAlign w:val="bottom"/>
          </w:tcPr>
          <w:p>
            <w:pPr>
              <w:spacing w:after="0"/>
              <w:rPr>
                <w:sz w:val="24"/>
                <w:szCs w:val="24"/>
                <w:color w:val="auto"/>
              </w:rPr>
            </w:pPr>
          </w:p>
        </w:tc>
        <w:tc>
          <w:tcPr>
            <w:tcW w:w="9480" w:type="dxa"/>
            <w:vAlign w:val="bottom"/>
            <w:gridSpan w:val="4"/>
          </w:tcPr>
          <w:p>
            <w:pPr>
              <w:spacing w:after="0"/>
              <w:rPr>
                <w:rFonts w:ascii="Arial" w:cs="Arial" w:eastAsia="Arial" w:hAnsi="Arial"/>
                <w:sz w:val="18"/>
                <w:szCs w:val="18"/>
                <w:color w:val="0000FF"/>
                <w:w w:val="93"/>
              </w:rPr>
            </w:pPr>
            <w:hyperlink r:id="rId9">
              <w:r>
                <w:rPr>
                  <w:rFonts w:ascii="Arial" w:cs="Arial" w:eastAsia="Arial" w:hAnsi="Arial"/>
                  <w:sz w:val="18"/>
                  <w:szCs w:val="18"/>
                  <w:color w:val="0000FF"/>
                  <w:w w:val="93"/>
                </w:rPr>
                <w:t>Fourth Amended and Restated Certificate of Incorporation of TriMas Corporation (Incorporated by reference to the Exhibits filed</w:t>
              </w:r>
            </w:hyperlink>
          </w:p>
        </w:tc>
      </w:tr>
      <w:tr>
        <w:trPr>
          <w:trHeight w:val="237"/>
        </w:trPr>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320" w:type="dxa"/>
            <w:vAlign w:val="bottom"/>
            <w:tcBorders>
              <w:top w:val="single" w:sz="8" w:color="0000FF"/>
            </w:tcBorders>
            <w:gridSpan w:val="3"/>
          </w:tcPr>
          <w:p>
            <w:pPr>
              <w:spacing w:after="0"/>
              <w:rPr>
                <w:rFonts w:ascii="Arial" w:cs="Arial" w:eastAsia="Arial" w:hAnsi="Arial"/>
                <w:sz w:val="18"/>
                <w:szCs w:val="18"/>
                <w:u w:val="single" w:color="auto"/>
                <w:color w:val="0000FF"/>
              </w:rPr>
            </w:pPr>
            <w:hyperlink r:id="rId9">
              <w:r>
                <w:rPr>
                  <w:rFonts w:ascii="Arial" w:cs="Arial" w:eastAsia="Arial" w:hAnsi="Arial"/>
                  <w:sz w:val="18"/>
                  <w:szCs w:val="18"/>
                  <w:u w:val="single" w:color="auto"/>
                  <w:color w:val="0000FF"/>
                </w:rPr>
                <w:t>with TriMas Corporation's Quarterly Report on Form 10-Q filed on August 3, 2007 (File No. 001-10716)).</w:t>
              </w:r>
            </w:hyperlink>
          </w:p>
        </w:tc>
        <w:tc>
          <w:tcPr>
            <w:tcW w:w="160" w:type="dxa"/>
            <w:vAlign w:val="bottom"/>
          </w:tcPr>
          <w:p>
            <w:pPr>
              <w:spacing w:after="0"/>
              <w:rPr>
                <w:sz w:val="20"/>
                <w:szCs w:val="20"/>
                <w:color w:val="auto"/>
              </w:rPr>
            </w:pPr>
          </w:p>
        </w:tc>
      </w:tr>
      <w:tr>
        <w:trPr>
          <w:trHeight w:val="230"/>
        </w:trPr>
        <w:tc>
          <w:tcPr>
            <w:tcW w:w="640" w:type="dxa"/>
            <w:vAlign w:val="bottom"/>
          </w:tcPr>
          <w:p>
            <w:pPr>
              <w:ind w:left="40"/>
              <w:spacing w:after="0"/>
              <w:rPr>
                <w:sz w:val="20"/>
                <w:szCs w:val="20"/>
                <w:color w:val="auto"/>
              </w:rPr>
            </w:pPr>
            <w:r>
              <w:rPr>
                <w:rFonts w:ascii="Arial" w:cs="Arial" w:eastAsia="Arial" w:hAnsi="Arial"/>
                <w:sz w:val="18"/>
                <w:szCs w:val="18"/>
                <w:color w:val="auto"/>
              </w:rPr>
              <w:t>3.2</w:t>
            </w:r>
          </w:p>
        </w:tc>
        <w:tc>
          <w:tcPr>
            <w:tcW w:w="1080" w:type="dxa"/>
            <w:vAlign w:val="bottom"/>
          </w:tcPr>
          <w:p>
            <w:pPr>
              <w:spacing w:after="0"/>
              <w:rPr>
                <w:sz w:val="19"/>
                <w:szCs w:val="19"/>
                <w:color w:val="auto"/>
              </w:rPr>
            </w:pPr>
          </w:p>
        </w:tc>
        <w:tc>
          <w:tcPr>
            <w:tcW w:w="9480" w:type="dxa"/>
            <w:vAlign w:val="bottom"/>
            <w:gridSpan w:val="4"/>
          </w:tcPr>
          <w:p>
            <w:pPr>
              <w:spacing w:after="0"/>
              <w:rPr>
                <w:rFonts w:ascii="Arial" w:cs="Arial" w:eastAsia="Arial" w:hAnsi="Arial"/>
                <w:sz w:val="18"/>
                <w:szCs w:val="18"/>
                <w:color w:val="0000FF"/>
                <w:w w:val="99"/>
              </w:rPr>
            </w:pPr>
            <w:hyperlink r:id="rId10">
              <w:r>
                <w:rPr>
                  <w:rFonts w:ascii="Arial" w:cs="Arial" w:eastAsia="Arial" w:hAnsi="Arial"/>
                  <w:sz w:val="18"/>
                  <w:szCs w:val="18"/>
                  <w:color w:val="0000FF"/>
                  <w:w w:val="99"/>
                </w:rPr>
                <w:t>Third Amended and Restated By-laws of TriMas Corporation (Incorporated by reference to the Exhibits filed with TriMas</w:t>
              </w:r>
            </w:hyperlink>
          </w:p>
        </w:tc>
      </w:tr>
      <w:tr>
        <w:trPr>
          <w:trHeight w:val="196"/>
        </w:trPr>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r:id="rId10">
              <w:r>
                <w:rPr>
                  <w:rFonts w:ascii="Arial" w:cs="Arial" w:eastAsia="Arial" w:hAnsi="Arial"/>
                  <w:sz w:val="18"/>
                  <w:szCs w:val="18"/>
                  <w:color w:val="0000FF"/>
                  <w:w w:val="91"/>
                </w:rPr>
                <w:t>Corporation's Current Report on Form 8-K filed on December 18, 2015 (File No. 001-10716)).</w:t>
              </w:r>
            </w:hyperlink>
          </w:p>
        </w:tc>
        <w:tc>
          <w:tcPr>
            <w:tcW w:w="1960" w:type="dxa"/>
            <w:vAlign w:val="bottom"/>
            <w:tcBorders>
              <w:top w:val="single" w:sz="8" w:color="0000FF"/>
            </w:tcBorders>
          </w:tcPr>
          <w:p>
            <w:pPr>
              <w:spacing w:after="0"/>
              <w:rPr>
                <w:sz w:val="17"/>
                <w:szCs w:val="17"/>
                <w:color w:val="auto"/>
              </w:rPr>
            </w:pPr>
          </w:p>
        </w:tc>
        <w:tc>
          <w:tcPr>
            <w:tcW w:w="680" w:type="dxa"/>
            <w:vAlign w:val="bottom"/>
            <w:gridSpan w:val="2"/>
          </w:tcPr>
          <w:p>
            <w:pPr>
              <w:spacing w:after="0"/>
              <w:rPr>
                <w:sz w:val="17"/>
                <w:szCs w:val="17"/>
                <w:color w:val="auto"/>
              </w:rPr>
            </w:pPr>
          </w:p>
        </w:tc>
      </w:tr>
      <w:tr>
        <w:trPr>
          <w:trHeight w:val="290"/>
        </w:trPr>
        <w:tc>
          <w:tcPr>
            <w:tcW w:w="640" w:type="dxa"/>
            <w:vAlign w:val="bottom"/>
          </w:tcPr>
          <w:p>
            <w:pPr>
              <w:ind w:left="40"/>
              <w:spacing w:after="0"/>
              <w:rPr>
                <w:sz w:val="20"/>
                <w:szCs w:val="20"/>
                <w:color w:val="auto"/>
              </w:rPr>
            </w:pPr>
            <w:r>
              <w:rPr>
                <w:rFonts w:ascii="Arial" w:cs="Arial" w:eastAsia="Arial" w:hAnsi="Arial"/>
                <w:sz w:val="18"/>
                <w:szCs w:val="18"/>
                <w:color w:val="auto"/>
              </w:rPr>
              <w:t>31.1</w:t>
            </w:r>
          </w:p>
        </w:tc>
        <w:tc>
          <w:tcPr>
            <w:tcW w:w="1080" w:type="dxa"/>
            <w:vAlign w:val="bottom"/>
          </w:tcPr>
          <w:p>
            <w:pPr>
              <w:spacing w:after="0"/>
              <w:rPr>
                <w:sz w:val="24"/>
                <w:szCs w:val="24"/>
                <w:color w:val="auto"/>
              </w:rPr>
            </w:pPr>
          </w:p>
        </w:tc>
        <w:tc>
          <w:tcPr>
            <w:tcW w:w="9480" w:type="dxa"/>
            <w:vAlign w:val="bottom"/>
            <w:gridSpan w:val="4"/>
          </w:tcPr>
          <w:p>
            <w:pPr>
              <w:spacing w:after="0" w:line="207" w:lineRule="exact"/>
              <w:rPr>
                <w:rFonts w:ascii="Arial" w:cs="Arial" w:eastAsia="Arial" w:hAnsi="Arial"/>
                <w:sz w:val="18"/>
                <w:szCs w:val="18"/>
                <w:u w:val="single" w:color="auto"/>
                <w:color w:val="0000FF"/>
                <w:w w:val="98"/>
              </w:rPr>
            </w:pPr>
            <w:hyperlink w:anchor="page48">
              <w:r>
                <w:rPr>
                  <w:rFonts w:ascii="Arial" w:cs="Arial" w:eastAsia="Arial" w:hAnsi="Arial"/>
                  <w:sz w:val="18"/>
                  <w:szCs w:val="18"/>
                  <w:u w:val="single" w:color="auto"/>
                  <w:color w:val="0000FF"/>
                  <w:w w:val="98"/>
                </w:rPr>
                <w:t>Certification pursuant to 18 U.S.C. Section 1350, as adopted pursuant to Section 302 of the Sarbanes</w:t>
              </w:r>
              <w:r>
                <w:rPr>
                  <w:rFonts w:ascii="MS PGothic" w:cs="MS PGothic" w:eastAsia="MS PGothic" w:hAnsi="MS PGothic"/>
                  <w:sz w:val="18"/>
                  <w:szCs w:val="18"/>
                  <w:u w:val="single" w:color="auto"/>
                  <w:color w:val="0000FF"/>
                  <w:w w:val="98"/>
                </w:rPr>
                <w:t>‑</w:t>
              </w:r>
              <w:r>
                <w:rPr>
                  <w:rFonts w:ascii="Arial" w:cs="Arial" w:eastAsia="Arial" w:hAnsi="Arial"/>
                  <w:sz w:val="18"/>
                  <w:szCs w:val="18"/>
                  <w:u w:val="single" w:color="auto"/>
                  <w:color w:val="0000FF"/>
                  <w:w w:val="98"/>
                </w:rPr>
                <w:t>Oxley Act of 2002.</w:t>
              </w:r>
            </w:hyperlink>
          </w:p>
        </w:tc>
      </w:tr>
      <w:tr>
        <w:trPr>
          <w:trHeight w:val="270"/>
        </w:trPr>
        <w:tc>
          <w:tcPr>
            <w:tcW w:w="640" w:type="dxa"/>
            <w:vAlign w:val="bottom"/>
          </w:tcPr>
          <w:p>
            <w:pPr>
              <w:ind w:left="40"/>
              <w:spacing w:after="0"/>
              <w:rPr>
                <w:sz w:val="20"/>
                <w:szCs w:val="20"/>
                <w:color w:val="auto"/>
              </w:rPr>
            </w:pPr>
            <w:r>
              <w:rPr>
                <w:rFonts w:ascii="Arial" w:cs="Arial" w:eastAsia="Arial" w:hAnsi="Arial"/>
                <w:sz w:val="18"/>
                <w:szCs w:val="18"/>
                <w:color w:val="auto"/>
              </w:rPr>
              <w:t>31.2</w:t>
            </w:r>
          </w:p>
        </w:tc>
        <w:tc>
          <w:tcPr>
            <w:tcW w:w="1080" w:type="dxa"/>
            <w:vAlign w:val="bottom"/>
          </w:tcPr>
          <w:p>
            <w:pPr>
              <w:spacing w:after="0"/>
              <w:rPr>
                <w:sz w:val="23"/>
                <w:szCs w:val="23"/>
                <w:color w:val="auto"/>
              </w:rPr>
            </w:pPr>
          </w:p>
        </w:tc>
        <w:tc>
          <w:tcPr>
            <w:tcW w:w="9480" w:type="dxa"/>
            <w:vAlign w:val="bottom"/>
            <w:gridSpan w:val="4"/>
          </w:tcPr>
          <w:p>
            <w:pPr>
              <w:spacing w:after="0" w:line="207" w:lineRule="exact"/>
              <w:rPr>
                <w:rFonts w:ascii="Arial" w:cs="Arial" w:eastAsia="Arial" w:hAnsi="Arial"/>
                <w:sz w:val="18"/>
                <w:szCs w:val="18"/>
                <w:u w:val="single" w:color="auto"/>
                <w:color w:val="0000FF"/>
                <w:w w:val="98"/>
              </w:rPr>
            </w:pPr>
            <w:hyperlink w:anchor="page49">
              <w:r>
                <w:rPr>
                  <w:rFonts w:ascii="Arial" w:cs="Arial" w:eastAsia="Arial" w:hAnsi="Arial"/>
                  <w:sz w:val="18"/>
                  <w:szCs w:val="18"/>
                  <w:u w:val="single" w:color="auto"/>
                  <w:color w:val="0000FF"/>
                  <w:w w:val="98"/>
                </w:rPr>
                <w:t>Certification pursuant to 18 U.S.C. Section 1350, as adopted pursuant to Section 302 of the Sarbanes</w:t>
              </w:r>
              <w:r>
                <w:rPr>
                  <w:rFonts w:ascii="MS PGothic" w:cs="MS PGothic" w:eastAsia="MS PGothic" w:hAnsi="MS PGothic"/>
                  <w:sz w:val="18"/>
                  <w:szCs w:val="18"/>
                  <w:u w:val="single" w:color="auto"/>
                  <w:color w:val="0000FF"/>
                  <w:w w:val="98"/>
                </w:rPr>
                <w:t>‑</w:t>
              </w:r>
              <w:r>
                <w:rPr>
                  <w:rFonts w:ascii="Arial" w:cs="Arial" w:eastAsia="Arial" w:hAnsi="Arial"/>
                  <w:sz w:val="18"/>
                  <w:szCs w:val="18"/>
                  <w:u w:val="single" w:color="auto"/>
                  <w:color w:val="0000FF"/>
                  <w:w w:val="98"/>
                </w:rPr>
                <w:t>Oxley Act of 2002.</w:t>
              </w:r>
            </w:hyperlink>
          </w:p>
        </w:tc>
      </w:tr>
      <w:tr>
        <w:trPr>
          <w:trHeight w:val="270"/>
        </w:trPr>
        <w:tc>
          <w:tcPr>
            <w:tcW w:w="640" w:type="dxa"/>
            <w:vAlign w:val="bottom"/>
          </w:tcPr>
          <w:p>
            <w:pPr>
              <w:ind w:left="40"/>
              <w:spacing w:after="0"/>
              <w:rPr>
                <w:sz w:val="20"/>
                <w:szCs w:val="20"/>
                <w:color w:val="auto"/>
              </w:rPr>
            </w:pPr>
            <w:r>
              <w:rPr>
                <w:rFonts w:ascii="Arial" w:cs="Arial" w:eastAsia="Arial" w:hAnsi="Arial"/>
                <w:sz w:val="18"/>
                <w:szCs w:val="18"/>
                <w:color w:val="auto"/>
              </w:rPr>
              <w:t>32.1</w:t>
            </w:r>
          </w:p>
        </w:tc>
        <w:tc>
          <w:tcPr>
            <w:tcW w:w="1080" w:type="dxa"/>
            <w:vAlign w:val="bottom"/>
          </w:tcPr>
          <w:p>
            <w:pPr>
              <w:spacing w:after="0"/>
              <w:rPr>
                <w:sz w:val="23"/>
                <w:szCs w:val="23"/>
                <w:color w:val="auto"/>
              </w:rPr>
            </w:pPr>
          </w:p>
        </w:tc>
        <w:tc>
          <w:tcPr>
            <w:tcW w:w="9480" w:type="dxa"/>
            <w:vAlign w:val="bottom"/>
            <w:gridSpan w:val="4"/>
          </w:tcPr>
          <w:p>
            <w:pPr>
              <w:spacing w:after="0" w:line="207" w:lineRule="exact"/>
              <w:rPr>
                <w:rFonts w:ascii="Arial" w:cs="Arial" w:eastAsia="Arial" w:hAnsi="Arial"/>
                <w:sz w:val="18"/>
                <w:szCs w:val="18"/>
                <w:u w:val="single" w:color="auto"/>
                <w:color w:val="0000FF"/>
                <w:w w:val="98"/>
              </w:rPr>
            </w:pPr>
            <w:hyperlink w:anchor="page50">
              <w:r>
                <w:rPr>
                  <w:rFonts w:ascii="Arial" w:cs="Arial" w:eastAsia="Arial" w:hAnsi="Arial"/>
                  <w:sz w:val="18"/>
                  <w:szCs w:val="18"/>
                  <w:u w:val="single" w:color="auto"/>
                  <w:color w:val="0000FF"/>
                  <w:w w:val="98"/>
                </w:rPr>
                <w:t>Certification pursuant to 18 U.S.C. Section 1350, as adopted pursuant to Section 906 of the Sarbanes</w:t>
              </w:r>
              <w:r>
                <w:rPr>
                  <w:rFonts w:ascii="MS PGothic" w:cs="MS PGothic" w:eastAsia="MS PGothic" w:hAnsi="MS PGothic"/>
                  <w:sz w:val="18"/>
                  <w:szCs w:val="18"/>
                  <w:u w:val="single" w:color="auto"/>
                  <w:color w:val="0000FF"/>
                  <w:w w:val="98"/>
                </w:rPr>
                <w:t>‑</w:t>
              </w:r>
              <w:r>
                <w:rPr>
                  <w:rFonts w:ascii="Arial" w:cs="Arial" w:eastAsia="Arial" w:hAnsi="Arial"/>
                  <w:sz w:val="18"/>
                  <w:szCs w:val="18"/>
                  <w:u w:val="single" w:color="auto"/>
                  <w:color w:val="0000FF"/>
                  <w:w w:val="98"/>
                </w:rPr>
                <w:t>Oxley Act of 2002.</w:t>
              </w:r>
            </w:hyperlink>
          </w:p>
        </w:tc>
      </w:tr>
      <w:tr>
        <w:trPr>
          <w:trHeight w:val="270"/>
        </w:trPr>
        <w:tc>
          <w:tcPr>
            <w:tcW w:w="640" w:type="dxa"/>
            <w:vAlign w:val="bottom"/>
          </w:tcPr>
          <w:p>
            <w:pPr>
              <w:ind w:left="40"/>
              <w:spacing w:after="0"/>
              <w:rPr>
                <w:sz w:val="20"/>
                <w:szCs w:val="20"/>
                <w:color w:val="auto"/>
              </w:rPr>
            </w:pPr>
            <w:r>
              <w:rPr>
                <w:rFonts w:ascii="Arial" w:cs="Arial" w:eastAsia="Arial" w:hAnsi="Arial"/>
                <w:sz w:val="18"/>
                <w:szCs w:val="18"/>
                <w:color w:val="auto"/>
              </w:rPr>
              <w:t>32.2</w:t>
            </w:r>
          </w:p>
        </w:tc>
        <w:tc>
          <w:tcPr>
            <w:tcW w:w="1080" w:type="dxa"/>
            <w:vAlign w:val="bottom"/>
          </w:tcPr>
          <w:p>
            <w:pPr>
              <w:spacing w:after="0"/>
              <w:rPr>
                <w:sz w:val="23"/>
                <w:szCs w:val="23"/>
                <w:color w:val="auto"/>
              </w:rPr>
            </w:pPr>
          </w:p>
        </w:tc>
        <w:tc>
          <w:tcPr>
            <w:tcW w:w="9480" w:type="dxa"/>
            <w:vAlign w:val="bottom"/>
            <w:gridSpan w:val="4"/>
          </w:tcPr>
          <w:p>
            <w:pPr>
              <w:spacing w:after="0" w:line="207" w:lineRule="exact"/>
              <w:rPr>
                <w:rFonts w:ascii="Arial" w:cs="Arial" w:eastAsia="Arial" w:hAnsi="Arial"/>
                <w:sz w:val="18"/>
                <w:szCs w:val="18"/>
                <w:u w:val="single" w:color="auto"/>
                <w:color w:val="0000FF"/>
                <w:w w:val="98"/>
              </w:rPr>
            </w:pPr>
            <w:hyperlink w:anchor="page51">
              <w:r>
                <w:rPr>
                  <w:rFonts w:ascii="Arial" w:cs="Arial" w:eastAsia="Arial" w:hAnsi="Arial"/>
                  <w:sz w:val="18"/>
                  <w:szCs w:val="18"/>
                  <w:u w:val="single" w:color="auto"/>
                  <w:color w:val="0000FF"/>
                  <w:w w:val="98"/>
                </w:rPr>
                <w:t>Certification pursuant to 18 U.S.C. Section 1350, as adopted pursuant to Section 906 of the Sarbanes</w:t>
              </w:r>
              <w:r>
                <w:rPr>
                  <w:rFonts w:ascii="MS PGothic" w:cs="MS PGothic" w:eastAsia="MS PGothic" w:hAnsi="MS PGothic"/>
                  <w:sz w:val="18"/>
                  <w:szCs w:val="18"/>
                  <w:u w:val="single" w:color="auto"/>
                  <w:color w:val="0000FF"/>
                  <w:w w:val="98"/>
                </w:rPr>
                <w:t>‑</w:t>
              </w:r>
              <w:r>
                <w:rPr>
                  <w:rFonts w:ascii="Arial" w:cs="Arial" w:eastAsia="Arial" w:hAnsi="Arial"/>
                  <w:sz w:val="18"/>
                  <w:szCs w:val="18"/>
                  <w:u w:val="single" w:color="auto"/>
                  <w:color w:val="0000FF"/>
                  <w:w w:val="98"/>
                </w:rPr>
                <w:t>Oxley Act of 2002.</w:t>
              </w:r>
            </w:hyperlink>
          </w:p>
        </w:tc>
      </w:tr>
      <w:tr>
        <w:trPr>
          <w:trHeight w:val="256"/>
        </w:trPr>
        <w:tc>
          <w:tcPr>
            <w:tcW w:w="640" w:type="dxa"/>
            <w:vAlign w:val="bottom"/>
          </w:tcPr>
          <w:p>
            <w:pPr>
              <w:ind w:left="40"/>
              <w:spacing w:after="0"/>
              <w:rPr>
                <w:sz w:val="20"/>
                <w:szCs w:val="20"/>
                <w:color w:val="auto"/>
              </w:rPr>
            </w:pPr>
            <w:r>
              <w:rPr>
                <w:rFonts w:ascii="Arial" w:cs="Arial" w:eastAsia="Arial" w:hAnsi="Arial"/>
                <w:sz w:val="18"/>
                <w:szCs w:val="18"/>
                <w:color w:val="auto"/>
              </w:rPr>
              <w:t>101</w:t>
            </w:r>
          </w:p>
        </w:tc>
        <w:tc>
          <w:tcPr>
            <w:tcW w:w="1080" w:type="dxa"/>
            <w:vAlign w:val="bottom"/>
          </w:tcPr>
          <w:p>
            <w:pPr>
              <w:spacing w:after="0"/>
              <w:rPr>
                <w:sz w:val="22"/>
                <w:szCs w:val="22"/>
                <w:color w:val="auto"/>
              </w:rPr>
            </w:pPr>
          </w:p>
        </w:tc>
        <w:tc>
          <w:tcPr>
            <w:tcW w:w="9480" w:type="dxa"/>
            <w:vAlign w:val="bottom"/>
            <w:gridSpan w:val="4"/>
          </w:tcPr>
          <w:p>
            <w:pPr>
              <w:spacing w:after="0"/>
              <w:rPr>
                <w:sz w:val="20"/>
                <w:szCs w:val="20"/>
                <w:color w:val="auto"/>
              </w:rPr>
            </w:pPr>
            <w:r>
              <w:rPr>
                <w:rFonts w:ascii="Arial" w:cs="Arial" w:eastAsia="Arial" w:hAnsi="Arial"/>
                <w:sz w:val="18"/>
                <w:szCs w:val="18"/>
                <w:color w:val="auto"/>
                <w:w w:val="91"/>
              </w:rPr>
              <w:t>The following materials from TriMas Corporation's Quarterly Report on Form 10-Q for the quarter ended June 30, 2020, formatted</w:t>
            </w:r>
          </w:p>
        </w:tc>
      </w:tr>
      <w:tr>
        <w:trPr>
          <w:trHeight w:val="216"/>
        </w:trPr>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80" w:type="dxa"/>
            <w:vAlign w:val="bottom"/>
            <w:gridSpan w:val="4"/>
          </w:tcPr>
          <w:p>
            <w:pPr>
              <w:spacing w:after="0"/>
              <w:rPr>
                <w:sz w:val="20"/>
                <w:szCs w:val="20"/>
                <w:color w:val="auto"/>
              </w:rPr>
            </w:pPr>
            <w:r>
              <w:rPr>
                <w:rFonts w:ascii="Arial" w:cs="Arial" w:eastAsia="Arial" w:hAnsi="Arial"/>
                <w:sz w:val="18"/>
                <w:szCs w:val="18"/>
                <w:color w:val="auto"/>
                <w:w w:val="92"/>
              </w:rPr>
              <w:t>in Inline XBRL (eXtensible Business Reporting Language): (i) the Consolidated Balance Sheet, (ii) the Consolidated Statement of</w:t>
            </w:r>
          </w:p>
        </w:tc>
      </w:tr>
      <w:tr>
        <w:trPr>
          <w:trHeight w:val="216"/>
        </w:trPr>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80" w:type="dxa"/>
            <w:vAlign w:val="bottom"/>
            <w:gridSpan w:val="4"/>
          </w:tcPr>
          <w:p>
            <w:pPr>
              <w:spacing w:after="0"/>
              <w:rPr>
                <w:sz w:val="20"/>
                <w:szCs w:val="20"/>
                <w:color w:val="auto"/>
              </w:rPr>
            </w:pPr>
            <w:r>
              <w:rPr>
                <w:rFonts w:ascii="Arial" w:cs="Arial" w:eastAsia="Arial" w:hAnsi="Arial"/>
                <w:sz w:val="18"/>
                <w:szCs w:val="18"/>
                <w:color w:val="auto"/>
                <w:w w:val="93"/>
              </w:rPr>
              <w:t>Operations, (iii) the Consolidated Statement of Comprehensive Income, (iv) the Consolidated Statement of Cash Flows, (v) the</w:t>
            </w:r>
          </w:p>
        </w:tc>
      </w:tr>
      <w:tr>
        <w:trPr>
          <w:trHeight w:val="216"/>
        </w:trPr>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80" w:type="dxa"/>
            <w:vAlign w:val="bottom"/>
            <w:gridSpan w:val="4"/>
          </w:tcPr>
          <w:p>
            <w:pPr>
              <w:spacing w:after="0"/>
              <w:rPr>
                <w:sz w:val="20"/>
                <w:szCs w:val="20"/>
                <w:color w:val="auto"/>
              </w:rPr>
            </w:pPr>
            <w:r>
              <w:rPr>
                <w:rFonts w:ascii="Arial" w:cs="Arial" w:eastAsia="Arial" w:hAnsi="Arial"/>
                <w:sz w:val="18"/>
                <w:szCs w:val="18"/>
                <w:color w:val="auto"/>
                <w:w w:val="93"/>
              </w:rPr>
              <w:t>Consolidated Statement of Shareholders' Equity, (vi) Notes to Consolidated Financial Statements, and (vii) document and entity</w:t>
            </w:r>
          </w:p>
        </w:tc>
      </w:tr>
      <w:tr>
        <w:trPr>
          <w:trHeight w:val="230"/>
        </w:trPr>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80" w:type="dxa"/>
            <w:vAlign w:val="bottom"/>
            <w:gridSpan w:val="4"/>
          </w:tcPr>
          <w:p>
            <w:pPr>
              <w:spacing w:after="0"/>
              <w:rPr>
                <w:sz w:val="20"/>
                <w:szCs w:val="20"/>
                <w:color w:val="auto"/>
              </w:rPr>
            </w:pPr>
            <w:r>
              <w:rPr>
                <w:rFonts w:ascii="Arial" w:cs="Arial" w:eastAsia="Arial" w:hAnsi="Arial"/>
                <w:sz w:val="18"/>
                <w:szCs w:val="18"/>
                <w:color w:val="auto"/>
              </w:rPr>
              <w:t>information.</w:t>
            </w:r>
          </w:p>
        </w:tc>
      </w:tr>
      <w:tr>
        <w:trPr>
          <w:trHeight w:val="270"/>
        </w:trPr>
        <w:tc>
          <w:tcPr>
            <w:tcW w:w="640" w:type="dxa"/>
            <w:vAlign w:val="bottom"/>
          </w:tcPr>
          <w:p>
            <w:pPr>
              <w:ind w:left="40"/>
              <w:spacing w:after="0"/>
              <w:rPr>
                <w:sz w:val="20"/>
                <w:szCs w:val="20"/>
                <w:color w:val="auto"/>
              </w:rPr>
            </w:pPr>
            <w:r>
              <w:rPr>
                <w:rFonts w:ascii="Arial" w:cs="Arial" w:eastAsia="Arial" w:hAnsi="Arial"/>
                <w:sz w:val="18"/>
                <w:szCs w:val="18"/>
                <w:color w:val="auto"/>
              </w:rPr>
              <w:t>104</w:t>
            </w:r>
          </w:p>
        </w:tc>
        <w:tc>
          <w:tcPr>
            <w:tcW w:w="1080" w:type="dxa"/>
            <w:vAlign w:val="bottom"/>
          </w:tcPr>
          <w:p>
            <w:pPr>
              <w:spacing w:after="0"/>
              <w:rPr>
                <w:sz w:val="23"/>
                <w:szCs w:val="23"/>
                <w:color w:val="auto"/>
              </w:rPr>
            </w:pPr>
          </w:p>
        </w:tc>
        <w:tc>
          <w:tcPr>
            <w:tcW w:w="948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891"/>
        </w:trPr>
        <w:tc>
          <w:tcPr>
            <w:tcW w:w="640" w:type="dxa"/>
            <w:vAlign w:val="bottom"/>
          </w:tcPr>
          <w:p>
            <w:pPr>
              <w:spacing w:after="0"/>
              <w:rPr>
                <w:sz w:val="24"/>
                <w:szCs w:val="24"/>
                <w:color w:val="auto"/>
              </w:rPr>
            </w:pPr>
          </w:p>
        </w:tc>
        <w:tc>
          <w:tcPr>
            <w:tcW w:w="7920" w:type="dxa"/>
            <w:vAlign w:val="bottom"/>
            <w:gridSpan w:val="2"/>
          </w:tcPr>
          <w:p>
            <w:pPr>
              <w:jc w:val="right"/>
              <w:ind w:right="2750"/>
              <w:spacing w:after="0"/>
              <w:rPr>
                <w:sz w:val="20"/>
                <w:szCs w:val="20"/>
                <w:color w:val="auto"/>
              </w:rPr>
            </w:pPr>
            <w:r>
              <w:rPr>
                <w:rFonts w:ascii="Arial" w:cs="Arial" w:eastAsia="Arial" w:hAnsi="Arial"/>
                <w:sz w:val="18"/>
                <w:szCs w:val="18"/>
                <w:color w:val="auto"/>
              </w:rPr>
              <w:t>45</w:t>
            </w:r>
          </w:p>
        </w:tc>
        <w:tc>
          <w:tcPr>
            <w:tcW w:w="1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200"/>
          </w:cols>
          <w:pgMar w:left="320" w:top="125" w:right="3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8640" w:type="dxa"/>
            <w:vAlign w:val="bottom"/>
            <w:gridSpan w:val="2"/>
          </w:tcPr>
          <w:p>
            <w:pPr>
              <w:ind w:left="1040"/>
              <w:spacing w:after="0"/>
              <w:rPr>
                <w:sz w:val="20"/>
                <w:szCs w:val="20"/>
                <w:color w:val="auto"/>
              </w:rPr>
            </w:pPr>
            <w:r>
              <w:rPr>
                <w:rFonts w:ascii="Arial" w:cs="Arial" w:eastAsia="Arial" w:hAnsi="Arial"/>
                <w:sz w:val="18"/>
                <w:szCs w:val="18"/>
                <w:b w:val="1"/>
                <w:bCs w:val="1"/>
                <w:color w:val="auto"/>
              </w:rPr>
              <w:t>TRIMAS CORPORATION (Registrant)</w:t>
            </w:r>
          </w:p>
        </w:tc>
      </w:tr>
      <w:tr>
        <w:trPr>
          <w:trHeight w:val="567"/>
        </w:trPr>
        <w:tc>
          <w:tcPr>
            <w:tcW w:w="2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80" w:type="dxa"/>
            <w:vAlign w:val="bottom"/>
          </w:tcPr>
          <w:p>
            <w:pPr>
              <w:jc w:val="center"/>
              <w:spacing w:after="0"/>
              <w:rPr>
                <w:sz w:val="20"/>
                <w:szCs w:val="20"/>
                <w:color w:val="auto"/>
              </w:rPr>
            </w:pPr>
            <w:r>
              <w:rPr>
                <w:rFonts w:ascii="Arial" w:cs="Arial" w:eastAsia="Arial" w:hAnsi="Arial"/>
                <w:sz w:val="18"/>
                <w:szCs w:val="18"/>
                <w:color w:val="auto"/>
                <w:w w:val="95"/>
              </w:rPr>
              <w:t>/s/ ROBERT J. ZALUPSKI</w:t>
            </w:r>
          </w:p>
        </w:tc>
      </w:tr>
      <w:tr>
        <w:trPr>
          <w:trHeight w:val="148"/>
        </w:trPr>
        <w:tc>
          <w:tcPr>
            <w:tcW w:w="25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80" w:type="dxa"/>
            <w:vAlign w:val="bottom"/>
            <w:tcBorders>
              <w:bottom w:val="single" w:sz="8" w:color="auto"/>
            </w:tcBorders>
          </w:tcPr>
          <w:p>
            <w:pPr>
              <w:spacing w:after="0"/>
              <w:rPr>
                <w:sz w:val="12"/>
                <w:szCs w:val="12"/>
                <w:color w:val="auto"/>
              </w:rPr>
            </w:pPr>
          </w:p>
        </w:tc>
      </w:tr>
      <w:tr>
        <w:trPr>
          <w:trHeight w:val="222"/>
        </w:trPr>
        <w:tc>
          <w:tcPr>
            <w:tcW w:w="2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080" w:type="dxa"/>
            <w:vAlign w:val="bottom"/>
          </w:tcPr>
          <w:p>
            <w:pPr>
              <w:jc w:val="center"/>
              <w:spacing w:after="0"/>
              <w:rPr>
                <w:sz w:val="20"/>
                <w:szCs w:val="20"/>
                <w:color w:val="auto"/>
              </w:rPr>
            </w:pPr>
            <w:r>
              <w:rPr>
                <w:rFonts w:ascii="Arial" w:cs="Arial" w:eastAsia="Arial" w:hAnsi="Arial"/>
                <w:sz w:val="18"/>
                <w:szCs w:val="18"/>
                <w:color w:val="auto"/>
                <w:w w:val="90"/>
              </w:rPr>
              <w:t>Robert J. Zalupski</w:t>
            </w: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Date:  July 30, 2020</w:t>
            </w:r>
          </w:p>
        </w:tc>
        <w:tc>
          <w:tcPr>
            <w:tcW w:w="1560" w:type="dxa"/>
            <w:vAlign w:val="bottom"/>
          </w:tcPr>
          <w:p>
            <w:pPr>
              <w:ind w:left="1040"/>
              <w:spacing w:after="0"/>
              <w:rPr>
                <w:sz w:val="20"/>
                <w:szCs w:val="20"/>
                <w:color w:val="auto"/>
              </w:rPr>
            </w:pPr>
            <w:r>
              <w:rPr>
                <w:rFonts w:ascii="Arial" w:cs="Arial" w:eastAsia="Arial" w:hAnsi="Arial"/>
                <w:sz w:val="18"/>
                <w:szCs w:val="18"/>
                <w:color w:val="auto"/>
              </w:rPr>
              <w:t>By:</w:t>
            </w:r>
          </w:p>
        </w:tc>
        <w:tc>
          <w:tcPr>
            <w:tcW w:w="708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675"/>
        </w:trPr>
        <w:tc>
          <w:tcPr>
            <w:tcW w:w="2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80" w:type="dxa"/>
            <w:vAlign w:val="bottom"/>
          </w:tcPr>
          <w:p>
            <w:pPr>
              <w:jc w:val="right"/>
              <w:ind w:right="5430"/>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line="263" w:lineRule="auto"/>
        <w:tabs>
          <w:tab w:leader="none" w:pos="87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33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31750</wp:posOffset>
            </wp:positionV>
            <wp:extent cx="26320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632075" cy="8890"/>
                    </a:xfrm>
                    <a:prstGeom prst="rect">
                      <a:avLst/>
                    </a:prstGeom>
                    <a:noFill/>
                  </pic:spPr>
                </pic:pic>
              </a:graphicData>
            </a:graphic>
          </wp:anchor>
        </w:drawing>
      </w:r>
    </w:p>
    <w:p>
      <w:pPr>
        <w:spacing w:after="0" w:line="5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553"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J. Zalupski, certify that:</w:t>
      </w:r>
    </w:p>
    <w:p>
      <w:pPr>
        <w:spacing w:after="0" w:line="225"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line="263" w:lineRule="auto"/>
        <w:tabs>
          <w:tab w:leader="none" w:pos="87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33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31750</wp:posOffset>
            </wp:positionV>
            <wp:extent cx="2632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632075" cy="8890"/>
                    </a:xfrm>
                    <a:prstGeom prst="rect">
                      <a:avLst/>
                    </a:prstGeom>
                    <a:noFill/>
                  </pic:spPr>
                </pic:pic>
              </a:graphicData>
            </a:graphic>
          </wp:anchor>
        </w:drawing>
      </w:r>
    </w:p>
    <w:p>
      <w:pPr>
        <w:spacing w:after="0" w:line="5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553"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TriMas Corporation (the “Company”) on Form 10-Q for the period ended June 30, 2020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6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33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31750</wp:posOffset>
            </wp:positionV>
            <wp:extent cx="2631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553"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TriMas Corporation (the “Company”) on Form 10-Q for the period ended June 30, 2020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6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33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31750</wp:posOffset>
            </wp:positionV>
            <wp:extent cx="2631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9" Type="http://schemas.openxmlformats.org/officeDocument/2006/relationships/hyperlink" Target="http://www.sec.gov/Archives/edgar/data/842633/000110465907058776/a07-19157_1ex3d1.htm" TargetMode="External"/><Relationship Id="rId10" Type="http://schemas.openxmlformats.org/officeDocument/2006/relationships/hyperlink" Target="http://www.sec.gov/Archives/edgar/data/842633/000084263315000161/thir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2020-07-30T10:55:57Z</dcterms:created>
  <dcterms:modified xsi:type="dcterms:W3CDTF">2020-07-30T10:55:57Z</dcterms:modified>
</cp:coreProperties>
</file>