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520"/>
        <w:spacing w:after="0"/>
        <w:tabs>
          <w:tab w:leader="none" w:pos="6700" w:val="left"/>
          <w:tab w:leader="none" w:pos="7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-20320</wp:posOffset>
            </wp:positionV>
            <wp:extent cx="1123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TRIMAS CORPORATION</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3100" w:type="dxa"/>
        <w:tblCellMar>
          <w:top w:w="0" w:type="dxa"/>
          <w:left w:w="0" w:type="dxa"/>
          <w:bottom w:w="0" w:type="dxa"/>
          <w:right w:w="0" w:type="dxa"/>
        </w:tblCellMar>
      </w:tblPr>
      <w:tr>
        <w:trPr>
          <w:trHeight w:val="233"/>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38-2687639</w:t>
            </w:r>
          </w:p>
        </w:tc>
      </w:tr>
      <w:tr>
        <w:trPr>
          <w:trHeight w:val="180"/>
        </w:trPr>
        <w:tc>
          <w:tcPr>
            <w:tcW w:w="2720" w:type="dxa"/>
            <w:vAlign w:val="bottom"/>
          </w:tcPr>
          <w:p>
            <w:pPr>
              <w:jc w:val="center"/>
              <w:ind w:right="45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90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5"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1600" w:type="dxa"/>
        <w:tblCellMar>
          <w:top w:w="0" w:type="dxa"/>
          <w:left w:w="0" w:type="dxa"/>
          <w:bottom w:w="0" w:type="dxa"/>
          <w:right w:w="0" w:type="dxa"/>
        </w:tblCellMar>
      </w:tblPr>
      <w:tr>
        <w:trPr>
          <w:trHeight w:val="362"/>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640"/>
        <w:spacing w:after="0" w:line="30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October 22, 2024, the number of outstanding shares of the Registrant's common stock, $0.01 par value, was 40,571,662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1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7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4540" w:type="dxa"/>
            <w:vAlign w:val="bottom"/>
            <w:gridSpan w:val="12"/>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 as of September 30, 2024 and December 31, 2023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Income for the Three and Nine Months Ended September 30,</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7"/>
              </w:rPr>
              <w:t>2024 and 2023</w:t>
            </w:r>
          </w:p>
        </w:tc>
        <w:tc>
          <w:tcPr>
            <w:tcW w:w="5280" w:type="dxa"/>
            <w:vAlign w:val="bottom"/>
            <w:tcBorders>
              <w:top w:val="single" w:sz="8" w:color="0000FF"/>
            </w:tcBorders>
            <w:gridSpan w:val="1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Income for the Three and Nine Months Ended</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5"/>
              </w:rPr>
              <w:t>September 30, 2024 and 2023</w:t>
            </w:r>
          </w:p>
        </w:tc>
        <w:tc>
          <w:tcPr>
            <w:tcW w:w="4340" w:type="dxa"/>
            <w:vAlign w:val="bottom"/>
            <w:tcBorders>
              <w:top w:val="single" w:sz="8" w:color="0000FF"/>
            </w:tcBorders>
            <w:gridSpan w:val="11"/>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Nine Months Ended September 30, 2024</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8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and 2023</w:t>
            </w:r>
          </w:p>
        </w:tc>
        <w:tc>
          <w:tcPr>
            <w:tcW w:w="14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Shareholders' Equity for the Nine Months Ended September</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3"/>
              </w:rPr>
              <w:t>30, 2024 and 2023</w:t>
            </w:r>
          </w:p>
        </w:tc>
        <w:tc>
          <w:tcPr>
            <w:tcW w:w="4960" w:type="dxa"/>
            <w:vAlign w:val="bottom"/>
            <w:tcBorders>
              <w:top w:val="single" w:sz="8" w:color="0000FF"/>
            </w:tcBorders>
            <w:gridSpan w:val="9"/>
          </w:tcPr>
          <w:p>
            <w:pPr>
              <w:spacing w:after="0"/>
              <w:rPr>
                <w:sz w:val="14"/>
                <w:szCs w:val="14"/>
                <w:color w:val="auto"/>
              </w:rPr>
            </w:pPr>
          </w:p>
        </w:tc>
        <w:tc>
          <w:tcPr>
            <w:tcW w:w="16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00" w:type="dxa"/>
            <w:vAlign w:val="bottom"/>
            <w:gridSpan w:val="9"/>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500" w:type="dxa"/>
            <w:vAlign w:val="bottom"/>
          </w:tcPr>
          <w:p>
            <w:pPr>
              <w:spacing w:after="0"/>
              <w:rPr>
                <w:sz w:val="24"/>
                <w:szCs w:val="24"/>
                <w:color w:val="auto"/>
              </w:rPr>
            </w:pPr>
          </w:p>
        </w:tc>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260" w:type="dxa"/>
            <w:vAlign w:val="bottom"/>
            <w:gridSpan w:val="18"/>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3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8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53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r>
              <w:rPr>
                <w:rFonts w:ascii="Times New Roman" w:cs="Times New Roman" w:eastAsia="Times New Roman" w:hAnsi="Times New Roman"/>
                <w:sz w:val="18"/>
                <w:szCs w:val="18"/>
                <w:color w:val="0033CC"/>
              </w:rPr>
              <w: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our ability to successfully complete the sale of our Arrow Engine business; and other risks that are discussed in Part I, Item 1A, "Risk Factors," in our Annual Report on Form 10-K for the year ended December 31, 2023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disclose important factors that could cause our actual results to differ materially from our expectations implied by our forward-looking statements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year ended December 31, 2023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3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7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w:t>
            </w:r>
          </w:p>
        </w:tc>
      </w:tr>
      <w:tr>
        <w:trPr>
          <w:trHeight w:val="176"/>
        </w:trPr>
        <w:tc>
          <w:tcPr>
            <w:tcW w:w="7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Receivables, net of reserves of $4.5 million and $4.2 million as of September 30, 2024 and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192,450</w:t>
            </w:r>
          </w:p>
        </w:tc>
      </w:tr>
      <w:tr>
        <w:trPr>
          <w:trHeight w:val="229"/>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363,770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1,367,830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1,341,660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91,910</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59,640</w:t>
            </w:r>
          </w:p>
        </w:tc>
      </w:tr>
      <w:tr>
        <w:trPr>
          <w:trHeight w:val="230"/>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395,660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w:t>
            </w:r>
          </w:p>
        </w:tc>
      </w:tr>
      <w:tr>
        <w:trPr>
          <w:trHeight w:val="223"/>
        </w:trPr>
        <w:tc>
          <w:tcPr>
            <w:tcW w:w="7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658,710</w:t>
            </w:r>
          </w:p>
        </w:tc>
      </w:tr>
      <w:tr>
        <w:trPr>
          <w:trHeight w:val="156"/>
        </w:trPr>
        <w:tc>
          <w:tcPr>
            <w:tcW w:w="77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Issued and outstanding: 40,563,351 shares at September 30, 2024 and 41,202,110 shares at December 31,</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677,660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7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682,950</w:t>
            </w:r>
          </w:p>
        </w:tc>
      </w:tr>
      <w:tr>
        <w:trPr>
          <w:trHeight w:val="248"/>
        </w:trPr>
        <w:tc>
          <w:tcPr>
            <w:tcW w:w="7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1,341,660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683,990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(525,840)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dispositions of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40,612,413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41,425,208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40,776,583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41,477,095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40,946,571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41,673,381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41,089,208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41,706,867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w:t>
            </w: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3"/>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8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acquisition impact: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dispositions of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asbestos liability estimate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environmental liability estimate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prepaid expenses and other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 net of acquisition impact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57,570</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Cross-currency swap terminations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 of foreign currency exchange forward contract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proceeds from disposition of property and equipment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(111,820)</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for the period</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At beginning of period</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11,020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673,220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June 30, 2024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675,930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September 30, 2024</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682,750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648,760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June 30, 2023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662,360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16,490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16,490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September 30, 2023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674,990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The accompanying consolidated financial statements and notes thereto should be read in conjunction with the Company's 2023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("ASU 2023-09"), which requires enhanced jurisdictional disclosures for income taxes paid and requires the use of specific categories in the effective tax rate reconciliation as well as additional information for reconciling items that meet a quantitative threshold. ASU 2023-09 is effective for fiscal years beginning after December 15, 2024, with early adoption permitted. The Company is in the process of assessing the impact of adoption on its consolidated financial statements.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requires disclosure of significant segment expenses and other segment items by reportable segment on an annual and interim basis, the title and position of chief operating decision maker ("CODM") and how the CODM uses reported measures in assessing segment performance, and also extends the requirement of annual disclosures currently required by Topic 280 to interim periods. ASU 2023-07 is effective for fiscal years beginning after December 15, 2023, and interim periods within fiscal years beginning after December 15, 2024, with early adoption permitted. The Company is in the process of assessing the impact of adoption on its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860" w:type="dxa"/>
            <w:vAlign w:val="bottom"/>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315,950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287,730</w:t>
            </w: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177,370</w:t>
            </w: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218,890</w:t>
            </w:r>
          </w:p>
        </w:tc>
      </w:tr>
      <w:tr>
        <w:trPr>
          <w:trHeight w:val="223"/>
        </w:trPr>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696,960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683,990</w:t>
            </w:r>
          </w:p>
        </w:tc>
      </w:tr>
      <w:tr>
        <w:trPr>
          <w:trHeight w:val="21"/>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Realignment 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Realignment Actions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incurred pre-tax realignment charges of $0.9 million in its Packaging segment, related to the closure of its facility in Irwindale, California. For the three and nine months ended September 30, 2024, $0.5 million and $0.4 million of these charges were included in cost of sales and selling, general and administrative expenses, respectively, in the accompanying consolidated statement of income.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Realignment Actions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incurred realignment charges in its Packaging segment, related to the closure and consolidation of two manufacturing facilities located in China into one new, larger facility in the Haining region, and for costs incurred to close and consolidate its Rohnert Park, California, manufacturing facility operations into other existing U.S. production locations. In connection with these actions, the Company recorded pre-tax realignment charges of $2.7 million and $6.4 million during the three and nine months ended September 30, 2023, respectively, of which $0.8 million and $2.1 million during the three and nine months ended September 30, 2023, respectively, were for employee-related costs, $0.8 million during the three and nine months ended September 30, 2023 was for inventory write-downs, $1.1 million and $1.3 million during the three and nine months ended September 30, 2023, respectively, were for other facility move and consolidation costs, and $2.2 million during the nine months ended September 30, 2023 was related to charges to accelerate the depreciation of certain fixed assets. For the three months ended September 30, 2023, $2.4 million and $0.3 million of these charges were included in cost of sales and selling, general and administrative expenses, respectively, in the accompanying consolidated statement of income. For the nine months ended September 30, 2023, $5.7 million and $0.7 million of these charges were included in cost of sales and selling, general and administrative expenses, respectively, in the accompanying consolidated statement of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21, 2023, the Company acquired Weldmac Manufacturing Company ("Weldmac") for a purchase price of $34.0 million, with additional contingent consideration ranging from zero to $10 million based on achievement of earnings targets, as defined in the purchase agreement. The fair value of assets acquired and liabilities assumed included $23.7 million of property and equipment, $20.3 million of net working capital and $10 million of contingent consideration liability, with such estimate representing the Company's best estimate of fair value of contingent consideration based on Level 3 inputs under the fair value hierarchy, as defined. Located in El Cajon, California, and reported in the Company's Aerospace segment, Weldmac is a designer and manufacturer of complex metal fabricated components and assemblies predominantly for the aerospace, defense and space launch end markets and historically generated $33 million in annual revenue. On July 10, 2023, the Company made a cash payment of $5.5 million as additional consideration for the purchase of Weldmac based on achievement of earnings targets, as defined in the purchase agreement. As of September 30, 2024, the remaining possible contingent consideration ranged from zero to $4.5 million, based on achievement of 2023 earnings targets. The calculation of 2023 earnings, as defined in the purchase agreement, was under review as of September 30, 2024. The Company expects to resolve the remaining contingent consideration matter in fourth quarter 2024. See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details.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2023, the Company acquired Aarts Packaging B.V. ("Aarts"), a luxury packaging solutions provider for beauty and lifestyle brands, as well as for customers in the food and life sciences end markets, for a purchase price of $37.8 million, net of cash acquired. The fair value of assets acquired and liabilities assumed included $20.4 million of goodwill, $10.9 million of intangible assets, $8.5 million of property and equipment, $7.4 million of net working capital, $3.9 million of net deferred tax liabilities and $5.5 million of other liabilities. Aarts, which is reported in the Company's Packaging segment, is located in Waalwijk, The Netherlands, and historically generated €23 million in annual revenue.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September 30, 2024 are summarized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363,770</w:t>
            </w: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365,100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(82,580)</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433,530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80" w:type="dxa"/>
            <w:vAlign w:val="bottom"/>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9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176"/>
        </w:trPr>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 relationships, included in selling, general and</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7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192,450</w:t>
            </w:r>
          </w:p>
        </w:tc>
        <w:tc>
          <w:tcPr>
            <w:tcW w:w="0" w:type="dxa"/>
            <w:vAlign w:val="bottom"/>
          </w:tcPr>
          <w:p>
            <w:pPr>
              <w:spacing w:after="0"/>
              <w:rPr>
                <w:sz w:val="1"/>
                <w:szCs w:val="1"/>
                <w:color w:val="auto"/>
              </w:rPr>
            </w:pPr>
          </w:p>
        </w:tc>
      </w:tr>
      <w:tr>
        <w:trPr>
          <w:trHeight w:val="21"/>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24"/>
                <w:szCs w:val="24"/>
                <w:color w:val="auto"/>
              </w:rPr>
            </w:pPr>
          </w:p>
        </w:tc>
        <w:tc>
          <w:tcPr>
            <w:tcW w:w="17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32,840</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502,090</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634,160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304,170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329,990</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80" w:type="dxa"/>
            <w:vAlign w:val="bottom"/>
            <w:gridSpan w:val="6"/>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expense, included in selling, general and</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9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23"/>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395,660</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18"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and Euro borrowings to the Euro InterBank Offered Rate, both plus a spread of 1.75%, and U.S. dollar borrowings subject to the Secured Overnight Financing Rate plus a spread of 1.85%. The interest rate spread is based upon the leverage ratio, as defined, as of the most recent determination date. The Company's revolving credit facility allows for the issuance of letters of credit, not to exceed $40.0 million in aggregate.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the Company had $13.5 million outstanding under its revolving credit facility and had $280.2 million potentially available after giving effect to $6.3 million of letters of credit issued and outstanding. At December 31, 2023, the Company had no amounts outstanding under its revolving credit facility and had $294.0 million potentially available after giving effect to $6.0 million of letters of credit issued and outstanding. After consideration of leverage restrictions contained in the Credit Agreement, as of September 30, 2024 and December 31, 2023, the Company had $183.3 million and $256.9 million, respectively, of borrowing capacity available for general corporate purposes.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September 30, 2024, the Company was in compliance with its financial covenants contained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At September 30, 2024, the Company had $0.1 million outstanding on this loan facility, which is included in short-term borrowings on the accompanying consolidated balance sheet. There were no borrowings outstanding on this loan facility as of December 31,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3480" w:type="dxa"/>
            <w:vAlign w:val="bottom"/>
            <w:gridSpan w:val="4"/>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3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364,000</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cross-currency swap agreement effective as of June 27, 2024, with a notional amount of $75.0 million and a contract period end date of October 15, 2027. Under the terms of the agreement, the Company is to receive net interest payments at a fixed rate of approximately 1.43% of the notional amount. At inception, the cross-currency swap was designated as a net investment hedge.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the Company entered into a cross-currency swap agreement effective as of April 15, 2024, with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 currency swap had an inception date non-zero fair value equal to a $4.9 million liability, which offset the inception date non-zero fair value of a $75.0 million foreign currency exchange forward contract entered into on the same date. The non-zero fair value of the cross currency swap was recognized in other income (expense), net in the consolidated statement of income during the nine months ended September 30, 2024.</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immediately prior to entering into the new cross-currency swap agreement, the Company voluntarily discontinued hedge accounting for its existing cross-currency swap agreement, de-designating the swap as a net investment hedge. The de-designated agreement had a notional amount of $75.0 million and a contract period end date of April 15, 2024. Under the terms of the agreement, the Company received net interest payments at a fixed rate of approximately 2.4% of the notional amount. At contract settlement, the cross currency swap agreement had a fair value equal to a $3.8 million liability, which was offset by the settlement of the $75.0 million foreign currency exchange forward contract that ended on the same date, both of which were classified as an investing activity in the accompanying consolidated statement of cash flows.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fair value carrying amount of the Company's derivatives designated as hedging instruments are recorded as follows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r>
      <w:tr>
        <w:trPr>
          <w:trHeight w:val="214"/>
        </w:trPr>
        <w:tc>
          <w:tcPr>
            <w:tcW w:w="44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02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60" w:type="dxa"/>
            <w:vAlign w:val="bottom"/>
          </w:tcPr>
          <w:p>
            <w:pPr>
              <w:spacing w:after="0"/>
              <w:rPr>
                <w:sz w:val="18"/>
                <w:szCs w:val="18"/>
                <w:color w:val="auto"/>
              </w:rPr>
            </w:pP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r>
      <w:tr>
        <w:trPr>
          <w:trHeight w:val="230"/>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September 30, 2024 and December 31, 2023, and the amounts reclassified from AOCI into earnings for the nine months ended September 30, 2024 and 2023 (dollars in thousands):</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p>
      <w:pPr>
        <w:jc w:val="center"/>
        <w:ind w:left="400"/>
        <w:spacing w:after="0" w:line="211" w:lineRule="auto"/>
        <w:rPr>
          <w:sz w:val="20"/>
          <w:szCs w:val="20"/>
          <w:color w:val="auto"/>
        </w:rPr>
      </w:pPr>
      <w:r>
        <w:rPr>
          <w:rFonts w:ascii="Times New Roman" w:cs="Times New Roman" w:eastAsia="Times New Roman" w:hAnsi="Times New Roman"/>
          <w:sz w:val="16"/>
          <w:szCs w:val="16"/>
          <w:b w:val="1"/>
          <w:bCs w:val="1"/>
          <w:color w:val="auto"/>
        </w:rPr>
        <w:t>in AOCI on Derivatives</w:t>
      </w:r>
    </w:p>
    <w:p>
      <w:pPr>
        <w:jc w:val="center"/>
        <w:ind w:left="40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8890</wp:posOffset>
            </wp:positionV>
            <wp:extent cx="17576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148" w:lineRule="exact"/>
        <w:rPr>
          <w:sz w:val="20"/>
          <w:szCs w:val="20"/>
          <w:color w:val="auto"/>
        </w:rPr>
      </w:pPr>
    </w:p>
    <w:tbl>
      <w:tblPr>
        <w:tblLayout w:type="fixed"/>
        <w:tblInd w:w="248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0" w:type="dxa"/>
            <w:vAlign w:val="bottom"/>
          </w:tcPr>
          <w:p>
            <w:pPr>
              <w:spacing w:after="0"/>
              <w:rPr>
                <w:sz w:val="1"/>
                <w:szCs w:val="1"/>
                <w:color w:val="auto"/>
              </w:rPr>
            </w:pPr>
          </w:p>
        </w:tc>
      </w:tr>
      <w:tr>
        <w:trPr>
          <w:trHeight w:val="162"/>
        </w:trPr>
        <w:tc>
          <w:tcPr>
            <w:tcW w:w="13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of September</w:t>
            </w:r>
          </w:p>
        </w:tc>
        <w:tc>
          <w:tcPr>
            <w:tcW w:w="1320" w:type="dxa"/>
            <w:vAlign w:val="bottom"/>
            <w:vMerge w:val="continue"/>
          </w:tcPr>
          <w:p>
            <w:pPr>
              <w:spacing w:after="0"/>
              <w:rPr>
                <w:sz w:val="14"/>
                <w:szCs w:val="14"/>
                <w:color w:val="auto"/>
              </w:rPr>
            </w:pPr>
          </w:p>
        </w:tc>
        <w:tc>
          <w:tcPr>
            <w:tcW w:w="2000" w:type="dxa"/>
            <w:vAlign w:val="bottom"/>
          </w:tcPr>
          <w:p>
            <w:pPr>
              <w:jc w:val="center"/>
              <w:ind w:left="139"/>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AOCI</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into Earnings (Effective</w:t>
            </w:r>
          </w:p>
        </w:tc>
        <w:tc>
          <w:tcPr>
            <w:tcW w:w="0" w:type="dxa"/>
            <w:vAlign w:val="bottom"/>
          </w:tcPr>
          <w:p>
            <w:pPr>
              <w:spacing w:after="0"/>
              <w:rPr>
                <w:sz w:val="1"/>
                <w:szCs w:val="1"/>
                <w:color w:val="auto"/>
              </w:rPr>
            </w:pPr>
          </w:p>
        </w:tc>
      </w:tr>
      <w:tr>
        <w:trPr>
          <w:trHeight w:val="212"/>
        </w:trPr>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 of Income (Loss) Reclassified</w:t>
      </w:r>
    </w:p>
    <w:p>
      <w:pPr>
        <w:jc w:val="center"/>
        <w:spacing w:after="0"/>
        <w:rPr>
          <w:sz w:val="20"/>
          <w:szCs w:val="20"/>
          <w:color w:val="auto"/>
        </w:rPr>
      </w:pPr>
      <w:r>
        <w:rPr>
          <w:rFonts w:ascii="Times New Roman" w:cs="Times New Roman" w:eastAsia="Times New Roman" w:hAnsi="Times New Roman"/>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24771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90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9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9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 w:lineRule="exact"/>
        <w:rPr>
          <w:sz w:val="20"/>
          <w:szCs w:val="20"/>
          <w:color w:val="auto"/>
        </w:rPr>
      </w:pPr>
    </w:p>
    <w:p>
      <w:pPr>
        <w:sectPr>
          <w:pgSz w:w="11900" w:h="16838" w:orient="portrait"/>
          <w:cols w:equalWidth="0" w:num="2">
            <w:col w:w="7140" w:space="200"/>
            <w:col w:w="39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r>
      <w:tr>
        <w:trPr>
          <w:trHeight w:val="184"/>
        </w:trPr>
        <w:tc>
          <w:tcPr>
            <w:tcW w:w="2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13,260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2024, the Company was party to foreign currency exchange forward contracts to economically hedge changes in foreign currency rates with notional amounts of $141.9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March 2025. These contracts are not designated as hedge instruments; therefore, gains and losses on these contracts are recognized each period directly into the consolidated statement of income.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21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p>
      <w:pPr>
        <w:jc w:val="center"/>
        <w:ind w:left="6880"/>
        <w:spacing w:after="0"/>
        <w:rPr>
          <w:sz w:val="20"/>
          <w:szCs w:val="20"/>
          <w:color w:val="auto"/>
        </w:rPr>
      </w:pPr>
      <w:r>
        <w:rPr>
          <w:rFonts w:ascii="Times New Roman" w:cs="Times New Roman" w:eastAsia="Times New Roman" w:hAnsi="Times New Roman"/>
          <w:sz w:val="16"/>
          <w:szCs w:val="16"/>
          <w:b w:val="1"/>
          <w:bCs w:val="1"/>
          <w:color w:val="auto"/>
        </w:rPr>
        <w:t>Earnings on 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5"/>
          </w:tcPr>
          <w:p>
            <w:pPr>
              <w:ind w:left="120"/>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4"/>
          </w:tcPr>
          <w:p>
            <w:pPr>
              <w:jc w:val="right"/>
              <w:ind w:right="313"/>
              <w:spacing w:after="0" w:line="161"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900" w:type="dxa"/>
            <w:vAlign w:val="bottom"/>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39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Income (Loss) Recognized in Earnings on</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0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3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3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September 30, 2024 and December 31, 2023 are shown below (dollars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are shown below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6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3"/>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37,980</w:t>
            </w: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w:t>
            </w:r>
          </w:p>
        </w:tc>
      </w:tr>
      <w:tr>
        <w:trPr>
          <w:trHeight w:val="21"/>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Finance leases were recorded net of accumulated depreciation of $0.4 million and $0.2 million as of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2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Operating lease cost</w:t>
            </w:r>
          </w:p>
        </w:tc>
        <w:tc>
          <w:tcPr>
            <w:tcW w:w="30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Cost of sales and Selling, general and</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56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of lease assets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Short-term, variable and other lease</w:t>
            </w:r>
          </w:p>
        </w:tc>
        <w:tc>
          <w:tcPr>
            <w:tcW w:w="3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and Selling, general and</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9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24"/>
                <w:szCs w:val="24"/>
                <w:color w:val="auto"/>
              </w:rPr>
            </w:pPr>
          </w:p>
        </w:tc>
        <w:tc>
          <w:tcPr>
            <w:tcW w:w="210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Finance Leases</w:t>
            </w:r>
            <w:r>
              <w:rPr>
                <w:rFonts w:ascii="Times New Roman" w:cs="Times New Roman" w:eastAsia="Times New Roman" w:hAnsi="Times New Roman"/>
                <w:sz w:val="23"/>
                <w:szCs w:val="23"/>
                <w:color w:val="auto"/>
                <w:vertAlign w:val="superscript"/>
              </w:rPr>
              <w:t>(a)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nine months ended September 30, 2024)</w:t>
            </w: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2"/>
              </w:rPr>
              <w:t>17,180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51,830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(7,140)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44,690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are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180" w:type="dxa"/>
            <w:vAlign w:val="bottom"/>
            <w:gridSpan w:val="4"/>
          </w:tcPr>
          <w:p>
            <w:pPr>
              <w:jc w:val="center"/>
              <w:ind w:left="39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5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5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2,360</w:t>
            </w:r>
          </w:p>
        </w:tc>
        <w:tc>
          <w:tcPr>
            <w:tcW w:w="10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4,170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and finance leases as of September 30, 2024 is 6.37 years and 2.82 years, respectively. The weighted-average discount rate for the operating leases and finance leases as of September 30, 2024 is 4.2% and 2.6%,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was a party to 485 pending cases involving an aggregate of 4,907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57"/>
        </w:trPr>
        <w:tc>
          <w:tcPr>
            <w:tcW w:w="22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Nine Months Ended</w:t>
            </w: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1,310,000</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4,907 claims pending at September 30, 2024, 38 set forth specific amounts of damages (other than those stating the statutory minimum or maximum). At September 30, 2024, of the 38 claims that set forth specific amounts, there were no claims seeking more than $5 million for punitive damages. Below is a breakdown of the compensatory damages sought for those claims seeking specific amounts: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33</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30 years ago, have been $13.7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third quarter of 2024, the Company commissioned its actuary to update the study, based on data as of May 31, 2024, which yielded a range of possible future liability of $31.0 million to $39.8 million, before consideration of any potential insurance recoveries. The Company did not believe any amount within the range of potential outcomes represented a better estimate than another given the many factors and assumptions inherent in the projections, and therefore recorded a pre-tax charge of $5.5 million to increase the liability estimate to $31.0 million, at the low-end of the range. The charge is included in selling, general and administrative expenses in the accompanying consolidated statement of income. As of September 30, 2024 and December 31, 2023, the Company’s total asbestos-related liability was $30.1 million and $26.6 million, respectively, and is included in accrued liabilities and other long-term liabilities in the accompanying consolidated balance sheet.</w:t>
      </w:r>
    </w:p>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most recent actuarial study, the Company believes it will reach the threshold of qualified future settlements required to commence excess carrier insurance coverage under the coverage-in-place agreement in 2025. As of September 30, 2024, the Company has not recognized an asbestos-related insurance recovery asset corresponding to its asbestos-related liability. The Company will continue to reassess its estimate of insurance recoveries and corresponding accounting for any such recoveries as the facts and circumstances change.</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is responsible for environmental remediation at currently or previously owned facilities and waste sites, including sites defined under the Comprehensive Environmental Response, Compensation, and Liability Act, commonly referred to as “Superfund” for which the Company has been named a potential responsible party. During the three and nine months ended September 30, 2024, the Company recorded pre-tax charges of $1.8 million and $2.5 million, respectively, within selling, general and administrative expenses in the accompanying consolidated statement of income, bringing the Company’s environmental remediation obligation to $2.5 million as of September 30, 2024. The accrual is primarily based on environmental cost estimates provided by third parties and represents the best estimate of the Company’s proportionate share of costs to be incurred for site remediation efforts. Actual costs incurred resulting from the ultimate resolution of these uncertainties could exceed the amount accrued.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 Affaba &amp; Ferrari, Taplast, Rapak, Plastic Srl, Aarts Packaging, Intertech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Omega brands. TriMas Packaging develops and manufactures a broad array of dispensing products (such as foaming pumps, lotion, hand soap and 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which includes the Monogram Aerospace Fasteners, Allfast Fastening Systems, Mac Fasteners, TFI Aerospace,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RSA Engineered Products, Martinic Engineering and Weldmac Manufacturing Company brands, develops, qualifies and manufactures highly-engineered, precision fasteners, tubular products and assemblies for fluid conveyance, and machined products and assemblies to serve the aerospace and defense market.</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 and Arrow Engine brands, designs, manufactures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highly-engineered steel cylinders for use within industrial and aerospace markets, natural gas-fired engines for remote power generation applications and compression systems for use within the North American industrial oil and gas and power generation end-markets.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880" w:type="dxa"/>
            <w:vAlign w:val="bottom"/>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389,190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350,040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683,990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Operating Profit (Loss) and Income Before Income Tax</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Packaging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Aerospace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Specialty Products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(37,880)</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profit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53,810</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8" w:lineRule="exact"/>
        <w:rPr>
          <w:sz w:val="20"/>
          <w:szCs w:val="20"/>
          <w:color w:val="auto"/>
        </w:rPr>
      </w:pPr>
    </w:p>
    <w:p>
      <w:pPr>
        <w:ind w:left="340" w:hanging="332"/>
        <w:spacing w:after="0" w:line="221" w:lineRule="auto"/>
        <w:tabs>
          <w:tab w:leader="none" w:pos="29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Corporate consists of the corporate office and related corporate activities. Corporate expenses primarily include compensation, benefits, professional services, information technology and other administrative costs. Corporate expenses reconcile reportable segment information to the consolidated totals.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 Awards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nine months ended September 30, 2024:</w:t>
      </w:r>
    </w:p>
    <w:p>
      <w:pPr>
        <w:spacing w:after="0" w:line="158"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292,226 RSUs to certain employees, which are subject only to a service condition and vest ratably over three years so long as the employee remains with the Company;</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32,544 RSUs to its non-employee independent directors, which fully vest one year from date of grant so long as the director and/or Company does not terminate the director's service prior to the vesting date;</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93 RSUs to certain employees related to dividend equivalent rights on existing equity awards; and</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3,435 RSUs related to director fee deferrals as certain of the Company's directors elected to defer all or a portion of their director fees and to receive the amount in Company common stock at a future date.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Company also awarded 109,640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2024 and ending December 31, 2026.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4.50% and annualized volatility of 31.4%. Depending on the performance achieved for these two metrics, the amount of shares earned, if any, can vary for each metric from 0% of the target award to a maximum of 250% of the target.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September 30, 2024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842,030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21,497,026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$6.4 million of unrecognized compensation cost related to unvested RSUs that is expected to be recorded over a weighted average period of 2.1 years.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RSUs granted to employees who are eligible for retirement on the date of the grant are expensed immediately, and RSUs granted to employees who will become retirement-eligible prior to the end of the vesting term are expensed over the period through which the employee will become retirement-eligible since these awards vest upon retirement from the Company. Compensation expense for RSUs granted to employees who will not become retirement-eligible prior to the end of the vesting term is recognized on a straight-line basis over the vesting period. The Company recognized stock-based compensation expense related to RSUs of $1.6 million and $3.1 million during the three months ended September 30, 2024 and 2023, respectively, and $8.1 million and $9.3 million during the nine months ended September 30, 2024 and 2023, respectively. The stock-based compensation expense is included in selling, general and administrative expenses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RSUs. The following table summarizes the dilutive effect of RSUs on common stock for the three and nine months ended September 30,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340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300" w:type="dxa"/>
            <w:vAlign w:val="bottom"/>
            <w:gridSpan w:val="3"/>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54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40,612,413</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41,425,208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40,776,583</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41,477,095</w:t>
            </w:r>
          </w:p>
        </w:tc>
      </w:tr>
      <w:tr>
        <w:trPr>
          <w:trHeight w:val="22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334,158</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248,173</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312,625</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229,772</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40,946,571</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41,673,381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41,089,208</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41,706,867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In the three and nine months ended September 30, 2024, the Company purchased 99,130 and 771,067 shares of its outstanding common stock for $2.4 million and $19.3 million, respectively. During the three and nine months ended September 30, 2023, the Company purchased 10,506 and 462,388 shares of its outstanding common stock for $0.3 million and $13.4 million, respectively. As of September 30, 2024, the Company had $67.6 million remaining under the repurchase authorization.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During the three and nine months ended September 30, 2024, the Company's cash dividends declared were $0.04 per share of common stock and total dividends declared and paid on common shares were $1.7 million and $5.0 million, respectively. In the three and nine months ended September 30, 2023, the Company's cash dividends declared were $0.04 per share of common stock and total dividends declared and paid on common shares were $1.7 million and $5.0 million,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Defined Benefit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pension cost (income) are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34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0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5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and curtailment losses</w:t>
            </w:r>
          </w:p>
        </w:tc>
        <w:tc>
          <w:tcPr>
            <w:tcW w:w="10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0"/>
        </w:trPr>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recognized a one-time, pre-tax settlement charge of $1.0 million related to the purchase of an annuity contract to transfer the Company's Canadian defined benefit obligations to an insurance company.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contributed $0.5 million and $1.0 million to its defined benefit pension plans during the three and nine months ended September 30, 2024, respectively. The Company expects to contribute $1.2 million to its defined benefit pension plans for the full year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Comprehensive Income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nine months ended September 30, 2024 are summarized as follows, net of tax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3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$0.8 million. See Note 10,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nine months ended September 30, 2023 are summarized as follows, net of tax (dollars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8"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$0.2 million. See Note 10,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92"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$0.3 million. See Note 17,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2024 and 2023 was 25.4% and 16.3%, respectively. The Company recorded income tax expense of $0.9 million and $3.2 million for the three months ended September 30, 2024 and 2023, respectively. The effective tax rate for the three months ended September 30, 2024 was higher than in the prior year period primarily due to the recognition of approximately $2.4 million of tax benefit related to foreign tax loss carryforwards in the prior year period.</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2024 and 2023 was 20.0% and 23.1%, respectively. The Company recorded income tax expense of $4.6 million and $9.7 million for the nine months ended September 30, 2024 and 2023, respectively, including tax benefits related to foreign tax loss carryforwards of $1.7 million and $2.4 million for the nine months ended September 30, 2024 and 2023, respectively. The effective tax rate for the nine months ended September 30, 2024 was lower than in the prior year period primarily due to a decrease in losses in jurisdictions where no tax benefit can be recorded, and the recognition of tax benefits related to foreign tax loss carryforwards. While the recorded tax benefit related to foreign tax loss carryforwards decreased compared to the prior year period, the impact on the effective tax rate increased due to a reduction in pre-tax income.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25, 2024, the Company reached an agreement with the Weldmac sellers to pay $2.25 million as final contingent consideration for the Weldmac acquisition. The Company will make the cash payment and recognize the transaction in the fourth quarter of 2024.</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22, 2024, the Company announced that its Board of Directors had declared a cash dividend of $0.04 per share of TriMas Corporation common stock, which will be payable on November 12, 2024 to shareholders of record as of the close of business on November 5,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2023.</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markets we serve;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have been materially impacted over the past few years by macro-economic factors, first by the onset and proliferation of the coronavirus pandemic ("pandemic"), then further from increased energy costs and supply chain disruptions from the Russia-Ukraine conflict, and more recently by cost inflation (raw materials, wage rates and freight) and a lack of material and in certain regions skilled labor availability. These factors significantly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beginning mid-2022 and continuing through most of 2023, as a result of some of our larger customers' choices to rebalance on-hand inventory levels and caution in purchasing behaviors given the current inflationary macro-economic environment. Sales of certain of our aerospace-related products were significantly depressed from historical levels following the onset of the pandemic, but demand has significantly increased in recent quarters as air travel has picked up and new aircraft build rates improve. Certain of our products for industrial applications, for example steel cylinders for packaged gas applications, and engines and compressors for oil &amp; gas extraction, have experienced volatility in demand related to a number of channel and economic factors in more recent periods. Altogether, this significant level of volatility in demand levels, input and transportation costs, and material and labor availability, have pressured our ability to operate efficiently in recent periods. While some areas of demand volatility remain, such as in our Specialty Products segment, we are beginning to see more steady and consistent demand in our Packaging and Aerospace end markets.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our third quarter 2024 net sales decreased $6.0 million, or 2.5%, compared to third quarter 2023. We experienced organic growth of 12.3% and 4.8% within our Packaging and Aerospace segments, respectively, compared to third quarter 2023. These increases were partially offset by lower sales of 44.8% in our Specialty Products segment as compared to the prior year quarter as we work through a cyclical demand trough.</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third quarter 2024 compared with third quarter 2023, other than as directly impacted by sales changes, were increased costs and decreased sales resulting from a prolonged labor union strike at one of our manufacturing facilities within our Aerospace segment, a charge to update our asbestos liability based on our recent actuarial valuation, improved material availability within our Aerospace segment, a charge associated with environmental remediation liabilities for a waste disposal service provider to one of our former operations, and an increase in our effective tax rate.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our labor agreement with the United Automobile, Aerospace and Agricultural Implement Workers of America (UAW) at our TriMas Aerospace facility in Commerce, California, expired. On August 4, 2024, the UAW initiated a strike, causing a work stoppage that resulted in lost production volumes, reduced sales, manufacturing inefficiencies and $2.3 million increased costs through the end of third quarter 2024, with the Company and the UAW reaching a new labor agreement in mid-October 2024.</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third quarter 2024, we commissioned our actuary to update our asbestos study, and upon completion we recorded a pre-tax charge of $5.5 million, which is included in selling, general and administrative expenses.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third quarter 2024, we recorded a pre-tax charge of $1.8 million for environmental remediation for a waste site in which we had been named a potential responsible party. The waste site related to a waste disposal service provider to one of our former operations.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third quarter 2024 was 25.4% as compared to 16.3% for third quarter 2023. The effective tax rate for third quarter 2024 was higher than in the prior year primarily due to the recognition of approximately $2.4 million of tax benefit related to foreign tax loss carryforwards in the prior year period.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year-to-date basis, the following acquisitions were additional drivers of change in our year-over-year results of operations.</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April 2023, we acquired Weldmac Manufacturing Company ("Weldmac"), a designer and manufacturer of complex metal fabricated components and assemblies for the aerospace, defense and space launch end markets for a purchase price of $34.0 million, with additional consideration of $5.5 million paid in July 2023 and remaining contingent consideration ranging from zero to $4.5 million. The Company expects to resolve the remaining contingent consideration matter in fourth quarter 2024. Weldmac, which is reported in our Aerospace segment, is located in El Cajon, California. Weldmac contributed $12.9 million of acquisition-related net sales growth during the nine months ended September 30, 2024.</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we acquired Aarts Packaging B.V. ("Aarts"), a luxury packaging solutions provider for beauty and lifestyle brands, as well as for customers in the food and life sciences end markets, for a purchase price of $37.8 million, net of cash acquired. Aarts, which is reported in our Packaging segment, is located in Waalwijk, the Netherlands and contributed $2.8 million of acquisition-related sales growth during the nine months ended September 30, 2024 resulting from its January 2024 sales.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executed meaningful realignment actions over the past few years to address variable and structural costs where demand has fallen. We will continue to assess and take further actions if required. However, as a result of the current period of macroeconomic inflation and uncertainty and the potential impact of such factors to our future results of operations, as well as if there is an impact to TriMas' overall performance and market capitalization, we may record additional cash and non-cash charges related to further realignment actions, asset impairments, including impairments to our goodwill, intangible assets, fixed assets, inventory or customer receivable account balances.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generate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adjacent distribution channels and new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A growing amount of our sales is derived from international sources, which exposes us to certain risks, including currency risks.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polypropylene, polyethylene, steel, aluminum, superalloys (such as titanium, A286 stainless steel and Inconel) and other oil and metal-based purchased components, the costs for each of which are subject to volatility. There has also been some volatility over the past two years as a direct and indirect result of foreign trade policy, where tariffs on certain of our commodity-based products sourced from Asia have been instituted, the conflict in Eastern Europe, creating certain input material shortages, and labor shortages at certain of our raw material suppliers. We will continue to take actions to mitigate such increases, including implementing commercial pricing adjustments, holding extra inventories and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Oil-based commodity costs are a significant driver of raw materials and purchased components used within our Packaging segment. As such, an increase in crude oil or natural gas often is a precursor to rising input polymeric raw material costs, for which we may experience a contractual commercial recovery lag. Separately, our Arrow Engine business in our Specialty Products segment is sensitive to the demand for natural gas and crude oil predominantly in the United States. For example, demand for engine, pump jack and compressor products are impacted by active oil and gas rig counts and wellhead investment activities.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third quarter 2024, we purchased 99,130 shares of our outstanding common stock for an aggregate purchase price of $2.4 million. As of September 30, 2024, we had $67.6 million remaining under the repurchase authorization.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third quarter 2024, we declared dividends of $0.04 per share of common stock and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September 30, 2024 and 2023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235,340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three months ended September 30, 2024 as compared to the three months ended September 30,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Third Quarter 2024 vs. Third Quarter 2023</w:t>
            </w:r>
          </w:p>
        </w:tc>
        <w:tc>
          <w:tcPr>
            <w:tcW w:w="1600" w:type="dxa"/>
            <w:vAlign w:val="bottom"/>
            <w:tcBorders>
              <w:bottom w:val="single" w:sz="8" w:color="auto"/>
            </w:tcBorders>
          </w:tcPr>
          <w:p>
            <w:pPr>
              <w:spacing w:after="0"/>
              <w:rPr>
                <w:sz w:val="18"/>
                <w:szCs w:val="18"/>
                <w:color w:val="auto"/>
              </w:rPr>
            </w:pPr>
          </w:p>
        </w:tc>
      </w:tr>
      <w:tr>
        <w:trPr>
          <w:trHeight w:val="211"/>
        </w:trPr>
        <w:tc>
          <w:tcPr>
            <w:tcW w:w="4360" w:type="dxa"/>
            <w:vAlign w:val="bottom"/>
          </w:tcPr>
          <w:p>
            <w:pPr>
              <w:spacing w:after="0"/>
              <w:rPr>
                <w:sz w:val="18"/>
                <w:szCs w:val="18"/>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60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60" w:type="dxa"/>
            <w:vAlign w:val="bottom"/>
          </w:tcPr>
          <w:p>
            <w:pPr>
              <w:spacing w:after="0"/>
              <w:rPr>
                <w:sz w:val="19"/>
                <w:szCs w:val="19"/>
                <w:color w:val="auto"/>
              </w:rPr>
            </w:pPr>
          </w:p>
        </w:tc>
        <w:tc>
          <w:tcPr>
            <w:tcW w:w="17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20"/>
                <w:szCs w:val="20"/>
                <w:color w:val="auto"/>
              </w:rPr>
            </w:pPr>
          </w:p>
        </w:tc>
        <w:tc>
          <w:tcPr>
            <w:tcW w:w="17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nine months ended September 30, 2024 and 2023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215,890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91,880</w:t>
            </w:r>
          </w:p>
        </w:tc>
        <w:tc>
          <w:tcPr>
            <w:tcW w:w="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696,960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683,990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158,420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158,150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120,890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 on the year-over-year sales growth percentages for our reportable segments for the nine months ended September 30, 2024 as compared to the nine months ended September 30,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5880" w:type="dxa"/>
            <w:vAlign w:val="bottom"/>
            <w:tcBorders>
              <w:bottom w:val="single" w:sz="8" w:color="auto"/>
            </w:tcBorders>
            <w:gridSpan w:val="7"/>
          </w:tcPr>
          <w:p>
            <w:pPr>
              <w:ind w:left="1020"/>
              <w:spacing w:after="0"/>
              <w:rPr>
                <w:sz w:val="20"/>
                <w:szCs w:val="20"/>
                <w:color w:val="auto"/>
              </w:rPr>
            </w:pPr>
            <w:r>
              <w:rPr>
                <w:rFonts w:ascii="Times New Roman" w:cs="Times New Roman" w:eastAsia="Times New Roman" w:hAnsi="Times New Roman"/>
                <w:sz w:val="16"/>
                <w:szCs w:val="16"/>
                <w:b w:val="1"/>
                <w:bCs w:val="1"/>
                <w:color w:val="auto"/>
              </w:rPr>
              <w:t>Year to Date Third Quarter 2024 vs. Year to Date Third Quarter 2023</w:t>
            </w:r>
          </w:p>
        </w:tc>
        <w:tc>
          <w:tcPr>
            <w:tcW w:w="1000" w:type="dxa"/>
            <w:vAlign w:val="bottom"/>
            <w:tcBorders>
              <w:bottom w:val="single" w:sz="8" w:color="auto"/>
            </w:tcBorders>
          </w:tcPr>
          <w:p>
            <w:pPr>
              <w:spacing w:after="0"/>
              <w:rPr>
                <w:sz w:val="18"/>
                <w:szCs w:val="18"/>
                <w:color w:val="auto"/>
              </w:rPr>
            </w:pPr>
          </w:p>
        </w:tc>
      </w:tr>
      <w:tr>
        <w:trPr>
          <w:trHeight w:val="211"/>
        </w:trPr>
        <w:tc>
          <w:tcPr>
            <w:tcW w:w="4360" w:type="dxa"/>
            <w:vAlign w:val="bottom"/>
          </w:tcPr>
          <w:p>
            <w:pPr>
              <w:spacing w:after="0"/>
              <w:rPr>
                <w:sz w:val="18"/>
                <w:szCs w:val="18"/>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Foreign Exchange</w:t>
            </w:r>
          </w:p>
        </w:tc>
        <w:tc>
          <w:tcPr>
            <w:tcW w:w="100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TriMas Corporation</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September 30, 2024, compared with the three months ended September 30, 2023, were:</w:t>
      </w:r>
    </w:p>
    <w:p>
      <w:pPr>
        <w:spacing w:after="0" w:line="14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products within our Packaging and Aerospace segments;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demand decrease in our Specialty Products segment;</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Increased costs, decreased sales levels and manufacturing inefficiencies resulting from a prolonged labor union strike at one of our manufacturing facilities in our Aerospace segment;</w:t>
      </w:r>
    </w:p>
    <w:p>
      <w:pPr>
        <w:spacing w:after="0" w:line="80"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our asbestos exposure to update the liability to recent actuarial studies;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material availability and resulting production efficiencies in our Aerospace segment;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expenses related to a waste disposal service provider to one of our former operations;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effective tax rate in third quarter 2024 compared with third quarter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with Three Months Ended September 30, 2023</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net sales decreased $6.0 million, or 2.5%, to $229.4 million for the three months ended September 30, 2024, as compared with $235.3 million in the three months ended September 30, 2023. Organic sales, excluding the impact of currency exchange, decreased $5.4 million, or 2.3%, as organic sales increases of 12.3% and 4.8% within our Packaging and Aerospace segments, respectively, were more than offset by a 44.8% sales decrease in our Specialty Products segment. In addition, net sales decreased by $0.6 million due to currency exchange, as our reported results in U.S. dollars were unfavorably impacted as a result of the strengthening of the U.S. dollar relative to foreign currencies.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22.5% and 23.8% for the three months ended September 30, 2024 and 2023, respectively. Gross profit margin decreased primarily due to lower sales compared to third quarter of 2023 and related less favorable leveraging of fixed costs within our Specialty Products segment, and increased input costs, production inefficiencies and higher costs related to high demand for certain product lines in our Packaging segment, as well as increased costs and manufacturing inefficiencies resulting from the labor union strike within our Aerospace segment. These decreases were partially offset by higher sales levels, the favorable impact of prior year cost reduction efforts and $1.9 million of lower realignment costs within our Packaging segment. In addition, gross profit increased due to improved fixed costs absorption, reduced material availability constraints, a more favorable product sales mix, favorable commercial recoveries and a non-cash charge related to Weldmac purchase accounting of $1.2 million in third quarter of 2023 that did not repeat within our Aerospace segment.</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3.6% and 10.1% for the three months ended September 30, 2024 and 2023, respectively. Operating profit decreased $15.5 million to $8.3 million in the three months ended September 30, 2024, from $23.8 million for the three months ended September 30, 2023, primarily due to lower sales levels and less favorable leveraging of fixed costs within our Specialty Products segment, $5.5 million of pre-tax charges related to updating our asbestos studies in third quarter 2024 and $1.8 million of pre-tax charges related to our environment remediation obligations. Additionally, operating profit decreased due to increased input costs, production inefficiencies and higher costs related to high demand for certain product lines in our Packaging segment, as well as increased costs and manufacturing inefficiencies resulting from the labor union strike within our Aerospace segment. The decreases were partially offset by higher sales levels, lower realignment costs and the impact of $1.0 million higher net gains on sales of non-core properties within the Packaging segment, as well as reduced material availability constraints, a more favorable product sales mix, favorable commercial recoveries and a non-cash charge related to Weldmac purchase accounting in third quarter of 2023 that did not repeat within the Aerospace segment.</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$0.9 million, to $4.9 million for the three months ended September 30, 2024, compared to $4.0 million for the three months ended September 30, 2023, due to an increase in our weighted average borrowings and a higher effective interest rate as a result of increased borrowings from our revolving credit facility.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decreased $0.1 million to a nominal amount of expense for the three months ended September 30, 2024, as compared to $0.1 million of expense for the three months ended September 30, 2023, primarily due to a decrease in losses on transactions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2024 and 2023 was 25.4% and 16.3%, respectively. We recorded income tax expense of $0.9 million and $3.2 million for the three months ended September 30, 2024 and 2023, respectively. The effective tax rate for the three months ended September 30, 2024 was higher than in the prior year primarily due to the recognition of approximately $2.4 million of tax benefit related to foreign tax loss carryforwards in the prior year period.</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decreased $14.0 million, to $2.5 million for the three months ended September 30, 2024, as compared to $16.5 million for the three months ended September 30, 2023. The decrease was primarily the result of a decrease in operating profit of $15.5 million and an increase in interest expense of $0.9 million, partially offset by a decrease in income tax expense of $2.3 million and a decrease in other expense of $0.1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$13.7 million, or 11.8% (of which 12.3% was organic and (0.5)% was foreign currency exchange), to $130.2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September 30, 2024, as compared to $116.5 million in the three months ended September 30, 2023. Sales of dispensing products used primarily for beauty, personal care and home care applications increased by $9.2 million. Sales of products used for industrial applications increased by $4.8 million. Sales of products used in food and beverage applications increased by $0.9 million. Net sales decreased by $0.6 million due to currency exchange, as our reported results in U.S. dollars were unfavorably impacted as a result of the strengthening of the U.S. dollar relative to foreign currencies, as compared to third quarter 2023.</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$2.7 million to $31.0 million, or 23.8% of sales, in the three months ended September 30, 2024, as compared to $28.3 million, or 24.3% of sales, in the three months ended September 30, 2023, primarily due to higher sales levels, the favorable impact of prior year cost reduction efforts, and the impact of $1.9 million lower realignment costs. Gross profit margin decreased due to increased input costs, production inefficiencies and increased costs related to high demand for certain product lines.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$2.2 million to $14.2 million, or 10.9% of sales, in the three months ended September 30, 2024, as compared to $12.0 million, or 10.3% of sales, in the three months ended September 30, 2023, primarily due to $1.2 million higher information technology costs allocated from Corporate and higher employee-related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increased $1.5 million to $17.9 million, or 13.8% of sales, in the three months ended September 30, 2024, as compared to $16.5 million, or 14.1% of sales, in the three months ended September 30, 2023, primarily due to higher sales volume and lower realignment costs and the impact of $1.0 million higher net gains on sale of non-core properties. Operating profit as a percentage of net sales decreased due to increased input costs, production inefficiencies, and higher selling, general and administrative expenses.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September 30, 2024 increased $3.3 million, or 4.8%, to $70.8 million, as compared to $67.6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September 30, 2023. Sales of our engineered components products increased by $3.1 million due to improved throughput. Sales of our fasteners products increased by $0.2 million as increases in aircraft build rates, improved production yield and commercial recoveries were mostly offset by a decrease in sales due to the labor union strike related to negotiations for a new three-year collective bargaining agreement at our Aerospace facility in Commerce, California.</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increased $1.5 million to $16.5 million, or 23.3% of sales, in the three months ended September 30, 2024, from $15.0 million, or 22.2% of sales, in the three months ended September 30, 2023. Gross profit increased primarily due to higher sales levels and resulting improved fixed cost absorption, reduced material availability constraints, a more favorable product sales mix, favorable commercial recoveries and a $1.2 million purchase accounting non-cash charge related to the step-up of Weldmac's inventory to fair value in third quarter of 2023 that did not repeat. These increases were partially offset by increased costs and manufacturing inefficiencies resulting from the labor union strike.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$2.3 million to $10.2 million, or 14.4% of sales, in the three months ended September 30, 2024, as compared to $7.9 million, or 11.6% of sales, in the three months ended September 30, 2023, primarily due to $1.3 million of increased costs related to the labor union strike, higher employee-related costs and higher information technology costs.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decreased $0.8 million to $6.3 million, or 8.9% of sales, in the three months ended September 30, 2024, as compared to $7.1 million, or 10.6% of sales, in the three months ended September 30, 2023, as manufacturing inefficiencies and increased costs related to the strike and higher selling, general and administrative expenses more than offset higher sales levels, reduced material availability constraints, a more favorable product sales mix, favorable commercial recoveries and the impact of the purchase accounting adjustment related to Weldmac's inventory step-up to fair value in third quarter of 2023 that did not repeat.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September 30, 2024 decreased $23.0 million, or 44.8%, to $28.3 million, as compared to $51.3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September 30, 2023. Sales of our forged steel cylinders decreased $16.6 million, or 41.8%, due predominantly to lower demand for heating, ventilation, and air conditioning ("HVAC") applications as compared to the prior year quarter where a high rate of orders were placed by customers concerned with global supply of cylinders for HVAC applications. Sales of natural gas fired engines, compressors and related parts used in remote power generation and assistance applications for natural gas and crude oil extraction decreased by $6.4 million, or 55.1%, primarily as a result of lower compression package sales from a customer that has reduced their ordering rate significantly as compared to prior year quarter.</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$8.4 million to $4.2 million, or 14.9% of sales, in the three months ended September 30, 2024, as compared to $12.6 million, or 24.6% of sales, in the three months ended September 30, 2023, primarily due to lower sales levels, which resulted in significantly less favorable absorption of fixed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$0.3 million to $1.8 million, or 6.5% of sales, in the three months ended September 30, 2024, as compared to $2.1 million, or 4.1% of sales, in the three months ended September 30, 2023, as $0.5 million of information technology costs allocated from Corporate was more than offset by reduced spending levels in third quarter of 2024, consistent with current lower demand levels.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decreased $8.2 million to $2.3 million, or 8.1% of sales, in the three months ended September 30, 2024, as compared to $10.5 million, or 20.5% of sales, in the three months ended September 30, 2023, primarily due to lower sales levels, which resulted in significantly less favorable absorption of fixed costs.</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consist of the following (dollars in millions):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r>
      <w:tr>
        <w:trPr>
          <w:trHeight w:val="211"/>
        </w:trPr>
        <w:tc>
          <w:tcPr>
            <w:tcW w:w="78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Corporate expenses increased $7.9 million to $18.3 million for the three months ended September 30, 2024, from $10.4 million for the three months ended September 30, 2023, primarily due to a $5.5 million pre-tax charge related to updating our asbestos studies in the third quarter of 2024, $2.2 million of higher professional fees primarily for business diligence and strategic consulting, and a $1.8 million pre-tax charge for environmental remediation obligations related to a waste disposal service provider to one of our former operations. Information technology costs increased during the period by $0.1 million, as $2.3 million </w:t>
      </w:r>
      <w:r>
        <w:rPr>
          <w:rFonts w:ascii="Arial" w:cs="Arial" w:eastAsia="Arial" w:hAnsi="Arial"/>
          <w:sz w:val="19"/>
          <w:szCs w:val="19"/>
          <w:color w:val="auto"/>
        </w:rPr>
        <w:t>of</w:t>
      </w:r>
      <w:r>
        <w:rPr>
          <w:rFonts w:ascii="Times New Roman" w:cs="Times New Roman" w:eastAsia="Times New Roman" w:hAnsi="Times New Roman"/>
          <w:sz w:val="18"/>
          <w:szCs w:val="18"/>
          <w:color w:val="auto"/>
        </w:rPr>
        <w:t xml:space="preserve"> technology costs allocated to our segments, which were not allocated in 2023, were offset by higher costs associated with the upgrade of certain key information technology applications. These increases were partially offset by a $1.5 million decrease in non-cash stock compensation due to timing and estimated attainment of existing awards.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with Nine Months Ended September 30, 2023</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$13.0 million, or 1.9%, to $697.0 million for the nine months ended September 30, 2024, as compared with $684.0 million in the nine months ended September 30, 2023. Acquisition-related sales growth was $15.7 million, comprised of $2.8 million from our February 2023 acquisition of Aarts, and $12.9 million from our April 2023 acquisition of Weldmac. Organic sales, excluding the impact of currency exchange and acquisitions, decreased $2.4 million, or 0.3%, as organic sales increases of 10.5% and 14.4% within our Packaging and Aerospace segments, respectively, driven by end market demand improvements were more than offset by a 41.3% sales decrease in our Specialty Products segment due to lower market demand. In addition, net sales decreased by $0.3 million due to currency exchange, as our reported results in U.S. dollars were unfavorably impacted as a result of a strengthening U.S. dollar relative to foreign currencies.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22.7% for the nine months ended September 30, 2024 and 23.1% for the nine months ended September 30, 2023. Gross profit margin decreased primarily due to reduced sales and significantly less favorable absorption of fixed costs within our Specialty Products segment as well as increased input costs, the impact of a $2.6 million commercial settlement in 2023 that did not repeat in the first nine months of 2024, and higher production costs related to demand reversion above peak capacity for certain product lines in our Packaging segment. Also contributing to the decrease in gross profit were increased costs and manufacturing inefficiencies resulting from the labor union strike within our Aerospace segment. The decrease in gross profit was partially offset by higher sales levels and related improved fixed cost absorption and the impact of a non-cash charge related to purchase accounting in the first nine months of 2023 that did not repeat within our Packaging and Aerospace segments. Additionally, gross margin increased due to reduced material availability constraints, a more favorable product sales mix, and favorable commercial recoveries within our Aerospace segment, and the lower year-over-year impact of realignment costs within our Packaging segment.</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5.5% and 7.9% for the nine months ended September 30, 2024 and 2023, respectively. Operating profit decreased $15.2 million, to $38.6 million, for the nine months ended September 30, 2024, compared to $53.8 million for the nine months ended September 30, 2023, primarily due to decreased sales and significantly less favorable absorption of fixed costs within our Specialty Products segment, a $5.5 million pre-tax charge related to updating our asbestos studies in third quarter 2024, and $2.5 million of pre-tax charges related to our environmental remediation obligations. Additionally, operating profit decreased due to increased input costs and higher production costs related to high demand for certain product lines in our Packaging segment, as well as increased costs and manufacturing inefficiencies resulting from the labor union strike within our Aerospace segment. The decreases were partially offset by higher sales levels and related improved fixed cost absorption and the impact of a non-cash charge related to purchase accounting in the first nine months of 2023 that did not repeat within our Packaging and Aerospace segments. Operating profit further increased due to lower realignment costs and the impact of $1.0 million higher net gains on sales of non-core properties within the Packaging segment, as well as reduced material availability constraints, a more favorable product sales mix, and favorable commercial recoveries within the Aerospace segment.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$3.4 million, to $15.0 million, for the nine months ended September 30, 2024, as compared to $11.6 million for the nine months ended September 30, 2023, due to an increase in our weighted average borrowings and a higher effective interest rate as a result of increased borrowings from our revolving credit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increased $0.3 million to $0.3 million of expense for the nine months ended September 30, 2024, as compared to a nominal amount of expense for the nine months ended September 30, 2023, primarily due to an increase in net losses on transactions denominated in foreign currencies, partially offset by a non-cash settlement charge for our Canadian defined benefit obligations during the nine months ended September 30, 2023.</w:t>
      </w:r>
    </w:p>
    <w:p>
      <w:pPr>
        <w:spacing w:after="0" w:line="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effective income tax rate for the nine months ended September 30, 2024 and 2023 was 20.0% and 23.1%, respectively. We recorded tax expense of $4.6 million for the nine months ended September 30, 2024, as compared to $9.7 million for the nine months ended September 30, 2023, including tax benefits related to foreign tax loss carryforwards of $1.7 million and $2.4 million for the nine months ended September 30, 2024 and 2023, respectively. The effective tax rate for the nine months ended September 30, 2024 is lower than in the prior year primarily due to a decrease in losses in jurisdictions where no tax benefit could be recorded and the recognition of tax benefits related to foreign tax loss carryforwards. While the recorded tax benefit related to foreign tax loss carryforwards decreased compared to the prior year period, the impact on the effective tax rate increased due to a reduction in pre-tax income.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decreased by $13.8 million, to $18.6 million for the nine months ended September 30, 2024, compared to $32.4 million for the nine months ended September 30, 2023. The decrease was primarily the result of a decrease in operating profit of $15.2 million, increase in interest expense of $3.4 million, and increase in other expense of $0.3 million, partially offset by $5.1 million decrease in income tax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$39.2 million, or 11.2% (of which 10.5% was organic, 0.8% related to acquisitions, and (0.1)% was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to $389.2 million in the nine months ended September 30, 2024, as compared to $350.0 million in the nine months ended September 30, 2023. Acquisition-related sales growth was $2.8 million resulting from the January 2024 sales of our February 2023 acquisition of Aarts. Sales of dispensing products used primarily for beauty, personal care and home care applications increased by $26.6 million. Sales of products used for industrial applications increased by $11.0 million. Sales for life sciences, pharmaceutical and nutraceutical applications increased by $2.4 million. These increases were partially offset by the decrease in sales of products used in food and beverage applications of $2.6 million, primarily due to reduced demand for certain dairy applications in North America and beverage closure applications in Europe as certain customers prepare for cutting over to a new product design. Net sales decreased by $0.3 million due to currency exchange, as our reported results in U.S. dollars were unfavorably impacted as a result of the strengthening U.S. dollar relative to foreign currencies, as compared to 2023.</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increased $10.7 million to $95.4 million, or 24.5% of sales, in the nine months ended September 30, 2024, as compared to $84.7 million, or 24.2% of sales, in the nine months ended September 30, 2023, primarily due to higher sales levels and resulting improved fixed cost absorption, the favorable impact of prior year cost reduction efforts, and the impact of $5.2 million lower realignment costs and a $0.8 million purchase accounting non-cash charge related to the step-up of inventory to fair value in the first nine months of 2023 that did not repeat in the first nine months of 2024. The increase in gross profit was partially offset by a successful $2.6 million commercial settlement in 2023 that did not repeat, increased input costs, including expedited freight and labor, required to timely fulfill an abrupt increase in a customer's orders in 2024, and higher costs related to high demand for certain product lines.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$6.8 million to $43.4 million, or 11.2% of sales, in the nine months ended September 30, 2024, as compared to $36.6 million, or 10.5% of sales, in the nine months ended September 30, 2023, primarily due to $3.4 million higher information technology costs allocated from Corporate, higher employee-related costs and higher professional fees.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increased $4.9 million to $53.1 million, or 13.6% of sales, in the nine months ended September 30, 2024, as compared to $48.1 million, or 13.8% of sales, in the nine months ended September 30, 2023, primarily due to higher sales levels, improved fixed cost absorption, and the favorable impact of prior realignment actions, and the impact of $1.0 million higher net gains on sale of non-core properties. These increases were partially offset by higher selling, general and administrative expenses, the impact of a successful commercial settlement in first nine months of 2023 that did not repeat, and increased input costs, including expedited freight to timely fulfill an abrupt increase in a customer's orders.</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nine months ended September 30, 2024 increased $38.5 million, or 21.7% (of which 14.4% was organic and 7.3%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to $215.9 million, as compared to $177.4 million in the nine months ended September 30, 2023. Acquisition-related sales growth from our April 2023 acquisition of Weldmac was $12.9 million. Sales of our fasteners products increased by $16.0 million due to increases in aircraft build rates, improved production yield and commercial recoveries, partially offset by a decrease in sales due to the labor union strike related to negotiations for the renewal of the collective bargaining agreement at our Aerospace facility in Commerce, California. Sales of our engineered components products increased by $9.6 million due to improved throughput.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increased $16.9 million to $51.3 million, or 23.8% of sales, in the nine months ended September 30, 2024, from $34.5 million, or 19.4% of sales, in the nine months ended September 30, 2023. Gross profit increased primarily due to higher sales levels and resulting improved fixed cost absorption, reduced material availability constraints, a more favorable product sales mix, favorable commercial recoveries, and a $2.0 million purchase accounting non-cash charge related to the step-up of inventory to fair value in 2023 that did not repeat. These increases were partially offset by increased costs and manufacturing inefficiencies resulting from the labor union strike.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$4.2 million to $27.5 million, or 12.7% of sales, in the nine months ended September 30, 2024, as compared to $23.3 million, or 13.1% of sales, in the nine months ended September 30, 2023, primarily due to higher employee-related costs, higher information technology costs, $1.3 million of increased costs related to the labor union strike, and higher ongoing selling, general and administrative costs associated with our acquisition of Weldmac. These increases were partially offset by lower legal costs and lower intangible asset amortization expense due to certain assets becoming fully amortized.</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increased $12.7 million to $23.9 million, or 11.1% of sales, in the nine months ended September 30, 2024, as compared to $11.2 million, or 6.3% of sales, in the nine months ended September 30, 2023, primarily due to the impact of higher sales levels, improved fixed cost absorption, reduced material availability production constraints, a more favorable product sales mix, commercial recoveries, and a purchase accounting adjustment related to Weldmac's inventory step-up to fair value in 2023 that did not repeat, partially offset by higher selling, general and administrative expenses and increased costs and manufacturing inefficiencies related to the strike.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nine months ended September 30, 2024 decreased $64.7 million, or 41.3%, to $91.9 million, as compared to $156.6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nine months ended September 30, 2023. Sales of forged steel cylinders decreased $43.6 million, or 36.4%, due predominantly to lower demand for HVAC applications as compared to the prior year where a high rate of orders were placed by customers concerned with global supply of steel cylinders for HVAC applications. Sales of natural gas fired engines, compressors and related parts used in remote power generation and assistance applications for natural gas and crude oil extraction decreased by $21.1 million, or 57.4%, primarily as a result of lower compression package sales from a customer that has reduced their ordering rate significantly as compared to the prior year.</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$27.3 million to $11.7 million, or 12.7% of sales, in the nine months ended September 30, 2024, as compared to $39.0 million, or 24.9% of sales, in the nine months ended September 30, 2023, primarily due to lower sales levels, which resulted in significantly less favorable absorption of fixed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$0.5 million to $6.1 million, or 6.7% of sales, in the nine months ended September 30, 2024, as compared to $6.6 million, or 4.2% of sales, in the nine months ended September 30, 2023, as $1.3 million of higher information technology costs allocated from Corporate was more than offset by cost reduction actions in the first nine months of 2024, in response to lower market demand levels.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decreased $26.9 million to $5.5 million, or 6.0% of sales, in the nine months ended September 30, 2024, as compared to $32.4 million, or 20.7% of sales, in the nine months ended September 30, 2023, primarily due to lower sales levels, which resulted in significantly less favorable absorption of fixed costs.</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net consist of the following (dollars in millions):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r>
      <w:tr>
        <w:trPr>
          <w:trHeight w:val="211"/>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expenses increased $6.0 million to $43.8 million for the nine months ended September 30, 2024, from $37.9 million for the nine months ended September 30, 2023, primarily due to a $5.5 million pre-tax charge related to updating our asbestos studies in the third quarter of 2024 and $2.5 million of pre-tax charges related to our environment remediation obligations. The increases were partially offset by a $1.3 million decrease in non-cash stock compensation due to timing and estimated attainment of existing awards, a $0.9 million decrease in professional fees as we incurred less costs for business strategy and other consulting services, and a $0.2 million decrease in technology costs, as $6.7 million of technology costs allocated to our segments was mostly offset by $6.5 million higher costs in preparation for upgrades in certain of our information technology application.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$36.7 million for the nine months ended September 30, 2024, as compared to cash provided of $57.6 million for the nine months ended September 30, 2023. Significant changes in cash flows provided by operating activities and the reasons for such changes were as follows:</w:t>
      </w:r>
    </w:p>
    <w:p>
      <w:pPr>
        <w:spacing w:after="0" w:line="108" w:lineRule="exact"/>
        <w:rPr>
          <w:sz w:val="20"/>
          <w:szCs w:val="20"/>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we generated $87.3 million in cash flows, based on net income of $18.6 million and after considering the effects of non-cash items related to depreciation, amortization, and gain on dispositions of assets, changes in deferred income taxes, stock-based compensation, provision for losses on accounts receivable, changes in asbestos and environmental liability estimates, and other operating activities. For the nine months ended September 30, 2023, we generated $89.4 million in cash flows based on net income of $32.4 million and after considering the effects of similar non-cash items, except for changes in provision for losses on accounts receivable.</w:t>
      </w:r>
    </w:p>
    <w:p>
      <w:pPr>
        <w:spacing w:after="0" w:line="1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$15.9 million and $22.6 million for the nine months ended September 30, 2024 and 2023, respectively. The decreased use of cash for each of the nine month periods is due primarily to the timing of sales and collection of cash related thereto within the periods. Days sales outstanding of receivables increased one day through the nine months ended September 30, 2024, and increased by five days through the nine months ended September 30, 2023.</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$23.1 million for the nine months ended September 30, 2024, while we decreased our investment in inventory by $1.8 million for the nine months ended September 30, 2023. Our days sales in inventory increased by four days through the nine months ended September 30, 2024, as we continued to manage inventory levels, considering our supply needs, and balanced with sales growth within our Packaging and Aerospace segments. Our days sales in inventory decreased by two days through the nine months ended September 30, 2023, primarily as a result of moderating inventory levels with sales level.</w:t>
      </w:r>
    </w:p>
    <w:p>
      <w:pPr>
        <w:spacing w:after="0" w:line="1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prepaid expenses and other assets resulted in a use of cash of $4.6 million and $0.7 million for the nine months ended September 30, 2024, and 2023, respectively.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liabilities resulted in a use of cash of $7.0 million and $10.4 million for the nine months ended September 30, 2024 and 2023, respectively. Days accounts payable on hand decreased by nine days through the nine months ended September 30, 2024 and decreased by eight days for the nine months ended September 30, 2023. Our days accounts payable on hand fluctuate primarily as a result of the timing of payments made to suppliers and the mix of vendors and related terms.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for the nine months ended September 30, 2024 and 2023 was $31.9 million and $111.8 million, respectively. During the first nine months of 2024, we invested $36.0 million in capital expenditures, as we continued our investment in growth, capacity and productivity-related capital projects. We also received net proceeds of $4.1 million from disposition of property and equipment. During the first nine months of 2023, we invested $34.9 million in capital expenditures, paid $77.3 million, net of cash acquired, to acquire Aarts and Weldmac, and received net proceeds of $0.5 million from disposition of property and equipment.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for financing activities was $12.8 million and $23.2 million for the nine months ended September 30, 2024 and 2023, respectively. During the nine months ended September 30, 2024, we received net proceeds of $13.4 million from borrowings on our revolving credit facilities, purchased $19.3 million of our outstanding common stock, used a net cash amount of $1.6 million related to our stock compensation arrangements, paid dividends of $5.0 million, and paid $0.3 million related to other financing activities. Our reported net proceeds from borrowings on our revolving credit facilities considers the impact of foreign currency translation. During the nine months ended September 30, 2023, we received net proceeds of $1.1 million from borrowings on our revolving credit facilities, purchased $13.4 million of outstanding common stock, used a net cash amount of $2.7 million related to our stock compensation arrangements, paid dividends of $5.0 million, and paid $3.2 million related to liabilities assumed in our acquisition of Aarts.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2021, we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18"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our consolidated subsidiaries that do not guarantee the Senior Notes represented 30% of the total of guarantor and non-guarantor net sales, treating each as a consolidated group and excluding intercompany transactions between guarantor and non-guarantor subsidiaries. In addition, our non-guarantor subsidiaries represented 37% and 12% of the total guarantor and non-guarantor assets and liabilities, respectively, as of September 30, 2024, treating the guarantor and non-guarantor subsidiaries each as a consolidated group.</w:t>
      </w:r>
    </w:p>
    <w:p>
      <w:pPr>
        <w:spacing w:after="0" w:line="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and Euro borrowings to the Euro InterBank Offered Rate (“EURIBOR”), both plus a spread of 1.75%, and U.S. dollar borrowings subject to the Secured Overnight Financing Rate ("SOFR") plus a spread of 1.85%. The interest rate spread is based upon the leverage ratio, as defined, as of the most recent determination date. Our revolving credit facility allows for the issuance of letters of credit, not to exceed $40.0 million in aggregate.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September 30, 2024. If we were to complete an acquisition which qualifies for a Covenant Holiday Period, as defined in our Credit Agreement, then our permitted total net leverage ratio cannot exceed 4.50 to 1.00 during that period. Our actual total net leverage ratio was 2.76 to 1.00 at September 30, 2024. Our permitted interest expense coverage ratio under the Credit Agreement is 3.00 to 1.00 as of September 30, 2024. Our actual interest expense coverage ratio was 8.18 to 1.00 at September 30, 2024. At September 30, 2024,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September 30, 2024 (dollars in thousands). We present Consolidated Bank EBITDA to show our performance under our financial covenants.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200" w:type="dxa"/>
            <w:vAlign w:val="bottom"/>
          </w:tcPr>
          <w:p>
            <w:pPr>
              <w:spacing w:after="0"/>
              <w:rPr>
                <w:sz w:val="16"/>
                <w:szCs w:val="16"/>
                <w:color w:val="auto"/>
              </w:rPr>
            </w:pPr>
          </w:p>
        </w:tc>
      </w:tr>
      <w:tr>
        <w:trPr>
          <w:trHeight w:val="214"/>
        </w:trPr>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Borders>
              <w:bottom w:val="single" w:sz="8" w:color="auto"/>
            </w:tcBorders>
          </w:tcPr>
          <w:p>
            <w:pPr>
              <w:spacing w:after="0"/>
              <w:rPr>
                <w:sz w:val="18"/>
                <w:szCs w:val="18"/>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w:t>
            </w:r>
          </w:p>
        </w:tc>
      </w:tr>
      <w:tr>
        <w:trPr>
          <w:trHeight w:val="229"/>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5,130</w:t>
            </w:r>
          </w:p>
        </w:tc>
      </w:tr>
      <w:tr>
        <w:trPr>
          <w:trHeight w:val="22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56,530</w:t>
            </w:r>
          </w:p>
        </w:tc>
      </w:tr>
      <w:tr>
        <w:trPr>
          <w:trHeight w:val="230"/>
        </w:trPr>
        <w:tc>
          <w:tcPr>
            <w:tcW w:w="89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89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21,960</w:t>
            </w:r>
          </w:p>
        </w:tc>
      </w:tr>
      <w:tr>
        <w:trPr>
          <w:trHeight w:val="22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r>
      <w:tr>
        <w:trPr>
          <w:trHeight w:val="229"/>
        </w:trPr>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9"/>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8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Borders>
              <w:bottom w:val="single" w:sz="8" w:color="CCEEFF"/>
            </w:tcBorders>
          </w:tcPr>
          <w:p>
            <w:pPr>
              <w:spacing w:after="0"/>
              <w:rPr>
                <w:sz w:val="24"/>
                <w:szCs w:val="24"/>
                <w:color w:val="auto"/>
              </w:rPr>
            </w:pPr>
          </w:p>
        </w:tc>
      </w:tr>
      <w:tr>
        <w:trPr>
          <w:trHeight w:val="226"/>
        </w:trPr>
        <w:tc>
          <w:tcPr>
            <w:tcW w:w="89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406,510</w:t>
            </w:r>
          </w:p>
        </w:tc>
        <w:tc>
          <w:tcPr>
            <w:tcW w:w="200" w:type="dxa"/>
            <w:vAlign w:val="bottom"/>
            <w:shd w:val="clear" w:color="auto" w:fill="CCEEFF"/>
          </w:tcPr>
          <w:p>
            <w:pPr>
              <w:spacing w:after="0"/>
              <w:rPr>
                <w:sz w:val="19"/>
                <w:szCs w:val="19"/>
                <w:color w:val="auto"/>
              </w:rPr>
            </w:pP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147,460</w:t>
            </w:r>
          </w:p>
        </w:tc>
        <w:tc>
          <w:tcPr>
            <w:tcW w:w="200" w:type="dxa"/>
            <w:vAlign w:val="bottom"/>
            <w:tcBorders>
              <w:bottom w:val="single" w:sz="8" w:color="CCEEFF"/>
            </w:tcBorders>
          </w:tcPr>
          <w:p>
            <w:pPr>
              <w:spacing w:after="0"/>
              <w:rPr>
                <w:sz w:val="19"/>
                <w:szCs w:val="19"/>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5"/>
        </w:trPr>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200" w:type="dxa"/>
            <w:vAlign w:val="bottom"/>
          </w:tcPr>
          <w:p>
            <w:pPr>
              <w:spacing w:after="0"/>
              <w:rPr>
                <w:sz w:val="24"/>
                <w:szCs w:val="24"/>
                <w:color w:val="auto"/>
              </w:rPr>
            </w:pPr>
          </w:p>
        </w:tc>
      </w:tr>
      <w:tr>
        <w:trPr>
          <w:trHeight w:val="214"/>
        </w:trPr>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Borders>
              <w:bottom w:val="single" w:sz="8" w:color="auto"/>
            </w:tcBorders>
          </w:tcPr>
          <w:p>
            <w:pPr>
              <w:spacing w:after="0"/>
              <w:rPr>
                <w:sz w:val="18"/>
                <w:szCs w:val="18"/>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8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Borders>
              <w:bottom w:val="single" w:sz="8" w:color="CCEEFF"/>
            </w:tcBorders>
          </w:tcPr>
          <w:p>
            <w:pPr>
              <w:spacing w:after="0"/>
              <w:rPr>
                <w:sz w:val="24"/>
                <w:szCs w:val="24"/>
                <w:color w:val="auto"/>
              </w:rPr>
            </w:pPr>
          </w:p>
        </w:tc>
      </w:tr>
      <w:tr>
        <w:trPr>
          <w:trHeight w:val="22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147,460</w:t>
            </w:r>
          </w:p>
        </w:tc>
        <w:tc>
          <w:tcPr>
            <w:tcW w:w="200" w:type="dxa"/>
            <w:vAlign w:val="bottom"/>
            <w:shd w:val="clear" w:color="auto" w:fill="CCEEFF"/>
          </w:tcPr>
          <w:p>
            <w:pPr>
              <w:spacing w:after="0"/>
              <w:rPr>
                <w:sz w:val="19"/>
                <w:szCs w:val="19"/>
                <w:color w:val="auto"/>
              </w:rPr>
            </w:pP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200" w:type="dxa"/>
            <w:vAlign w:val="bottom"/>
            <w:tcBorders>
              <w:bottom w:val="single" w:sz="8" w:color="CCEEFF"/>
            </w:tcBorders>
          </w:tcPr>
          <w:p>
            <w:pPr>
              <w:spacing w:after="0"/>
              <w:rPr>
                <w:sz w:val="19"/>
                <w:szCs w:val="19"/>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3"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12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strike related costs, severance, relocation, restructuring and curtailment expenses.</w:t>
      </w:r>
    </w:p>
    <w:p>
      <w:pPr>
        <w:spacing w:after="0" w:line="13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$4.5 million of acquisition-related contingent consideration, $3.5 million of derivative liabilities, and $1.9 million of finance leases as of September 30, 2024.</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2024, we had $13.5 million outstanding under our revolving credit facility and had $280.2 million potentially available after giving effect to $6.3 million of letters of credit issued and outstanding. At December 31, 2023, we had no amounts outstanding under our revolving credit facility and had $294.0 million potentially available after giving effect to $6.0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September 30, 2024 and December 31, 2023, we had $183.3 million and $256.9 million, respectively, of borrowing capacity available for general corporate purposes.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during the first nine months of 2024 approximated $437.5 million, compared to $420.5 million during the first nine months of 2023, primarily due to borrowings made on our revolving credit facility.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$4.0 million. The facility is guaranteed by TriMas Corporation. At September 30, 2024, we had $0.1 million outstanding on this loan facility.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majority of our cash on hand as of September 30, 2024 is located outside of the U.S., given available funding under our revolving credit facility of $183.3 million at September 30, 2024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At September 30, 2024, the 1-Month SOFR approximated 5.0% and the Prime rate approximated 8.0%. Based on our variable rate-based borrowings outstanding at September 30, 2024, a 1% increase in the per annum interest rate would increase our interest expense by $0.1 million annually.</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The majority of our lease transactions are accounted for as operating leases, and annual rent expense related thereto approximated $14.9 million in 2023. We expect leasing will continue to be an available financing option to fund future capital expenditure requirements.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first quarter 2023 acquisition of Aarts, we assumed a $2.9 million liability to a bank related to the advance funding of certain accounts receivable invoices. We terminated this arrangement, and repaid the outstanding balance, in March 2023.</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In the nine months ended September 30, 2024, we purchased 771,067 shares of our outstanding common stock for an aggregate purchase price of $19.3 million. Since the initial authorization through September 30, 2024, we have purchased 6,566,564 shares of our outstanding common stock for an aggregate purchase price of $182.4 million. We will continue to evaluate opportunities to return capital to shareholders through the purchase of our common stock and the payment of dividends, depending on market conditions, and other factors.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September 30, 2024, we were party to foreign exchange forward and swap contracts to hedge changes in foreign currency exchange rates with notional amounts of $141.9 million. We also use cross-currency swap agreements to mitigate currency risks associated with the net investment in certain of our foreign subsidiaries. See Note 10,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 Our stock trades under the symbol "TRS."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March 19, 2024, Moody's affirmed a Ba3 rating to our Senior Notes.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affirmed a Ba2 Corporate Family Rating and maintained its outlook as stable. On June 28, 2024, Standard &amp; Poor's affirmed a BB- 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2023, we proactively managed through demand weakness in certain of our packaging businesses and an imbalance of high demand against a lack of material and skilled labor availability in our aerospace businesses. While we believe supply-related production challenges are largely behind us in the Aerospace segment, we have further opportunity to improve our production throughput, and hence conversion, within our Packaging segment through the remainder of 2024 and into 2025. Within our Specialty Products segment, we currently are working through a significant demand trough as compared to the prior year period where we enjoyed exceptional sales rates and commercial strength. Within Specialty Products, we believe sales rates are firming up, and therefore, we anticipate sequential improvement in operating profit as we move forward based on structural costs saving actions we have implemented. We will continue to monitor trends in demand changes and adjust costs and investments accordingly.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seen a number of global market uncertainties stemming from the macro-economic environment in the past few years, including significant challenges in inflationary pressures, supply chain disruptions and labor availability, as well as significant volatility in our customers' sentiment and order patterns. While we expect a continued modest demand recovery in certain of our consumer products and industrial markets and continued strength in our aerospace &amp; defense market, we remain cautious of the impact of global market uncertainty. However, no matter the outcome of these factors, we expect to continue to mitigate, as much as practical, the impact of these challenges, executing on streamlining actions and taking other steps as necessary, to maintain our strong balance sheet and generate cash in support of our capital allocation strategy.</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2024,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September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2023 Annual Report on Form 10-K, which could materially affect our business, financial condition or future results. There have been no significant changes in our risk factors as disclosed in our 2023 Annual Report on Form 10-K.</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during the three months ended September 30,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360" w:type="dxa"/>
            <w:vAlign w:val="bottom"/>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0" w:type="dxa"/>
            <w:vAlign w:val="bottom"/>
          </w:tcPr>
          <w:p>
            <w:pPr>
              <w:spacing w:after="0"/>
              <w:rPr>
                <w:sz w:val="1"/>
                <w:szCs w:val="1"/>
                <w:color w:val="auto"/>
              </w:rPr>
            </w:pPr>
          </w:p>
        </w:tc>
      </w:tr>
      <w:tr>
        <w:trPr>
          <w:trHeight w:val="212"/>
        </w:trPr>
        <w:tc>
          <w:tcPr>
            <w:tcW w:w="2160" w:type="dxa"/>
            <w:vAlign w:val="bottom"/>
            <w:vMerge w:val="continue"/>
          </w:tcPr>
          <w:p>
            <w:pPr>
              <w:spacing w:after="0"/>
              <w:rPr>
                <w:sz w:val="18"/>
                <w:szCs w:val="18"/>
                <w:color w:val="auto"/>
              </w:rPr>
            </w:pPr>
          </w:p>
        </w:tc>
        <w:tc>
          <w:tcPr>
            <w:tcW w:w="3360" w:type="dxa"/>
            <w:vAlign w:val="bottom"/>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40" w:type="dxa"/>
            <w:vAlign w:val="bottom"/>
          </w:tcPr>
          <w:p>
            <w:pPr>
              <w:jc w:val="center"/>
              <w:ind w:left="25"/>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840" w:type="dxa"/>
            <w:vAlign w:val="bottom"/>
            <w:vMerge w:val="restart"/>
          </w:tcPr>
          <w:p>
            <w:pPr>
              <w:jc w:val="center"/>
              <w:ind w:left="25"/>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18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840" w:type="dxa"/>
            <w:vAlign w:val="bottom"/>
            <w:vMerge w:val="restart"/>
          </w:tcPr>
          <w:p>
            <w:pPr>
              <w:jc w:val="center"/>
              <w:ind w:left="25"/>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54"/>
        </w:trPr>
        <w:tc>
          <w:tcPr>
            <w:tcW w:w="1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840" w:type="dxa"/>
            <w:vAlign w:val="bottom"/>
          </w:tcPr>
          <w:p>
            <w:pPr>
              <w:jc w:val="center"/>
              <w:ind w:left="25"/>
              <w:spacing w:after="0" w:line="162" w:lineRule="exact"/>
              <w:rPr>
                <w:sz w:val="20"/>
                <w:szCs w:val="20"/>
                <w:color w:val="auto"/>
              </w:rPr>
            </w:pPr>
            <w:r>
              <w:rPr>
                <w:rFonts w:ascii="Times New Roman" w:cs="Times New Roman" w:eastAsia="Times New Roman" w:hAnsi="Times New Roman"/>
                <w:sz w:val="16"/>
                <w:szCs w:val="16"/>
                <w:b w:val="1"/>
                <w:bCs w:val="1"/>
                <w:color w:val="auto"/>
              </w:rPr>
              <w:t>the Program (in millions)</w:t>
            </w:r>
          </w:p>
        </w:tc>
        <w:tc>
          <w:tcPr>
            <w:tcW w:w="0" w:type="dxa"/>
            <w:vAlign w:val="bottom"/>
          </w:tcPr>
          <w:p>
            <w:pPr>
              <w:spacing w:after="0"/>
              <w:rPr>
                <w:sz w:val="1"/>
                <w:szCs w:val="1"/>
                <w:color w:val="auto"/>
              </w:rPr>
            </w:pPr>
          </w:p>
        </w:tc>
      </w:tr>
      <w:tr>
        <w:trPr>
          <w:trHeight w:val="162"/>
        </w:trPr>
        <w:tc>
          <w:tcPr>
            <w:tcW w:w="17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18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c>
          <w:tcPr>
            <w:tcW w:w="1840" w:type="dxa"/>
            <w:vAlign w:val="bottom"/>
          </w:tcPr>
          <w:p>
            <w:pPr>
              <w:jc w:val="center"/>
              <w:ind w:left="5"/>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80" w:space="200"/>
            <w:col w:w="546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to July 31, 2024</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2024 to August 31,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8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to September 30,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7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88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99,130</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99,130</w:t>
            </w:r>
          </w:p>
        </w:tc>
        <w:tc>
          <w:tcPr>
            <w:tcW w:w="8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line="245" w:lineRule="auto"/>
        <w:tabs>
          <w:tab w:leader="none" w:pos="309"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September 30, 2024, the Company repurchased 99,130 shares of its common stock at a cost of $2.4 million. The share repurchase program is effective and has no expiration date.</w:t>
      </w:r>
    </w:p>
    <w:p>
      <w:pPr>
        <w:spacing w:after="0" w:line="1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 director or officer (as defined in Rule 16a-1(f) promulgated under the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18"/>
                <w:szCs w:val="18"/>
                <w:color w:val="auto"/>
              </w:rPr>
            </w:pPr>
          </w:p>
        </w:tc>
        <w:tc>
          <w:tcPr>
            <w:tcW w:w="9500" w:type="dxa"/>
            <w:vAlign w:val="bottom"/>
            <w:gridSpan w:val="6"/>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Fourth Amended and Restated Certificate of Incorporation of TriMas Corporation (Incorporated by reference to the Exhibits filed</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with TriMas Corporation's Quarterly Report on Form 10-Q filed on August 3, 2007 (File No. 001-10716)).</w:t>
              </w:r>
            </w:hyperlink>
          </w:p>
        </w:tc>
        <w:tc>
          <w:tcPr>
            <w:tcW w:w="1640" w:type="dxa"/>
            <w:vAlign w:val="bottom"/>
            <w:tcBorders>
              <w:top w:val="single" w:sz="8" w:color="0000FF"/>
            </w:tcBorders>
            <w:gridSpan w:val="3"/>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18"/>
                <w:szCs w:val="18"/>
                <w:color w:val="auto"/>
              </w:rPr>
            </w:pPr>
          </w:p>
        </w:tc>
        <w:tc>
          <w:tcPr>
            <w:tcW w:w="9500" w:type="dxa"/>
            <w:vAlign w:val="bottom"/>
            <w:gridSpan w:val="6"/>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Third Amended and Restated By-laws of TriMas Corporation (Incorporated by reference to the Exhibits filed with TriMas</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Corporation's Current Report on Form 8-K filed on December 18, 2015 (File No. 001-10716)).</w:t>
              </w:r>
            </w:hyperlink>
          </w:p>
        </w:tc>
        <w:tc>
          <w:tcPr>
            <w:tcW w:w="700" w:type="dxa"/>
            <w:vAlign w:val="bottom"/>
            <w:gridSpan w:val="2"/>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18"/>
                <w:szCs w:val="18"/>
                <w:color w:val="auto"/>
              </w:rPr>
            </w:pPr>
          </w:p>
        </w:tc>
        <w:tc>
          <w:tcPr>
            <w:tcW w:w="8720" w:type="dxa"/>
            <w:vAlign w:val="bottom"/>
            <w:tcBorders>
              <w:top w:val="single" w:sz="8" w:color="0000FF"/>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780" w:type="dxa"/>
            <w:vAlign w:val="bottom"/>
            <w:gridSpan w:val="3"/>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18"/>
                <w:szCs w:val="18"/>
                <w:color w:val="auto"/>
              </w:rPr>
            </w:pPr>
          </w:p>
        </w:tc>
        <w:tc>
          <w:tcPr>
            <w:tcW w:w="8720" w:type="dxa"/>
            <w:vAlign w:val="bottom"/>
            <w:tcBorders>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780" w:type="dxa"/>
            <w:vAlign w:val="bottom"/>
            <w:gridSpan w:val="3"/>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18"/>
                <w:szCs w:val="18"/>
                <w:color w:val="auto"/>
              </w:rPr>
            </w:pPr>
          </w:p>
        </w:tc>
        <w:tc>
          <w:tcPr>
            <w:tcW w:w="8720" w:type="dxa"/>
            <w:vAlign w:val="bottom"/>
            <w:tcBorders>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780" w:type="dxa"/>
            <w:vAlign w:val="bottom"/>
            <w:gridSpan w:val="3"/>
          </w:tcPr>
          <w:p>
            <w:pPr>
              <w:spacing w:after="0"/>
              <w:rPr>
                <w:sz w:val="18"/>
                <w:szCs w:val="18"/>
                <w:color w:val="auto"/>
              </w:rPr>
            </w:pPr>
          </w:p>
        </w:tc>
      </w:tr>
      <w:tr>
        <w:trPr>
          <w:trHeight w:val="205"/>
        </w:trPr>
        <w:tc>
          <w:tcPr>
            <w:tcW w:w="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7"/>
                <w:szCs w:val="17"/>
                <w:color w:val="auto"/>
              </w:rPr>
            </w:pPr>
          </w:p>
        </w:tc>
        <w:tc>
          <w:tcPr>
            <w:tcW w:w="950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auto"/>
              </w:rPr>
              <w:t>The following materials from TriMas Corporation's Quarterly Report on Form 10-Q for the quarter ended September 30, 2024,</w:t>
            </w:r>
          </w:p>
        </w:tc>
      </w:tr>
      <w:tr>
        <w:trPr>
          <w:trHeight w:val="180"/>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 the Consolidated Balance Sheet, (ii) the Consolidated</w:t>
            </w:r>
          </w:p>
        </w:tc>
      </w:tr>
      <w:tr>
        <w:trPr>
          <w:trHeight w:val="191"/>
        </w:trPr>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50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Statement of Income, (iii) the Consolidated Statement of Comprehensive Income, (iv) the Consolidated Statement of Cash Flows,</w:t>
            </w:r>
          </w:p>
        </w:tc>
      </w:tr>
    </w:tbl>
    <w:p>
      <w:pPr>
        <w:ind w:left="1680" w:hanging="7"/>
        <w:spacing w:after="0" w:line="233" w:lineRule="auto"/>
        <w:tabs>
          <w:tab w:leader="none" w:pos="19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Shareholders' Equity, (vi) Notes to Consolidated Financial Statements, and (vii) document and entity information.</w:t>
      </w:r>
    </w:p>
    <w:p>
      <w:pPr>
        <w:spacing w:after="0" w:line="1"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39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TRIMAS CORPORATION (Registrant)</w:t>
            </w:r>
          </w:p>
        </w:tc>
        <w:tc>
          <w:tcPr>
            <w:tcW w:w="4440" w:type="dxa"/>
            <w:vAlign w:val="bottom"/>
          </w:tcPr>
          <w:p>
            <w:pPr>
              <w:spacing w:after="0"/>
              <w:rPr>
                <w:sz w:val="20"/>
                <w:szCs w:val="20"/>
                <w:color w:val="auto"/>
              </w:rPr>
            </w:pPr>
          </w:p>
        </w:tc>
      </w:tr>
      <w:tr>
        <w:trPr>
          <w:trHeight w:val="486"/>
        </w:trPr>
        <w:tc>
          <w:tcPr>
            <w:tcW w:w="2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9"/>
              </w:rPr>
              <w:t>/s/ SCOTT A. MELL</w:t>
            </w:r>
          </w:p>
        </w:tc>
      </w:tr>
      <w:tr>
        <w:trPr>
          <w:trHeight w:val="54"/>
        </w:trPr>
        <w:tc>
          <w:tcPr>
            <w:tcW w:w="27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176"/>
        </w:trPr>
        <w:tc>
          <w:tcPr>
            <w:tcW w:w="2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440" w:type="dxa"/>
            <w:vAlign w:val="bottom"/>
          </w:tcPr>
          <w:p>
            <w:pPr>
              <w:jc w:val="center"/>
              <w:ind w:right="2490"/>
              <w:spacing w:after="0" w:line="176" w:lineRule="exact"/>
              <w:rPr>
                <w:sz w:val="20"/>
                <w:szCs w:val="20"/>
                <w:color w:val="auto"/>
              </w:rPr>
            </w:pPr>
            <w:r>
              <w:rPr>
                <w:rFonts w:ascii="Times New Roman" w:cs="Times New Roman" w:eastAsia="Times New Roman" w:hAnsi="Times New Roman"/>
                <w:sz w:val="18"/>
                <w:szCs w:val="18"/>
                <w:color w:val="auto"/>
              </w:rPr>
              <w:t>Scott A. Mell</w:t>
            </w:r>
          </w:p>
        </w:tc>
      </w:tr>
      <w:tr>
        <w:trPr>
          <w:trHeight w:val="23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39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2470"/>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September 30, 2024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September 30, 2024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Roman"/>
      <w:start w:val="5"/>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5" Type="http://schemas.openxmlformats.org/officeDocument/2006/relationships/hyperlink" Target="https://www.sec.gov/Archives/edgar/data/842633/000110465907058776/a07-19157_1ex3d1.htm" TargetMode="External"/><Relationship Id="rId56" Type="http://schemas.openxmlformats.org/officeDocument/2006/relationships/hyperlink" Target="https://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2024-11-04T12:38:18Z</dcterms:created>
  <dcterms:modified xsi:type="dcterms:W3CDTF">2024-11-04T12:38:18Z</dcterms:modified>
</cp:coreProperties>
</file>