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7" w:lineRule="exact"/>
        <w:rPr>
          <w:sz w:val="24"/>
          <w:szCs w:val="24"/>
          <w:color w:val="auto"/>
        </w:rPr>
      </w:pPr>
    </w:p>
    <w:p>
      <w:pPr>
        <w:ind w:left="1240" w:hanging="800"/>
        <w:spacing w:after="0"/>
        <w:tabs>
          <w:tab w:leader="none" w:pos="1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9" w:lineRule="exact"/>
        <w:rPr>
          <w:rFonts w:ascii="MS PGothic" w:cs="MS PGothic" w:eastAsia="MS PGothic" w:hAnsi="MS PGothic"/>
          <w:sz w:val="20"/>
          <w:szCs w:val="20"/>
          <w:color w:val="auto"/>
        </w:rPr>
      </w:pPr>
    </w:p>
    <w:p>
      <w:pPr>
        <w:ind w:left="3380"/>
        <w:spacing w:after="0"/>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0" w:lineRule="exact"/>
        <w:rPr>
          <w:sz w:val="24"/>
          <w:szCs w:val="24"/>
          <w:color w:val="auto"/>
        </w:rPr>
      </w:pPr>
    </w:p>
    <w:p>
      <w:pPr>
        <w:ind w:left="1240" w:hanging="793"/>
        <w:spacing w:after="0"/>
        <w:tabs>
          <w:tab w:leader="none" w:pos="1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9" w:lineRule="exact"/>
        <w:rPr>
          <w:sz w:val="24"/>
          <w:szCs w:val="24"/>
          <w:color w:val="auto"/>
        </w:rPr>
      </w:pPr>
    </w:p>
    <w:tbl>
      <w:tblPr>
        <w:tblLayout w:type="fixed"/>
        <w:tblInd w:w="106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9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60"/>
        </w:trPr>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b w:val="1"/>
                <w:bCs w:val="1"/>
                <w:color w:val="auto"/>
              </w:rPr>
              <w:t>Commission file number 001-10716</w:t>
            </w:r>
          </w:p>
        </w:tc>
      </w:tr>
      <w:tr>
        <w:trPr>
          <w:trHeight w:val="110"/>
        </w:trPr>
        <w:tc>
          <w:tcPr>
            <w:tcW w:w="8700" w:type="dxa"/>
            <w:vAlign w:val="bottom"/>
            <w:gridSpan w:val="8"/>
          </w:tcPr>
          <w:p>
            <w:pPr>
              <w:jc w:val="right"/>
              <w:ind w:right="1404"/>
              <w:spacing w:after="0" w:line="111" w:lineRule="exact"/>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tc>
      </w:tr>
      <w:tr>
        <w:trPr>
          <w:trHeight w:val="355"/>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29"/>
                <w:szCs w:val="29"/>
                <w:b w:val="1"/>
                <w:bCs w:val="1"/>
                <w:color w:val="auto"/>
                <w:w w:val="98"/>
              </w:rPr>
              <w:t>TRIMAS CORPORATION</w:t>
            </w:r>
          </w:p>
        </w:tc>
      </w:tr>
      <w:tr>
        <w:trPr>
          <w:trHeight w:val="188"/>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328"/>
        </w:trPr>
        <w:tc>
          <w:tcPr>
            <w:tcW w:w="1120" w:type="dxa"/>
            <w:vAlign w:val="bottom"/>
          </w:tcPr>
          <w:p>
            <w:pPr>
              <w:spacing w:after="0"/>
              <w:rPr>
                <w:sz w:val="24"/>
                <w:szCs w:val="24"/>
                <w:color w:val="auto"/>
              </w:rPr>
            </w:pPr>
          </w:p>
        </w:tc>
        <w:tc>
          <w:tcPr>
            <w:tcW w:w="1600" w:type="dxa"/>
            <w:vAlign w:val="bottom"/>
            <w:gridSpan w:val="2"/>
          </w:tcPr>
          <w:p>
            <w:pPr>
              <w:jc w:val="center"/>
              <w:ind w:right="74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2"/>
          </w:tcPr>
          <w:p>
            <w:pPr>
              <w:jc w:val="right"/>
              <w:ind w:right="1124"/>
              <w:spacing w:after="0"/>
              <w:rPr>
                <w:sz w:val="20"/>
                <w:szCs w:val="20"/>
                <w:color w:val="auto"/>
              </w:rPr>
            </w:pPr>
            <w:r>
              <w:rPr>
                <w:rFonts w:ascii="Times New Roman" w:cs="Times New Roman" w:eastAsia="Times New Roman" w:hAnsi="Times New Roman"/>
                <w:sz w:val="16"/>
                <w:szCs w:val="16"/>
                <w:b w:val="1"/>
                <w:bCs w:val="1"/>
                <w:color w:val="auto"/>
              </w:rPr>
              <w:t>38-2687639</w:t>
            </w:r>
          </w:p>
        </w:tc>
      </w:tr>
      <w:tr>
        <w:trPr>
          <w:trHeight w:val="168"/>
        </w:trPr>
        <w:tc>
          <w:tcPr>
            <w:tcW w:w="5240" w:type="dxa"/>
            <w:vAlign w:val="bottom"/>
            <w:gridSpan w:val="6"/>
          </w:tcPr>
          <w:p>
            <w:pPr>
              <w:jc w:val="center"/>
              <w:ind w:right="2220"/>
              <w:spacing w:after="0" w:line="168" w:lineRule="exact"/>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600" w:type="dxa"/>
            <w:vAlign w:val="bottom"/>
          </w:tcPr>
          <w:p>
            <w:pPr>
              <w:spacing w:after="0"/>
              <w:rPr>
                <w:sz w:val="14"/>
                <w:szCs w:val="14"/>
                <w:color w:val="auto"/>
              </w:rPr>
            </w:pPr>
          </w:p>
        </w:tc>
        <w:tc>
          <w:tcPr>
            <w:tcW w:w="2860" w:type="dxa"/>
            <w:vAlign w:val="bottom"/>
          </w:tcPr>
          <w:p>
            <w:pPr>
              <w:jc w:val="center"/>
              <w:ind w:right="244"/>
              <w:spacing w:after="0" w:line="168" w:lineRule="exact"/>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2720" w:type="dxa"/>
            <w:vAlign w:val="bottom"/>
            <w:gridSpan w:val="3"/>
          </w:tcPr>
          <w:p>
            <w:pPr>
              <w:jc w:val="center"/>
              <w:ind w:left="228"/>
              <w:spacing w:after="0"/>
              <w:rPr>
                <w:sz w:val="20"/>
                <w:szCs w:val="20"/>
                <w:color w:val="auto"/>
              </w:rPr>
            </w:pPr>
            <w:r>
              <w:rPr>
                <w:rFonts w:ascii="Times New Roman" w:cs="Times New Roman" w:eastAsia="Times New Roman" w:hAnsi="Times New Roman"/>
                <w:sz w:val="16"/>
                <w:szCs w:val="16"/>
                <w:color w:val="auto"/>
              </w:rPr>
              <w:t>Organization)</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86"/>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b w:val="1"/>
                <w:bCs w:val="1"/>
                <w:color w:val="auto"/>
              </w:rPr>
              <w:t>38505 Woodward Avenue, Suite 200</w:t>
            </w:r>
          </w:p>
        </w:tc>
      </w:tr>
      <w:tr>
        <w:trPr>
          <w:trHeight w:val="178"/>
        </w:trPr>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b w:val="1"/>
                <w:bCs w:val="1"/>
                <w:color w:val="auto"/>
              </w:rPr>
              <w:t>Bloomfield Hills, Michigan 48304</w:t>
            </w:r>
          </w:p>
        </w:tc>
      </w:tr>
      <w:tr>
        <w:trPr>
          <w:trHeight w:val="188"/>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5"/>
          </w:tcPr>
          <w:p>
            <w:pPr>
              <w:jc w:val="center"/>
              <w:ind w:right="2204"/>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r>
        <w:trPr>
          <w:trHeight w:val="298"/>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(248) 631-5450</w:t>
            </w:r>
          </w:p>
        </w:tc>
        <w:tc>
          <w:tcPr>
            <w:tcW w:w="6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8"/>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24"/>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67"/>
        </w:trPr>
        <w:tc>
          <w:tcPr>
            <w:tcW w:w="1120" w:type="dxa"/>
            <w:vAlign w:val="bottom"/>
          </w:tcPr>
          <w:p>
            <w:pPr>
              <w:spacing w:after="0"/>
              <w:rPr>
                <w:sz w:val="23"/>
                <w:szCs w:val="23"/>
                <w:color w:val="auto"/>
              </w:rPr>
            </w:pPr>
          </w:p>
        </w:tc>
        <w:tc>
          <w:tcPr>
            <w:tcW w:w="160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60" w:type="dxa"/>
            <w:vAlign w:val="bottom"/>
            <w:gridSpan w:val="2"/>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13"/>
        </w:trPr>
        <w:tc>
          <w:tcPr>
            <w:tcW w:w="272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TRS</w:t>
            </w: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9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74" w:lineRule="exact"/>
        <w:rPr>
          <w:sz w:val="24"/>
          <w:szCs w:val="24"/>
          <w:color w:val="auto"/>
        </w:rPr>
      </w:pPr>
    </w:p>
    <w:p>
      <w:pPr>
        <w:spacing w:after="0" w:line="184" w:lineRule="exact"/>
        <w:tabs>
          <w:tab w:leader="none" w:pos="730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59" w:lineRule="exact"/>
        <w:rPr>
          <w:sz w:val="24"/>
          <w:szCs w:val="24"/>
          <w:color w:val="auto"/>
        </w:rPr>
      </w:pPr>
    </w:p>
    <w:p>
      <w:pPr>
        <w:spacing w:after="0" w:line="184" w:lineRule="exact"/>
        <w:tabs>
          <w:tab w:leader="none" w:pos="74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68"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1480"/>
        <w:spacing w:after="0" w:line="368" w:lineRule="exact"/>
        <w:tabs>
          <w:tab w:leader="none" w:pos="3940" w:val="left"/>
          <w:tab w:leader="none" w:pos="6320" w:val="left"/>
          <w:tab w:leader="none" w:pos="86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32"/>
          <w:szCs w:val="32"/>
          <w:color w:val="auto"/>
          <w:vertAlign w:val="subscript"/>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32"/>
          <w:szCs w:val="32"/>
          <w:color w:val="auto"/>
          <w:vertAlign w:val="subscript"/>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32"/>
          <w:szCs w:val="32"/>
          <w:color w:val="auto"/>
          <w:vertAlign w:val="subscript"/>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28"/>
          <w:szCs w:val="28"/>
          <w:color w:val="auto"/>
          <w:vertAlign w:val="subscript"/>
        </w:rPr>
        <w:t>☐</w:t>
      </w:r>
    </w:p>
    <w:p>
      <w:pPr>
        <w:spacing w:after="0" w:line="210" w:lineRule="exact"/>
        <w:rPr>
          <w:sz w:val="24"/>
          <w:szCs w:val="24"/>
          <w:color w:val="auto"/>
        </w:rPr>
      </w:pPr>
    </w:p>
    <w:p>
      <w:pPr>
        <w:ind w:left="8660"/>
        <w:spacing w:after="0" w:line="36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32"/>
          <w:szCs w:val="32"/>
          <w:color w:val="auto"/>
          <w:vertAlign w:val="superscript"/>
        </w:rPr>
        <w:t>☐</w:t>
      </w:r>
    </w:p>
    <w:p>
      <w:pPr>
        <w:spacing w:after="0" w:line="97" w:lineRule="exact"/>
        <w:rPr>
          <w:sz w:val="24"/>
          <w:szCs w:val="24"/>
          <w:color w:val="auto"/>
        </w:rPr>
      </w:pPr>
    </w:p>
    <w:p>
      <w:pPr>
        <w:jc w:val="both"/>
        <w:spacing w:after="0" w:line="19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9"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4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voting common equity held by non-affiliates of the Registrant as of June 30, 2022 was approximately $1.1 billion, based upon the closing sales price of the Registrant's common stock, $0.01 par value, reported for such date on the NASDAQ Global Select Market. For purposes of this calculation only, directors, executive officers and the principal controlling shareholder or entities controlled by such controlling shareholder are deemed to be affiliates of the Registrant.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20, 2023, the number of outstanding shares of the Registrant's common stock, $0.01 par value, was 41,477,451 shares.</w:t>
      </w:r>
    </w:p>
    <w:p>
      <w:pPr>
        <w:spacing w:after="0" w:line="55"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Portions of the Registrant's Proxy Statement for the 2023 Annual Meeting of Stockholders are incorporated herein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20" w:type="dxa"/>
            <w:vAlign w:val="bottom"/>
            <w:gridSpan w:val="20"/>
          </w:tcPr>
          <w:p>
            <w:pPr>
              <w:ind w:left="240"/>
              <w:spacing w:after="0"/>
              <w:rPr>
                <w:sz w:val="20"/>
                <w:szCs w:val="20"/>
                <w:color w:val="auto"/>
              </w:rPr>
            </w:pPr>
            <w:r>
              <w:rPr>
                <w:rFonts w:ascii="Times New Roman" w:cs="Times New Roman" w:eastAsia="Times New Roman" w:hAnsi="Times New Roman"/>
                <w:sz w:val="18"/>
                <w:szCs w:val="18"/>
                <w:b w:val="1"/>
                <w:bCs w:val="1"/>
                <w:color w:val="auto"/>
              </w:rPr>
              <w:t>TRIMAS CORPORATION INDEX</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82"/>
        </w:trPr>
        <w:tc>
          <w:tcPr>
            <w:tcW w:w="2120" w:type="dxa"/>
            <w:vAlign w:val="bottom"/>
            <w:tcBorders>
              <w:bottom w:val="single" w:sz="8" w:color="0000FF"/>
            </w:tcBorders>
            <w:gridSpan w:val="8"/>
          </w:tcPr>
          <w:p>
            <w:pPr>
              <w:spacing w:after="0" w:line="155" w:lineRule="exact"/>
              <w:rPr>
                <w:sz w:val="20"/>
                <w:szCs w:val="20"/>
                <w:color w:val="auto"/>
              </w:rPr>
            </w:pPr>
            <w:r>
              <w:rPr>
                <w:rFonts w:ascii="Times New Roman" w:cs="Times New Roman" w:eastAsia="Times New Roman" w:hAnsi="Times New Roman"/>
                <w:sz w:val="17"/>
                <w:szCs w:val="17"/>
                <w:color w:val="0000FF"/>
              </w:rPr>
              <w:t>Forward-Looking Statements</w:t>
            </w:r>
          </w:p>
        </w:tc>
        <w:tc>
          <w:tcPr>
            <w:tcW w:w="140" w:type="dxa"/>
            <w:vAlign w:val="bottom"/>
            <w:tcBorders>
              <w:bottom w:val="single" w:sz="8" w:color="0000FF"/>
            </w:tcBorders>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75"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Trademarks and Service Marks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466"/>
        </w:trPr>
        <w:tc>
          <w:tcPr>
            <w:tcW w:w="22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PART I.</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0" w:type="dxa"/>
            <w:vAlign w:val="bottom"/>
            <w:tcBorders>
              <w:top w:val="single" w:sz="8" w:color="0000FF"/>
            </w:tcBorders>
          </w:tcPr>
          <w:p>
            <w:pPr>
              <w:spacing w:after="0"/>
              <w:rPr>
                <w:sz w:val="18"/>
                <w:szCs w:val="18"/>
                <w:color w:val="auto"/>
              </w:rPr>
            </w:pPr>
          </w:p>
        </w:tc>
        <w:tc>
          <w:tcPr>
            <w:tcW w:w="168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gridSpan w:val="2"/>
          </w:tcPr>
          <w:p>
            <w:pPr>
              <w:spacing w:after="0"/>
              <w:rPr>
                <w:sz w:val="18"/>
                <w:szCs w:val="18"/>
                <w:color w:val="auto"/>
              </w:rPr>
            </w:pP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Supplementary Item.</w:t>
            </w:r>
          </w:p>
        </w:tc>
        <w:tc>
          <w:tcPr>
            <w:tcW w:w="740" w:type="dxa"/>
            <w:vAlign w:val="bottom"/>
            <w:gridSpan w:val="2"/>
            <w:vMerge w:val="restart"/>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520" w:type="dxa"/>
            <w:vAlign w:val="bottom"/>
            <w:gridSpan w:val="7"/>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6"/>
        </w:trPr>
        <w:tc>
          <w:tcPr>
            <w:tcW w:w="6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PART II.</w:t>
            </w:r>
          </w:p>
        </w:tc>
        <w:tc>
          <w:tcPr>
            <w:tcW w:w="840" w:type="dxa"/>
            <w:vAlign w:val="bottom"/>
            <w:tcBorders>
              <w:top w:val="single" w:sz="8" w:color="0000FF"/>
            </w:tcBorders>
            <w:gridSpan w:val="3"/>
          </w:tcPr>
          <w:p>
            <w:pPr>
              <w:spacing w:after="0"/>
              <w:rPr>
                <w:sz w:val="24"/>
                <w:szCs w:val="24"/>
                <w:color w:val="auto"/>
              </w:rPr>
            </w:pPr>
          </w:p>
        </w:tc>
        <w:tc>
          <w:tcPr>
            <w:tcW w:w="7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5.</w:t>
            </w: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Equity Securities</w:t>
            </w: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60" w:type="dxa"/>
            <w:vAlign w:val="bottom"/>
            <w:tcBorders>
              <w:top w:val="single" w:sz="8" w:color="0000FF"/>
            </w:tcBorders>
            <w:gridSpan w:val="2"/>
          </w:tcPr>
          <w:p>
            <w:pPr>
              <w:spacing w:after="0"/>
              <w:rPr>
                <w:sz w:val="13"/>
                <w:szCs w:val="13"/>
                <w:color w:val="auto"/>
              </w:rPr>
            </w:pPr>
          </w:p>
        </w:tc>
        <w:tc>
          <w:tcPr>
            <w:tcW w:w="1060" w:type="dxa"/>
            <w:vAlign w:val="bottom"/>
            <w:tcBorders>
              <w:top w:val="single" w:sz="8" w:color="0000FF"/>
            </w:tcBorders>
            <w:gridSpan w:val="2"/>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gridSpan w:val="3"/>
            <w:shd w:val="clear" w:color="auto" w:fill="0000FF"/>
          </w:tcPr>
          <w:p>
            <w:pPr>
              <w:spacing w:after="0"/>
              <w:rPr>
                <w:sz w:val="2"/>
                <w:szCs w:val="2"/>
                <w:color w:val="auto"/>
              </w:rPr>
            </w:pPr>
          </w:p>
        </w:tc>
        <w:tc>
          <w:tcPr>
            <w:tcW w:w="540" w:type="dxa"/>
            <w:vAlign w:val="bottom"/>
            <w:gridSpan w:val="3"/>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[Reserved]</w:t>
            </w:r>
          </w:p>
        </w:tc>
        <w:tc>
          <w:tcPr>
            <w:tcW w:w="5600" w:type="dxa"/>
            <w:vAlign w:val="bottom"/>
            <w:gridSpan w:val="18"/>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PART III.</w:t>
            </w:r>
          </w:p>
        </w:tc>
        <w:tc>
          <w:tcPr>
            <w:tcW w:w="150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10.</w:t>
            </w: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12.</w:t>
            </w: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Matters</w:t>
            </w:r>
          </w:p>
        </w:tc>
        <w:tc>
          <w:tcPr>
            <w:tcW w:w="5160" w:type="dxa"/>
            <w:vAlign w:val="bottom"/>
            <w:tcBorders>
              <w:top w:val="single" w:sz="8" w:color="0000FF"/>
            </w:tcBorders>
            <w:gridSpan w:val="14"/>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gridSpan w:val="10"/>
            <w:shd w:val="clear" w:color="auto" w:fill="0000FF"/>
          </w:tcPr>
          <w:p>
            <w:pPr>
              <w:spacing w:after="0"/>
              <w:rPr>
                <w:sz w:val="2"/>
                <w:szCs w:val="2"/>
                <w:color w:val="auto"/>
              </w:rPr>
            </w:pPr>
          </w:p>
        </w:tc>
        <w:tc>
          <w:tcPr>
            <w:tcW w:w="1320" w:type="dxa"/>
            <w:vAlign w:val="bottom"/>
            <w:gridSpan w:val="4"/>
          </w:tcPr>
          <w:p>
            <w:pPr>
              <w:spacing w:after="0"/>
              <w:rPr>
                <w:sz w:val="2"/>
                <w:szCs w:val="2"/>
                <w:color w:val="auto"/>
              </w:rPr>
            </w:pPr>
          </w:p>
        </w:tc>
        <w:tc>
          <w:tcPr>
            <w:tcW w:w="300" w:type="dxa"/>
            <w:vAlign w:val="bottom"/>
            <w:gridSpan w:val="2"/>
          </w:tcPr>
          <w:p>
            <w:pPr>
              <w:spacing w:after="0"/>
              <w:rPr>
                <w:sz w:val="2"/>
                <w:szCs w:val="2"/>
                <w:color w:val="auto"/>
              </w:rPr>
            </w:pPr>
          </w:p>
        </w:tc>
        <w:tc>
          <w:tcPr>
            <w:tcW w:w="2280" w:type="dxa"/>
            <w:vAlign w:val="bottom"/>
            <w:gridSpan w:val="5"/>
          </w:tcPr>
          <w:p>
            <w:pPr>
              <w:spacing w:after="0"/>
              <w:rPr>
                <w:sz w:val="2"/>
                <w:szCs w:val="2"/>
                <w:color w:val="auto"/>
              </w:rPr>
            </w:pPr>
          </w:p>
        </w:tc>
        <w:tc>
          <w:tcPr>
            <w:tcW w:w="1480" w:type="dxa"/>
            <w:vAlign w:val="bottom"/>
            <w:gridSpan w:val="5"/>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13.</w:t>
            </w: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14.</w:t>
            </w: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15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15.</w:t>
            </w: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76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16.</w:t>
            </w:r>
          </w:p>
        </w:tc>
        <w:tc>
          <w:tcPr>
            <w:tcW w:w="840" w:type="dxa"/>
            <w:vAlign w:val="bottom"/>
          </w:tcPr>
          <w:p>
            <w:pPr>
              <w:spacing w:after="0"/>
              <w:rPr>
                <w:sz w:val="18"/>
                <w:szCs w:val="18"/>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the severity and duration of the ongoing coronavirus (“COVID-19”) pandemic; competitive factors; market demand; our ability to realize our business strategies;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rising tensions between the United States and China; government and regulatory actions, including, without limitation, climate change legislation and other environmental regulations, as well as the impact of tariffs, quotas and surcharges;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such as the ongoing coronavirus pandemic; the amount and timing of future dividends and/or share repurchases, which remain subject to Board approval and depend on market and other conditions; our future prospects; and other risks that are discussed in Part I, Item 1A, "Risk Factors." The risks described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and other statements in this Annual Report on Form 10-K regarding our sustainability and ESG plans and goals are not an indication that these statements are necessarily material to investors or required to be disclosed in our filings with the Securities and Exchange Commission (“SEC”). In addition, historical, current and forward-looking sustainability- and ESG-related statements may be based on standards for measuring progress that are still developing, internal controls and processes that continue to evolve and assumptions that are subject to change in the future.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disclose important factors that could cause our actual results to differ materially from our expectations implied by our forward-looking statements under Part II, Item 7, "Management's Discussion and Analysis of Financial Condition and Results of Operations,"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and industrial markets through its TriMas Packaging, TriMas Aerospace and Specialty Products groups. We believe our businesses share important and distinguishing characteristics, including: well-recognized brand names in the focused markets we serve; innovative product technologies and features; customer approved processes and qualified products; strong cash flow generation and long-term growth opportunities. Headquartered in Bloomfield Hills, Michigan, TriMas has approximately 3,500 employees who serve our customers from 42 manufacturing and support locations in 13 countries.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our net sales were $883.8 million, operating profit was $99.1 million, and net cash provided by operating activities was $72.6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74% of our 2022 net sales were generated from sales in North America.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TriMas reports its operating activities in three segments: Packaging, Aerospace and Specialty Products. Our management team believes TriMas is uniquely positioned because of a number of competitive strengths, including:</w:t>
      </w:r>
    </w:p>
    <w:p>
      <w:pPr>
        <w:spacing w:after="0" w:line="91" w:lineRule="exact"/>
        <w:rPr>
          <w:sz w:val="20"/>
          <w:szCs w:val="20"/>
          <w:color w:val="auto"/>
        </w:rPr>
      </w:pPr>
    </w:p>
    <w:p>
      <w:pPr>
        <w:jc w:val="both"/>
        <w:ind w:left="660" w:hanging="328"/>
        <w:spacing w:after="0" w:line="22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Well-Recognized and Established Brands. </w:t>
      </w:r>
      <w:r>
        <w:rPr>
          <w:rFonts w:ascii="Times New Roman" w:cs="Times New Roman" w:eastAsia="Times New Roman" w:hAnsi="Times New Roman"/>
          <w:sz w:val="18"/>
          <w:szCs w:val="18"/>
          <w:color w:val="auto"/>
        </w:rPr>
        <w:t>Our main brands include Rieke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Affaba &amp; Ferrari™, Taplast™, Rapak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Intertech and Omega Plastics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Packaging); TriMas Aerospace™, Monogram Aerospace Fasteners™, Allfast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Fastening Systems, Mac Fasteners™, RSA Engineered Products, Martinic Engineering™ and TFI Aerospace (reported in Aerospace); and Norris Cylinder™ and Arrow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Engine Company (reported in Specialty Products). We believe each of our go-to-market brands are well-recognized and firmly established in the focused markets we serve. We believe our brands represent high standards and a commitment to quality and service that our customers rely on, and in many cases certify or audit, when they make their sourcing decisions.</w:t>
      </w:r>
    </w:p>
    <w:p>
      <w:pPr>
        <w:spacing w:after="0" w:line="13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Innovative and Proprietary Manufacturing and Product Technologies. </w:t>
      </w:r>
      <w:r>
        <w:rPr>
          <w:rFonts w:ascii="Times New Roman" w:cs="Times New Roman" w:eastAsia="Times New Roman" w:hAnsi="Times New Roman"/>
          <w:sz w:val="18"/>
          <w:szCs w:val="18"/>
          <w:color w:val="auto"/>
        </w:rPr>
        <w:t>We believe each of our businesses is well-positioned through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refined manufacturing know-how, innovative product development, application engineering and solutions design. We believe our manufacturing footprint and operational competencies would be difficult and costly to replicate, providing us an advantage. We continue to place a priority on investing in innovation to protect and enhance our product designs, brand names, and manufacturing processes and competencies.</w:t>
      </w:r>
    </w:p>
    <w:p>
      <w:pPr>
        <w:spacing w:after="0" w:line="9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Customer-Focused Solutions and Long-Term Customer Relationships. </w:t>
      </w:r>
      <w:r>
        <w:rPr>
          <w:rFonts w:ascii="Times New Roman" w:cs="Times New Roman" w:eastAsia="Times New Roman" w:hAnsi="Times New Roman"/>
          <w:sz w:val="18"/>
          <w:szCs w:val="18"/>
          <w:color w:val="auto"/>
        </w:rPr>
        <w:t>We work collaboratively with our customers to design new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that help satisfy rapidly changing preferences in the marketplace. As a recognized leader in many of our markets, customers partner with us during the design, product development and production life cycle. These ongoing relationships, often developed over decades, coupled with our expertise in innovation and application engineering, position us to win new and replacement business with our customers when they launch new products or programs.</w:t>
      </w:r>
    </w:p>
    <w:p>
      <w:pPr>
        <w:spacing w:after="0" w:line="115"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i w:val="1"/>
          <w:iCs w:val="1"/>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Given the range of product and process technologies within each of our businesses, TriMas' success is a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experienced management team. In each of our businesses, including businesses we have acquired, we have members of our leadership team that have served the vast majority of their careers, and have extensive and often times unique experience, in the industries we operate. The TriMas management team is focused and committed to continuously improving Company performance and growing shareholder value. Management compensation is tied to financial results through short-term incentive plans, long-term equity incentive programs and Company-established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Guided by our experienced management team, we are focused on the following components that comprise our core strategy:</w:t>
      </w:r>
    </w:p>
    <w:p>
      <w:pPr>
        <w:spacing w:after="0" w:line="156" w:lineRule="exact"/>
        <w:rPr>
          <w:sz w:val="20"/>
          <w:szCs w:val="20"/>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the TriMas Business Model. </w:t>
      </w:r>
      <w:r>
        <w:rPr>
          <w:rFonts w:ascii="Times New Roman" w:cs="Times New Roman" w:eastAsia="Times New Roman" w:hAnsi="Times New Roman"/>
          <w:sz w:val="18"/>
          <w:szCs w:val="18"/>
          <w:color w:val="auto"/>
        </w:rPr>
        <w:t>The TriMas Business Model ("TBM") serves as the platform to manage our diverse set of businesses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common set of standards focused on driving long-term exceptional performance. Through the TBM, we set near- and long-term performance objectives and goals, and utilize a reliable communication and escalation process that provides for flexibility and adjustments if market expectations change. A key tenet of the TBM is our commitment to operational excellence and continuous improvement. We believe our operating performance will continue to benefit from the use of Kaizen as a means to drive our decision-making and investment processes. In addition to continuous improvement and goal setting, the TBM is also focused on environmental, health and safety, talent development, and flawless new product and process launches.</w:t>
      </w:r>
    </w:p>
    <w:p>
      <w:pPr>
        <w:spacing w:after="0" w:line="11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 in Innovation. </w:t>
      </w:r>
      <w:r>
        <w:rPr>
          <w:rFonts w:ascii="Times New Roman" w:cs="Times New Roman" w:eastAsia="Times New Roman" w:hAnsi="Times New Roman"/>
          <w:sz w:val="18"/>
          <w:szCs w:val="18"/>
          <w:color w:val="auto"/>
        </w:rPr>
        <w:t>We continue to invest in organic growth in our most compelling market segments with the highest long-term return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intend to leverage our brands, expand our product offerings to current and new customers, and introduce innovative products to meet our customers' needs and help solve their challenges. We operate under a disciplined approach to defend and expand our product offerings, and grow our business over the longer term. In addition to product innovation, we also value process innovation and believe we can solidify our customer relationships using new innovative processes and manufacturing "know-how" to improve our quality, speed to develop and commercialize, sustainability and overall competitiveness, increasing customer satisfaction, as well as our performance.</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 Growth with Strategic Acquisitions. </w:t>
      </w:r>
      <w:r>
        <w:rPr>
          <w:rFonts w:ascii="Times New Roman" w:cs="Times New Roman" w:eastAsia="Times New Roman" w:hAnsi="Times New Roman"/>
          <w:sz w:val="18"/>
          <w:szCs w:val="18"/>
          <w:color w:val="auto"/>
        </w:rPr>
        <w:t>We believe TriMas, through its relatively low debt profile and its strong free cash flow, is uniquely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positioned to enhance organic growth with strategic acquisitions. Our acquisition priority is to build out the Packaging platform, continuing our initiative to increase TriMas’ weight in packaging-related end markets, which comprise nearly 60% of consolidated net sales in 2022, as well as explore opportunities to further expand our Aerospace platform. We typically seek to acquire adjacent product lines that expand our existing product offerings, gain access to new customers and end markets, expand our geographic footprint and/or capitalize on scale and cost efficiencies.</w:t>
      </w:r>
    </w:p>
    <w:p>
      <w:pPr>
        <w:spacing w:after="0" w:line="11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Drive Enhanced Cash Conversion. </w:t>
      </w:r>
      <w:r>
        <w:rPr>
          <w:rFonts w:ascii="Times New Roman" w:cs="Times New Roman" w:eastAsia="Times New Roman" w:hAnsi="Times New Roman"/>
          <w:sz w:val="18"/>
          <w:szCs w:val="18"/>
          <w:color w:val="auto"/>
        </w:rPr>
        <w:t>We leverage the TBM to drive management’s decision-making processes to achieve our growth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profitability targets, as well as drive our businesses toward achieving market-leading returns and cash flow conversion. We believe establishing well-defined strategies, executing against annual goals and long-range targets, operating in a data-driven, fact-based environment, and awarding our team on annual cash flow generation will allow us to expand our free cash flow and create shareholder value. We plan to use this cash for reinvestment in our businesses, strategic acquisitions and other capital allocation actions, such as share buybacks and dividends, which we initiated in 2021.</w:t>
      </w:r>
    </w:p>
    <w:p>
      <w:pPr>
        <w:spacing w:after="0" w:line="114" w:lineRule="exact"/>
        <w:rPr>
          <w:rFonts w:ascii="Times New Roman" w:cs="Times New Roman" w:eastAsia="Times New Roman" w:hAnsi="Times New Roman"/>
          <w:sz w:val="18"/>
          <w:szCs w:val="18"/>
          <w:i w:val="1"/>
          <w:iCs w:val="1"/>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Foster a Culture of Kaizen and Engagement. </w:t>
      </w:r>
      <w:r>
        <w:rPr>
          <w:rFonts w:ascii="Times New Roman" w:cs="Times New Roman" w:eastAsia="Times New Roman" w:hAnsi="Times New Roman"/>
          <w:sz w:val="18"/>
          <w:szCs w:val="18"/>
          <w:color w:val="auto"/>
        </w:rPr>
        <w:t>We believe our talented and dedicated global team is the foundation of our success. We strive to be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 employer through our demonstrated commitment to employee safety, diversity, equity and inclusion, talent development and workplace culture. We embrace the tools of Kaizen, which is predicated on engaging our employees to identify cost effective ways to improve all aspects of our businesses, throughout our manufacturing operations and support services. We also foster a culture of employee engagement to drive performance improvements, operational excellence and a sustainable future.</w:t>
      </w:r>
    </w:p>
    <w:p>
      <w:pPr>
        <w:spacing w:after="0" w:line="102"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Focus on Sustainability. </w:t>
      </w:r>
      <w:r>
        <w:rPr>
          <w:rFonts w:ascii="Times New Roman" w:cs="Times New Roman" w:eastAsia="Times New Roman" w:hAnsi="Times New Roman"/>
          <w:sz w:val="18"/>
          <w:szCs w:val="18"/>
          <w:color w:val="auto"/>
        </w:rPr>
        <w:t>We view sustainability and Environmental, Social and Governance ("ESG") practices as important components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culture and rooted in our core values representing who we are as a company. We proactively seek new ways to make progress in each of the four key areas of our sustainability strategy: Governance &amp; Ethics, People, Environment and Products. We believe that sustainability is broader than caring for the environment, and encompasses care for our employees, as well as the communities where we live and work. It means continuously enhancing our products and our processes to make the world a better place. We strive to incorporate the concept of sustainability into our decision-making model, and continue to increase the importance of sustainability in everything we do.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 the results of our operations in three segments, which had net sales and operating profit for the year ended December 31, 2022 as follows: Packaging (net sales: $522.2 million; operating profit: $81.0 million), Aerospace (net sales: $188.1 million; operating profit: $8.1 million) and Specialty Products (net sales: $173.6 million; operating profit: $30.3 million). For information pertaining to the net sales and operating profit attributed to our segments, refer to Note 21,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segments is described in more detail on the following pages.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Packaging (59% of 2022 net sales)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Packaging segment consists of TriMas Packaging, which includes the Rieke, Affaba &amp; Ferrari, Taplast, Rapak, Intertech and Omega Plastics brands. We believe TriMas Packaging is a leading designer, developer and manufacturer of specialty, highly-engineered polymeric and steel closure and dispensing systems for a range of end markets, including consumer packaging, life science and industrial markets. We manufacture high-performance, value-added products that are designed to enhance our customers’ ability to store, transport, process and dispense various products.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TriMas Packaging designs and manufactures dispensing products (including foaming pumps, lotion and hand soap pumps, sanitizer pumps, beverage dispensers, perfume sprayers, nasal sprayers and trigger sprayers), polymeric and steel caps and closures (including food lids, flip-top closures, child resistance caps, drum and pail closures and flexible spouts), polymeric jar products, and fully integrated dispensers for fill-ready, flexible bag-in-box applications, for a variety of consumer product markets including, but not limited to, the beauty and personal care, home care, food and beverage, medical, pharmaceutical and nutraceutical, as well as industrial end markets.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TriMas Packaging, through its December 2021 acquisition of Omega Plastics and February 2022 acquisition of Intertech, designs and manufactures complex, precision injection molded components and assemblies for applications in the life sciences end market. Our capabilities and products include prototype production molds and custom, medical-related components such as patient diagnostic test components, consumable vascular delivery, surgical devices and pharmaceutical closures.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TriMas Packaging has the capability of manufacturing the majority of our products in North America, Europe or Asia, which allows us to evaluate manufacturing location decisions based on customer needs, timing, cost and capacity.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Strengths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TriMas Packaging benefits from the following competitive strengths in coordination with operating under TriMas' overarching strategy:</w:t>
      </w:r>
    </w:p>
    <w:p>
      <w:pPr>
        <w:spacing w:after="0" w:line="142" w:lineRule="exact"/>
        <w:rPr>
          <w:sz w:val="20"/>
          <w:szCs w:val="20"/>
          <w:color w:val="auto"/>
        </w:rPr>
      </w:pPr>
    </w:p>
    <w:p>
      <w:pPr>
        <w:jc w:val="both"/>
        <w:ind w:left="660" w:hanging="328"/>
        <w:spacing w:after="0" w:line="246" w:lineRule="auto"/>
        <w:tabs>
          <w:tab w:leader="none" w:pos="653" w:val="left"/>
        </w:tabs>
        <w:numPr>
          <w:ilvl w:val="0"/>
          <w:numId w:val="5"/>
        </w:numPr>
        <w:rPr>
          <w:rFonts w:ascii="Calibri" w:cs="Calibri" w:eastAsia="Calibri" w:hAnsi="Calibri"/>
          <w:sz w:val="20"/>
          <w:szCs w:val="20"/>
          <w:color w:val="auto"/>
        </w:rPr>
      </w:pPr>
      <w:r>
        <w:rPr>
          <w:rFonts w:ascii="Times New Roman" w:cs="Times New Roman" w:eastAsia="Times New Roman" w:hAnsi="Times New Roman"/>
          <w:sz w:val="18"/>
          <w:szCs w:val="18"/>
          <w:i w:val="1"/>
          <w:iCs w:val="1"/>
          <w:color w:val="auto"/>
        </w:rPr>
        <w:t>Strong Product Innovation</w:t>
      </w:r>
      <w:r>
        <w:rPr>
          <w:rFonts w:ascii="Times New Roman" w:cs="Times New Roman" w:eastAsia="Times New Roman" w:hAnsi="Times New Roman"/>
          <w:sz w:val="18"/>
          <w:szCs w:val="18"/>
          <w:color w:val="auto"/>
        </w:rPr>
        <w:t>. Through a multi-layered approach to product and process innovation starting with subject matter experts, our TriMas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Packaging team is focused on driving innovation across a broad range of solutions for our customers. Our New Product Development teams are also supported by our TriMas Center of Excellence, formerly called the Engineering Resource Center, located in India, to enhance our technical innovation and development. TriMas Packaging has a consistent pipeline of new products ready for launch and continues to innovate to make products more sustainable and environmentally friendly. For example, TriMas Packaging's product development programs have provided innovative and proprietary product solutions, such as the patented single-polymer Mono</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-2e pump, which features six parts, all made from one material, making it fully recyclable. We are also developing additional dispensing products made from a single-material without compromising quality, aesthetics, performance or formula compatibility, under the Singolo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In addition, TriMas Packaging recently launched tethered caps, which are caps that remain attached to a bottle or container after opening and during use to increase ease of recycling, and 53 mm and 63 mm diameter child-resistant closures ("CRC") for nutraceutical and agricultural products, which include innovative patent-pending interlocking inner/outer caps designed with less plastic, reducing our carbon footprint without compromising quality, durability or functional performance. TriMas Packaging's emphasis on highly-engineered solutions and product development has yielded numerous issued and enforceable patents, with many other patent applications pending. For example, 56 patents were filed and 46 patents were issued in 2022, related to both new and existing patent families.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hanging="328"/>
        <w:spacing w:after="0" w:line="25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Customized Solutions that Enhance Customer Relationships</w:t>
      </w:r>
      <w:r>
        <w:rPr>
          <w:rFonts w:ascii="Times New Roman" w:cs="Times New Roman" w:eastAsia="Times New Roman" w:hAnsi="Times New Roman"/>
          <w:sz w:val="18"/>
          <w:szCs w:val="18"/>
          <w:color w:val="auto"/>
        </w:rPr>
        <w:t>. A significant portion of our products have customized designs that are developed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engineered to address customer-specific technical, marketing and sustainability needs, helping to distinguish our customers’ products from those of their competitors. For example, the customization of specialty plastic caps, closures and dispensers including branding, unique colors, collar sizes, lining and venting results in substantial customer loyalty. TriMas Packaging has also invested in high-quality, high-performance printing capabilities for multi-color printed logos and customized designs on flat top caps and closures. The substantial investment in flexible manufacturing cells allows us to offer both short lead-times for high volume products and customization for more moderate volume orders, which provides significant advantages to our consumer packaged goods customer base. In addition, we provide customized dispensing solutions including unique pump designs, precision metering, unique colors and special collar sizes to fit our customers’ containers. TriMas Packaging collaborates with customers to develop innovative products that are more eco-friendly and easier to recycle. Based on our breadth of products, and engineering and production capabilities, we have achieved preferred supplier status with several customers.</w:t>
      </w:r>
    </w:p>
    <w:p>
      <w:pPr>
        <w:spacing w:after="0" w:line="90" w:lineRule="exact"/>
        <w:rPr>
          <w:rFonts w:ascii="Times New Roman" w:cs="Times New Roman" w:eastAsia="Times New Roman" w:hAnsi="Times New Roman"/>
          <w:sz w:val="18"/>
          <w:szCs w:val="18"/>
          <w:i w:val="1"/>
          <w:iCs w:val="1"/>
          <w:color w:val="auto"/>
        </w:rPr>
      </w:pPr>
    </w:p>
    <w:p>
      <w:pPr>
        <w:jc w:val="both"/>
        <w:ind w:left="660" w:hanging="328"/>
        <w:spacing w:after="0" w:line="235" w:lineRule="auto"/>
        <w:tabs>
          <w:tab w:leader="none" w:pos="653" w:val="left"/>
        </w:tabs>
        <w:numPr>
          <w:ilvl w:val="0"/>
          <w:numId w:val="6"/>
        </w:numPr>
        <w:rPr>
          <w:rFonts w:ascii="Calibri" w:cs="Calibri" w:eastAsia="Calibri" w:hAnsi="Calibri"/>
          <w:sz w:val="20"/>
          <w:szCs w:val="20"/>
          <w:color w:val="auto"/>
        </w:rPr>
      </w:pPr>
      <w:r>
        <w:rPr>
          <w:rFonts w:ascii="Times New Roman" w:cs="Times New Roman" w:eastAsia="Times New Roman" w:hAnsi="Times New Roman"/>
          <w:sz w:val="18"/>
          <w:szCs w:val="18"/>
          <w:i w:val="1"/>
          <w:iCs w:val="1"/>
          <w:color w:val="auto"/>
        </w:rPr>
        <w:t xml:space="preserve">Global Manufacturing Footprint. </w:t>
      </w:r>
      <w:r>
        <w:rPr>
          <w:rFonts w:ascii="Times New Roman" w:cs="Times New Roman" w:eastAsia="Times New Roman" w:hAnsi="Times New Roman"/>
          <w:sz w:val="18"/>
          <w:szCs w:val="18"/>
          <w:color w:val="auto"/>
        </w:rPr>
        <w:t>TriMas Packaging maintains a global network of sales, manufacturing and distribution sites, to serve our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base. Our customers, including larger consumer products customers, often desire supply capability and a manufacturing footprint close to their end markets which results in more efficient supply chains, reduced carbon footprint and better sustainability. In light of recent market forces that have impacted the global supply chain, we are expanding our North American manufacturing presence by launching a new, highly automated 230,000 square foot facility in New Albany, Ohio, which began ramping up in 2022. This new facility enables TriMas Packaging to shift production of a variety of products currently produced outside of the United States and provide significant incremental capacity for new business growth closer to our customers in North America as needed. To serve our customers in Asia, we have design and manufacturing capacity and offer highly engineered dispensing solutions through locations in China, India and Vietnam, and have increased our Asian market sales coverage. We have also increased our sales coverage in Europe. Our acquisitions of Affaba &amp; Ferrari in 2020, and Plastic Srl and Taplast in 2019, provided us with additional sales, design and manufacturing capacity in Europe, with additional manufacturing facilities in Italy and Slovakia. In addition, we are starting to expand our supply capabilities into South America, opening our first warehouse in Brazil in 2022. We believe TriMas Packaging's flexible footprint provides us with multiple alternatives for production to best meet customer requirements and helps mitigate the impacts of potential trade disruption. The majority of TriMas Packaging's manufacturing facilities around the world have advanced injection molding machines required to manufacture precision engineered dispensing and closure components, as well as automated, high-speed assembly equipment for multi-component products.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Customers and Distribution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Packaging accesses its markets through direct sales to customers, as well as through leading distributors, where it has enjoyed favorable, long-standing relationships. We employ commercial teams in North America, South America, Europe and Asia. At times, we also use third-party agents and distributors in our key geographic markets, as well as agents and distributors primarily to sell to container manufacturers and to users or fillers of containers.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TriMas Packaging's end customers include, but are not limited to, consumer packaged goods, personal care, beauty and cosmetic, medical, pharmaceutical, nutraceutical, food and beverage, industrial, agricultural, chemical, and cleaning and sanitary supply companies. We also provide products into applications used by warehouse clubs, e-retailers and fast food retailers. We may provide products directly to the end customer, but the end customers may also specify that our products be provided to filling or packaging intermediary customers. In addition, we also provide products to major container manufacturers, and maintain a customer service center that provides technical support, as well as other technical assistance to customers.</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Packaging has manufacturing and support facilities in the United States, Mexico, Brazil, the United Kingdom, Germany, Italy, Slovakia, China, India, Vietnam and Australia.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Packaging has a broad range of products in closure, dispensing and flexible packaging systems, and therefore has various competitors in each of our product offerings. We do not believe that there is a single competitor that matches our entire product offering. Depending on the product and customers served, our competitors include Aptar, Bericap, Berry Global, Greif, Mold-Rite, Phoenix Closures, Silgan, Technocraft and other smaller private companies located in Asia.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Aerospace (21% of 2022 net sales)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Aerospace segment is comprised of TriMas Aerospace, which includes the Monogram Aerospace Fasteners (“Monogram”), Allfast Fastening Systems (“Allfast”), Mac Fasteners, RSA Engineered Products (“RSA”), Martinic Engineering (“Martinic”) and TFI Aerospace (“TFI”) brands. We believe TriMas Aerospace is a leading designer and manufacturer of a diverse range of products, including, but not limited to, highly-engineered fasteners, collars, blind bolts, rivets, ducting and connectors for air management systems, and other highly-engineered machined parts and components, for use in focused markets within the aerospace industry. In general, these products are customer-specific and are manufactured utilizing customer-qualified and proprietary processes. The products also satisfy rigorous customer approvals or meet unique aerospace industry standards, and as such, we believe there are a limited set of competitors. We believe our brands are well established and recognized in their markets. Each of our brands are long-term, certified suppliers of aerospace original equipment manufacturers ("OEMs") or Tier 1 suppliers, and have been serving the aerospace industry for decades.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products for commercial, business jet, and military and defense aerospace applications and platforms with sales to OEMs, supply chain distributors, maintenance, repair and overhaul ("MRO") / aftermarket providers and tier one suppliers. Our customer-specified and/or qualified products are used in production of significant long-term aircraft programs, including several Boeing and Airbus commercial jetliner programs.</w:t>
      </w:r>
    </w:p>
    <w:p>
      <w:pPr>
        <w:spacing w:after="0" w:line="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TriMas Aerospace's product offering includes a broad line of fastener products, including permanent threaded blind bolts, solid and blind rivets, standard screws and bolts manufactured to meet NAS, MS, AN and AS standards, collars, temporary fasteners and other specialty fasteners. TriMas Aerospace also manufactures and assembles complex, highly-engineered and proprietary ducting, connectors and related products for air management systems, and other complex machine-to-print parts for aerospace applications, including auxiliary power units, as well as electrical, hydraulic and pneumatic systems. In</w:t>
      </w:r>
    </w:p>
    <w:p>
      <w:pPr>
        <w:jc w:val="both"/>
        <w:spacing w:after="0" w:line="260" w:lineRule="auto"/>
        <w:rPr>
          <w:sz w:val="20"/>
          <w:szCs w:val="20"/>
          <w:color w:val="auto"/>
        </w:rPr>
      </w:pPr>
      <w:r>
        <w:rPr>
          <w:rFonts w:ascii="Times New Roman" w:cs="Times New Roman" w:eastAsia="Times New Roman" w:hAnsi="Times New Roman"/>
          <w:sz w:val="18"/>
          <w:szCs w:val="18"/>
          <w:color w:val="auto"/>
        </w:rPr>
        <w:t>December 2021, we acquired TFI Aerospace, a manufacturer and supplier of specialty fasteners used in a variety of applications, predominantly for the aerospace end market.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Strengths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TriMas Aerospace benefits from the following competitive strengths in coordination with operating under TriMas' overarching strategy:</w:t>
      </w:r>
    </w:p>
    <w:p>
      <w:pPr>
        <w:spacing w:after="0" w:line="156" w:lineRule="exact"/>
        <w:rPr>
          <w:sz w:val="20"/>
          <w:szCs w:val="20"/>
          <w:color w:val="auto"/>
        </w:rPr>
      </w:pPr>
    </w:p>
    <w:p>
      <w:pPr>
        <w:jc w:val="both"/>
        <w:ind w:left="660" w:hanging="328"/>
        <w:spacing w:after="0" w:line="25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Broad Product Portfolio of Established Brands</w:t>
      </w:r>
      <w:r>
        <w:rPr>
          <w:rFonts w:ascii="Times New Roman" w:cs="Times New Roman" w:eastAsia="Times New Roman" w:hAnsi="Times New Roman"/>
          <w:sz w:val="18"/>
          <w:szCs w:val="18"/>
          <w:color w:val="auto"/>
        </w:rPr>
        <w:t>. We believe that TriMas Aerospace is a leading designer, developer and manufacturer of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engineered fasteners for the aerospace industry, as well as other complex machined components such as those used in air ducting systems. The combination of the Monogram, Allfast, Mac Fasteners and TFI brands enables TriMas Aerospace to offer a wide range of fastener products which address a broad scope of customer requirements, providing scale to customers who continue to rationalize their supply base. In several of the product categories, including rotary-actuated blind bolts and blind and solid rivets, TriMas Aerospace has a meaningful market share with well-known and established brands. The combined product sets of the Monogram, Allfast, Mac Fasteners and TFI brands uniquely position us to benefit from platform-wide supply opportunities. In addition, RSA has extensive experience in providing air ducting, connectors and flexible joints used in hot engine bleed air, anti-icing and environmental control system applications. Martinic has a reputation, with more than 40 years of experience, of specializing in the high complexity machining of castings, forgings and bar stock for leading tier-one commercial and defense aerospace OEMs. We believe that we supply products for the majority of the new airplanes manufactured by the two largest global airplane OEMs.</w:t>
      </w:r>
    </w:p>
    <w:p>
      <w:pPr>
        <w:spacing w:after="0" w:line="124"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 Innovation. </w:t>
      </w:r>
      <w:r>
        <w:rPr>
          <w:rFonts w:ascii="Times New Roman" w:cs="Times New Roman" w:eastAsia="Times New Roman" w:hAnsi="Times New Roman"/>
          <w:sz w:val="18"/>
          <w:szCs w:val="18"/>
          <w:color w:val="auto"/>
        </w:rPr>
        <w:t>We believe that TriMas Aerospace’s engineering, research and development capability and new product focus are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advantages. For many years, TriMas Aerospace’s product development programs have provided innovative and proprietary product solutions. The close working relationship between our sales and engineering teams and our customers’ engineering teams is key to developing future products desired and required by our customers. Our innovation teams add value by working directly with our customers to address assembly and manufacturing process challenges to increase productivity, quality, speed and efficiency, while reducing overall installed cost. TriMas Aerospace has developed new fastener products that offer a flush break upon installation and is developing and testing other fastener designs which offer improved clamping characteristics on composite structures, improved aerodynamics and enhanced installed aesthetics. One of our recent product innovations is the Composi-Lok4</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fastener evolution, providing significant installed weight savings, helping to improve fuel efficiency. TriMas Aerospace has also designed the next generation temporary fastener with a significant increase in clamping force called Fastack® SC (Super Clamp). TriMas Aerospace has also expanded its fastener offerings to include other fastening product applications on current aircraft, including the expansion of its suite of collar families used in traditional two-sided assembly. We believe our customer-focused approach to provide cost-effective technical solutions will drive the development of new products and create new opportunities for growth.</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hanging="328"/>
        <w:spacing w:after="0" w:line="253"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Leading Manufacturing Capabilities and Processes. </w:t>
      </w:r>
      <w:r>
        <w:rPr>
          <w:rFonts w:ascii="Times New Roman" w:cs="Times New Roman" w:eastAsia="Times New Roman" w:hAnsi="Times New Roman"/>
          <w:sz w:val="18"/>
          <w:szCs w:val="18"/>
          <w:color w:val="auto"/>
        </w:rPr>
        <w:t>We believe that TriMas Aerospace is a leading manufacturer of precision-engineered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for the aerospace industry. Given industry regulatory requirements, as well as customer requirements, these products are required to be manufactured within tight tolerances and specifications, often out of hard-to-work-with and exotic materials including titanium, Inconel and specialty steels. TriMas Aerospace is also capable of advanced precision computer numerical controlled ("CNC") milling, high performance CNC turning and assembly, working in a variety of metals including super alloys, stainless steel, aircraft steel alloys, carbon steel alloys and aluminum alloys. Many of TriMas Aerospace’s products, facilities and manufacturing processes are required to be qualified and/or certified. Key certifications in TriMas Aerospace include: AS9100:2009 Revision D; ISO9001:2008; TSO; and NADCAP for non-destructive testing, heat treatment, wet processes and materials testing. While proprietary products and patents are important, having proprietary manufacturing processes and capabilities makes TriMas Aerospace’s products difficult to replicate. The aerospace industry has strict requirements for quality and delivery, making process innovation and continuous improvement vital to TriMas Aerospace's success. We believe TriMas Aerospace’s manufacturing processes, capabilities and quality focus create a competitive strength for the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Customers and Distribution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TriMas Aerospace serves both OEM and aftermarket customers on a wide variety of platforms. Given the focused nature of many of our products, TriMas Aerospace relies upon a global sales and technical team that is knowledgeable of both OEM customers and the established network of independent distributors. Although the markets for fasteners are highly competitive, we provide products and services primarily for specialized applications, and compete principally on technology, quality and service. TriMas Aerospace works directly with aircraft manufacturers to develop and test new products and improve existing products. TriMas Aerospace’s primary customers include OEMs, supply chain distributors, tier one suppliers and the United States government.</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Aerospace's manufacturing facilities are located in the United States and Canada. Given the nature of the components TriMas Aerospace manufactures, it can ship products efficiently to Europe, South America and Asia.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Depending on the product and customers served, our primary competitors include Ateliers de la Haute Garonne, Cherry Aerospace - Precision Castparts Corp., Howmet Aerospace, LISI Aerospace and Senior Aerospace, as well as a variety of aerospace and general industrial machined component manufacturers. We believe that we are a leader in the blind bolt market with significant market share in all blind fastener product categories in which we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Products (20% of 2022 net sales)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Specialty Products segment is comprised of our Norris Cylinder and Arrow Engine Company businesses. We believe these businesses are well established and recognized in the end markets they serve.</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Norris Cylinder business is a leading designer, manufacturer and distributor of highly-engineered steel cylinders for use in industrial, heating, ventilation and air conditioning ("HVAC"), construction, health care and defense end markets. We believe that Norris Cylinder is a leading provider of a complete line of large, intermediate and small size, high and low-pressure steel cylinders for the transportation, storage and dispensing of compressed gases. Norris Cylinder’s large high-pressure seamless gas cylinders are used principally for shipping, storing and dispensing oxygen, nitrogen, argon, helium and other compressed gases. In addition, Norris Cylinder offers a complete line of steel cylinders used to contain and dispense acetylene gas for the welding and cutting industries. Norris Cylinder's products meet the rigorous standards required by the U.S. Department of Transportation ("DOT") or International Standards Organization ("ISO"), which certifies a cylinder's adequacy to perform in specific applications.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Arrow Engine is a provider of natural gas powered wellhead engines, compressors and replacement parts, all engineered for use in oil and natural gas production and other industrial and commercial markets. As Arrow's engines can operate from the natural gas produced at the wellhead, we believe Arrow is uniquely positioned to provide its products for remote pump jack installations. Arrow Engine distributes its products through a worldwide distribution network, primarily focused in the United States and Canada. Arrow Engine manufactures its own engine line and also offers a wide variety of spare parts for various industrial engines not manufactured by Arrow Engine.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Strengths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Specialty Products segment benefits from the following competitive strengths in coordination with operating under TriMas' overarching strategy:</w:t>
      </w:r>
    </w:p>
    <w:p>
      <w:pPr>
        <w:spacing w:after="0" w:line="106" w:lineRule="exact"/>
        <w:rPr>
          <w:sz w:val="20"/>
          <w:szCs w:val="20"/>
          <w:color w:val="auto"/>
        </w:rPr>
      </w:pPr>
    </w:p>
    <w:p>
      <w:pPr>
        <w:jc w:val="both"/>
        <w:ind w:left="660" w:hanging="328"/>
        <w:spacing w:after="0" w:line="242" w:lineRule="auto"/>
        <w:tabs>
          <w:tab w:leader="none" w:pos="648"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Leading Market Positions and Strong Brand Names</w:t>
      </w:r>
      <w:r>
        <w:rPr>
          <w:rFonts w:ascii="Times New Roman" w:cs="Times New Roman" w:eastAsia="Times New Roman" w:hAnsi="Times New Roman"/>
          <w:sz w:val="18"/>
          <w:szCs w:val="18"/>
          <w:color w:val="auto"/>
        </w:rPr>
        <w:t>. With more than 70 years of experience, Norris Cylinder is one of the worlds'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of high- and low-pressure steel cylinders, and the only manufacturer in the United States. In 2021, Norris Cylinder became an official “Made in the USA” designated manufacturer, which we believe allows Norris to locally address customers' needs, while maintaining more control over lead times and quality. We believe that Norris has a reputation for high-quality cylinders used in a variety of applications, including industrial gas, welding and cutting, government, medical, laboratories, food and beverage technology, breathing air, fire protection and aviation. We believe that Arrow Engine also has also a leading market position in the niche it serves.</w:t>
      </w:r>
    </w:p>
    <w:p>
      <w:pPr>
        <w:spacing w:after="0" w:line="115" w:lineRule="exact"/>
        <w:rPr>
          <w:rFonts w:ascii="Arial" w:cs="Arial" w:eastAsia="Arial" w:hAnsi="Arial"/>
          <w:sz w:val="20"/>
          <w:szCs w:val="20"/>
          <w:color w:val="auto"/>
        </w:rPr>
      </w:pPr>
    </w:p>
    <w:p>
      <w:pPr>
        <w:jc w:val="both"/>
        <w:ind w:left="66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Comprehensive Product Offering</w:t>
      </w:r>
      <w:r>
        <w:rPr>
          <w:rFonts w:ascii="Times New Roman" w:cs="Times New Roman" w:eastAsia="Times New Roman" w:hAnsi="Times New Roman"/>
          <w:sz w:val="18"/>
          <w:szCs w:val="18"/>
          <w:color w:val="auto"/>
        </w:rPr>
        <w:t>. We believe that both Norris Cylinder and Arrow Engine offer a comprehensive product offering that meets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needs. Norris Cylinder offers a complete line of large, intermediate and small size, high and low-pressure steel cylinders to its customers across a variety of end markets. Arrow Engine also provides a comprehensive product offering, including engines, compressors, chemical pumps, generator sets, electronics and replacement parts to a variety of oilfield and industrial markets. In addition, utilizing the tools of Kaizen, Arrow Engine developed and launched a new reduced emission EPA-certified A54-E engine platform for stationary and off-road mobile applications.</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Established and Extensive Distribution Channels</w:t>
      </w:r>
      <w:r>
        <w:rPr>
          <w:rFonts w:ascii="Times New Roman" w:cs="Times New Roman" w:eastAsia="Times New Roman" w:hAnsi="Times New Roman"/>
          <w:sz w:val="18"/>
          <w:szCs w:val="18"/>
          <w:color w:val="auto"/>
        </w:rPr>
        <w:t>. Our Specialty Products businesses have long-standing customer relationships and distributes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to major companies, as well as distributing to domestic buying groups, OEMs, medium and small independent companies, and independent distributors. Our long-standing supply positions in this well-established network has allowed our Specialty Products businesses to successfully navigate some of the most robust, as well as harshest, economic cycles.</w:t>
      </w:r>
    </w:p>
    <w:p>
      <w:pPr>
        <w:spacing w:after="0" w:line="11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Difficult and Costly to Replicate Manufacturing Base. </w:t>
      </w:r>
      <w:r>
        <w:rPr>
          <w:rFonts w:ascii="Times New Roman" w:cs="Times New Roman" w:eastAsia="Times New Roman" w:hAnsi="Times New Roman"/>
          <w:sz w:val="18"/>
          <w:szCs w:val="18"/>
          <w:color w:val="auto"/>
        </w:rPr>
        <w:t>Our Norris Cylinder business has locations in Longview, Texas, and Huntsville, Alabama,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have numerous forging and metalworking pieces of equipment and processes. While there are other manufacturers of steel cylinders globally, the installation of manufacturing processes and adding new capacity tends to be a lengthy process and a costly investment to implement. As such, in periods of rising demand, as we have experienced in 2021 and 2022, Norris Cylinder's installed capacity and manufacturing presence in the United States provides an advantage when compared to non-U.S. suppliers dealing with logistic constraints.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Customers and Distribution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customers of our Specialty Products segment predominantly operate in the industrial end markets, and to a lesser extent, the upstream oil and gas end markets. Given the focused nature of many of our products, we rely upon a combination of a direct sales force and an established network of distributors with familiarity of the end-users. Norris Cylinder, for example, sells directly to customers and through distributors. Our primary customers include industrial gas producers and distributors, welding equipment distributors, and equipment manufacturers.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Norris Cylinder and Arrow Engine manufacturing facilities are located in the 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Norris Cylinder competes against Worthington, Beijing Tianhai Industry Co., Faber and Vitkovice Cylinders, but is the only steel cylinder manufacturer in the United States. Arrow Engine tends to compete against natural gas powered, lower horsepower, multi-cylinder engines from manufacturers such as Caterpillar, Chevy, Cummins and Ford industrial engines and electric motors.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TriMas' Acquisition Strategy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views the pursuit of strategic acquisitions as core to augmenting its organic growth and achieving our overarching corporate strategy. We believe TriMas is uniquely positioned to leverage our relatively low debt profile and strong free cash flow profile to identify and complete bolt-on acquisitions annually as part of our capital allocation strategy. TriMas’ acquisition priority is to build out our Packaging platform, continuing our initiative to increase TriMas’ position in packaging-related end markets, which currently comprises nearly 60% of consolidated net sales, as well as explore unique opportunities to build out our Aerospace platform. We typically seek to acquire adjacent product lines that expand our existing product offerings, gain access to new customers and end markets, expand our geographic footprint and/or capitalize on scale and cost efficiencies. From 2019 through 2022, TriMas has completed eight acquisitions and one divestiture.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and Supply Arrangements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raw material purchases are for resins (such as polypropylene and polyethylene), steel, aluminum and other metal and non-metal-based purchased components. Raw materials and other supplies used in our operations are normally available from a variety of competing suppliers. In addition to raw materials, we purchase a variety of components and finished products from sources in lower-cost countries.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Polypropylene and polyethylene are generally commodity resins with multiple suppliers capable of providing product globally. Steel is purchased primarily from steel mills and service centers, and on a more localized basis. Changing global dynamics for steel production, supply and pricing may continue to present a challenge to our business.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experienced volatility in costs and availability of our raw material purchases and have worked with our suppliers to manage costs and disruptions in supply. We also utilize pricing programs to pass increased steel, resin and other raw material costs on to customers. Although we may experience delays in our ability to implement price increases, we have been generally able to recover such increased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employed approximately 3,500 people, of which 44% were located outside the United States. We have one facility, located in Commerce, California where our hourly employees operate under a collective bargaining agreement, and which represents 12% of our U.S. employees. We have five facilities outside of the United States where our employees are affiliated with work councils, which covers 48% of our non-U.S. employees.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employee relations throughout our organization are good and we are not aware of any present active union organizing activities at any of our facilities. We cannot predict the impact of any further unionization of our workplace. Our labor agreement with the United Automobile, Aerospace and Agricultural Implement Workers of America at our TriMas Aerospace facility in Commerce, California expires in August 2024.</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TriMas focuses on a number of human capital resources objectives in managing its business, including our commitment to health and safety, employee engagement, diversity, equity &amp; inclusion and talent development. These human capital resources objectives, taken together, may be material to understanding our business under certain circumstances. These objectives are reinforced by our Code of Conduct, our global policies, including our Global Human Rights Policy, Diversity, Equity &amp; Inclusion Statement, and Environment, Health &amp; Safety Policy, as well as our commitment to sustainability as evidenced by our annual Sustainability Reports.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Safety</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objective under the TBM is the health and safety of our employees, including anyone who conducts business on our behalf. The commitment to safety starts at the top levels of our organization, and as a result of our commitment, we updated and enhanced our Environment, Health &amp; Safety Policy in 2022. We believe a safe and secure workplace is fundamental to our success. TriMas is committed to providing a safe and healthy workplace, and complying with applicable safety and health laws, regulations and internal requirements. We are also committed to engaging our employees to continually improve health and safety by acting upon opportunities to reduce risk and improve our safety and health performance, and offer training programs on a regular basis. TriMas maintains comprehensive safety programs focused on identifying hazards and eliminating risks that can lead to work-place injuries.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TriMas, a commitment to continuous improvement is one of our core values and imperative to our long-term success. We embrace the tools of Kaizen and work to foster a culture of employee engagement to drive performance improvements and operational excellence. We believe that employee feedback is important which is why, in 2021 and 2022, we administered employee engagement surveys globally. We continue to work on our engagement as a company, with managers actively facilitating engagement discussions with their teams and developing action plans to ensure progress and continuous improvement.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we are at our best when we bring together unique perspectives, experiences and ideas, and actively build diverse teams and inclusive work environments across our global locations. We believe that tapping into our employees’ diverse backgrounds and experiences ensures we make better decisions and supports stronger operating performance. Our goal is to foster working environments that are fair, equitable and safe, where rights are respected and everyone can achieve their full potential. Our policies and practices strive to assure equal employment and advancement opportunities for all qualified people. We also work to maintain appropriate standards of conduct in the workplace and to be sensitive to the concerns of our diverse group of employees. We strive to maintain workplaces that are free from discrimination or harassment on the basis of race, ethnicity, color, national origin, religion, age, gender, gender identity and expression, genetic information, sexual orientation, protected veteran status, disability or any other characteristic protected by applicable laws.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believe that a talented, engaged and dynamic workforce is vital to our success. We seek to hire, develop and retain individuals who embrace and thrive in our culture. Our culture is grounded in our values: Integrity, Customer-focused, Teamwork, Results-driven and Continuous Improvement. Our businesses strive to build robust talent pipelines through targeted recruitment initiatives across our global footprint. Our programs are intended to ensure seamless onboarding for our new employees. We identify and nurture talent through a culture that is designed to enable employees to succeed and grow into leadership positions. We believe that our diverse businesses and structure provide many opportunities for employees to follow their own path and advance their careers.</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committed to a culture of Kaizen and operational excellence, and we provide employees with the opportunity to receive frequent performance feedback. On a regular basis throughout the year, employees have goal alignment, performance and career development discussions with their managers (via annual goal setting, mid-year and year-end performance and talent reviews). At these times, employees receive candid feedback on their performance against set objectives. These reviews evaluate each employee’s strengths, skills and areas for opportunity, which are important for career development.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does not typically experience significant seasonal fluctuation, other than our fourth quarter, which in past years has tended to be the lowest net sales quarter of the year given holiday shutdowns by certain of our customers and other customers deferring capital spending to the following year.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 environmental laws and regulations have not had a material impact on our business, capital expenditures or financial position. However, we must comply with existing and pending climate change legislation, regulation and international treaties or accords. Future events, including those relating to climate change or greenhouse gas regulation could require us to incur expenses related to the modification or curtailment of operations, installation of pollution control equipment or investigation and cleanup of contaminated sites. In addition to environmental laws and regulations, our operations are governed by variety of laws and regulations, including those relating to workplace safety and worker health, principally the Occupational Safety and Health Act and regulations thereunder. We believe that we are in material compliance with these laws and regulations and do not believe that future compliance with such laws and regulations will have a material adverse effect on our business, financial condition, results of operations and 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Policies and Regulations</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Free trade laws and regulations provide certain duties and tariffs on qualifying imports and exports, subject to compliance with the applicable classification and other requirements. In the past few years, we have experienced higher input costs as a direct result of tariffs imposed on certain raw materials and components imported from China. In certain cases, we have passed-through these incremental costs to the customer, while in some cases we have not changed pricing to retain or expand volume, and in other cases we continue to work to install capacity in facilities where there currently is no tariff. In addition, certain of our U.S. suppliers raised prices for components in response to an overall increase in demand for domestic sources.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we are in material compliance with free trade laws and regulations. While there may be an impact to our financial condition as a result of changes in the amount of duties or tariffs levied on products we sell, we do not believe that costs to remain in compliance with such laws and regulations will have a material adverse effect on our business, financial condition, results of operations and cash flows.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identified intangible assets, consisting of customer relationships, trademarks and trade names, and technology, are recorded at $188.1 million at December 31, 2022, net of accumulated amortization. The valuation of each of the identified intangibles was performed using broadly accepted valuation methodologies and techniques.</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Relationships. </w:t>
      </w:r>
      <w:r>
        <w:rPr>
          <w:rFonts w:ascii="Times New Roman" w:cs="Times New Roman" w:eastAsia="Times New Roman" w:hAnsi="Times New Roman"/>
          <w:sz w:val="18"/>
          <w:szCs w:val="18"/>
          <w:color w:val="auto"/>
        </w:rPr>
        <w:t>We have developed and maintained stable, long-term selling relationships with customer groups for specific branded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focused market product offerings within each of our businesses. Useful lives assigned to customer relationship intangibles range from five to 25 years and have been estimated using historic customer retention and turnover data. Other factors considered in evaluating estimated useful lives include the diverse nature of focused markets and products of which we have significant share, how customers in these markets make purchases and these customers' position in the supply chain. We also monitor and evaluate the impact of other evolving risks including the threat of lower cost competitors and evolving technology.</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Trademarks and Trade Names. </w:t>
      </w:r>
      <w:r>
        <w:rPr>
          <w:rFonts w:ascii="Times New Roman" w:cs="Times New Roman" w:eastAsia="Times New Roman" w:hAnsi="Times New Roman"/>
          <w:sz w:val="18"/>
          <w:szCs w:val="18"/>
          <w:color w:val="auto"/>
        </w:rPr>
        <w:t>Each of our businesses designs and manufactures products for focused markets under various trade names and trademarks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prior discussion by reportable segment). Our trademark/trade name intangibles are well-established and considered long-lived assets that require maintenance through advertising and promotion expenditures. Because it is our practice and intent to maintain and to continue to support, develop and market these trademarks/trade names for the foreseeable future, we consider our rights in these trademarks/trade names to have an indefinite life, except as otherwise dictated by applicable law.</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Technology. </w:t>
      </w:r>
      <w:r>
        <w:rPr>
          <w:rFonts w:ascii="Times New Roman" w:cs="Times New Roman" w:eastAsia="Times New Roman" w:hAnsi="Times New Roman"/>
          <w:sz w:val="18"/>
          <w:szCs w:val="18"/>
          <w:color w:val="auto"/>
        </w:rPr>
        <w:t>We hold a number of United States and foreign patents, patent applications, and proprietary product and process-oriented technologies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three of our reportable segments. We have, and will continue to dedicate, technical resources toward the further development of our products and processes in order to maintain our competitive position in the industrial, commercial and consumer end markets that we serve. Estimated useful lives for our technology intangibles range from one to 30 years and are determined in part by any legal, regulatory or contractual provisions that limit useful life. For example, patent rights have a maximum limit of 20 years in the United States. Other factors considered include the expected use of the technology by the operating groups, the expected useful life of the product and/or product programs to which the technology relates, and the rate of technology adoption by the industry.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our net sales for the year ended December 31, 2022, 21.8% were derived from sales by our businesses located outside of the United States, and 32.8% of our long-lived assets as of December 31, 2022 were located outside of the United States. We operate manufacturing facilities in Canada, China, Germany, India, Italy, Mexico, Slovakia, the United Kingdom and Vietnam, in addition to our U.S. operations. In addition to the net sales derived from sales by our businesses located outside of the United States, we also generated $74.5 million of export sales from the United States.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Company Reports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our corporate website, www.trimascorp.com, as a channel for routine distribution of important information, including news releases, company presentations and links to our businesses' websites, as well as reinforcing our commitment to sustainability as evidenced by our Sustainability Reports. We also provide financial information on our website and post filings as soon as reasonably practicable after they are electronically filed with, or furnished to, the Securities and Exchange Commission ("SEC"), including our annual, quarterly, and current reports on Forms 10-K, 10-Q and 8-K, our proxy statements and any amendments to those reports or statements. All such postings and filings are available under our Investors section of the website free of charge. The SEC also maintains a website, www.sec.gov,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risks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Although the risks are organized by headings, and each risk is discussed separately, many of the risks are interrelated. Readers should not interpret the disclosure of any risk factor to imply that the risk has not already materialized. Additional risks and uncertainties not currently known to us or that we currently believe are immaterial may also impact our business operations, financial results and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depend upon general economic conditions and we serve some customers in highly cyclical industries; as such, we may be subject to the loss of sales and margins due to an economic downturn or recession.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financial performance depends, in large part, on conditions in the markets that we serve in both the U.S. and globally. In the past, our operations have been exposed to volatility due to changes in general economic conditions or consumer preferences, recessions or adverse conditions in the markets we serve, including the impact of global pandemics, such as the coronavirus and related variants ("COVID-19"), and the Russia-Ukraine conflict. We are exposed to highly cyclical end markets for industrial goods, and to a lesser extent, aerospace and consumer products. An uncertain macro-economic and political climate could lead to reduced demand from our customers, variations in timing of sales to our customers, increased price competition for our products, increased risk of excess and obsolete inventories, uncollectible receivables, and higher overhead costs as a percentage of revenue, all of which could impact our operating margins. If our customers are adversely affected by these factors, we may experience lower product volume orders, which could have an unfavorable impact on our revenue and operating profit. For example, a number of our consumer packaged goods customers increased their first-half 2022 orders for our products due to concerns over capacity constraints and rising inflation, and significantly reduced their orders in the back half of 2022, alerting us that they need to sell through a substantial portion of their existing inventory levels prior to placing significant additional orders. Our ability to precisely forecast the level of our customers’ orders is limited and can result in inefficiencies in scheduling our installed manufacturing capacity and result in sub-optimal business and financial results.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continues to pose risks, to our businesses, the nature and extent of which are highly uncertain and unpredictable.</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managing matters related to the global outbreak of the COVID-19, including impacts to our operations and strategic supplier-partners in Asia, as well as our manufacturing operations in Europe and North America since early 2020. The COVID-19 pandemic has impacted our results of operations, and we expect it will continue to impact us in the future at varying levels. For example, sales for our dispensing and closure products used to help fight the spread of gems significantly increased in 2020 and 2021, and receded in 2022. Sales in our Aerospace segment significantly declined at the onset of the pandemic, and have increased in 2022 as air travel and new aircraft production increases. The primary impacts on our business to date have been related to (i) shifting customer demand for many of our products, including those used in cosmetic, personal care, pharmaceutical, home care, food and beverage, and industrial markets, as well as aerospace markets; (ii) delays and disruptions in the availability of and timely delivery of materials and components used in our operations, as well as increased costs for such materials and components; and (iii) reduced availability and productivity of employees.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extent of the COVID-19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ongoing impact in the regions in which we do business, and any future impacts on widespread economic activity, including air travel. The emergence of new variants of COVID-19, evolving governmental plans to institute vaccination mandates and limited availability of vaccines in various jurisdictions create uncertainty that may impact our employees and result in labor shortages and unforeseen costs. In addition, because we cannot predict the impact that COVID-19 or other global pandemics will ultimately have, the actual impact may also exacerbate other risks discussed in this Item 1A.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the markets we serve are highly competitive, which could limit sales volumes and reduce our operating margins.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are sold in competitive markets. We believe that the principal points of competition in our markets are price, product quality, delivery performance, design and engineering capabilities, product development, conformity to customer specifications, customer service and effectiveness of distribution. Maintaining and improving our competitive position will require continued investment by us in manufacturing, engineering, quality standards, marketing, customer service and support of our distribution networks. We may have insufficient resources in the future to continue to make such investments and, even if we make such investments, we may not be able to maintain or improve our competitive position. We also face the risk of lower-cost manufacturers located in China, India and other regions competing in the markets for our products and we may be driven as a consequence of this competition to increase our investment overseas. Making overseas investments can be highly risky and we may not always realize the advantages we anticipate from any such investments. Competitive pressure may limit the volume of products that we sell and reduce our operating margins.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implement our business strategies and achieve our strategic and financial objectives.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long history of acquisitions and divestitures, and we continuously evaluate strategic opportunities and other investment activities. From time to time, we may engage in one or more strategic transactions. If we do so, it may or may not meet the intended strategic or financial objective.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Strategic acquisitions may require integration expense and actions that may negatively affect our results of operations and that could not have been fully anticipated beforehand. In addition, attractive strategic transaction opportunities may not be identified or pursued in the future, financing for strategic transactions may be unavailable on satisfactory terms and we may be unable to accomplish our strategic objectives in effecting a particular strategic transaction. We may encounter various risks in pursuing such strategic transactions, including the possible inability to integrate an acquired business into our operations, increased expenses, increased debt obligations to finance such strategic transactions and unanticipated problems or liabilities.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dispose of assets or businesses at a price or on terms that are less favorable than we had anticipated, or with the exclusion of assets that must be divested or run off separately. As we seek to sell or separate certain assets, equity interests or businesses, we may also encounter difficulty in finding buyers, managing interdependencies across multiple transactions and other Company initiatives, implementing separation plans or executing alternative exit strategies on acceptable terms, which could delay or prevent the accomplishment of our strategic and financial objectives. Moreover, the effect of dispositions over time will reduce our cash flow and earnings capacity and result in a less diversified portfolio of businesses, and we will have a greater dependency on remaining businesses for our financial results.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risks related to strategic acquisitions or dispositions may result in the disruption of our ongoing business, diversion of management’s attention, the failure of such transactions to be completed, or the failure to realize the financial and strategic benefits contemplated at the time of a transaction, some or all of which could materially and adversely affect our business strategy, financial condition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our raw material or energy costs or the loss of critical suppliers could adversely affect our profitability and other financial results.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in our raw materials supply base. Our largest material purchases are for resins (such as polypropylene and polyethylene), steel, aluminum and other metal and non-metal-based purchased components. Prices for these products, along with costs for transportation and energy, fluctuate with market conditions, and have generally increased over time. For example, during 2022, we experienced increased energy costs and supply chain disruptions as a result of the Russia-Ukraine conflict. In addition, we have experienced, and expect to continue to experience, the impact of cost inflationary pressure on raw materials, wage rates and freight. We have generally been able to recover such costs during 2022, as market prices have generally stabilized. We may be unable to offset the impact of future cost increases with price increases on a timely basis due to outstanding commitments to our customers, competitive considerations or our customers’ resistance to accepting such price increases and our financial performance could be adversely impacted. A failure by our suppliers to continue to supply us with certain raw materials, component parts, or at all, could have a material adverse effect on us. To the extent there are energy supply disruptions or material fluctuations in energy costs, our margins could be materially adversely impacted.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deliver products that satisfy customer requirements is dependent on the performance of our subcontractors and suppliers, as well as on the availability of raw materials and other components.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other companies, including subcontractors and suppliers, to provide and produce raw materials, integrated components and sub-assemblies and production commodities included in, or used in the production of, our products. If one or more of our suppliers or subcontractors experiences delivery delays or other performance problems, we may be unable to meet commitments to our customers or incur additional costs and penalties. In some instances, we depend upon a single source of supply. Any material service disruption from one of our suppliers, either due to circumstances beyond the supplier’s control, such as geopolitical developments, including any potential impacts resulting from rising tensions between the United States and China, or logistical complications or operational disruptions due to weather, global climate change, earthquakes or other natural disasters, or as a result of performance problems or financial difficulties, could have a material adverse effect on our ability to meet commitments to our customers or increase our operating costs. Since the outbreak of the COVID-19 pandemic, we have experienced even greater uncertainties in the economic environment, including input cost inflation, supply chain disruptions with our subcontractors and suppliers, shortages in global markets for commodities, logistics and labor, all of which have resulted in labor and manufacturing inefficiencies given the challenges in production scheduling.</w:t>
      </w:r>
    </w:p>
    <w:p>
      <w:pPr>
        <w:spacing w:after="0" w:line="12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goodwill and intangible assets, and future impairment of our goodwill and intangible assets could have a material negative impact on our financial results.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2022, our goodwill and intangible assets were $527.9 million and represented 40.5% of our total assets. If we experience declines in sales and operating profit or do not meet our current and forecasted operating budget, we may be subject to goodwill and/or other intangible asset impairments in the future. While the fair value of our remaining goodwill exceeds its carrying value, significantly worse financial performance of our businesses, significantly different assumptions regarding future performance of our businesses or significant declines in our stock price could result in future impairment losses. Because of the significance of our goodwill and intangible assets, and based on the magnitude of historical impairment charges, any future impairment of these assets could have a material adverse effect on our financial results.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exposed to risks associated with an increasingly concentrated customer base.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no individual customer accounted for 10% or more of our consolidated net sales for 2022, 2021, or 2020, our customer base has become, and may further become, increasingly concentrated as a result of our strategy to focus on growing sales with existing customers in packaging end markets, or due to customer consolidations. In 2022, our Aerospace and Specialty Products segments each had customers that comprised 10% or more of its segment revenue. As a result of these factors, changes to or reductions in the buying patterns of these larger customers may expose our business and results of operations to greater volatility. For example, prior to the outbreak of COVID-19, a large commercial aircraft manufacturer announced significant production delays and/or reductions on certain of its platforms for which we provide products, which significantly impacted our sales, profit and production efficiencies compared with historical levels.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mix and type of customers, and sales to any single customer, may vary significantly from quarter to quarter and from year to year, and have a significant impact on our financial condition, results of operations and cash flows. If customers do not place orders, or they substantially reduce, delay or cancel orders, we may not be able to replace the business, which may have a significant adverse impact on our results of operations and financial condition. For example, a number of our consumer packaged goods customers ordered higher levels of inventory due to concerns over capacity constraints and rising inflation in the first half of 2022, and subsequently reduced their order levels in the back-half of 2022. In addition, major customers may require that we localize manufacturing and supply capacity rather than sourcing from lower cost countries, or seek pricing, payment, intellectual property-related, or other commercial terms that are less favorable to us, which may have a negative impact on our business. The concentration of our customer base also increases our risks related to the financial condition of our customers, and the deterioration in financial condition of customers or the failure of customers to perform their obligations could have a material adverse effect on our results of operations and cash flows.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manufacturing facilities for the production of our highly engineered products, which subjects us to risks associated with disruptions and changing technology and manufacturing techniques that could place us at a competitive disadvantage.</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manufacturing facilities become unavailable either temporarily or permanently due to weather, earthquakes or other natural disasters related to global climate change, or geopolitical developments, including any potential impacts resulting from rising tensions between the United States and China, or logistical complications or operational disruptions arising from adverse regulatory actions, acts of war, cyber-attacks, public health crises or labor disruptions, we may be unable to shift production to other facilities or to make up for lost production. For example, our Aerospace manufacturing facilities are predominately located in southern California, an area known for earthquakes, and are thus vulnerable to damage. Any new facility would need to comply with the necessary regulatory requirements, satisfy our specialized manufacturing requirements and require specialized equipment.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believe that our customers rigorously evaluate their suppliers on the basis of price competitiveness, product quality, reliability and timeliness of delivery, technical expertise and development capability, new product innovation, product design capability, manufacturing expertise, operational flexibility, customer service and overall management. Our success depends on our ability to continue to meet our customers’ changing expectations with respect to these criteria. We may be unable to install, maintain and certify equipment needed to produce products or upgrade or transition our manufacturing facilities without impacting production rates or requiring other operational efficiency measures at our facilities. We anticipate that we will remain committed to product research and development, advanced manufacturing techniques and service to remain competitive, which entails significant costs; however,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major failure of our information systems could harm our business; increased IT security threats and more sophisticated and targeted computer crime could pose a risk to our systems, networks, and products.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on integrated information systems to conduct our business. While we maintain some of our critical information systems, we are also dependent on third parties to provide important services relating to, among other things, operational technology at our facilities, human resources, electronic communications and certain finance functions. We may experience operating problems with our information systems as a result of system failures, viruses, computer hackers or other causes. Any significant disruption or slowdown of our systems could cause customers to cancel orders or cause standard business processes to become inefficient or ineffective.</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cyber-attacks in the past and, while none of these cyber-attacks resulted in a material disruption to our business, we may experience additional cyber-attacks in the future. Increased global IT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networks and systems remain potentially vulnerable to advanced persistent threats. Furthermore, we may have little or no oversight with respect to security measures employed by third-party service providers, which may ultimately prove to be ineffective at countering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growing portion of our sales and earnings may be derived from international sources, which exposes us to certain risks which may adversely affect our financial results and impact our ability to service debt.</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operations outside of the United States. Of our net sales for the year ended December 31, 2022, 21.8% were derived from sales by our subsidiaries located outside of the U.S. In addition, we may expand our international operations through internal growth or acquisitions. International operations, particularly sales to emerging markets and manufacturing in non-U.S. countries, are subject to risks that are not present within U.S. markets, which include, but are not limited to, the following:</w:t>
      </w:r>
    </w:p>
    <w:p>
      <w:pPr>
        <w:spacing w:after="0" w:line="11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currency exchange between the U.S. dollar and currencies in international markets;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government regulations and policies including, but not limited to, foreign currency exchange controls or monetary policy, governmental embargoes, repatriation of earnings, expropriation of property, duty or tariff restrictions, investment limitations and tax policies;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disruptions, including labor unrest, civil strife, public health crises (including viral outbreaks such as the coronavirus), acts of war, guerrilla activities, insurrection and terrorism;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that regulates the use of chemicals;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disadvantages of competing against companies from countries that are not subject to U.S. laws and regulations, including the Foreign Corrupt Practices Act ("FCPA");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international trade laws and regulations, including export control and economic sanctions, such as anti-dumping duties;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multi-national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enforce legal rights and remedies;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inefficiencies in repatriating cash flow from non-U.S. subsidiaries that could affect our financial results and reduce our ability to service debt;</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arising out of foreign sovereignty over the areas where our operations are conducted.</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and disposition agreements by which we have acquired or sold companies, include indemnification provisions that may not fully protect us and may result in unexpected liabilities.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and as a result we may incur unexpected liabilities that adversely affect our profitability and financial position.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sustainability and ESG considerations could expose us to potential liabilities, increased costs, reputational harm and other adverse effects on our business.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sustainability and ESG considerations relating to businesses. We have announced certain areas of focus through information on our website, press statements and other communications, including through our Sustainability Reports, which include health and safety, environmental matters, climate change and greenhouse gas emissions, human capital, diversity, equity and inclusion, talent development, and innovation for sustainable products. The criteria used to evaluate sustainability and ESG practices, including goals and initiatives, may continue to evolve, which could result in greater expectations and may cause us to make investments, which may be material, to satisfy new criteria. In addition, some stakeholders may disagree with our goals and initiatives, or have very different views on where our sustainability and ESG focus should be placed, including differing views of regulators in various jurisdictions in which we operate. The increasing attention to sustainability could also result in reduced demand for certain of our products and/or reduced profits. If we are unable to respond effectively, investors may conclude that our sustainability and ESG policies and/or actions are inadequate. Any failure, or perceived failure, by us to achieve our sustainability or ESG goals and initiatives, adhere to our public statements, comply with federal, state or international laws and regulations, meet evolving and varied stakeholder expectations and standards or accurately disclose our progress on such matters, could expose us to potential liabilities, increased costs, reputational harm and other adverse effects on our business.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Legal and Environmental Risks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from the recent and potential changes in U.S. trade policies could have a material adverse effect on us and our financial condition and results of operations.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Free trade laws and regulations provide certain duties and tariffs on qualifying imports and exports, subject to compliance with the applicable classification and other requirements. The United States government has indicated its intent to alter its approach to international trade policy and in some cases to renegotiate, or potentially terminate, certain existing bilateral or multi-lateral trade agreements and treaties with foreign countries. For example, the U.S. government has implemented additional tariffs on certain goods imported from China. These tariffs, and other governmental actions relating to international trade agreements or policies, the adoption and expansion of trade restrictions, or the occurrence of a trade war may adversely impact demand for our products, costs, customers, suppliers and/or the U.S. economy or certain sectors thereof and, as a result, adversely impact our business. These tariffs and actions may, directly or indirectly, lead to higher costs and cause us to increase prices to our customers which may reduce demand, or, if we are unable to increase prices, result in lowering our margin on products sold. For example, in the past few years, we have experienced higher input costs as a direct result of tariffs imposed on certain raw materials and components imported from China. In certain cases, we have passed-through these incremental costs to the customer, while in some cases we have not changed pricing to retain or expand volume, and in other cases we continue to work to install capacity in facilities where there currently is no tariff. In addition, certain of our U.S. suppliers raised prices for components in response to an overall increase in demand for domestic sources. It remains unclear what the U.S. or foreign governments will or will not do with respect to tariffs, international trade agreements and policies on a short-term or long-term basis. Additional changes in laws or policies governing the terms of foreign trade, and in particular increased trade restrictions, tariffs or taxes on imports from countries where we manufacture or purchase products could have a material adverse effect on our business and financial results.</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and changes in tax laws, including tax reform legislation in the United States, could materially and adversely impact our financial condition, results of operations and cash flows.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extensive tax liabilities, including federal, state and foreign income taxes and transactional taxes such as excise, sales and use, payroll, franchise, withholding and property taxes. Many tax liabilities are subject to periodic audits by taxing authorities, and such audits could subject us to additional tax as well as interest and penalties. New tax laws and regulations and changes in existing tax laws and regulations could result in increased expenditures by us for tax liabilities in the future and could materially and adversely impact our financial condition, results of operations and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liability associated with the use of products for which patent ownership or other intellectual property rights are claimed.</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operating results.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results of operations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intellectual property.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that our patents, trademarks, know-how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material losses and costs as a result of product liability, recall and warranty claims brought against us.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from time to time, subject to a variety of claims or litigation incidental to our businesses, including demands for damages arising out of use of our products, claims relating to intellectual property matters and claims involving employment matters and commercial disputes. We currently carry insurance and maintain reserves for potential product liability claims. However, our insurance coverage may be inadequate if such claims do arise and any liability not covered by insurance could have a material adverse effect on our business. Although we have been able to obtain insurance in amounts we believe to be appropriate to cover such liability to date, our insurance premiums may increase in the future as a consequence of conditions in the insurance business generally or our situation in particular. Any such increase could result in lower operating profit or cause the need to reduce our insurance coverage. In addition, a future claim may be brought against us that could have a material adverse effect on us. Any product liability claim may also include the imposition of punitive damages, the award of which, pursuant to certain state laws, may not be covered by insurance. Our product liability insurance policies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former Lamons business is a party to lawsuits related to asbestos contained in gaskets formerly manufactured by it or its predecessors. While we sold the Lamons business in December 2019, we retained the asbestos-related liability exposure. Some of this litigation includes claims for punitive and consequential as well as compensatory damages. We are not able to predict the outcome of these matters given that, among other things, claims may be initially made in jurisdictions without specifying the amount sought or by simply stating the minimum or maximum permissible monetary relief, and may be amended to alter the amount sought. Of the 4,798 claims pending at December 31, 2022, 45 set forth specific amounts of damages (other than those stating the statutory minimum or maximum). 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Data</w:t>
      </w:r>
      <w:r>
        <w:rPr>
          <w:rFonts w:ascii="Times New Roman" w:cs="Times New Roman" w:eastAsia="Times New Roman" w:hAnsi="Times New Roman"/>
          <w:sz w:val="18"/>
          <w:szCs w:val="18"/>
          <w:color w:val="auto"/>
        </w:rPr>
        <w:t>," within this Form 10-K for additional information.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settlement costs (exclusive of defense costs) for all such cases, some of which were filed over 25 years ago, have been $12.5 million. All relief sought in the asbestos cases is monetary in nature. To date, approximately 40% of our costs related to settlement and defense of asbestos litigation have been covered by our primary insurance. Effective February 14, 2006, we entered into a coverage-in-place agreement with our first level excess carriers regarding the coverage to be provided to us for asbestos-related claims when the primary insurance is exhausted. The coverage-in-place agreement makes asbestos defense costs and indemnity insurance coverage available to us that might otherwise be disputed by the carriers and provides a methodology for the administration of such expenses. The Company's primary insurance exhausted in November 2018, and the Company is solely responsible for defense costs and indemnity payments prior to the commencement of coverage under this agreement, the duration of which would be subject to the scope of damage awards and settlements paid. During this period, we may incur significant litigation costs in defending these matters. We also may be required to incur additional defense costs and pay damage awards or settlements or become subject to equitable remedies in the future that could adversely affect our businesses.</w:t>
      </w:r>
    </w:p>
    <w:p>
      <w:pPr>
        <w:spacing w:after="0" w:line="1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affected by compliance obligations and liabilities under environmental laws and regulations, including related to climate change.</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increasingly stringent environmental laws and regulations, including those relating to air emissions, wastewater discharges and chemical and hazardous waste management and disposal. A number of governments or governmental bodies have introduced or are contemplating introducing regulatory changes in response to climate change, including regulating greenhouse gas emissions. Some of these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must comply with existing and pending climate change legislation, regulation and international treaties or accords, current laws and regulations have not had a material impact on our business, capital expenditures or financial position. Future events, including those relating to climate change or greenhouse gas regulation, could require us to incur expenses related to fund energy efficiency activities, fees or restrictions on certain activities, the modification or curtailment of operations, installation of pollution control equipment or investigation and cleanup of contaminated sites. Any adopted future regulations could also negatively impact our ability to compete with companies situated in areas not subject to such limitations, and we may not be able to recover the cost of compliance with new or more stringent laws and regulations, which could adversely impact our results of operations, cash flow or financial condition.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results of operations may be impaired by legal compliance risks.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strive to maintain high standards, our internal controls and compliance systems may not always protect us from acts committed by our employees, agents, or business partners that would violate U.S. and/or non-U.S. laws or adequately protect our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allegations, violations of law or improper actions could subject us to civil or criminal investigations in the U.S. and in other jurisdictions, could lead to substantial civil or criminal, monetary and non-monetary penalties, and related shareholder lawsuits, could lead to increased costs of compliance, could damage our reputation and could have a material effect on our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Debt and Other Financial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debt principal and interest payment requirements that may restrict our future operations and impair our ability to meet our obligations.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2022, we have $394.7 million of outstanding long-term debt. We are subject to variable interest rates on our revolving credit facility. Such interest rates, effective January 1, 2022, are based on the Secured Overnight Financing Rate, the Sterling Overnight Index Average and the Euro Short Term Rate depending upon the currency of borrowing, all plus a spread of 1.50%. The interest rate spread is based upon the leverage ratio, as defined, as of the most recent determination date. We may experience increases in our interest expense as a result of general increases in interest rate levels. In addition, we could be further impacted by changes in variable interest rates. Our reference rates under our revolving credit facility may perform differently from the historical use of U.S. dollar LIBOR, which may affect our net interest expense and require changes to our future risk, pricing and hedging strategies. We had no amounts outstanding under our revolving credit facility as of December 31,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degree of leverage and level of interest expense may have important consequences, including:</w:t>
      </w:r>
    </w:p>
    <w:p>
      <w:pPr>
        <w:spacing w:after="0" w:line="158"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our leverage increase, it may place us at a competitive disadvantage as compared with our less leveraged competitors and make us more vulnerable in the event of a downturn in general economic conditions or in any of our businesses;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businesses and the industries in which we operate may be limited;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 from operations will be dedicated to the payment of annual interest and future principal obligations on our indebtedness, thereby reducing the funds available to us for operations, capital expenditures, acquisitions, future business opportunities or obligations to pay rent in respect of our operating leases;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restricted by our debt instruments, which contain certain financial and operating covenants, and those restrictions may limit, among other things, our ability to borrow money in the future for working capital, capital expenditures, acquisitions, rent expense or other purposes.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in our debt instruments limit our ability to take certain actions and breaches thereof could impair our liquidity.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revolving credit facility and the indenture governing our senior notes contain covenants that restrict our ability to:</w:t>
      </w:r>
    </w:p>
    <w:p>
      <w:pPr>
        <w:spacing w:after="0" w:line="14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redeem or repurchase capital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grant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and joint venture investments;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debt instruments also require us to comply with financial covenants relating to, among other things, interest coverage and leverage. We may not be able to satisfy these covenants in the future or be able to pursue our strategies within the constraints of these covenants. Substantially all of the assets of our domestic subsidiaries are pledged as collateral. Borrowings under the foreign currency sub limit are secured by a pledge of the assets of the foreign subsidiary borrowers that are party to our revolving credit facility. A breach of a covenant contained in our debt instruments could result in an event of default under one or more of our debt instruments and our lease financing arrangements. Such breaches would permit the lenders to declare all amounts borrowed thereunder to be due and payable, and the commitments of such lenders to make further extensions of credit could be terminated. Each of these circumstances could materially and adversely impair our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borrowing costs may be impacted by our credit ratings developed by various rating agencies.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major ratings agencies, Standard &amp; Poor’s and Moody’s, evaluate our credit profile on an ongoing basis and have each assigned ratings for our long-term debt. If our credit ratings were to decline, our ability to access certain financial markets may become limited, the perception of us in the view of our customers, suppliers and security holders may worsen and as a result, we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operating lease obligations and our failure to meet those obligations could adversely affect our financial condition.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many of our manufacturing and distribution branch facilities, and certain capital equipment. Our rental expense in 2022 under these operating leases was $13.9 million. A failure to pay our rental obligations would constitute a default allowing the applicable landlord to pursue any remedy available to it under applicable law, which would include taking possession of our property and, in the case of real property, evicting us. These leases are categorized as operating leases and are not considered indebtedness for purposes of our debt instruments.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services of key individuals and relationships, the loss of which could materially harm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the efforts of our key leadership, including key operational, technical, commercial, manufacturing and financial personnel. Our business leadership teams have served a vast majority of their careers in, and are deeply experienced in, the industries we operate. Our future success will also depend on, among other factors, our ability to retain or attract other qualified personnel. The loss of the services of any of our key employees or the failure to retain or attract employees could have a material adverse effect on us.</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further unionization and work stoppages at our facilities or our customers may be subject to work stoppages, which could seriously impact the profitability of our business.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we have one facility, located in Commerce, California, where our hourly employees operate under a collective bargaining agreement, and which represents 12% of our employees located in the United States. We have five facilities outside of the United States where our employees are affiliated with state-controlled or trade unions, which covers 48% of our non-U.S. employees. In 2021 we entered a three-year collective bargaining agreement with the United Automobile, Aerospace and Agricultural Implement Workers of America at our TriMas Aerospace facility in Commerce, California, which expires in August 2024. We are not aware of any present active union organizing drives at any of our other facilities. We cannot predict the impact of any further unionization of our workplace.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direct or indirect customers have unionized work forces. Strikes, work stoppages or slowdowns experienced by these customers or their suppliers could result in slowdowns or closures of assembly plants where our products are utilized. In addition, organizations responsible for shipping our customers' products may be impacted by occasional strikes or other activity. Any interruption in delivery of our customers' products may reduce demand for our products and have a material adverse effect on us.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costs for active employees may exceed projections and may negatively affect our financial results.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range of healthcare benefits for our active employees pursuant to labor contracts and otherwise. Healthcare benefits for active employees are provided through comprehensive hospital, surgical and major medical benefit provisions or through health maintenance organizations, all of which are subject to various cost-sharing features. Some of these benefits are provided for in fixed amounts negotiated in labor contracts with the respective unions. If our costs under our benefit programs for active employees exceed our projections, our business and financial results could be materially adversely affected. Additionally, foreign competitors and many domestic competitors provide fewer benefits to their employees, and this difference in cost could adversely impact our competitive position.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manufacturing facilities range in size from approximately 10,000 square feet to approximately 255,000 square feet. Except as set forth in the table below, all of our manufacturing facilities are owned. The leases for our manufacturing facilities have terms that expire from 2023 through 2032 and are generally renewable, at our option, for various terms, provided that we are not in default under the lease agreements. Substantially all of our owned U.S. real properties are subject to liens in connection with our credit facility. TriMas' corporate executive office is located in Bloomfield Hills, Michigan, which is leased through February 2028. Our buildings have been generally well maintained, are in good operating condition and are adequate for current production requirements.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list sets forth the location of our principal owned and leased manufacturing and other facilities used in continuing operations and identifies the principal segment utilizing such facilities as of December 31,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Packaging</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Aerospace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Specialty Products</w:t>
            </w:r>
          </w:p>
        </w:tc>
      </w:tr>
      <w:tr>
        <w:trPr>
          <w:trHeight w:val="210"/>
        </w:trPr>
        <w:tc>
          <w:tcPr>
            <w:tcW w:w="4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Alabama</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Huntsville</w:t>
            </w: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Arkansas</w:t>
            </w:r>
          </w:p>
        </w:tc>
        <w:tc>
          <w:tcPr>
            <w:tcW w:w="2720" w:type="dxa"/>
            <w:vAlign w:val="bottom"/>
            <w:gridSpan w:val="2"/>
            <w:shd w:val="clear" w:color="auto" w:fill="CCEEFF"/>
          </w:tcPr>
          <w:p>
            <w:pPr>
              <w:jc w:val="center"/>
              <w:ind w:right="140"/>
              <w:spacing w:after="0" w:line="230" w:lineRule="exact"/>
              <w:rPr>
                <w:sz w:val="20"/>
                <w:szCs w:val="20"/>
                <w:color w:val="auto"/>
              </w:rPr>
            </w:pPr>
            <w:r>
              <w:rPr>
                <w:rFonts w:ascii="Times New Roman" w:cs="Times New Roman" w:eastAsia="Times New Roman" w:hAnsi="Times New Roman"/>
                <w:sz w:val="18"/>
                <w:szCs w:val="18"/>
                <w:color w:val="auto"/>
                <w:w w:val="94"/>
              </w:rPr>
              <w:t>Atkins</w:t>
            </w:r>
            <w:r>
              <w:rPr>
                <w:rFonts w:ascii="Times New Roman" w:cs="Times New Roman" w:eastAsia="Times New Roman" w:hAnsi="Times New Roman"/>
                <w:sz w:val="23"/>
                <w:szCs w:val="23"/>
                <w:color w:val="auto"/>
                <w:w w:val="94"/>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184"/>
        </w:trPr>
        <w:tc>
          <w:tcPr>
            <w:tcW w:w="40" w:type="dxa"/>
            <w:vAlign w:val="bottom"/>
          </w:tcPr>
          <w:p>
            <w:pPr>
              <w:spacing w:after="0"/>
              <w:rPr>
                <w:sz w:val="16"/>
                <w:szCs w:val="16"/>
                <w:color w:val="auto"/>
              </w:rPr>
            </w:pPr>
          </w:p>
        </w:tc>
        <w:tc>
          <w:tcPr>
            <w:tcW w:w="314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Arizona</w:t>
            </w: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2"/>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rPr>
              <w:t>Mesa</w:t>
            </w:r>
            <w:r>
              <w:rPr>
                <w:rFonts w:ascii="Times New Roman" w:cs="Times New Roman" w:eastAsia="Times New Roman" w:hAnsi="Times New Roman"/>
                <w:sz w:val="21"/>
                <w:szCs w:val="21"/>
                <w:color w:val="auto"/>
                <w:vertAlign w:val="superscript"/>
              </w:rPr>
              <w:t>(1)</w:t>
            </w:r>
          </w:p>
        </w:tc>
        <w:tc>
          <w:tcPr>
            <w:tcW w:w="2620" w:type="dxa"/>
            <w:vAlign w:val="bottom"/>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Tolleson</w:t>
            </w:r>
          </w:p>
        </w:tc>
        <w:tc>
          <w:tcPr>
            <w:tcW w:w="2620" w:type="dxa"/>
            <w:vAlign w:val="bottom"/>
          </w:tcPr>
          <w:p>
            <w:pPr>
              <w:spacing w:after="0"/>
              <w:rPr>
                <w:sz w:val="20"/>
                <w:szCs w:val="20"/>
                <w:color w:val="auto"/>
              </w:rPr>
            </w:pPr>
          </w:p>
        </w:tc>
      </w:tr>
      <w:tr>
        <w:trPr>
          <w:trHeight w:val="181"/>
        </w:trPr>
        <w:tc>
          <w:tcPr>
            <w:tcW w:w="40" w:type="dxa"/>
            <w:vAlign w:val="bottom"/>
          </w:tcPr>
          <w:p>
            <w:pPr>
              <w:spacing w:after="0"/>
              <w:rPr>
                <w:sz w:val="15"/>
                <w:szCs w:val="15"/>
                <w:color w:val="auto"/>
              </w:rPr>
            </w:pPr>
          </w:p>
        </w:tc>
        <w:tc>
          <w:tcPr>
            <w:tcW w:w="3140" w:type="dxa"/>
            <w:vAlign w:val="bottom"/>
            <w:shd w:val="clear" w:color="auto" w:fill="CCEEFF"/>
          </w:tcPr>
          <w:p>
            <w:pPr>
              <w:ind w:left="440"/>
              <w:spacing w:after="0" w:line="181" w:lineRule="exact"/>
              <w:rPr>
                <w:sz w:val="20"/>
                <w:szCs w:val="20"/>
                <w:color w:val="auto"/>
              </w:rPr>
            </w:pPr>
            <w:r>
              <w:rPr>
                <w:rFonts w:ascii="Times New Roman" w:cs="Times New Roman" w:eastAsia="Times New Roman" w:hAnsi="Times New Roman"/>
                <w:sz w:val="18"/>
                <w:szCs w:val="18"/>
                <w:color w:val="auto"/>
              </w:rPr>
              <w:t>California</w:t>
            </w:r>
          </w:p>
        </w:tc>
        <w:tc>
          <w:tcPr>
            <w:tcW w:w="2720" w:type="dxa"/>
            <w:vAlign w:val="bottom"/>
            <w:gridSpan w:val="2"/>
            <w:shd w:val="clear" w:color="auto" w:fill="CCEEFF"/>
          </w:tcPr>
          <w:p>
            <w:pPr>
              <w:jc w:val="center"/>
              <w:ind w:right="140"/>
              <w:spacing w:after="0" w:line="181" w:lineRule="exact"/>
              <w:rPr>
                <w:sz w:val="20"/>
                <w:szCs w:val="20"/>
                <w:color w:val="auto"/>
              </w:rPr>
            </w:pPr>
            <w:r>
              <w:rPr>
                <w:rFonts w:ascii="Times New Roman" w:cs="Times New Roman" w:eastAsia="Times New Roman" w:hAnsi="Times New Roman"/>
                <w:sz w:val="16"/>
                <w:szCs w:val="16"/>
                <w:color w:val="auto"/>
              </w:rPr>
              <w:t>Irwindale</w:t>
            </w:r>
            <w:r>
              <w:rPr>
                <w:rFonts w:ascii="Times New Roman" w:cs="Times New Roman" w:eastAsia="Times New Roman" w:hAnsi="Times New Roman"/>
                <w:sz w:val="20"/>
                <w:szCs w:val="20"/>
                <w:color w:val="auto"/>
                <w:vertAlign w:val="superscript"/>
              </w:rPr>
              <w:t>(1)</w:t>
            </w:r>
          </w:p>
        </w:tc>
        <w:tc>
          <w:tcPr>
            <w:tcW w:w="2700" w:type="dxa"/>
            <w:vAlign w:val="bottom"/>
            <w:gridSpan w:val="2"/>
            <w:shd w:val="clear" w:color="auto" w:fill="CCEEFF"/>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City of Industry</w:t>
            </w:r>
          </w:p>
        </w:tc>
        <w:tc>
          <w:tcPr>
            <w:tcW w:w="2620" w:type="dxa"/>
            <w:vAlign w:val="bottom"/>
            <w:shd w:val="clear" w:color="auto" w:fill="CCEEFF"/>
          </w:tcPr>
          <w:p>
            <w:pPr>
              <w:spacing w:after="0"/>
              <w:rPr>
                <w:sz w:val="15"/>
                <w:szCs w:val="15"/>
                <w:color w:val="auto"/>
              </w:rPr>
            </w:pPr>
          </w:p>
        </w:tc>
      </w:tr>
      <w:tr>
        <w:trPr>
          <w:trHeight w:val="184"/>
        </w:trPr>
        <w:tc>
          <w:tcPr>
            <w:tcW w:w="4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17"/>
                <w:szCs w:val="17"/>
                <w:color w:val="auto"/>
              </w:rPr>
              <w:t>Rohnert Park</w:t>
            </w:r>
            <w:r>
              <w:rPr>
                <w:rFonts w:ascii="Times New Roman" w:cs="Times New Roman" w:eastAsia="Times New Roman" w:hAnsi="Times New Roman"/>
                <w:sz w:val="21"/>
                <w:szCs w:val="21"/>
                <w:color w:val="auto"/>
                <w:vertAlign w:val="superscript"/>
              </w:rPr>
              <w:t>(1)</w:t>
            </w:r>
          </w:p>
        </w:tc>
        <w:tc>
          <w:tcPr>
            <w:tcW w:w="2700" w:type="dxa"/>
            <w:vAlign w:val="bottom"/>
            <w:gridSpan w:val="2"/>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17"/>
                <w:szCs w:val="17"/>
                <w:color w:val="auto"/>
              </w:rPr>
              <w:t>Commerce</w:t>
            </w:r>
            <w:r>
              <w:rPr>
                <w:rFonts w:ascii="Times New Roman" w:cs="Times New Roman" w:eastAsia="Times New Roman" w:hAnsi="Times New Roman"/>
                <w:sz w:val="21"/>
                <w:szCs w:val="21"/>
                <w:color w:val="auto"/>
                <w:vertAlign w:val="superscript"/>
              </w:rPr>
              <w:t>(1)</w:t>
            </w:r>
          </w:p>
        </w:tc>
        <w:tc>
          <w:tcPr>
            <w:tcW w:w="2620" w:type="dxa"/>
            <w:vAlign w:val="bottom"/>
            <w:shd w:val="clear" w:color="auto" w:fill="CCEEFF"/>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3"/>
              </w:rPr>
              <w:t>Simi Valley</w:t>
            </w:r>
            <w:r>
              <w:rPr>
                <w:rFonts w:ascii="Times New Roman" w:cs="Times New Roman" w:eastAsia="Times New Roman" w:hAnsi="Times New Roman"/>
                <w:sz w:val="23"/>
                <w:szCs w:val="23"/>
                <w:color w:val="auto"/>
                <w:w w:val="93"/>
                <w:vertAlign w:val="superscript"/>
              </w:rPr>
              <w:t>(1)</w:t>
            </w: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Colorado</w:t>
            </w:r>
          </w:p>
        </w:tc>
        <w:tc>
          <w:tcPr>
            <w:tcW w:w="2720" w:type="dxa"/>
            <w:vAlign w:val="bottom"/>
            <w:gridSpan w:val="2"/>
          </w:tcPr>
          <w:p>
            <w:pPr>
              <w:jc w:val="center"/>
              <w:ind w:right="140"/>
              <w:spacing w:after="0" w:line="230" w:lineRule="exact"/>
              <w:rPr>
                <w:sz w:val="20"/>
                <w:szCs w:val="20"/>
                <w:color w:val="auto"/>
              </w:rPr>
            </w:pPr>
            <w:r>
              <w:rPr>
                <w:rFonts w:ascii="Times New Roman" w:cs="Times New Roman" w:eastAsia="Times New Roman" w:hAnsi="Times New Roman"/>
                <w:sz w:val="18"/>
                <w:szCs w:val="18"/>
                <w:color w:val="auto"/>
                <w:w w:val="93"/>
              </w:rPr>
              <w:t>Denver</w:t>
            </w:r>
            <w:r>
              <w:rPr>
                <w:rFonts w:ascii="Times New Roman" w:cs="Times New Roman" w:eastAsia="Times New Roman" w:hAnsi="Times New Roman"/>
                <w:sz w:val="23"/>
                <w:szCs w:val="23"/>
                <w:color w:val="auto"/>
                <w:w w:val="93"/>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Illinois</w:t>
            </w:r>
          </w:p>
        </w:tc>
        <w:tc>
          <w:tcPr>
            <w:tcW w:w="272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3"/>
              </w:rPr>
              <w:t>Woodridge</w:t>
            </w:r>
            <w:r>
              <w:rPr>
                <w:rFonts w:ascii="Times New Roman" w:cs="Times New Roman" w:eastAsia="Times New Roman" w:hAnsi="Times New Roman"/>
                <w:sz w:val="23"/>
                <w:szCs w:val="23"/>
                <w:color w:val="auto"/>
                <w:w w:val="93"/>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181"/>
        </w:trPr>
        <w:tc>
          <w:tcPr>
            <w:tcW w:w="40" w:type="dxa"/>
            <w:vAlign w:val="bottom"/>
          </w:tcPr>
          <w:p>
            <w:pPr>
              <w:spacing w:after="0"/>
              <w:rPr>
                <w:sz w:val="15"/>
                <w:szCs w:val="15"/>
                <w:color w:val="auto"/>
              </w:rPr>
            </w:pPr>
          </w:p>
        </w:tc>
        <w:tc>
          <w:tcPr>
            <w:tcW w:w="31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Indiana</w:t>
            </w:r>
          </w:p>
        </w:tc>
        <w:tc>
          <w:tcPr>
            <w:tcW w:w="27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rPr>
              <w:t>Auburn</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72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7"/>
                <w:szCs w:val="17"/>
                <w:color w:val="auto"/>
              </w:rPr>
              <w:t>Hamilton</w:t>
            </w:r>
            <w:r>
              <w:rPr>
                <w:rFonts w:ascii="Times New Roman" w:cs="Times New Roman" w:eastAsia="Times New Roman" w:hAnsi="Times New Roman"/>
                <w:sz w:val="21"/>
                <w:szCs w:val="21"/>
                <w:color w:val="auto"/>
                <w:vertAlign w:val="superscript"/>
              </w:rPr>
              <w:t>(1)</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20" w:type="dxa"/>
            <w:vAlign w:val="bottom"/>
            <w:gridSpan w:val="2"/>
          </w:tcPr>
          <w:p>
            <w:pPr>
              <w:jc w:val="center"/>
              <w:ind w:right="140"/>
              <w:spacing w:after="0" w:line="230" w:lineRule="exact"/>
              <w:rPr>
                <w:sz w:val="20"/>
                <w:szCs w:val="20"/>
                <w:color w:val="auto"/>
              </w:rPr>
            </w:pPr>
            <w:r>
              <w:rPr>
                <w:rFonts w:ascii="Times New Roman" w:cs="Times New Roman" w:eastAsia="Times New Roman" w:hAnsi="Times New Roman"/>
                <w:sz w:val="18"/>
                <w:szCs w:val="18"/>
                <w:color w:val="auto"/>
                <w:w w:val="95"/>
              </w:rPr>
              <w:t>Indianapolis</w:t>
            </w:r>
            <w:r>
              <w:rPr>
                <w:rFonts w:ascii="Times New Roman" w:cs="Times New Roman" w:eastAsia="Times New Roman" w:hAnsi="Times New Roman"/>
                <w:sz w:val="23"/>
                <w:szCs w:val="23"/>
                <w:color w:val="auto"/>
                <w:w w:val="95"/>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Kansas</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Ottawa</w:t>
            </w:r>
          </w:p>
        </w:tc>
        <w:tc>
          <w:tcPr>
            <w:tcW w:w="26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Michigan</w:t>
            </w:r>
          </w:p>
        </w:tc>
        <w:tc>
          <w:tcPr>
            <w:tcW w:w="272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7"/>
              </w:rPr>
              <w:t>Clinton Township</w:t>
            </w:r>
            <w:r>
              <w:rPr>
                <w:rFonts w:ascii="Times New Roman" w:cs="Times New Roman" w:eastAsia="Times New Roman" w:hAnsi="Times New Roman"/>
                <w:sz w:val="23"/>
                <w:szCs w:val="23"/>
                <w:color w:val="auto"/>
                <w:w w:val="97"/>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Ohio</w:t>
            </w:r>
          </w:p>
        </w:tc>
        <w:tc>
          <w:tcPr>
            <w:tcW w:w="272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5"/>
              </w:rPr>
              <w:t>New Albany</w:t>
            </w:r>
            <w:r>
              <w:rPr>
                <w:rFonts w:ascii="Times New Roman" w:cs="Times New Roman" w:eastAsia="Times New Roman" w:hAnsi="Times New Roman"/>
                <w:sz w:val="23"/>
                <w:szCs w:val="23"/>
                <w:color w:val="auto"/>
                <w:w w:val="95"/>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Oklahoma</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Tulsa</w:t>
            </w: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Texas</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Longview</w:t>
            </w:r>
          </w:p>
        </w:tc>
      </w:tr>
      <w:tr>
        <w:trPr>
          <w:trHeight w:val="203"/>
        </w:trPr>
        <w:tc>
          <w:tcPr>
            <w:tcW w:w="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Canada</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2"/>
          </w:tcPr>
          <w:p>
            <w:pPr>
              <w:jc w:val="center"/>
              <w:ind w:right="120"/>
              <w:spacing w:after="0" w:line="224" w:lineRule="exact"/>
              <w:rPr>
                <w:sz w:val="20"/>
                <w:szCs w:val="20"/>
                <w:color w:val="auto"/>
              </w:rPr>
            </w:pPr>
            <w:r>
              <w:rPr>
                <w:rFonts w:ascii="Times New Roman" w:cs="Times New Roman" w:eastAsia="Times New Roman" w:hAnsi="Times New Roman"/>
                <w:sz w:val="18"/>
                <w:szCs w:val="18"/>
                <w:color w:val="auto"/>
                <w:w w:val="95"/>
              </w:rPr>
              <w:t>Orangeville</w:t>
            </w:r>
            <w:r>
              <w:rPr>
                <w:rFonts w:ascii="Times New Roman" w:cs="Times New Roman" w:eastAsia="Times New Roman" w:hAnsi="Times New Roman"/>
                <w:sz w:val="23"/>
                <w:szCs w:val="23"/>
                <w:color w:val="auto"/>
                <w:w w:val="95"/>
                <w:vertAlign w:val="superscript"/>
              </w:rPr>
              <w:t>(1)</w:t>
            </w:r>
          </w:p>
        </w:tc>
        <w:tc>
          <w:tcPr>
            <w:tcW w:w="2620" w:type="dxa"/>
            <w:vAlign w:val="bottom"/>
          </w:tcPr>
          <w:p>
            <w:pPr>
              <w:spacing w:after="0"/>
              <w:rPr>
                <w:sz w:val="19"/>
                <w:szCs w:val="19"/>
                <w:color w:val="auto"/>
              </w:rPr>
            </w:pPr>
          </w:p>
        </w:tc>
      </w:tr>
      <w:tr>
        <w:trPr>
          <w:trHeight w:val="186"/>
        </w:trPr>
        <w:tc>
          <w:tcPr>
            <w:tcW w:w="40" w:type="dxa"/>
            <w:vAlign w:val="bottom"/>
          </w:tcPr>
          <w:p>
            <w:pPr>
              <w:spacing w:after="0"/>
              <w:rPr>
                <w:sz w:val="16"/>
                <w:szCs w:val="16"/>
                <w:color w:val="auto"/>
              </w:rPr>
            </w:pPr>
          </w:p>
        </w:tc>
        <w:tc>
          <w:tcPr>
            <w:tcW w:w="31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China</w:t>
            </w:r>
          </w:p>
        </w:tc>
        <w:tc>
          <w:tcPr>
            <w:tcW w:w="2720" w:type="dxa"/>
            <w:vAlign w:val="bottom"/>
            <w:gridSpan w:val="2"/>
          </w:tcPr>
          <w:p>
            <w:pPr>
              <w:jc w:val="center"/>
              <w:ind w:right="120"/>
              <w:spacing w:after="0" w:line="186" w:lineRule="exact"/>
              <w:rPr>
                <w:sz w:val="20"/>
                <w:szCs w:val="20"/>
                <w:color w:val="auto"/>
              </w:rPr>
            </w:pPr>
            <w:r>
              <w:rPr>
                <w:rFonts w:ascii="Times New Roman" w:cs="Times New Roman" w:eastAsia="Times New Roman" w:hAnsi="Times New Roman"/>
                <w:sz w:val="17"/>
                <w:szCs w:val="17"/>
                <w:color w:val="auto"/>
              </w:rPr>
              <w:t>Haining City</w:t>
            </w:r>
            <w:r>
              <w:rPr>
                <w:rFonts w:ascii="Times New Roman" w:cs="Times New Roman" w:eastAsia="Times New Roman" w:hAnsi="Times New Roman"/>
                <w:sz w:val="21"/>
                <w:szCs w:val="21"/>
                <w:color w:val="auto"/>
                <w:vertAlign w:val="superscript"/>
              </w:rPr>
              <w:t>(1)</w:t>
            </w: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20" w:type="dxa"/>
            <w:vAlign w:val="bottom"/>
            <w:gridSpan w:val="2"/>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5"/>
              </w:rPr>
              <w:t>Hangzhou</w:t>
            </w:r>
            <w:r>
              <w:rPr>
                <w:rFonts w:ascii="Times New Roman" w:cs="Times New Roman" w:eastAsia="Times New Roman" w:hAnsi="Times New Roman"/>
                <w:sz w:val="23"/>
                <w:szCs w:val="23"/>
                <w:color w:val="auto"/>
                <w:w w:val="95"/>
                <w:vertAlign w:val="superscript"/>
              </w:rPr>
              <w:t>(1)</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Germany</w:t>
            </w: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Neunkirchen</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181"/>
        </w:trPr>
        <w:tc>
          <w:tcPr>
            <w:tcW w:w="40" w:type="dxa"/>
            <w:vAlign w:val="bottom"/>
          </w:tcPr>
          <w:p>
            <w:pPr>
              <w:spacing w:after="0"/>
              <w:rPr>
                <w:sz w:val="15"/>
                <w:szCs w:val="15"/>
                <w:color w:val="auto"/>
              </w:rPr>
            </w:pPr>
          </w:p>
        </w:tc>
        <w:tc>
          <w:tcPr>
            <w:tcW w:w="31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India</w:t>
            </w:r>
          </w:p>
        </w:tc>
        <w:tc>
          <w:tcPr>
            <w:tcW w:w="27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rPr>
              <w:t>Baddi</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20" w:type="dxa"/>
            <w:vAlign w:val="bottom"/>
            <w:gridSpan w:val="2"/>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5"/>
              </w:rPr>
              <w:t>New Delhi</w:t>
            </w:r>
            <w:r>
              <w:rPr>
                <w:rFonts w:ascii="Times New Roman" w:cs="Times New Roman" w:eastAsia="Times New Roman" w:hAnsi="Times New Roman"/>
                <w:sz w:val="23"/>
                <w:szCs w:val="23"/>
                <w:color w:val="auto"/>
                <w:w w:val="95"/>
                <w:vertAlign w:val="superscript"/>
              </w:rPr>
              <w:t>(1)</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184"/>
        </w:trPr>
        <w:tc>
          <w:tcPr>
            <w:tcW w:w="40" w:type="dxa"/>
            <w:vAlign w:val="bottom"/>
          </w:tcPr>
          <w:p>
            <w:pPr>
              <w:spacing w:after="0"/>
              <w:rPr>
                <w:sz w:val="16"/>
                <w:szCs w:val="16"/>
                <w:color w:val="auto"/>
              </w:rPr>
            </w:pPr>
          </w:p>
        </w:tc>
        <w:tc>
          <w:tcPr>
            <w:tcW w:w="3140" w:type="dxa"/>
            <w:vAlign w:val="bottom"/>
            <w:shd w:val="clear" w:color="auto" w:fill="CCEEFF"/>
          </w:tcPr>
          <w:p>
            <w:pPr>
              <w:ind w:left="440"/>
              <w:spacing w:after="0" w:line="184" w:lineRule="exact"/>
              <w:rPr>
                <w:sz w:val="20"/>
                <w:szCs w:val="20"/>
                <w:color w:val="auto"/>
              </w:rPr>
            </w:pPr>
            <w:r>
              <w:rPr>
                <w:rFonts w:ascii="Times New Roman" w:cs="Times New Roman" w:eastAsia="Times New Roman" w:hAnsi="Times New Roman"/>
                <w:sz w:val="18"/>
                <w:szCs w:val="18"/>
                <w:color w:val="auto"/>
              </w:rPr>
              <w:t>Italy</w:t>
            </w:r>
          </w:p>
        </w:tc>
        <w:tc>
          <w:tcPr>
            <w:tcW w:w="2720" w:type="dxa"/>
            <w:vAlign w:val="bottom"/>
            <w:gridSpan w:val="2"/>
            <w:shd w:val="clear" w:color="auto" w:fill="CCEEFF"/>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rPr>
              <w:t>Borgo San Giovanni</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rPr>
              <w:t>Forli</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Pieve Fissiraga</w:t>
            </w:r>
            <w:r>
              <w:rPr>
                <w:rFonts w:ascii="Times New Roman" w:cs="Times New Roman" w:eastAsia="Times New Roman" w:hAnsi="Times New Roman"/>
                <w:sz w:val="20"/>
                <w:szCs w:val="20"/>
                <w:color w:val="auto"/>
                <w:vertAlign w:val="superscript"/>
              </w:rPr>
              <w:t>(1)</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Povolaro</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Mexico</w:t>
            </w:r>
          </w:p>
        </w:tc>
        <w:tc>
          <w:tcPr>
            <w:tcW w:w="272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7"/>
              </w:rPr>
              <w:t>San Miguel de Allende</w:t>
            </w:r>
            <w:r>
              <w:rPr>
                <w:rFonts w:ascii="Times New Roman" w:cs="Times New Roman" w:eastAsia="Times New Roman" w:hAnsi="Times New Roman"/>
                <w:sz w:val="23"/>
                <w:szCs w:val="23"/>
                <w:color w:val="auto"/>
                <w:w w:val="97"/>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Slovakia</w:t>
            </w:r>
          </w:p>
        </w:tc>
        <w:tc>
          <w:tcPr>
            <w:tcW w:w="2720" w:type="dxa"/>
            <w:vAlign w:val="bottom"/>
            <w:gridSpan w:val="2"/>
            <w:shd w:val="clear" w:color="auto" w:fill="CCEEFF"/>
          </w:tcPr>
          <w:p>
            <w:pPr>
              <w:jc w:val="center"/>
              <w:ind w:right="140"/>
              <w:spacing w:after="0" w:line="230" w:lineRule="exact"/>
              <w:rPr>
                <w:sz w:val="20"/>
                <w:szCs w:val="20"/>
                <w:color w:val="auto"/>
              </w:rPr>
            </w:pPr>
            <w:r>
              <w:rPr>
                <w:rFonts w:ascii="Times New Roman" w:cs="Times New Roman" w:eastAsia="Times New Roman" w:hAnsi="Times New Roman"/>
                <w:sz w:val="18"/>
                <w:szCs w:val="18"/>
                <w:color w:val="auto"/>
                <w:w w:val="92"/>
              </w:rPr>
              <w:t>Levice</w:t>
            </w:r>
            <w:r>
              <w:rPr>
                <w:rFonts w:ascii="Times New Roman" w:cs="Times New Roman" w:eastAsia="Times New Roman" w:hAnsi="Times New Roman"/>
                <w:sz w:val="23"/>
                <w:szCs w:val="23"/>
                <w:color w:val="auto"/>
                <w:w w:val="92"/>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Kingdom</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Leicester</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Vietnam</w:t>
            </w:r>
          </w:p>
        </w:tc>
        <w:tc>
          <w:tcPr>
            <w:tcW w:w="272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6"/>
              </w:rPr>
              <w:t>Thu Dau Mot</w:t>
            </w:r>
            <w:r>
              <w:rPr>
                <w:rFonts w:ascii="Times New Roman" w:cs="Times New Roman" w:eastAsia="Times New Roman" w:hAnsi="Times New Roman"/>
                <w:sz w:val="23"/>
                <w:szCs w:val="23"/>
                <w:color w:val="auto"/>
                <w:w w:val="96"/>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370"/>
        </w:trPr>
        <w:tc>
          <w:tcPr>
            <w:tcW w:w="3180" w:type="dxa"/>
            <w:vAlign w:val="bottom"/>
            <w:gridSpan w:val="2"/>
          </w:tcPr>
          <w:p>
            <w:pPr>
              <w:jc w:val="center"/>
              <w:ind w:right="1890"/>
              <w:spacing w:after="0"/>
              <w:rPr>
                <w:sz w:val="20"/>
                <w:szCs w:val="20"/>
                <w:color w:val="auto"/>
              </w:rPr>
            </w:pPr>
            <w:r>
              <w:rPr>
                <w:rFonts w:ascii="Times New Roman" w:cs="Times New Roman" w:eastAsia="Times New Roman" w:hAnsi="Times New Roman"/>
                <w:sz w:val="11"/>
                <w:szCs w:val="11"/>
                <w:color w:val="auto"/>
                <w:w w:val="99"/>
              </w:rPr>
              <w:t>______________________</w:t>
            </w: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99"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a leased facility. All such leases are operating leases.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Item. Information about our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following were executive officers of the Company:</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Thomas A. Amato. </w:t>
      </w:r>
      <w:r>
        <w:rPr>
          <w:rFonts w:ascii="Times New Roman" w:cs="Times New Roman" w:eastAsia="Times New Roman" w:hAnsi="Times New Roman"/>
          <w:sz w:val="18"/>
          <w:szCs w:val="18"/>
          <w:color w:val="auto"/>
        </w:rPr>
        <w:t>Mr. Amato, age 59, was appointed the Company's President and Chief Executive Officer in July 2016. Previously, he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President of Metaldyne, LLC, an international engineered products manufacturing company, from 2009 through 2015, and Co-President and Chief Integration Officer of Metaldyne Performance Group, a global manufacturing company formed in mid-2014 and taken public in the same year, from August 2014 through December 2015. Prior to 2009, he served as Chairman, Chief Executive Officer and President of Metaldyne Corporation, a global components manufacturer, and Co-Chief Executive Officer of Asahi Tec, a publicly traded Japanese casting and forging company. Prior to this, Mr. Amato worked at MascoTech in positions of increasing responsibility, and successfully completed several acquisitions and divestitures. During this time, one of his roles was Vice President of Corporate Development for TriMas. From 1987 to 1994, Mr. Amato worked at Imperial Chemical Industries, a large multinational chemical company, as an applications development engineer and, eventually, a group leader. Mr. Amato also serves on the Board of Directors of Ametek, a publicly traded diversified industrial manufacturing company, and is appointed as its Compensation Committee Chair.</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Scott A. Mell. </w:t>
      </w:r>
      <w:r>
        <w:rPr>
          <w:rFonts w:ascii="Times New Roman" w:cs="Times New Roman" w:eastAsia="Times New Roman" w:hAnsi="Times New Roman"/>
          <w:sz w:val="18"/>
          <w:szCs w:val="18"/>
          <w:color w:val="auto"/>
        </w:rPr>
        <w:t>Mr. Mell, age 51, was appointed the Company’s Chief Financial Officer in May 2021. Prior to joining the Company, Mr. Mell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of recovery and transformation services for Riveron, a national business advisory firm, from October 2018 through April 2021. In his role with Riveron, Mr. Mell led projects at TriMas to support continuous improvement efforts within TriMas’ Packaging and Aerospace segments. Mr. Mell has more than 25 years of leadership experience providing strategic, financial and operational advisory services focused on value creation and transformational change management. Prior to Riveron, Mr. Mell served as Managing Director at Ernst &amp; Young from October 2017 to October 2018. Mr. Mell also served as Vice President of Corporate Strategy at Motus Integrated Technologies from January 2017 to October 2017. Mr. Mell has held senior leadership positions within several global consulting firms including McKinsey &amp; Company and AlixPartners. Mr. Mell’s previous experience also includes serving in multiple C-suite roles for both public and privately held companies in the industrial manufacturing, aerospace and energy industries.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Fabio L. Matheus Salik. </w:t>
      </w:r>
      <w:r>
        <w:rPr>
          <w:rFonts w:ascii="Times New Roman" w:cs="Times New Roman" w:eastAsia="Times New Roman" w:hAnsi="Times New Roman"/>
          <w:sz w:val="18"/>
          <w:szCs w:val="18"/>
          <w:color w:val="auto"/>
        </w:rPr>
        <w:t>Mr. Salik, age 54, was appointed President of TriMas Packaging in July 2020. He has more than 20 years of global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working for a variety of plastic packaging companies. From 2012 to 2020, he worked for Logoplaste, a Carlyle Group-owned company which is headquartered in Portugal. In his last assignment as CEO of Americas from July 2017 to May 2020, and as Chief Operating Officer from December 2016 to July 2017, Mr. Salik had full P&amp;L responsibility for more than 20 facilities, servicing blue-chip consumer packaged goods companies including P&amp;G, Nestle, L’Oreal, Dannon, Reckitt Benckiser and Henkel. Prior to his tenure at Logoplaste, he was President of Valmari, a Brazilian skincare company. He also worked for Rexam in the United States, France and Brazil, where he served in a number of roles of increasing responsibility, including positions such as Managing Director worldwide for Rexam Make Up and Managing Director worldwide for Rexam Healthcare - Primary Packaging and Prescription Divisions.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John P. Schaefer. </w:t>
      </w:r>
      <w:r>
        <w:rPr>
          <w:rFonts w:ascii="Times New Roman" w:cs="Times New Roman" w:eastAsia="Times New Roman" w:hAnsi="Times New Roman"/>
          <w:sz w:val="18"/>
          <w:szCs w:val="18"/>
          <w:color w:val="auto"/>
        </w:rPr>
        <w:t>Mr. Schaefer, age 51, was appointed President of TriMas Aerospace in December 2016. Previously, he served in various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capacities for private equity firms focused in the Aerospace &amp; Defense industry. From 2010 through 2015, he served in operations and general management executive roles with TransDigm Group. Prior to his leadership roles at TransDigm, he served from 2005 through 2009 as an operating executive with Meggitt PLC. Mr. Schaefer is also a 22-year veteran and retired as a Lieutenant Colonel of the United States Marine Corps.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par value $0.01 per share, is listed for trading on the NASDAQ Global Select Market under the symbol "TRS." As of February 20, 2023, there were 153 holders of record of our common stock.</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our Board of Directors declared the first dividend since our initial public offering in 2007. Since the fourth quarter of 2021, we have declared dividends of $0.04 per share of common stock each quarter, and total dividends declared and paid on common shares during 2022 and 2021 were $6.9 million and $1.7 million, respectively. Holders of common stock are entitled to dividends at the discretion of our Board of Directors.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See the discussion under Item 7,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and Note 19 to the Company's financial statements captioned "</w:t>
      </w: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from December 31, 2017 through December 31, 2022 for TriMas common stock, the Russell 2000 Index and the S&amp;P SmallCap 600 Capped Industrials Index. We have assumed that dividends have been reinvested and returns have been weighted-averaged based on market capitalization. The graph assumes that $100 was invested on December 31, 2017 in each of TriMas common stock, the stocks comprising the Russell 2000 Index and the stocks comprising the S&amp;P SmallCap 600 Capped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5486400" cy="411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8640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 Company's common stock during the three months ended December 31, 2022.</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4"/>
                <w:szCs w:val="14"/>
                <w:color w:val="auto"/>
              </w:rPr>
            </w:pPr>
          </w:p>
        </w:tc>
        <w:tc>
          <w:tcPr>
            <w:tcW w:w="1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17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7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13"/>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the Program </w:t>
            </w:r>
            <w:r>
              <w:rPr>
                <w:rFonts w:ascii="Times New Roman" w:cs="Times New Roman" w:eastAsia="Times New Roman" w:hAnsi="Times New Roman"/>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to October 31, 2022</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111,938,743</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2022 to November 30, 2022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110,476,558</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to December 31,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173,303</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105,694,663</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259,934</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105,694,663</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340" w:hanging="332"/>
        <w:spacing w:after="0" w:line="245" w:lineRule="auto"/>
        <w:tabs>
          <w:tab w:leader="none" w:pos="309"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December 31, 2022, the Company repurchased 259,934 shares of its common stock at a cost of $7.0 million. The share repurchase program is effective and has no expiration date.</w:t>
      </w:r>
    </w:p>
    <w:p>
      <w:pPr>
        <w:spacing w:after="0" w:line="200" w:lineRule="exact"/>
        <w:rPr>
          <w:sz w:val="20"/>
          <w:szCs w:val="20"/>
          <w:color w:val="auto"/>
        </w:rPr>
      </w:pPr>
    </w:p>
    <w:p>
      <w:pPr>
        <w:spacing w:after="0" w:line="3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in Item 1A "Risk Factors." Our actual results may differ materially from those contained in or implied by any forward-looking statements. You should read the following discussion together with Item 8, "Financial Statements and Supplementary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have been materially impacted over the past few years by macro-economic factors, first by the onset and proliferation of the coronavirus ("COVID-19") pandemic, then further from increased energy costs and supply chain disruptions from the Russia-Ukraine conflict, and more recently by cost inflation (raw materials, wage rates and freight). These factors significantly affected each of our businesses and how we operate, albeit in different ways and magnitudes. Sales in our Packaging segment for dispensing and closure products used in applications to help fight the spread of germs have experienced extreme volatility in demand, with demand spiking to record highs after the onset of the pandemic, demand abating as expected from those high levels over the past year, and in the second half of 2022 demand abruptly falling as a result of some of our large consumer goods customers' choices to rebalance on-hand inventory levels given the current macro-economic environment. Sales of certain of our industrial and aerospace-related products were significantly depressed from historical levels during 2020 and 2021, but demand has significantly increased in 2022, to where the industrial demand in our Specialty Products segment has rebounded to pre-pandemic levels, while demand in our Aerospace segment continues to increase (and more quickly than expected) as air travel has picked-up and new aircraft build rates improve. Altogether, this significant level of volatility in demand levels, input costs and supply chain availability, as well as internal labor availability, all have pressured our ability to operate efficiently and at historical margin levels.</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2022 net sales increased $26.7 million, or 3.1%, compared to 2021. Sales increased within our Specialty Products segment as a result of increased industrial demand and higher oil-field activity in North America. Sales also increased as a result of recent acquisitions in our Packaging and Aerospace segments, as well as from sales of products used in food and beverage markets within our Packaging segment. These factors were partially offset by an abrupt reduction in demand, which we believe is temporary, for personal care, home care and certain industrial products in the second half of 2022 in our Packaging segment, as well as unfavorable currency exchange.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2022 compared with 2021, other than as directly impacted by sales changes or as a result of the labor-related availability and inefficiencies, were gains on the sale of non-core real estate, the settlement of our cross currency swaps, the impact of higher energy and other input costs, non-cash charges to update our asbestos liability to actuarial valuations, the year-over-year impact of our realignment actions, the impact of our 2021 debt refinancing activities, and the impact of a change in effective tax rates from 2021 to 2022.</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we acquired Intertech Plastics LLC and related companies (collectively, "Intertech"), a manufacturer of custom injection molded products used in medical applications, as well as products and assemblies for consumer and industrial applications, for an aggregate amount of $64.1 million, net of cash acquired. Intertech, which is reported in the Company's Packaging segment, has two manufacturing facilities located in the Denver, Colorado area. Intertech contributed $28.7 million of net sales during 2022.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we completed the acquisition of Omega Plastics ("Omega"), which specializes in manufacturing custom components and devices for drug delivery, diagnostic and orthopedic medical applications, as well as components for industrial applications, for an aggregate amount of $22.5 million, net of cash acquired. Omega, which is reported in the Company's Packaging segment, is located in Clinton Township, Michigan. Omega contributed $15.0 million of acquisition-related sales growth during the period January through November 2022.</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we acquired TFI Aerospace ("TFI"), a manufacturer and supplier of specialty fasteners used in a variety of applications, predominately for the aerospace end market, for an aggregate amount of $11.8 million, with additional contingent consideration ranging from zero to $12.0 million to be paid based on 2023 and 2024 earnings per the purchase agreement. On the acquisition date, we recorded $3.7 million as our best estimate of fair value of the additional contingent consideration; however, based on a detailed fourth quarter 2022 review of TFI's updated forecasted operating results, the we determined the likelihood of the contingent consideration being paid was remote, and therefore reversed the liability, with such adjustment being included in other income (expense), net. TFI, which is reported in the Company's Aerospace segment, is located near Toronto, Canada. TFI contributed $4.9 million of acquisition-related sales growth during the period January through November 2022.</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of 2022, we sold a non-core facility in City of Industry, California for net cash proceeds of $23.3 million. The Company recognized a $17.6 million gain on the sale, which is included in the Corporate operating loss for 2022.</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third quarter of 2022, we completed the sale of vacant land adjacent to our Tolleson, Arizona manufacturing facility for net cash proceeds of $5.0 million, and recognized a $4.8 million gain on the sale, which is included within our Aerospace segment.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we terminated our existing cross-currency swap agreements, de-designating the swaps as net investment hedges and received $26.2 million of cash. The cross-currency swap agreements had notional amounts totaling $250.0 million, which declined to $25.0 million over various contract periods ending between October 15, 2023 and October 15, 2027.</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experienced a significant increase in the cost of energy, primarily in our Europe-based operations, as well as for other input costs in 2022 compared with 2021. Energy costs began to rise during late 2021, and further increased into 2022, which we believe is primarily due to geopolitical tensions associated with the Russia-Ukraine conflict, as well as realized and expected energy supply constraints. Energy costs were more than $5 million higher in 2022 than in 2021. While these costs have begun to stabilize and even recede at the end of 2022, we expect there could be additional cost and supply chain pressures going forward as a result of the uncertainty surrounding the conflict in Eastern Europe.</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2022 and 2021, we commissioned our actuary to update our asbestos study, and upon completion we recorded non-cash, pre-tax charges of $5.6 million and $1.5 million, respectively, which are included in selling, general and administrative expenses.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executing certain realignment actions in response to current and expected future end market demand, as well as for the move to our new Packaging facility in New Albany, Ohio. We recorded pre-tax facility move/consolidation and employee-related costs of $2.7 million and $2.3 million, respectively, in 2022. In 2021, we recorded pre-tax facility consolidation and employee separation costs of $3.5 million and $6.2 million, respectively.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2021, we refinanced our long-term debt, issuing $400 million principal amount of 4.125% senior unsecured notes due April 15, 2029 ("2029 Senior Notes") at par value in a private placement offering and amending our existing credit agreement ("Credit Agreement"), extending the maturity to March 2026. We used the proceeds from the 2029 Senior Notes offering to pay fees and expenses of $5.1 million related to the offering and $1.1 million related to amending the Credit Agreement. The remaining cash proceeds from the 2029 Senior Notes were used for general corporate purposes, including repaying all outstanding revolving credit facility borrowings. In April 2021, we completed the refinancing, redeeming all of our outstanding senior notes due October 2025 ("2025 Senior Notes"), paying cash for the entire $300.0 million outstanding principal amount plus $7.3 million as a redemption premium. The $5.1 million of fees and expenses related to the 2029 Senior Notes were capitalized as debt issuance costs, while the $7.3 million redemption premium as well as $3.0 million of unamortized debt issuance costs associated with the 2025 Senior Notes were expensed in the second quarter of 2021.</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2022 and 2021 was 24.5%, and 17.1%, respectively. The rate for 2022 is higher primarily as a result of the recognition of $3.0 million of deferred tax benefits in Italy during the 2021, the majority of which related to a reduction in deferred tax liabilities in connection with certain tax incentives.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executed significant realignment actions since the onset of the COVID-19 pandemic, primarily in our Aerospace and Specialty Products segments, and also in certain Packaging product areas where demand has fallen. We will continue to assess further actions if required. However, as a result of the current period of macroeconomic inflation and uncertainty, the continued impact of the COVID-19 pandemic, and the potential impact of such factors to our future results of operations, as well if there is an impact to TriMas' market capitalization, we may record additional cash and non-cash charges related to incremental realignment actions, asset impairments as well as for uncollectible customer account balances, excess inventory and idle production equipment.</w:t>
      </w:r>
    </w:p>
    <w:p>
      <w:pPr>
        <w:spacing w:after="0" w:line="1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resins (such as polypropylene and polyethylene), steel, aluminum and other metal and non-metal-based purchased components. In addition to the pandemic and inflation-related factors affecting our 2021 and 2022 results, there has also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We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or can modify prices based on market conditions to recover higher costs, our price increases generally lag the underlying material cost increase, and we cannot be assured of full cost recovery in the open market. If input costs increase at rapid rates, as they did during 2021, our ability to recover cost increases on a timely basis is made more difficult by the lag nature of these contracts.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2022, we purchased 1,264,088 shares of our outstanding common stock for an aggregate purchase price of $36.9 million. As of December 31, 2022, we had $105.7 million remaining under the repurchase authorization.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2022, we declared quarterly dividends of $0.04 per share of common stock, aggregating to dividends declared and paid on common shares</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2022 of $6.9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information for our three reportable segments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140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26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40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260" w:type="dxa"/>
            <w:vAlign w:val="bottom"/>
          </w:tcPr>
          <w:p>
            <w:pPr>
              <w:spacing w:after="0"/>
              <w:rPr>
                <w:sz w:val="13"/>
                <w:szCs w:val="13"/>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1300" w:type="dxa"/>
            <w:vAlign w:val="bottom"/>
          </w:tcPr>
          <w:p>
            <w:pPr>
              <w:jc w:val="right"/>
              <w:ind w:right="1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488,340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173,560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113,890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883,830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857,110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769,970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208,300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217,190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182,080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131,190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95,090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“Results of Operations Year Ended December 31, 2022 Compared with Year Ended December 31, 2021” section presents an analysis of our consolidated operating results displayed in the Consolidated Statement of Operations. A discussion regarding our financial condition and results of operations for the year ended December 31, 2021 compared to the year ended December 31, 2020 can be found under Item 7 in our Annual Report on Form 10-K for the fiscal year ended December 31, 2021, filed with the Securities and Exchange Commission on March 1, 2022.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with Year Ended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year ended December 31, 2022, compared with the year ended December 31, 2021 were:</w:t>
      </w:r>
    </w:p>
    <w:p>
      <w:pPr>
        <w:spacing w:after="0" w:line="144"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level of uncertainty and volatility in the markets we serve, whether impacted by the COVID-19 pandemic, the Russia-Ukraine conflict or other general inflationary pressures;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sales of our Packaging segment's products used in beauty and personal care and home care applications as a result of the abatement from peak demand levels following the pandemic, as well from an abrupt second-half 2022 demand reduction from large consumer packaged goods customers due to their choice to rebalance inventory levels;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sales in our Specialty Products segment as a result of a significant increase in industrial demand in 2022;</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acquisitions, primarily Omega and TFI in December 2021, and Intertech in February 2022;</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the sale of non-core properties in City of Industry, California and Tolleson, Arizona;</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higher energy costs;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our asbestos exposure to update the liability to recent actuarial studies;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realignment expenses in response to reduced end-market demand following the outbreak of the COVID-19 pandemic;</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debt refinancing activities;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increase in our effective tax rate from 2021 to 2022.</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$26.7 million, or 3.1%, to $883.8 million in 2022, as compared to $857.1 million in 2021, primarily as a result of Intertech, Omega and TFI, which collectively added $48.6 million of acquisition-related sales. Organic sales, excluding the impact of currency exchange and acquisitions, decreased $4.0 million, as increases in sales of our industrial products in our Specialty Products segment as well as for food and beverage products in our Packaging segment were more than offset by declines in dispensing products for personal and home care applications, as demand for these products abated from peak levels following the pandemic, as well as the expected decline in sales of customers' stocking orders for highly-engineered fasteners in our Aerospace segment fulfilled in 2021. In addition, net sales decreased $17.9 million due to currency exchange, as our reported results in U.S. dollars were unfavorably impacted as a result of the strengthening U.S. dollar relative to foreign currencies.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23.6% and 25.3% in 2022 and 2021, respectively. Gross profit margin decreased due to a less favorable sales mix, primarily as a result of lower sales of Aerospace segment customers' stocking orders for highly-engineered fasteners, and lower fixed cost absorption from the reduction in the Packaging segment's personal care, home care and certain industrial product sales. In addition, improved recovery of resin costs in our Packaging segment was offset by higher energy costs, primarily in our European Packaging segment facilities, higher steel costs in our Specialty Products segment, labor and production inefficiencies in our Aerospace segment, and unfavorable currency exchange.</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11.2% and 11.1% in 2022 and 2021, respectively. Operating profit increased $4.0 million, to $99.1 million in 2022, as compared to $95.1 million in 2021, primarily due to $22.4 million of gains on the sale of non-core properties in City of Industry, California and Tolleson, Arizona, improved recovery of resin costs, higher sales in our Specialty Products segment, and $4.7 million of lower realignment charges, partially offset by less favorable product sales mix, lower fixed cost absorption in our Packaging segment, $4.1 million of additional pre-tax charges related to updating our asbestos studies in 2022 compared with 2021, production inefficiencies resulting from supply chain constraints and labor volatility, and unfavorable currency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decreased $0.4 million, to $14.1 million in 2022, as compared to $14.5 million in 2021, due to a lower effective interest rate and a decrease in our weighted average borrowings.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$10.5 million of debt financing and related expense in 2021, of which $10.3 million was related to expenses incurred associated with the redemption of our 2025 Senior Notes and $0.2 million related to the write-off of previously capitalized deferred financing fees associated with our Credit Agreement.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increased $3.7 million to other income of $2.7 million in 2022, from other expense of $1.0 million in 2021, primarily due to the reversal of the TFI contingent consideration liability in 2022.</w:t>
      </w:r>
    </w:p>
    <w:p>
      <w:pPr>
        <w:spacing w:after="0" w:line="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effective income tax rate for 2022 was 24.5%, compared to 17.1% for 2021. We recorded income tax expense of $21.5 million in 2022, as compared to income tax expense of $11.8 million in 2021. During 2022, we reported domestic and foreign pre-tax income of $56.8 million and $30.9 million, respectively, as compared to a domestic and foreign pre-tax income of $28.4 million and $40.7 million in 2021. The rate for 2022 is higher primarily as a result of the recognition of $3.0 million of deferred tax benefits in Italy during the 2021, the majority of which related to a reduction in deferred tax liabilities in connection with certain tax incentives.</w:t>
      </w:r>
    </w:p>
    <w:p>
      <w:pPr>
        <w:spacing w:after="0" w:line="11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Net income increased $8.9 million to $66.2 million in 2022, compared to a net income of $57.3 million in 2021. This increase was primarily a result of an increase in operating profit of $4.0 million, the year-over-year impact of the $10.5 million debt financing and related expenses in 2021, a $3.7 million increase in other income, as well as a decrease in interest expense of $0.4 million, partially offset by an increase in income tax expense in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decreased $11.1 million, or 2.1%, to $522.2 million in 2022, as compared to $533.3 million in 2021. Acquisition-related sales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$43.7 million, comprised of $28.7 million of sales from our February 2022 acquisition of Intertech and $15.0 million resulting from the January through November 2022 sales of our December 2021 acquisition of Omega. Sales of products used in food and beverage markets increased by $13.9 million, primarily due to strong demand for closures, dispensers and bag-in-box packaging as the hospitality sector continues to rebound from prior COVID-19 pandemic-related shutdowns. Sales of products used in industrial markets decreased by $3.6 million, primarily as a result of lower demand for drum and pail closure products in North America. Sales of dispensing products used in personal care and home care applications decreased by $46.5 million, as COVID-19-related demand levels have abated for these products from the peak levels, as well as more recently due to further temporary lower demand from large consumer goods customers who we believe are rebalancing on-hand inventory levels given first half 2022 over-ordering to protect supply and as a result of the current macro-economic environment. Net sales decreased by $17.9 million due to currency exchange, as our reported results in U.S. dollars were unfavorably impacted as a result of the strengthening U.S. dollar relative to foreign currencies, as compared to 2021.</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Packaging's gross profit decreased $8.7 million to $137.0 million, or 26.2% of sales, in 2022, as compared to $145.8 million, or 27.3% of sales, in 2021. During 2021, we were impacted by $11 million of higher resin costs than we were able to recover via commercial actions. We have generally recovered such costs during 2022, as market prices have generally stabilized. Gross profit from improved material cost recovery was more than offset by $4.1 million of higher energy costs, primarily in our European manufacturing facilities, lower sales levels, as well as $5.0 million of currency exchange, as our reported results in U.S. dollars were unfavorably impacted as a result of the strengthening U.S. dollar relative to foreign currencies. In addition, gross profit margin declined as a result of a less favorable product sales mix and lower fixed cost absorption primarily associated with the decline in personal care, home care and industrial products.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Packaging's selling, general and administrative expenses increased $6.6 million to $55.7 million, or 10.7% of sales, in 2022, as compared to $49.1 million, or 9.2% of sales, in 2021, primarily due to higher ongoing selling, general and administrative costs associated with our acquisitions as we integrate them into our portfolio, as well as higher realignment costs of $1.8 million primarily related to employee-related actions. The increase was partially offset by lower intangible asset amortization expense due to certain assets becoming fully amortized as well as lower employee-related costs.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Packaging's operating profit decreased $15.5 million to $81.0 million, or 15.5% of sales, in 2022, as compared to $96.5 million, or 18.1% of sales, in 2021, as the impact of improved year-over-year recovery of material costs was more than offset by a less favorable product sales mix, lower fixed cost absorption, higher energy costs, higher selling, general and administrative expenses and the impact of $2.6 million of unfavorable currency exchange.</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increased $4.8 million, or 2.6%, to $188.1 million in 2022, as compared to $183.3 million in 2021. TFI, acquired in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added $4.9 million of sales from January through November 2022. Sales of our fasteners products decreased by $0.4 million, as increases in demand for fasteners used in new aircraft builds, and market share gains, were more than offset by the expected loss of $29.4 million of sales of customers' stocking orders for highly-engineered fasteners fulfilled in 2021. Sales of our engineered components products increased by $0.3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within Aerospace decreased $7.7 million to $32.2 million, or 17.1% of sales, in 2022, from $40.0 million, or 21.8% of sales, in 2021, primarily due to a less favorable product sales mix in 2022, with lower sales of the customers' stocking orders for highly-engineered fasteners, as well as production inefficiencies resulting from supply chain and labor constraints.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$2.3 million to $29.0 million, or 15.4% of sales, in 2022, as compared to $26.7 million, or 14.6% of sales, in 2021, primarily due to higher ongoing selling, general and administrative costs associated with our acquisition of TFI and higher employee-related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within Aerospace decreased $5.2 million to $8.1 million, or 4.3% of sales, in 2022, as compared to $13.3 million, or 7.2% of sales, in 2021, as the impact of a $4.8 million pre-tax gain on the sale of vacant land adjacent to the Tolleson, Arizona, manufacturing facility in 2022, as well as higher sales levels, was more than offset by a less favorable product sales mix, production inefficiencies resulting from supply chain constraints and volatility in labor availability and higher selling, general and administrative expenses.</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increased $33.1 million, or 23.5%, to $173.6 million in 2022, as compared to $140.5 million in 2021. Sales of our cylinder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increased by $19.4 million due to a higher demand for steel cylinders in North America as industrial activity continues to increase from depressed levels as a result of the COVID-19 pandemic. Sales of engines, compressors and related parts used in stationary power generation and assistance applications for natural gas and crude oil extraction increased by $13.7 million primarily as a result of higher oil-field activity in North America.</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within Specialty Products increased $7.6 million to $39.0 million, or 22.5% of sales, in 2022, as compared to $31.5 million, or 22.4% of sales, in 2021. Gross profit increased due to higher sales levels and leverage of our fixed cost footprint, partially offset by higher steel and labor costs.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within Specialty Products decreased $0.3 million to $8.7 million, or 5.0% of sales, in 2022, as compared to $9.0 million, or 6.4% of net sales, in 2021, primarily due to lower employee-related costs.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profit within Specialty Products increased $7.7 million to $30.3 million, or 17.4% of sales, in 2022, as compared to $22.6 million, or 16.0% of sales, in 2021, primarily due to increased sales levels.</w:t>
      </w:r>
    </w:p>
    <w:p>
      <w:pPr>
        <w:spacing w:after="0" w:line="77"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i w:val="1"/>
          <w:iCs w:val="1"/>
          <w:color w:val="auto"/>
        </w:rPr>
        <w:t>Corporate Expenses.</w:t>
      </w:r>
      <w:r>
        <w:rPr>
          <w:sz w:val="20"/>
          <w:szCs w:val="20"/>
          <w:color w:val="auto"/>
        </w:rPr>
        <w:tab/>
      </w:r>
      <w:r>
        <w:rPr>
          <w:rFonts w:ascii="Times New Roman" w:cs="Times New Roman" w:eastAsia="Times New Roman" w:hAnsi="Times New Roman"/>
          <w:sz w:val="18"/>
          <w:szCs w:val="18"/>
          <w:color w:val="auto"/>
        </w:rPr>
        <w:t>Corporate expenses included in operating profit consist of the following (dollars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(income) expenses, net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expenses</w:t>
            </w: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operating loss decreased $17.0 million to $20.3 million in 2022, from $37.2 million in 2021, primarily as a result of a $17.6 million gain on the sale of a non-core facility in City of Industry, California, and a $3.7 million decrease in corporate operating expenses as a result of the realignment charges related to the corporate office legal and finance groups in 2021. These amounts were partially offset by $4.1 million of additional pre-tax non-cash charges related to updating our asbestos studies in 2022 compared with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in 2022 were $72.6 million, as compared to $134.2 million in 2021. Significant changes in cash flows provided by operating activities and the reasons for such changes are as follows:</w:t>
      </w:r>
    </w:p>
    <w:p>
      <w:pPr>
        <w:spacing w:after="0" w:line="94" w:lineRule="exact"/>
        <w:rPr>
          <w:sz w:val="20"/>
          <w:szCs w:val="20"/>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generated $109.2 million in cash flows, based on the reported net income of $66.2 million and after considering the effects of non-cash items related to depreciation, amortization, (gain) loss on dispositions of assets, changes in deferred income taxes, stock-based compensation, change in legacy liability estimate, and other operating activities. In 2021, the Company generated $139.2 million in cash flows based on the reported net income of $57.3 million and after considering the effects of similar non-cash items and debt financing and related expenses.</w:t>
      </w:r>
    </w:p>
    <w:p>
      <w:pPr>
        <w:spacing w:after="0" w:line="1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$6.7 million and $11.2 million in 2022 and 2021, respectively. The increased use of cash for 2022 and 2021 is due primarily to the timing of sales and collection of cash related thereto with the periods. Days sales outstanding of receivables increased by five days through 2022, and remained relatively consistent through 2021.</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$7.0 million and $1.0 million in 2022 and 2021, respectively. Our days sales in inventory increased by seven days in 2022, primarily as a result of proactively investing in certain raw materials and purchased components to protect against supply chain disruptions and potential cost increases. Our days sales in inventory decreased by nine days in 2021, through active inventory management and selling through certain inventory items that were at elevated levels at the end of 2020 due to lower demand as a result of the COVID-19 pandemic.</w:t>
      </w:r>
    </w:p>
    <w:p>
      <w:pPr>
        <w:spacing w:after="0" w:line="11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prepaid expenses and other assets resulted in a source of cash of $6.1 million and $5.0 million in 2022 and 2021, respectively. The changes in 2022 and 2021 are primarily as a result of the timing of payments made for income taxes and certain operating expenses.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payable and accrued liabilities resulted in a use of cash of $29.1 million in 2022, while increases in accounts payable and accrued liabilities resulted in a source of cash of $2.1 million in 2021. Our days accounts payable on hand remained consistent through 2022 and increased by five days through 2021. Our days accounts payable on hand fluctuate primarily as a result of the timing of payments made to suppliers and the mix of vendors and related terms.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was $55.0 million and $79.2 million in 2022 and 2021, respectively. During 2022, we paid $64.1 million, net of cash acquired, to acquire Intertech. We invested $46.0 million in capital expenditures as we have continued our investment in growth, capacity and productivity-related capital projects. We received proceeds of $26.2 million from the termination of our cross-currency swap agreements. We also received proceeds of $28.8 million from the disposition of property and equipment, primarily related to the sale of vacant land adjacent to one of our manufacturing facilities and the sale of a non-core facility in California. During 2021, we paid $34.3 million, net of cash acquired, to acquire Omega and TFI. In 2021, we invested $45.1 million in capital expenditures and received cash from the disposition of business, property and equipment of $0.2 million.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for financing activities was $46.2 million in 2022, while net cash provided by financing activities was $11.8 million in 2021. During 2022, we purchased $36.9 million of outstanding common stock, used a net cash amount of $2.4 million related to our stock compensation arrangements and paid dividends of $6.9 million. During 2021, we issued $400.0 million principal amount of the 2029 Senior Notes, made net repayments of $48.6 million on our revolving credit facilities, and redeemed $300.0 million principal amount of the 2025 Senior Notes. In connection with refinancing our long-term debt, we paid $13.6 million of debt financing fees and redemption premium. We also purchased $19.1 million of outstanding common stock, used a net cash amount of $5.2 million related to our stock compensation arrangements and paid dividends of $1.7 million.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2021, we issued the 2029 Senior Notes in a private placement under Rule 144A of the Securities Act of 1933, as amended. We used the proceeds from the 2029 Senior Notes offering to pay fees and expenses of $5.1 million related to the offering and pay fees and expenses of $1.1 million related to amending our Credit Agreement. In connection with the issuance, we completed the redemption of our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$3.0 million of unamortized debt issuance costs associated with the 2025 Senior Notes were recorded as expense within debt financing and related expenses in the accompanying consolidated statement of operations.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2029 Senior Notes accrue interest at a rate of 4.125% per annum, payable semi-annually in arrears on April 15 and October 15. The payment of principal and interest is jointly and severally guaranteed, on a senior unsecured basis by certain named subsidiaries of the Company. The 2029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subordinated to all existing and future secured indebtedness to the extent of the value of the assets securing such indebtedness. In 2022, our consolidated subsidiaries that do not guarantee the Senior Notes represented 24% of the total of guarantor and non-guarantor net sales, treating each as a consolidated group and excluding intercompany transactions between guarantor and non-guarantor subsidiaries. In addition, our non-guarantor subsidiaries represented 37% and 14% of the total guarantor and non-guarantor assets and liabilities, respectively, as of December 31, 2022, treating the guarantor and non-guarantor subsidiaries each as a consolidated group.</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April 15, 2024, we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2029 Senior Notes at a redemption price equal to 100% of the principal amount thereof, plus accrued and unpaid interest, if any, to the redemption date, plus a "make whole" premium.</w:t>
      </w:r>
    </w:p>
    <w:p>
      <w:pPr>
        <w:spacing w:after="0" w:line="1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March 2021, we amended our Credit Agreement in connection with the issuance of the 2029 Senior Notes to extend the maturity date. We incurred fees and expenses of $1.1 million related to the amendment, all of which were capitalized as debt issuance costs. We also recorded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we amended the Credit Agreement to replace LIBOR with a benchmark interest rate determined based on the currency denomination of borrowings. Effective January 1, 2022, the amendment replaced the reference rate terms for U.S. dollar LIBOR borrowings to the Secured Overnight Financing Rate ("SOFR"), British pound sterling LIBOR borrowings to the Sterling Overnight Index Average ("SONIA") and Euro LIBOR borrowings to the Euro Short Term Rate ("ESTR"), all plus a spread of 1.50%. The interest rate spread is based upon the leverage ratio, as defined, as of the most recent determination date.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incremental revolving credit commitments in an amount not to exceed the greater of $200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December 31, 2022. If we were to complete an acquisition which qualifies for a Covenant Holiday Period, as defined in our Credit Agreement, then our permitted total net leverage ratio cannot exceed 4.50 to 1.00 during that period. Our actual total net leverage ratio was 1.86 to 1.00 at December 31, 2022. Our permitted interest expense coverage ratio under the Credit Agreement is 3.00 to 1.00, and our actual interest expense coverage ratio was 12.72 to 1.00 as of December 31, 2022. At December 31, 2022, we were in compliance with our financial covenants.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year ended December 31, 2022. We present Consolidated Bank EBITDA to show our performance under our financial covenants. Dollars are in thousands in the below tables.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4"/>
        </w:trPr>
        <w:tc>
          <w:tcPr>
            <w:tcW w:w="8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5"/>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66,170</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 (as defined)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r>
      <w:tr>
        <w:trPr>
          <w:trHeight w:val="229"/>
        </w:trPr>
        <w:tc>
          <w:tcPr>
            <w:tcW w:w="8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21,500</w:t>
            </w:r>
          </w:p>
        </w:tc>
      </w:tr>
      <w:tr>
        <w:trPr>
          <w:trHeight w:val="230"/>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53,220</w:t>
            </w:r>
          </w:p>
        </w:tc>
      </w:tr>
      <w:tr>
        <w:trPr>
          <w:trHeight w:val="230"/>
        </w:trPr>
        <w:tc>
          <w:tcPr>
            <w:tcW w:w="88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9,840</w:t>
            </w:r>
          </w:p>
        </w:tc>
      </w:tr>
      <w:tr>
        <w:trPr>
          <w:trHeight w:val="229"/>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88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9,960</w:t>
            </w:r>
          </w:p>
        </w:tc>
      </w:tr>
      <w:tr>
        <w:trPr>
          <w:trHeight w:val="230"/>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30"/>
        </w:trPr>
        <w:tc>
          <w:tcPr>
            <w:tcW w:w="8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Effects of purchase accounting 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9"/>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w:t>
            </w:r>
          </w:p>
        </w:tc>
      </w:tr>
      <w:tr>
        <w:trPr>
          <w:trHeight w:val="230"/>
        </w:trPr>
        <w:tc>
          <w:tcPr>
            <w:tcW w:w="8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Permitted acquisitions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gains and losses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160,160</w:t>
            </w:r>
          </w:p>
        </w:tc>
      </w:tr>
      <w:tr>
        <w:trPr>
          <w:trHeight w:val="20"/>
        </w:trPr>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476"/>
        </w:trPr>
        <w:tc>
          <w:tcPr>
            <w:tcW w:w="88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Indebtedness, as defined</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66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297,910</w:t>
            </w:r>
          </w:p>
        </w:tc>
        <w:tc>
          <w:tcPr>
            <w:tcW w:w="260" w:type="dxa"/>
            <w:vAlign w:val="bottom"/>
            <w:shd w:val="clear" w:color="auto" w:fill="CCEEFF"/>
          </w:tcPr>
          <w:p>
            <w:pPr>
              <w:spacing w:after="0"/>
              <w:rPr>
                <w:sz w:val="19"/>
                <w:szCs w:val="19"/>
                <w:color w:val="auto"/>
              </w:rPr>
            </w:pP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160,160</w:t>
            </w:r>
          </w:p>
        </w:tc>
        <w:tc>
          <w:tcPr>
            <w:tcW w:w="260" w:type="dxa"/>
            <w:vAlign w:val="bottom"/>
            <w:tcBorders>
              <w:bottom w:val="single" w:sz="8" w:color="CCEEFF"/>
            </w:tcBorders>
          </w:tcPr>
          <w:p>
            <w:pPr>
              <w:spacing w:after="0"/>
              <w:rPr>
                <w:sz w:val="19"/>
                <w:szCs w:val="19"/>
                <w:color w:val="auto"/>
              </w:rPr>
            </w:pP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total net leverage ratio</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x</w:t>
            </w:r>
          </w:p>
        </w:tc>
      </w:tr>
      <w:tr>
        <w:trPr>
          <w:trHeight w:val="22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x</w:t>
            </w:r>
          </w:p>
        </w:tc>
      </w:tr>
      <w:tr>
        <w:trPr>
          <w:trHeight w:val="20"/>
        </w:trPr>
        <w:tc>
          <w:tcPr>
            <w:tcW w:w="8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8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4"/>
        </w:trPr>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5"/>
        </w:trPr>
        <w:tc>
          <w:tcPr>
            <w:tcW w:w="8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as defined</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260" w:type="dxa"/>
            <w:vAlign w:val="bottom"/>
          </w:tcPr>
          <w:p>
            <w:pPr>
              <w:spacing w:after="0"/>
              <w:rPr>
                <w:sz w:val="19"/>
                <w:szCs w:val="19"/>
                <w:color w:val="auto"/>
              </w:rPr>
            </w:pP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tcPr>
          <w:p>
            <w:pPr>
              <w:spacing w:after="0"/>
              <w:rPr>
                <w:sz w:val="19"/>
                <w:szCs w:val="19"/>
                <w:color w:val="auto"/>
              </w:rPr>
            </w:pPr>
          </w:p>
        </w:tc>
      </w:tr>
      <w:tr>
        <w:trPr>
          <w:trHeight w:val="230"/>
        </w:trPr>
        <w:tc>
          <w:tcPr>
            <w:tcW w:w="8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60" w:type="dxa"/>
            <w:vAlign w:val="bottom"/>
          </w:tcPr>
          <w:p>
            <w:pPr>
              <w:spacing w:after="0"/>
              <w:rPr>
                <w:sz w:val="19"/>
                <w:szCs w:val="19"/>
                <w:color w:val="auto"/>
              </w:rPr>
            </w:pP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260" w:type="dxa"/>
            <w:vAlign w:val="bottom"/>
          </w:tcPr>
          <w:p>
            <w:pPr>
              <w:spacing w:after="0"/>
              <w:rPr>
                <w:sz w:val="21"/>
                <w:szCs w:val="21"/>
                <w:color w:val="auto"/>
              </w:rPr>
            </w:pP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160,160</w:t>
            </w:r>
          </w:p>
        </w:tc>
        <w:tc>
          <w:tcPr>
            <w:tcW w:w="280" w:type="dxa"/>
            <w:vAlign w:val="bottom"/>
            <w:tcBorders>
              <w:top w:val="single" w:sz="8" w:color="auto"/>
            </w:tcBorders>
            <w:shd w:val="clear" w:color="auto" w:fill="CCEEFF"/>
          </w:tcPr>
          <w:p>
            <w:pPr>
              <w:spacing w:after="0"/>
              <w:rPr>
                <w:sz w:val="19"/>
                <w:szCs w:val="19"/>
                <w:color w:val="auto"/>
              </w:rPr>
            </w:pP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280" w:type="dxa"/>
            <w:vAlign w:val="bottom"/>
            <w:tcBorders>
              <w:bottom w:val="single" w:sz="8" w:color="CCEEFF"/>
            </w:tcBorders>
          </w:tcPr>
          <w:p>
            <w:pPr>
              <w:spacing w:after="0"/>
              <w:rPr>
                <w:sz w:val="19"/>
                <w:szCs w:val="19"/>
                <w:color w:val="auto"/>
              </w:rPr>
            </w:pP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r>
      <w:tr>
        <w:trPr>
          <w:trHeight w:val="22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8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0"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Non-cash compensation expenses resulting from the grant of equity awards.</w:t>
      </w:r>
    </w:p>
    <w:p>
      <w:pPr>
        <w:spacing w:after="0" w:line="132"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Non-recurring costs and expenses relating to diligence and transaction costs, purchase accounting costs, severance, relocation, restructuring and curtailment expenses.</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allows issuance of letters of credit, not to exceed $40.0 million in aggregate, against revolving credit facility commitments. As of December 31, 2021, we placed cash on deposit with a financial institution to be held as cash collateral for our outstanding letters of credit; effectively, as of December 31, 2021, we had no letters of credit issued against our revolving credit facility. At December 31, 2022, we had no amounts outstanding under our revolving credit facility and had $293.9 million potentially available after giving effect to $6.1 million of letters of credit issued and outstanding. At December 31, 2021, we had no amounts outstanding under our revolving credit facility and had $300.0 million potentially available. Our letters of credit, or corresponding restricted cash deposits,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December 31, 2022 and December 31,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certain foreign subsidiaries to pay down amounts outstanding under our revolving credit facility, as applicable.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borrowings were $400.1 million during 2022, compared to $401.9 million during 2021, primarily due to a higher aggregate principal balance on our senior notes due to the issuance of the 2029 Senior Notes and the redemption of the 2025 Senior Notes during 2021.</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 million. The facility is guaranteed by TriMas Corporation. There were no borrowings on this loan facility as of December 31, 2022 and 2021.</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considering the economic uncertainty surrounding the potential business impacts from the COVID-19 pandemic with respect to our operations, supply chains, distribution channels, and end-market customers, we took certain defensive actions during 2020 as we monitored our cash position and available liquidity. These actions included suspending our repurchase of our common stock, borrowing on our revolving credit facility, tightening our capital expenditures, advanced monitoring of our accounts receivable balances and flexing cost structures of operations expected to be most impacted by COVID-</w:t>
      </w:r>
    </w:p>
    <w:p>
      <w:pPr>
        <w:spacing w:after="0" w:line="3" w:lineRule="exact"/>
        <w:rPr>
          <w:sz w:val="20"/>
          <w:szCs w:val="20"/>
          <w:color w:val="auto"/>
        </w:rPr>
      </w:pPr>
    </w:p>
    <w:p>
      <w:pPr>
        <w:ind w:firstLine="8"/>
        <w:spacing w:after="0" w:line="260" w:lineRule="auto"/>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strong cash generation and our current liquidity position, we subsequently relaxed certain of these actions, choosing to further invest in capital expenditures, resume purchasing shares of our common stock and initiating a cash dividend.</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cash on hand as of December 31, 2022 is located within the United States, and given available funding under our revolving credit facility of $300.0 million at December 31, 2022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next 12 months and for the foreseeable future, as well as dividends and share repurchases.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At December 31, 2022, we had no amounts outstanding on our revolving credit facility and, therefore, no variable rate-based borrowings outstanding.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We account for these lease transactions as operating leases, and incurred rent expense for continuing operations related thereto of $13.9 million in 2022. We continue to be party to non-cancelable leases for certain facilities we have exited as part of restructuring activities, and have entered into sublease agreements to minimize our net lease payments. We expect leasing will continue to be an available financing option to fund future capital expenditure requirements.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an increase of $100 million from the previous authorization. During 2022, 2021 and 2020, we purchased 1,264,088, 596,084 and 1,582,049 shares of our outstanding common stock for $36.9 million, $19.1 million and $39.4 million, respectively. Since the initial authorization through December 31, 2022, we have purchased 5,114,903 shares of our outstanding common stock for an aggregate purchase price of $144.3 million. We will continue to evaluate opportunities to return capital to shareholders through the purchase of our common stock, depending on market conditions, including the potential impact of the COVID-19 pandemic, and other factors.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various agreements, we are obligated to make future cash payments in fixed amounts. These include payments under our long-term debt agreements, rent payments required under operating lease agreements, certain benefit obligations and interest obligations on our long-term debt. The following table summarizes our material contractual cash obligations as of December 31, 2022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Payments Due by Periods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5"/>
                <w:szCs w:val="15"/>
                <w:color w:val="auto"/>
              </w:rPr>
            </w:pPr>
          </w:p>
        </w:tc>
        <w:tc>
          <w:tcPr>
            <w:tcW w:w="112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1 - 3 Years</w:t>
            </w:r>
          </w:p>
        </w:tc>
        <w:tc>
          <w:tcPr>
            <w:tcW w:w="140" w:type="dxa"/>
            <w:vAlign w:val="bottom"/>
          </w:tcPr>
          <w:p>
            <w:pPr>
              <w:spacing w:after="0"/>
              <w:rPr>
                <w:sz w:val="15"/>
                <w:szCs w:val="15"/>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40" w:type="dxa"/>
            <w:vAlign w:val="bottom"/>
          </w:tcPr>
          <w:p>
            <w:pPr>
              <w:spacing w:after="0"/>
              <w:rPr>
                <w:sz w:val="15"/>
                <w:szCs w:val="15"/>
                <w:color w:val="auto"/>
              </w:rPr>
            </w:pPr>
          </w:p>
        </w:tc>
        <w:tc>
          <w:tcPr>
            <w:tcW w:w="1040" w:type="dxa"/>
            <w:vAlign w:val="bottom"/>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and other cash obligations: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obligations </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w:t>
            </w:r>
          </w:p>
        </w:tc>
        <w:tc>
          <w:tcPr>
            <w:tcW w:w="0" w:type="dxa"/>
            <w:vAlign w:val="bottom"/>
          </w:tcPr>
          <w:p>
            <w:pPr>
              <w:spacing w:after="0"/>
              <w:rPr>
                <w:sz w:val="1"/>
                <w:szCs w:val="1"/>
                <w:color w:val="auto"/>
              </w:rPr>
            </w:pPr>
          </w:p>
        </w:tc>
      </w:tr>
      <w:tr>
        <w:trPr>
          <w:trHeight w:val="223"/>
        </w:trPr>
        <w:tc>
          <w:tcPr>
            <w:tcW w:w="4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contractual and other cash obligations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577,720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447,380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340" w:right="20" w:hanging="332"/>
        <w:spacing w:after="0" w:line="206" w:lineRule="auto"/>
        <w:tabs>
          <w:tab w:leader="none" w:pos="303"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Our Senior Notes bear interest at 4.125%. The future interest obligations calculation excludes the impact of our cross-currency swap agreements. See Note 13,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included in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within this Form 10-K for additional information.</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liability related to unrecognized tax benefits has been excluded from the contractual obligations table because a reasonable estimate of the timing and amount of cash flows from future tax settlements cannot be determined. For additional information, refer to Note 22,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December 31, 2022, we were party to foreign exchange forward and swap contracts to hedge changes in foreign currency exchange rates with notional amounts of $127.2 million. We also use cross-currency swap agreements to mitigate currency risks associated with the net investment in certain of our foreign subsidiaries. See Note 13,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for additional information.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 See Note 13,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for additional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Our stock trades under the symbol "TRS."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certain of our outstanding debt obligations are rated by Standard &amp; Poor's and Moody's. On March 29, 2022, Moody's affirmed a Ba3 rating to our 2029 Senior Notes, as presented in Note 12, "Long-term Debt" included in Item 8, "Financial Statements and Supplementary Data" within this Form 10-K. Moody's also affirmed a Ba2 Corporate Family Rating and maintained its outlook as stable. On May 12, 2022, Standard &amp; Poor's affirmed a BB- rating to our 2029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onset of the COVID-19 pandemic in 2020, each of our businesses has been impacted by significant macro-economic factors. Sales in our Packaging segment for dispensing and closure products we supply that are used in applications to fight the spread of germs spiked in 2020 and early 2021, and have now abated from those peak levels in 2022. Sales in our Specialty Products segment had been depressed by low levels of industrial activity in the U.S. during 2020, but have since strongly rebounded in 2022. Sales in our Aerospace segment were significantly depressed at the onset of the pandemic and for many quarters thereafter, but demand began to significantly increase during 2022.</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pandemic and now the Russia-Ukraine conflict, there have been significant challenges in inflationary pressures, supply chain disruptions, labor availability, as well as significant volatility in our customers' order patterns. We believe this period of uncertainty will continue to persist in the near-term. However, no matter the outcome of these factors, we expect to continue to mitigate, as much as practical, the impact of these challenges, executing on realignment actions and taking other proactive actions as necessary, to maintain our strong balance sheet and generate cash in support of our capital allocation strategy.</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leverage the tenets of our TriMas Business Model to manage our multi-industry businesses on a longer-term basis, to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accounting policies is intended to supplement the accounting policies presented in Note 3,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Certain of our accounting policies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Receivables. </w:t>
      </w:r>
      <w:r>
        <w:rPr>
          <w:rFonts w:ascii="Times New Roman" w:cs="Times New Roman" w:eastAsia="Times New Roman" w:hAnsi="Times New Roman"/>
          <w:sz w:val="18"/>
          <w:szCs w:val="18"/>
          <w:color w:val="auto"/>
        </w:rPr>
        <w:t>Receivables are presented net of allowances for doubtful accounts of $1.7 million and $1.6 million at December 31, 2022 and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respectively. We monitor our exposure for credit losses and maintain adequate allowances for doubtful accounts. We determine these allowances based on our historical write-off experience and/or specific customer circumstances and provide such allowances when amounts are reasonably estimable and it is probable a loss has been incurred. Although we have been growing business with certain of our larger customers, and there has been some industry consolidation where certain of our customers are merging, we do not believe that significant credit risk exists or that we have a significant concentration of accounts receivable with a single customer or group of customers due to our diverse customer base.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additional information regarding risks associated with a concentrated customer base.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is computed principally using the straight-line method over the estimated useful lives of the assets.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and Definite-Lived Intangible Assets. </w:t>
      </w:r>
      <w:r>
        <w:rPr>
          <w:rFonts w:ascii="Times New Roman" w:cs="Times New Roman" w:eastAsia="Times New Roman" w:hAnsi="Times New Roman"/>
          <w:sz w:val="18"/>
          <w:szCs w:val="18"/>
          <w:color w:val="auto"/>
        </w:rPr>
        <w:t>We review, on at least a quarterly basis, the financial performance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unit for indicators of impairment. In reviewing for impairment indicators, we also consider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Indefinite-Lived Intangibles. </w:t>
      </w:r>
      <w:r>
        <w:rPr>
          <w:rFonts w:ascii="Times New Roman" w:cs="Times New Roman" w:eastAsia="Times New Roman" w:hAnsi="Times New Roman"/>
          <w:sz w:val="18"/>
          <w:szCs w:val="18"/>
          <w:color w:val="auto"/>
        </w:rPr>
        <w:t>We assess goodwill and indefinite-lived intangible assets for impairment at the reporting unit level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basis as of October 1, by reviewing relevant qualitative and quantitative factors. More frequent evaluations may be required if we experience changes in our business climate or as a result of other triggering events that take place. An impairment loss is recognized when the carrying value of the asset exceeds its fair value.</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our reporting units at the individual operating segment level, or one level below, when there is discrete financial information available that is regularly reviewed by segment management for evaluating operating results. For purposes of our 2022 goodwill impairment test, we had six reporting units, four of which had goodwill, within our three reportable segments.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first perform a qualitative assessment for our annual goodwill impairment test and for our indefinite-lived intangible asset impairment test, which involves significant use of management's judgment and assumptions to determine whether it is more likely than not that the fair value of a reporting unit or indefinite-lived intangible asset is less than its carrying amount. In conducting the qualitative assessment, we consider macroeconomic conditions, industry and market considerations, overall financial performance, entity and reporting unit specific events, capital markets pricing, recent fair value estimates and carrying amounts, as well as legal, regulatory, and contractual factors. These factors are all considered in reaching a conclusion about whether it is more likely than not that the fair values of the intangible assets are less than the carrying values. If we conclude that further testing is required, we would perform a quantitative valuation to estimate the fair value of our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2022 annual impairment tests, based on the qualitative assessments, we determined there were no indications that the fair value of a reporting unit or indefinite-lived intangible asset was less than its carrying amount; therefore, we determined that quantitative assessments were not required.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declines in sales and/or operating profit, declines in our stock price, or other changes in our business or the markets for our products could result in further impairments of our goodwill and indefinite-lived intangible assets.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Benefits. </w:t>
      </w:r>
      <w:r>
        <w:rPr>
          <w:rFonts w:ascii="Times New Roman" w:cs="Times New Roman" w:eastAsia="Times New Roman" w:hAnsi="Times New Roman"/>
          <w:sz w:val="18"/>
          <w:szCs w:val="18"/>
          <w:color w:val="auto"/>
        </w:rPr>
        <w:t>We engage independent actuaries to compute the amounts of liabilities and expenses under defined benefit pension plans,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assumptions that we determine are appropriate based on historical trends, current market rates and future projections as of the measurement date. Annually, we review the actual experience compared to the most significant assumptions used and makes adjustments to the assumptions, if warranted. Discount rates are based upon an expected benefit payments duration analysis and the equivalent average yield rate for high-quality fixed-income investments. Pension benefits are funded through deposits with trustees and the expected long-term rate of return on plan assets is based upon actual historical returns modified for known changes in the market and any expected change in investment policy. Certain accounting guidance, including the guidance applicable to pensions, does not require immediate recognition of the effects of a deviation between actual and assumed experience or the revision of an estimate. This approach allows the favorable and unfavorable effects that fall within an acceptable range to be netted.</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compute income taxes using the asset and liability method, whereby deferred income taxes using current enacted tax rates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for the temporary differences between the financial reporting basis and the tax basis of assets and liabilities and for operating loss and tax credit carryforwards. We determine valuation allowances based on an assessment of positive and negative evidence on a jurisdiction-by-jurisdiction basis and record a valuation allowance to reduce deferred tax assets to the amount more likely than not to be realized.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in income tax expense.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Asbestos-related Matters. </w:t>
      </w:r>
      <w:r>
        <w:rPr>
          <w:rFonts w:ascii="Times New Roman" w:cs="Times New Roman" w:eastAsia="Times New Roman" w:hAnsi="Times New Roman"/>
          <w:sz w:val="18"/>
          <w:szCs w:val="18"/>
          <w:color w:val="auto"/>
        </w:rPr>
        <w:t>We accrue loss reserves for asbestos-related matters based upon an estimate of the ultimate liability for claims incurred,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or not, including an estimate of future settlement costs and costs to defend. We utilize known facts and historical trends for Company-specific and general market asbestos-related activity, as well as an actuarial valuation in determining estimated required reserves which we believe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w:t>
      </w:r>
    </w:p>
    <w:p>
      <w:pPr>
        <w:spacing w:after="0" w:line="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Loss Reserves. </w:t>
      </w:r>
      <w:r>
        <w:rPr>
          <w:rFonts w:ascii="Times New Roman" w:cs="Times New Roman" w:eastAsia="Times New Roman" w:hAnsi="Times New Roman"/>
          <w:sz w:val="18"/>
          <w:szCs w:val="18"/>
          <w:color w:val="auto"/>
        </w:rPr>
        <w:t>We have other loss exposures related to insurance, litigation and environmental claims. Establishing loss reserves for these matters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the use of estimates and judgment in regard to risk exposure and ultimate liability. We are generally party to high deductible insurance programs for losses and liabilities related principally to workers' compensation, health and welfare claims and comprehensive general, product and vehicle liability. Generally, we are responsible for up to $0.8 million per occurrence under our retention program for workers' compensation, up to $1.5 million per occurrence under our retention programs for comprehensive general, product and vehicle liability, and have a $0.4 million per occurrence stop-loss limit with respect to our self-insured group medical plan. We accrue loss reserves up to our retention amounts based upon our estimates of the ultimate liability for claims incurred, including an estimate of related litigation defense costs, and an estimate of claims incurred but not reported using actuarial assumptions about future events. We accrue for such items when such amounts are reasonably estimable and probable. We utilize known facts and historical trends, as well as actuarial valuations in determining estimated required reserves. Changes in assumptions for factors such as medical costs and actual experience could cause these estimates to change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commodity prices, insurable risks due to property damage, employee and liability claims, and other uncertainties in the financial and credit markets, which may impact demand for our products.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be subject to interest risk as it relates to long-term debt, for which we have historically and may prospectively employ derivative instruments such as interest rate swaps to mitigate the risk of variable interest rates. See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12,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13,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00" w:lineRule="exact"/>
        <w:rPr>
          <w:sz w:val="20"/>
          <w:szCs w:val="20"/>
          <w:color w:val="auto"/>
        </w:rPr>
      </w:pPr>
    </w:p>
    <w:p>
      <w:pPr>
        <w:spacing w:after="0" w:line="376" w:lineRule="exact"/>
        <w:rPr>
          <w:sz w:val="20"/>
          <w:szCs w:val="20"/>
          <w:color w:val="auto"/>
        </w:rPr>
      </w:pPr>
    </w:p>
    <w:p>
      <w:pPr>
        <w:ind w:right="506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TriMas Corporation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TriMas Corporation and subsidiaries (the "Company") as of December 31, 2022 and 2021, the related consolidated statements of operations, comprehensive income, shareholders' equity, and cash flows, for each of the three years in the period ended December 31, 2022, and the related notes and the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23, 2023 expressed an unqualified opinion on the Company's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35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Goodwill – Aerospace Fasteners Reporting Unit — Refer to Notes 3 and 8 to the financial statements </w:t>
      </w:r>
      <w:r>
        <w:rPr>
          <w:rFonts w:ascii="Times New Roman" w:cs="Times New Roman" w:eastAsia="Times New Roman" w:hAnsi="Times New Roman"/>
          <w:sz w:val="18"/>
          <w:szCs w:val="18"/>
          <w:i w:val="1"/>
          <w:iCs w:val="1"/>
          <w:color w:val="auto"/>
        </w:rPr>
        <w:t>Critical Audit Matter Description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evaluation of goodwill impairment involves a qualitative assessment to determine whether it is more likely than not that the fair value of the reporting unit is less than its carrying amount. The qualitative assessment involves significant use of management's judgment and assumptions related to macroeconomic conditions, industry and market considerations, overall financial performance, entity and reporting unit specific events, capital markets pricing, as well as legal, regulatory, and contractual factors. The Company also considers recent valuations of its reporting units, including the difference between the most recent fair value estimate and the carrying amount. Changes in these assumptions could have a significant effect on management’s conclusion about whether a quantitative goodwill impairment test is necessary to estimate the fair value of its reporting units.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goodwill balance was $340 million as of December 31, 2022, of which $70 million was allocated to the Aerospace Fasteners Reporting Unit (“Aerospace Fasteners”). The Company concluded there were no indications that the fair value of any reporting unit was less than the carrying amount, therefore a quantitative assessment was not performed, and no impairment was recognized.</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nature of the Aerospace Fasteners operations, the assumptions used in the qualitative assessment, and the difference between the most recent fair value estimate and the carrying amount of Aerospace Fasteners, auditing management’s judgments related to the impact of macroeconomic conditions, overall financial performance for Aerospace Fasteners, and capital markets pricing involved especially subjective judgment.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qualitative evaluation of goodwill impairment for Aerospace Fasteners included the following, among others:</w:t>
      </w:r>
    </w:p>
    <w:p>
      <w:pPr>
        <w:spacing w:after="0" w:line="121" w:lineRule="exact"/>
        <w:rPr>
          <w:sz w:val="20"/>
          <w:szCs w:val="20"/>
          <w:color w:val="auto"/>
        </w:rPr>
      </w:pPr>
    </w:p>
    <w:p>
      <w:pPr>
        <w:jc w:val="both"/>
        <w:ind w:left="660" w:hanging="652"/>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goodwill, including those over management's judgments and assumptions related to macroeconomic conditions, industry and market considerations, overall financial performance, entity and reporting unit specific events, capital markets pricing, and recent fair value estimates and carrying amounts.</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revenues and EBITDA margins by comparing actual results to management’s historical forecasts.</w:t>
      </w:r>
    </w:p>
    <w:p>
      <w:pPr>
        <w:spacing w:after="0" w:line="13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qualitative assessment of factors affecting revenue and EBITDA margin forecasts by comparing the forecasts to:</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revenues and EBITDA.</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industry reports for the Company and certain of its peer companies.</w:t>
      </w:r>
    </w:p>
    <w:p>
      <w:pPr>
        <w:spacing w:after="0" w:line="16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impact of changes in management’s forecasts from the October 1, 2022, annual measurement date to December 31, 2022.</w:t>
      </w:r>
    </w:p>
    <w:p>
      <w:pPr>
        <w:spacing w:after="0" w:line="198"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management’s qualitative assessment by performing the following: (1) Researching GDP growth, inflation and/or other macroeconomic variables, as well as industry growth rates; (2) Estimate industry discount rates; (3) Research and analyze valuation multiple of guideline public companies to understand valuation trends, and research trends in growth and margins in guideline public companies; and (4) Obtain information to analyze the trend of market capitalization of the entity and public peer companies.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02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140,740</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125,630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152,450</w:t>
            </w: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431,770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265,630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315,490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1,305,000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1,303,640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8020" w:type="dxa"/>
            <w:vAlign w:val="bottom"/>
            <w:shd w:val="clear" w:color="auto" w:fill="CCEEFF"/>
          </w:tcPr>
          <w:p>
            <w:pPr>
              <w:ind w:left="25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87,800</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393,820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59,030</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653,170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672,790</w:t>
            </w:r>
          </w:p>
        </w:tc>
      </w:tr>
      <w:tr>
        <w:trPr>
          <w:trHeight w:val="155"/>
        </w:trPr>
        <w:tc>
          <w:tcPr>
            <w:tcW w:w="8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4"/>
        </w:trPr>
        <w:tc>
          <w:tcPr>
            <w:tcW w:w="8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Issued and outstanding: 41,724,762 shares at December 31, 2022 and 42,836,574 shares at December 31,</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732,490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630,850</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1,305,000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1,303,640</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769,970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(587,890)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182,080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dispositions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indefinite-lived intangible assets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(134,600)</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profit (loss)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(88,290)</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financing and related expenses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 basic</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42,249,244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43,006,922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43,581,232</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42,478,015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43,281,076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43,581,232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6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(79,760)</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13)</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r>
      <w:tr>
        <w:trPr>
          <w:trHeight w:val="223"/>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(79,760)</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 net of acquisition impact: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goodwill and indefinite-lived intangible assets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loss on dispositions of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(33,710)</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financing and related expenses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legacy liability estimate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Decrease in prepaid expenses and other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accounts payable and accrued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127,410</w:t>
            </w: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Cross-currency swap terminations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proceeds from dispositions of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(232,070)</w:t>
            </w:r>
          </w:p>
        </w:tc>
      </w:tr>
      <w:tr>
        <w:trPr>
          <w:trHeight w:val="22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Retirement of senior notes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senior notes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367,280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(319,120)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financing fees and senior notes redemption premium</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for the year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At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172,470</w:t>
            </w:r>
          </w:p>
        </w:tc>
      </w:tr>
      <w:tr>
        <w:trPr>
          <w:trHeight w:val="22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At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73,950</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0"/>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9"/>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40" w:type="dxa"/>
            <w:vAlign w:val="bottom"/>
          </w:tcPr>
          <w:p>
            <w:pPr>
              <w:spacing w:after="0"/>
              <w:rPr>
                <w:sz w:val="14"/>
                <w:szCs w:val="14"/>
                <w:color w:val="auto"/>
              </w:rPr>
            </w:pP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697,480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584,250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732,490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630,850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(36,920)</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651,830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all of which have followed outbreak of the coronavirus and related variants (“COVID-19”) since early 2020. To the extent there are differences between these estimates and actual results, the Company's consolidated financial statements may be materially affected.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Accounting Standards Update ("ASU") 2021-10, "Government Assistance (Topic 832): Disclosures by Business Entities about Government Assistance" ("ASU 2021-10"), which requires annual disclosures to increase transparency around government assistance received by companies. ASU 2021-10 is effective for fiscal years beginning after December 15, 2021. The Company adopted ASU 2021-10 in the fourth quarter of 2022. Certain country, state and local governments in which the Company operates offer or have offered various business incentives related to investment and/or job creation. The Company's participation in these government incentive programs is accounted for by applying a grant or contribution model by analogy; however, the Company determined that the adoption of ASU 2021-10 did not have a material impact on its consolidated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("ASU 2021-08"), which requires that an acquirer recognize and measure contract assets and contract liabilities acquired in a business combination in accordance with Topic 606, "Revenue from Contracts with Customers." ASU 2021-08 is effective for fiscal years, and interim periods within those years, beginning after December 15, 2022, with early adoption permitted. The Company adopted ASU 2021-08 in the fourth quarter of 2022, which did not have a significant impact on its consolidated financial statements.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60"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i w:val="1"/>
          <w:iCs w:val="1"/>
          <w:color w:val="auto"/>
        </w:rPr>
        <w:t>Principles of Consolidation.</w:t>
      </w:r>
      <w:r>
        <w:rPr>
          <w:sz w:val="20"/>
          <w:szCs w:val="20"/>
          <w:color w:val="auto"/>
        </w:rPr>
        <w:tab/>
      </w:r>
      <w:r>
        <w:rPr>
          <w:rFonts w:ascii="Times New Roman" w:cs="Times New Roman" w:eastAsia="Times New Roman" w:hAnsi="Times New Roman"/>
          <w:sz w:val="18"/>
          <w:szCs w:val="18"/>
          <w:color w:val="auto"/>
        </w:rPr>
        <w:t>The accompanying consolidated financial statements include the accounts and transactions of TriMas and its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transactions have been eliminated.</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management of the Company to make estimates and assumptions that affect the reported amounts of assets and liabilities and the disclosure of contingent assets and liabilities at the date of the financial statements. Such estimates and assumptions also affect the reported amounts of revenues and expenses during the reporting periods. Significant items subject to such estimates and assumptions include the carrying amount of property and equipment, goodwill and other intangibles, valuation allowances for receivables, inventories and deferred income tax assets, valuation of derivatives, estimated fair value of contingent consideration resulting from business combinations, estimated future unrecoverable lease costs, reserves for asbestos and ordinary course litigation, assets and obligations related to employee benefits and estimated unrecognized tax benefits. Actual results may differ from such estimates and assumptions.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Company considers cash on hand and on deposit and investments in all highly liquid debt instruments with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to be cash and cash equivalents. Cash and cash equivalents also includes restricted cash, if any, held on deposit with a financial institution as cash collateral for the Company's outstanding letters of credit. See Note 7,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further details regarding the Company's cash and cash equivalents.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Receivables are presented net of allowances for doubtful accounts of $1.7 million and $1.6 million at December 31,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Company monitors its exposure for credit losses and maintains allowances for doubtful accounts based upon the Company's best estimate of probable losses inherent in the accounts receivable balances. The Company does not believe that significant credit risk exists due to its diverse customer base.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with cost determined using the first-in, first-out method. Direct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labor and allocations of variable and fixed manufacturing-related overhead are included in inventory cost.</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additions, including significant improvements, are recorded at cost. Upon retirement or disposal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the cost and accumulated depreciation are removed from the accounts, and any gain or loss is included in the accompanying statement of operations. Repair and maintenance costs are charged to expense as incurred.</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is computed principally using the straight-line method over the estimated useful lives of the assets.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and Definite-Lived Intangible Assets. </w:t>
      </w:r>
      <w:r>
        <w:rPr>
          <w:rFonts w:ascii="Times New Roman" w:cs="Times New Roman" w:eastAsia="Times New Roman" w:hAnsi="Times New Roman"/>
          <w:sz w:val="18"/>
          <w:szCs w:val="18"/>
          <w:color w:val="auto"/>
        </w:rPr>
        <w:t>The Company reviews, on at least a quarterly basis, the financial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businesses for indicators of impairment. In reviewing for impairment indicators, the Company also considers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1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Company assesses goodwill for impairment on an annual basis (October 1 test date) by reviewing relevant qualitative and quantitative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More frequent evaluations may be required if the Company experiences changes in its business climate or as a result of other triggering events that take place. An impairment loss is recognized when the carrying value of a reporting unit's goodwill exceeds its fair value.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its reporting units at the individual operating segment level, or one level below, when there is discrete financial information available that is regularly reviewed by segment management to evaluate operating results. For purposes of the Company's 2022 goodwill impairment test, the Company had six reporting units, four of which had goodwill, within its three reportable segments.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begins its goodwill reviews by conducting a qualitative assessment, considering relevant events and circumstances that affect the fair value or carrying amount of a reporting unit. Such events and circumstances can include macroeconomic conditions, industry and market considerations, overall financial performance, entity and reporting unit specific events, and capital markets pricing. The Company considers the extent to which any identified adverse events and circumstances affect the comparison of a reporting unit's fair value with its carrying amount. The Company places more weight on the events and circumstances that most affect a reporting unit's fair value or the carrying amount of its net assets. The Company considers positive and mitigating events and circumstances that may affect its determination of whether it is more likely than not that the fair value of a reporting unit is less than its carrying amount. The Company also considers its most recent valuations of its reporting units, including the difference between the most recent fair value estimate and the carrying amount. Each of these factors is considered by management in reaching its conclusion about whether a quantitative goodwill impairment test is necessary to estimate the fair value of its reporting units.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Company concludes that conducting a quantitative assessment is required, the Company determines the fair value of the reporting unit being evaluated utilizing a combination of three valuation techniques: discounted cash flow (income approach), market comparable method (market approach) and market capitalization (direct market data method). The income approach is based on management's operating plan and internal five-year forecast and utilizes forward-looking assumptions and projections, on a discounted basis, but considers factors unique to each reporting unit and related long-range plans that may not be comparable to other companies and that are not yet public. The market approach considers potentially comparable companies and transactions within the industries where the Company's reporting units participate, and applies their trading multiples to the financial projections of the Company's reporting units. This approach utilizes data from actual marketplace transactions, but reliance on its results is limited by difficulty in identifying companies that are specifically comparable to the Company's reporting units, considering the diversity of the Company's businesses, the relative sizes and levels of complexity. The Company also uses the direct market data method by comparing its book value and the estimates of fair value of the reporting units to the Company's market capitalization. Management uses this comparison as additional evidence of the fair value of the Company, as its market capitalization may be suppressed by other factors such as the control premium associated with a controlling shareholder, the Company's degree of leverage and the float of the Company's common stock. Management evaluates and weights the results based on a combination of the income and market approaches, and, in situations where the income approach results differ significantly from the market and direct data approaches, management re-evaluates and adjusts, if necessary, its assumptions.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quantitative test, if it is determined that the carrying value of the reporting unit is higher than its fair value, goodwill is impaired and is written down to the fair value amount; however, the loss recognized will not exceed the total amount of goodwill allocated to the reporting unit. See Note 8,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further details regarding the Company's goodwill impairment testing.</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Intangibles. </w:t>
      </w:r>
      <w:r>
        <w:rPr>
          <w:rFonts w:ascii="Times New Roman" w:cs="Times New Roman" w:eastAsia="Times New Roman" w:hAnsi="Times New Roman"/>
          <w:sz w:val="18"/>
          <w:szCs w:val="18"/>
          <w:color w:val="auto"/>
        </w:rPr>
        <w:t>The Company assesses indefinite-lived intangible assets (primarily trademark/trade names) for impairment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 test date) by reviewing relevant qualitative and quantitative factors. More frequent evaluations may be required if the Company experiences changes in its business climate or as a result of other triggering events that take place. An impairment loss is recognized when the carrying value of the asset exceeds its fair value.</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conducting a qualitative assessment, the Company considers relevant events and circumstances to determine whether it is more likely than not that the fair values of the indefinite-lived intangible assets are less than the carrying values. In addition to the events and circumstances that the Company considers above in its qualitative analysis for potential goodwill impairment, the Company also considers legal, regulatory and contractual factors that could affect the fair value or carrying amount of the Company's indefinite-lived intangible assets. The Company also considers its most recent valuations of its indefinite-lived intangible assets, including the difference between the most recent fair value estimates and the carrying amounts. These factors are all considered by management in reaching its conclusion about whether it is more likely than not that the fair values of the indefinite-lived intangible assets are less than the carrying values. If management concludes that further testing is required, the Company performs a quantitative valuation to estimate the fair value of its indefinite-lived intangible assets. In conducting the quantitative impairment analysis, the Company determines the fair value of its indefinite-lived intangible assets using the relief-from-royalty method. The relief-from-royalty method involves the estimation of appropriate market royalty rates for the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then is compared to the carrying value of the assets. If the carrying value exceeds fair value, an impairment is recorded. See Note 8,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further details regarding the Company's indefinite-lived intangible asset impairment testing.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High Deductible Insurance. </w:t>
      </w:r>
      <w:r>
        <w:rPr>
          <w:rFonts w:ascii="Times New Roman" w:cs="Times New Roman" w:eastAsia="Times New Roman" w:hAnsi="Times New Roman"/>
          <w:sz w:val="18"/>
          <w:szCs w:val="18"/>
          <w:color w:val="auto"/>
        </w:rPr>
        <w:t>The Company generally has high deductible insurance programs for losses and liabilities related to workers'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welfare claims and comprehensive general, product and vehicle liability. The Company is generally responsible for up to $0.8 million per occurrence under its retention program for workers' compensation, up to $1.5 million per occurrence under its retention programs for comprehensive general, product and vehicle liability, and has a $0.4 million per occurrence stop-loss limit with respect to its group medical plan. Total insurance limits under these retention programs vary by year for comprehensive general, product and vehicle liability and extend to the applicable statutory limits for workers' compensation. Reserves for claims losses, including an estimate of related litigation defense costs, are recorded based upon the Company's estimates of the aggregate liability for claims incurred using actuarial assumptions about future events. Changes in assumptions for factors such as medical costs and actual experience could cause these estimates to change.</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Pension Plans. </w:t>
      </w:r>
      <w:r>
        <w:rPr>
          <w:rFonts w:ascii="Times New Roman" w:cs="Times New Roman" w:eastAsia="Times New Roman" w:hAnsi="Times New Roman"/>
          <w:sz w:val="18"/>
          <w:szCs w:val="18"/>
          <w:color w:val="auto"/>
        </w:rPr>
        <w:t>The Company engages independent actuaries to compute the amounts of liabilities and expenses under defined benefit pension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assumptions that the Company determines are appropriate based on historical trends, current market rates and future projections. Assumptions used in the actuarial calculations could have a significant impact on plan obligations, and a lesser impact on current period expense. Annually, the Company reviews the actual experience compared to the significant assumptions used and makes adjustments to the assumptions, if warranted. Discount rates are based on an expected benefit payments duration analysis and the equivalent average yield rate for high-quality fixed-income investments. Pension benefits are funded through deposits with trustees and the expected long-term rate of return on fund assets is based on actual historical returns and a review of other public company pension asset return data, modified for known changes in the market and any expected change in investment policy. See Note 17,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for further information.</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Asbestos-related Matters. </w:t>
      </w:r>
      <w:r>
        <w:rPr>
          <w:rFonts w:ascii="Times New Roman" w:cs="Times New Roman" w:eastAsia="Times New Roman" w:hAnsi="Times New Roman"/>
          <w:sz w:val="18"/>
          <w:szCs w:val="18"/>
          <w:color w:val="auto"/>
        </w:rPr>
        <w:t>The Company accrues loss reserves for asbestos-related matters based upon an estimate of the ultimate liability for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whether reported or not, including an estimate of future settlement costs and costs to defend. The Company utilizes known facts and historical trends for Company-specific and general market asbestos-related activity, as well as an actuarial valuation in determining estimated required reserves which it believes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 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further information.</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is recognized when control of promised goods is transferred to customers, which generally occurs when products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shipped from the Company’s facilities to its customers. The amount of revenue recorded reflects the consideration the Company expects to be entitled to receive in exchange for transferring those goods. Net sales are comprised of gross revenues, based on observed stand-alone selling prices, less estimates of expected returns, trade discounts and customer allowances, which include incentives such as volume and other discounts in connection with various supply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accounts for freight and shipping costs that occur after control of the related goods transfer to the customer as a fulfillment cost within cost of sales.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worthiness.</w:t>
      </w:r>
    </w:p>
    <w:p>
      <w:pPr>
        <w:spacing w:after="0" w:line="1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includes material, labor and overhead costs incurred in the manufacture of products sold in the period. Material costs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raw material, purchased components, outside processing and freight costs. Overhead costs consist of variable and fixed manufacturing costs, wages and fringe benefits, and purchasing, receiving and inspection costs.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the following: costs related to the advertising,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and distribution of the Company's products, amortization of customer intangible assets, costs of finance, human resources, legal functions, executive management costs and other administrative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computes income taxes using the asset and liability method, whereby deferred income taxes using current enacted tax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provided for the temporary differences between the financial reporting basis and the tax basis of assets and liabilities and for operating loss and tax credit carryforwards. The Company determines valuation allowances based on an assessment of positive and negative evidence on a jurisdiction-by-jurisdiction basis and records a valuation allowance to reduce deferred tax assets to the amount more likely than not to be realized.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 See Note 22,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information.</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The financial statements of subsidiaries located outside of the United States are measured using the currency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economic environment in which they operate as the functional currency. When translating into U.S. dollars, income and expense items are translated at average monthly exchange rates and assets and liabilities are translated at exchange rates in effect at the balance sheet date. Adjustments resulting from translating the functional currency into U.S. dollars are deferred as a component of accumulated other comprehensive income (loss) ("AOCI") in the consolidated statement of shareholders' equity. The impact of net foreign currency transactions was a gain of $0.7 million for the year ended December 31, 2022, a loss of $0.9 million for the year ended December 31, 2021 and a gain of $0.6 million for the year ended 2020, and are included in other expense, net in the accompanying consolidated statement of operations.</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The Company records derivative financial instruments at fair value on the balance sheet as either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changes in their fair values are immediately recognized in earnings if the derivatives do not qualify as effective hedges. If a derivative is designated as a fair value hedge, then changes in the fair value of the derivative are offset against the changes in the fair value of the underlying hedged item. If a derivative is designated as a cash flow hedge, then the effective portion of the changes in the fair value of the derivative is recognized as a component of other comprehensive income until the underlying hedged item is recognized in earnings or the forecasted transaction is no longer probable of occurring. If a derivative is designated as a net investment hedge, then the effective portion of the changes in the fair value of the derivative is recognized in other comprehensive income and will be subsequently reclassified to earnings when the hedged net investment is either sold or substantially liquidated. The Company formally documents hedging relationships for its derivative transactions and the underlying hedged items, as well as its risk management objectives and strategies for undertaking the hedge transactions. See Note 13,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In accounting for and disclosing the fair value of financial instruments, the Company uses the following hierarchy:</w:t>
      </w:r>
    </w:p>
    <w:p>
      <w:pPr>
        <w:spacing w:after="0" w:line="146" w:lineRule="exact"/>
        <w:rPr>
          <w:sz w:val="20"/>
          <w:szCs w:val="20"/>
          <w:color w:val="auto"/>
        </w:rPr>
      </w:pPr>
    </w:p>
    <w:p>
      <w:pPr>
        <w:ind w:left="98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Company has the ability to access at the measurement date;</w:t>
      </w:r>
    </w:p>
    <w:p>
      <w:pPr>
        <w:spacing w:after="0" w:line="9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and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Valuation of the Company's cross-currency swaps are based on the income approach, which uses observable inputs such as interest rate yield curves and forward currency exchange rates, as applicable.</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financial instruments reported in the balance sheet for current assets and current liabilities approximates fair value due to the short maturity of these instruments.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The Company records assets acquired and liabilities assumed from acquisitions at fair value. The fair value of working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generally approximates book value. The valuation of inventory, property, plant and equipment, and intangible assets requires significant assumptions. Inventory is recorded at fair value based on the estimated selling price less costs to sell, including completion, disposal and holding period costs with a reasonable profit margin. Property and equipment is recorded at fair value using a combination of both the cost and market approaches for both the real and personal property acquired. Under the cost approach, consideration is given to the amount required to construct or purchase a new asset of equal value at current prices, with adjustments in value for physical deterioration, as well as functional and economic obsolescence. Under the market approach, recent transactions for similar types of assets are used as the basis for estimating fair value. For trademark/trade names and technology and other intangible assets, the estimated fair value is based on projected discounted future net cash flows using the relief-from-royalty method. For customer relationship intangible assets, the estimated fair value is based on projected discounted future cash flows using the excess earnings method. The relief-from-royalty and excess earnings method are both income approaches that utilize key assumptions such as forecasts of revenue and expenses over an extended period of time, royalty rate percentages, tax rates, and estimated costs of debt and equity capital to discount the projected cash flows.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The Company recognizes compensation expense related to equity awards based on their fair values as of the grant 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with only a service condition, expense is recognized ratably over the vesting period. Performance-based equity awards may have targets tied to performance and/or market-based conditions. Market-based conditions are taken into consideration in determining the grant date fair value, and the related compensation expense is recognized regardless of whether the market condition is satisfied, provided the requisite service has been provided. For performance condition components, the Company periodically updates the probability that the performance conditions will be achieved and adjusts expense accordingly, reflecting the change from prior estimate, if any, in current period non-cash stock compensation expense. The disclosed number of awards granted considers only the targeted number of units until such time that the performance condition has been satisfied. If the performance conditions are not achieved, no award is earned. See Note 18,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for further information.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(Loss). </w:t>
      </w:r>
      <w:r>
        <w:rPr>
          <w:rFonts w:ascii="Times New Roman" w:cs="Times New Roman" w:eastAsia="Times New Roman" w:hAnsi="Times New Roman"/>
          <w:sz w:val="18"/>
          <w:szCs w:val="18"/>
          <w:color w:val="auto"/>
        </w:rPr>
        <w:t>The Company refers to other comprehensive income (loss) as revenues, expenses, gains and losses that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are included in comprehensive income (loss) but are excluded from net earnings as these amounts are recorded directly as an adjustment to stockholders' equity. Other comprehensive income (loss) is comprised of foreign currency translation adjustments, amortization of prior service costs and unrecognized gains and losses in actuarial assumptions for pension and postretirement plans and changes in unrealized gains and losses on derivative instruments.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the Company acquired Intertech Plastics LLC and related companies (collectively, "Intertech") for a purchase price of $64.1 million, net of cash acquired. Intertech is a manufacturer of custom injection molded products used in medical applications, as well as products and assemblies for consumer and industrial applications. The fair value of assets acquired and liabilities assumed included $32.4 million of goodwill, $13.5 million of intangible assets, $12.2 million of property and equipment and $6.0 million of net working capital. Intertech, which is reported in the Company's Packaging segment, has two manufacturing facilities located in the Denver, Colorado, area and historically generated $32 million in annual revenue.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Acquisitions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17, 2021, the Company acquired Omega Plastics ("Omega"), which specializes in manufacturing custom components and devices for drug delivery, diagnostic and orthopedic medical applications, as well as components for industrial applications, for an aggregate amount of $22.5 million, net of cash acquired. Omega, which is reported in the Company's Packaging segment, is located in Clinton Township, Michigan, and historically generated $18 million in annual revenue.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5, 2021, the Company acquired TFI Aerospace ("TFI"), a manufacturer and supplier of specialty fasteners used in a variety of applications, predominately for the aerospace end market, for an aggregate amount of $11.8 million, with additional contingent consideration ranging from zero to $12.0 million to be paid based future earnings as defined in the purchase agreement. On the acquisition date, the Company recorded $3.7 million as its best estimate of fair value of the additional contingent consideration, with such estimate based on Level 3 inputs under the fair value hierarchy, as defined. TFI, which is reported in the Company's Aerospace segment, is located near Toronto, Canada and historically generated $6 million in annual revenue. Based on a detailed fourth quarter 2022 review of TFI's updated forecasted operating results, the Company determined the likelihood of the contingent consideration being paid was remote, and therefore reversed the liability, with such adjustment being included in other income (expense), net, in the accompanying consolidated statement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Acquisitions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15, 2020, the Company acquired Affaba &amp; Ferrari Srl ("Affaba &amp; Ferrari"), which specializes in the design, development and manufacture of precision caps and closures for food &amp; beverage and industrial product applications, for an aggregate amount of $98.4 million, net of cash acquired. The fair value of assets acquired and liabilities assumed included $49.1 million of goodwill, $35.1 million of intangible assets, $9.4 million of net working capital, $17.4 million of property and equipment, and $12.6 million of net deferred tax liabilities. Affaba &amp; Ferrari, which is reported in the Company's Packaging segment, operates out of a highly automated manufacturing facility and support office located in Borgo San Giovanni, Italy and historically generated $34 million in annual revenue.</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2020, the Company acquired the Rapak® brand, including certain bag-in-box product lines and assets ("Rapak") for an aggregate amount of $11.4 million. Rapak, which is reported in the Company's Packaging segment, has manufacturing locations in Indiana, California and Illinois, and historically generated $30 million in annual revenue.</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27, 2020, the Company acquired RSA Engineered Products ("RSA"), a manufacturer of complex, highly-engineered and proprietary ducting, connectors and related products for air management systems used in aerospace and defense applications, for an aggregate amount of $83.7 million, net of cash acquired. The fair value of assets acquired and liabilities assumed included $43.3 million of goodwill, $36.9 million of intangible assets, $10.1 million of net working capital, $2.1 million of property and equipment, and $8.7 million of net deferred tax liabilities. RSA, which is reported in the Company's Aerospace segment, is located in Simi Valley, California and historically generated $30 million in annual 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Realignment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Realignment Actions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2022, the Company incurred realignment charges in its Packaging segment related to adjusting its labor force in facilities with lower demand, finalizing its Indianapolis, Indiana, facility consolidation, costs incurred to reorganize its benefit plans in the United Kingdom, and for costs incurred as part of the Company's start-up and relocation to a new, larger facility in New Albany, Ohio. The Company also completed the Aerospace segment footprint realignment which began in 2021. In connection with these actions, the Company recorded pre-tax realignment charges of $5.0 million, of which $2.7 million related to facility move and consolidation costs and $2.3 million was for employee-related costs. During 2022, $2.8 million of these charges were included in cost of sales, $2.0 million of these charges were included in selling, general and administrative expenses and $0.2 million of these charges were included in net gain (loss) on dispositions of assets in the accompanying consolidated statement of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Realignment Actions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executed certain realignment actions in response to reductions in current and expected future end market demand. First, the Company closed its Packaging segment's Union City, California, manufacturing facility, consolidating the operation into its Indianapolis, Indiana, and Woodridge, Illinois, facilities. The Company also realigned its Aerospace segment footprint, consolidating certain activities previously in its Stanton, California, facilities into its Tolleson, Arizona, facility. In addition, the Company also reorganized its corporate office legal and finance groups. The Company recorded pre-tax realignment charges of $9.7 million, of which $3.5 million related to facility consolidations and $6.2 million were for employee separation costs. As of December 31, 2021, $2.4 million of the employee separation costs had been paid. During 2021, $4.1 million of these charges were included in cost of sales and $5.6 million were included in selling, general and administrative expenses, respectively, in the accompanying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Realignment Actions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2020, the Company executed certain realignment actions, primarily in its Aerospace and Specialty Products segments, in response to reductions in current and expected future end-market demand. The Company recorded non-cash charges of $13.8 million related to inventory reductions, primarily as a result of a strategic decision in its Arrow Engine division to narrow its product line focus. The Company also recorded non-cash charges of $2.3 million related to certain production equipment removed from service given reduced demand levels. In addition, the Company reduced its employment levels given lower customer demand, incurring $3.8 million in severance charges, of which $3.7 million was paid by December 31, 2020. During 2020, $17.1 million of these charges were included in cost of sales and $2.8 million were included in selling, general and administrative expenses in the accompanying consolidated statement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4"/>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Customer End Markets</w:t>
            </w:r>
          </w:p>
        </w:tc>
        <w:tc>
          <w:tcPr>
            <w:tcW w:w="34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419,410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424,320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402,080</w:t>
            </w:r>
          </w:p>
        </w:tc>
      </w:tr>
      <w:tr>
        <w:trPr>
          <w:trHeight w:val="230"/>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167,740</w:t>
            </w:r>
          </w:p>
        </w:tc>
      </w:tr>
      <w:tr>
        <w:trPr>
          <w:trHeight w:val="229"/>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276,330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200,150</w:t>
            </w:r>
          </w:p>
        </w:tc>
      </w:tr>
      <w:tr>
        <w:trPr>
          <w:trHeight w:val="223"/>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883,830</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857,110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769,970</w:t>
            </w:r>
          </w:p>
        </w:tc>
      </w:tr>
      <w:tr>
        <w:trPr>
          <w:trHeight w:val="20"/>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Cash and Cash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the following components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129,790</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 restricted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r>
      <w:tr>
        <w:trPr>
          <w:trHeight w:val="248"/>
        </w:trPr>
        <w:tc>
          <w:tcPr>
            <w:tcW w:w="8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cash placed on deposit with a financial institution to be held as cash collateral for the Company's outstanding letters of credit.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performed a qualitative assessment as part of its 2022, 2021 and 2020 annual impairment tests (October 1 annual test date) for all reporting units, which included a review of the Company’s market capitalization. Based on results of the qualitative assessments for the 2022, 2021 and 2020 annual impairment tests, the Company determined there were no indications that the fair value of a reporting unit was less than its carrying amount; therefore, the Company determined that quantitative goodwill impairment tests were not required.</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2020, as a result of a decline in its aerospace-related business' financial results, a significant reduction in its financial projections for the remainder of 2020 compared with prior projections, and uncertainty around the duration and magnitude of the impact of the COVID-19 pandemic on future financial results given their dependence on future levels of air travel and new aircraft builds, the Company determined there was a triggering event requiring an interim quantitative goodwill impairment assessment of each of its two aerospace-related reporting units: Aerospace Fasteners and Aerospace Engineered Products.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completion of the quantitative goodwill impairment tests, the Company determined that the carrying values of the Aerospace Fasteners and Aerospace Engineered Products reporting units exceeded their fair values, resulting in goodwill impairment charges of $70.8 million in its Aerospace Fasteners reporting unit and $56.0 million in its Aerospace Engineered Products reporting unit.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years ended December 31, 2022 and 2021 are as follows (dollars in thousands):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Specialty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3"/>
        </w:trPr>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30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303,970</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from acquisitions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17,770</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238,740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315,490</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from acquisitions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32,370</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r>
      <w:tr>
        <w:trPr>
          <w:trHeight w:val="248"/>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339,810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purposes of the Company's 2022, 2021 and 2020 annual indefinite-lived intangible asset impairment tests (as of October 1), the Company performed a qualitative assessment to determine whether it was more likely than not that the fair values of the indefinite-lived intangible assets were less than the carrying values. Based on the qualitative assessment performed, the Company did not believe that it is more likely than not that the fair values of each of its indefinite-lived intangible assets were less than the carrying values; therefore, a fair value calculation of the indefinite-lived intangible assets was not required for the 2022, 2021 and 2020 annual indefinite-lived intangible asset impairment tests.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2020, as a result of the significant forecast reduction in the Company's aerospace-related businesses, the Company also performed an interim quantitative assessment for the indefinite-lived intangible assets within the Aerospace segment, using the relief-from-royalty method. Significant management assumptions used under the relief-from-royalty method reflected the Company's current assessment of the risks and uncertainties associated with the aerospace industry. Upon completion of the quantitative impairment test, the Company determined that certain of its aerospace-related trade names had carrying values that exceeded their fair values, and therefore recorded impairment charges of $7.8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gross carrying amounts and accumulated amortization of the Company's other intangibles as of December 31, 2022 and 2021 are summarized below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60" w:type="dxa"/>
            <w:vAlign w:val="bottom"/>
          </w:tcPr>
          <w:p>
            <w:pPr>
              <w:spacing w:after="0"/>
              <w:rPr>
                <w:sz w:val="18"/>
                <w:szCs w:val="18"/>
                <w:color w:val="auto"/>
              </w:rPr>
            </w:pPr>
          </w:p>
        </w:tc>
        <w:tc>
          <w:tcPr>
            <w:tcW w:w="300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0" w:type="dxa"/>
            <w:vAlign w:val="bottom"/>
          </w:tcPr>
          <w:p>
            <w:pPr>
              <w:spacing w:after="0"/>
              <w:rPr>
                <w:sz w:val="1"/>
                <w:szCs w:val="1"/>
                <w:color w:val="auto"/>
              </w:rPr>
            </w:pPr>
          </w:p>
        </w:tc>
      </w:tr>
      <w:tr>
        <w:trPr>
          <w:trHeight w:val="159"/>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(68,190)</w:t>
            </w:r>
          </w:p>
        </w:tc>
        <w:tc>
          <w:tcPr>
            <w:tcW w:w="0" w:type="dxa"/>
            <w:vAlign w:val="bottom"/>
          </w:tcPr>
          <w:p>
            <w:pPr>
              <w:spacing w:after="0"/>
              <w:rPr>
                <w:sz w:val="1"/>
                <w:szCs w:val="1"/>
                <w:color w:val="auto"/>
              </w:rPr>
            </w:pPr>
          </w:p>
        </w:tc>
      </w:tr>
      <w:tr>
        <w:trPr>
          <w:trHeight w:val="223"/>
        </w:trPr>
        <w:tc>
          <w:tcPr>
            <w:tcW w:w="4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(36,140)</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(76,060)</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Trademark/Trade names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(233,700)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(215,400)</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operations is summarized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 included in selling, general and administrative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beginning after December 31, 2022 is as follows (dollars in thousands):</w:t>
      </w:r>
    </w:p>
    <w:p>
      <w:pPr>
        <w:spacing w:after="0" w:line="282" w:lineRule="exact"/>
        <w:rPr>
          <w:sz w:val="20"/>
          <w:szCs w:val="20"/>
          <w:color w:val="auto"/>
        </w:rPr>
      </w:pPr>
    </w:p>
    <w:tbl>
      <w:tblPr>
        <w:tblLayout w:type="fixed"/>
        <w:tblInd w:w="2560" w:type="dxa"/>
        <w:tblCellMar>
          <w:top w:w="0" w:type="dxa"/>
          <w:left w:w="0" w:type="dxa"/>
          <w:bottom w:w="0" w:type="dxa"/>
          <w:right w:w="0" w:type="dxa"/>
        </w:tblCellMar>
      </w:tblPr>
      <w:tr>
        <w:trPr>
          <w:trHeight w:val="215"/>
        </w:trPr>
        <w:tc>
          <w:tcPr>
            <w:tcW w:w="26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Estimated Amortization Expense</w:t>
            </w:r>
          </w:p>
        </w:tc>
      </w:tr>
      <w:tr>
        <w:trPr>
          <w:trHeight w:val="226"/>
        </w:trPr>
        <w:tc>
          <w:tcPr>
            <w:tcW w:w="2600" w:type="dxa"/>
            <w:vAlign w:val="bottom"/>
            <w:shd w:val="clear" w:color="auto" w:fill="CCEEFF"/>
          </w:tcPr>
          <w:p>
            <w:pPr>
              <w:jc w:val="right"/>
              <w:ind w:right="2132"/>
              <w:spacing w:after="0"/>
              <w:rPr>
                <w:sz w:val="20"/>
                <w:szCs w:val="20"/>
                <w:color w:val="auto"/>
              </w:rPr>
            </w:pPr>
            <w:r>
              <w:rPr>
                <w:rFonts w:ascii="Times New Roman" w:cs="Times New Roman" w:eastAsia="Times New Roman" w:hAnsi="Times New Roman"/>
                <w:sz w:val="18"/>
                <w:szCs w:val="18"/>
                <w:color w:val="auto"/>
                <w:w w:val="99"/>
              </w:rPr>
              <w:t>2023</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w:t>
            </w:r>
          </w:p>
        </w:tc>
      </w:tr>
      <w:tr>
        <w:trPr>
          <w:trHeight w:val="229"/>
        </w:trPr>
        <w:tc>
          <w:tcPr>
            <w:tcW w:w="2600" w:type="dxa"/>
            <w:vAlign w:val="bottom"/>
          </w:tcPr>
          <w:p>
            <w:pPr>
              <w:jc w:val="right"/>
              <w:ind w:right="2132"/>
              <w:spacing w:after="0"/>
              <w:rPr>
                <w:sz w:val="20"/>
                <w:szCs w:val="20"/>
                <w:color w:val="auto"/>
              </w:rPr>
            </w:pPr>
            <w:r>
              <w:rPr>
                <w:rFonts w:ascii="Times New Roman" w:cs="Times New Roman" w:eastAsia="Times New Roman" w:hAnsi="Times New Roman"/>
                <w:sz w:val="18"/>
                <w:szCs w:val="18"/>
                <w:color w:val="auto"/>
                <w:w w:val="99"/>
              </w:rPr>
              <w:t>2024</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r>
      <w:tr>
        <w:trPr>
          <w:trHeight w:val="230"/>
        </w:trPr>
        <w:tc>
          <w:tcPr>
            <w:tcW w:w="2600" w:type="dxa"/>
            <w:vAlign w:val="bottom"/>
            <w:shd w:val="clear" w:color="auto" w:fill="CCEEFF"/>
          </w:tcPr>
          <w:p>
            <w:pPr>
              <w:jc w:val="right"/>
              <w:ind w:right="2132"/>
              <w:spacing w:after="0"/>
              <w:rPr>
                <w:sz w:val="20"/>
                <w:szCs w:val="20"/>
                <w:color w:val="auto"/>
              </w:rPr>
            </w:pPr>
            <w:r>
              <w:rPr>
                <w:rFonts w:ascii="Times New Roman" w:cs="Times New Roman" w:eastAsia="Times New Roman" w:hAnsi="Times New Roman"/>
                <w:sz w:val="18"/>
                <w:szCs w:val="18"/>
                <w:color w:val="auto"/>
                <w:w w:val="99"/>
              </w:rPr>
              <w:t>2025</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w:t>
            </w:r>
          </w:p>
        </w:tc>
      </w:tr>
      <w:tr>
        <w:trPr>
          <w:trHeight w:val="230"/>
        </w:trPr>
        <w:tc>
          <w:tcPr>
            <w:tcW w:w="2600" w:type="dxa"/>
            <w:vAlign w:val="bottom"/>
          </w:tcPr>
          <w:p>
            <w:pPr>
              <w:jc w:val="right"/>
              <w:ind w:right="2132"/>
              <w:spacing w:after="0"/>
              <w:rPr>
                <w:sz w:val="20"/>
                <w:szCs w:val="20"/>
                <w:color w:val="auto"/>
              </w:rPr>
            </w:pPr>
            <w:r>
              <w:rPr>
                <w:rFonts w:ascii="Times New Roman" w:cs="Times New Roman" w:eastAsia="Times New Roman" w:hAnsi="Times New Roman"/>
                <w:sz w:val="18"/>
                <w:szCs w:val="18"/>
                <w:color w:val="auto"/>
                <w:w w:val="99"/>
              </w:rPr>
              <w:t>2026</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w:t>
            </w:r>
          </w:p>
        </w:tc>
      </w:tr>
      <w:tr>
        <w:trPr>
          <w:trHeight w:val="230"/>
        </w:trPr>
        <w:tc>
          <w:tcPr>
            <w:tcW w:w="2600" w:type="dxa"/>
            <w:vAlign w:val="bottom"/>
            <w:shd w:val="clear" w:color="auto" w:fill="CCEEFF"/>
          </w:tcPr>
          <w:p>
            <w:pPr>
              <w:jc w:val="right"/>
              <w:ind w:right="2132"/>
              <w:spacing w:after="0"/>
              <w:rPr>
                <w:sz w:val="20"/>
                <w:szCs w:val="20"/>
                <w:color w:val="auto"/>
              </w:rPr>
            </w:pPr>
            <w:r>
              <w:rPr>
                <w:rFonts w:ascii="Times New Roman" w:cs="Times New Roman" w:eastAsia="Times New Roman" w:hAnsi="Times New Roman"/>
                <w:sz w:val="18"/>
                <w:szCs w:val="18"/>
                <w:color w:val="auto"/>
                <w:w w:val="99"/>
              </w:rPr>
              <w:t>2027</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Property and Equipment, Net</w:t>
            </w: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operations is as follows (dollars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9"/>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expense, included in selling, general and administrative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Accrued Liabilities</w:t>
            </w: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components (dollars in thousands):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High deductible insurance</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2029</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2021, the Company issued $400.0 million aggregate principal amount of 4.125% senior notes outstanding due April 15, 2029 ("2029 Senior Notes") at par value in a private placement under Rule 144A of the Securities Act of 1933, as amended ("Securities Act"). The Company used the proceeds from the 2029 Senior Notes offering to pay fees and expenses of $5.1 million related to the offering and pay fees and expenses of $1.1 million related to amending its existing credit agreement. In connection with the issuance, the Company completed the redemption of its outstanding 4.875% senior notes due October 15, 2025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$3.0 million of unamortized debt issuance costs associated with the 2025 Senior Notes, were included in debt financing and related expenses in the accompanying consolidated statement of operations.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2029 Senior Notes accrue interest at a rate of 4.125% per annum, payable semi-annually in arrears on April 15 and October 15. The payment of principal and interest is jointly and severally guaranteed, on a senior unsecured basis, by certain subsidiaries of the Company. The 2029 Senior Notes are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all existing and future senior indebtedness and effectively subordinated to all existing and future secured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of the value of the assets securing such indebtedness.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April 15, 2024, the Company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2029 Senior Notes at a redemption price equal to 100% of the principal amount thereof, plus accrued and unpaid interest, if any, to the redemption date, plus a "make whole" premium. On or after April 15, 2024, the Company may redeem all or part of the 2029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45"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2025</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2017, the Company issued $300.0 million aggregate principal amount of its 2025 Senior Notes at par value in a private placement under Rule 144A of the Securities Act. During the second quarter of 2021, and in connection with the issuance of the 2029 Senior Notes, the Company redeemed all of the outstanding 2025 Senior Notes, as permitted under the indenture, at a price of 102.438% of the principal amount.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2021, the Company amended its existing credit agreement ("Credit Agreement") in connection with the issuance of the 2029 Senior Notes to extend the maturity date. The Company incurred fees and expenses of $1.1 million related to the amendment, all of which was capitalized as debt issuance costs. The Company also recorded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the Company amended the Credit Agreement to replace LIBOR with a benchmark interest rate determined based on the currency denomination of borrowings. Effective January 1, 2022, the amendment replaced the reference rate terms for U.S. dollar LIBOR borrowings to the Secured Overnight Financing Rate ("SOFR"), British pound sterling LIBOR borrowings to the Sterling Overnight Index Average ("SONIA") and Euro LIBOR borrowings to the Euro Short Term Rate ("ESTR"), all plus a spread of 1.50%. The interest rate spread is based upon the leverage ratio, as defined, as of the most recent determination date.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revolving credit facility allows for the issuance of letters of credit, not to exceed $40.0 million in aggregate. As of December 31, 2021 the Company placed cash on deposit with a financial institution to be held as cash collateral for the Company's outstanding letters of credit; effectively, as of December 31, 2021, the Company had no letters of credit issued against its revolving credit facility. See Note 7,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further information on its cash deposits. At December 31, 2022, the Company had no amounts outstanding under its revolving credit facility and had $293.9 million potentially available after giving effect to $6.1 million of letters of credit issued and outstanding. At December 31, 2021, the Company had no amounts outstanding under its revolving credit facility and had $300.0 million potentially available. The Company's borrowing capacity was not reduced by leverage restrictions contained in the Credit Agreement as of December 31, 2022 and December 31, 2021.</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December 31, 2022, the Company was in compliance with the financial covenants contained in the Credit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There were no borrowings outstanding on this loan facility as of December 31, 2022 or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Maturities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maturities of the face value of long-term debt at December 31, 2022 are as follows (dollars in thousands):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6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Future Maturities</w:t>
            </w:r>
          </w:p>
        </w:tc>
      </w:tr>
      <w:tr>
        <w:trPr>
          <w:trHeight w:val="226"/>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48"/>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8"/>
                <w:szCs w:val="18"/>
                <w:color w:val="auto"/>
              </w:rPr>
            </w:pPr>
          </w:p>
        </w:tc>
        <w:tc>
          <w:tcPr>
            <w:tcW w:w="3500" w:type="dxa"/>
            <w:vAlign w:val="bottom"/>
            <w:gridSpan w:val="4"/>
          </w:tcPr>
          <w:p>
            <w:pPr>
              <w:jc w:val="right"/>
              <w:ind w:right="1095"/>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3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unamortized debt issuance costs approximated $5.3 million and $6.2 million at December 31, 2022 and 2021, respectively, and are included as a direct reduction from the related debt liability in the accompanying consolidated balance sheet. These amounts consisted primarily of legal, accounting and other transaction advisory fees as well as facility fees paid to the lenders. Amortization expense for these items was $0.9 million, $1.0 million and $1.2 million in 2022, 2021 and 2020, respectively, and is included in interest expense in the accompanying consolidated statement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the Company entered into cross-currency swap agreements to hedge its net investment in Euro-denominated assets against future volatility in the exchange rate between the U.S. dollar and the Euro. By doing so, the Company synthetically converts a portion of its U.S. dollar-based long-term debt into Euro-denominated long-term debt. The agreements have notional amounts totaling $150.0 million, which decline to $75.0 million over contract periods ending on October 15, 2023 and April 15, 2024. Under the terms of the agreements, the Company is to receive net interest payments at fixed rates of approximately 2.4% to 2.6% of the notional amounts. At inception, the cross-currency swaps were designated as net investment hedges.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immediately prior to entering into the new cross-currency swap agreements, the Company terminated its existing cross-currency swap agreements, de-designating the swaps as net investment hedges and receiving $26.2 million of cash. The cross-currency swap agreements had notional amounts totaling $250.0 million, which declined to $25.0 million over various contract periods ending between October 15, 2023 and October 15, 2027. Under the terms of the agreements, the Company was to receive net interest payments at fixed rates ranging from approximately 0.8% to 2.9% of the notional amounts.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fair value carrying amount of the Company's derivatives designated as hedging instruments are recorded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c>
          <w:tcPr>
            <w:tcW w:w="0" w:type="dxa"/>
            <w:vAlign w:val="bottom"/>
          </w:tcPr>
          <w:p>
            <w:pPr>
              <w:spacing w:after="0"/>
              <w:rPr>
                <w:sz w:val="1"/>
                <w:szCs w:val="1"/>
                <w:color w:val="auto"/>
              </w:rPr>
            </w:pPr>
          </w:p>
        </w:tc>
      </w:tr>
      <w:tr>
        <w:trPr>
          <w:trHeight w:val="159"/>
        </w:trPr>
        <w:tc>
          <w:tcPr>
            <w:tcW w:w="46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84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40" w:type="dxa"/>
            <w:vAlign w:val="bottom"/>
          </w:tcPr>
          <w:p>
            <w:pPr>
              <w:spacing w:after="0"/>
              <w:rPr>
                <w:sz w:val="13"/>
                <w:szCs w:val="13"/>
                <w:color w:val="auto"/>
              </w:rPr>
            </w:pPr>
          </w:p>
        </w:tc>
        <w:tc>
          <w:tcPr>
            <w:tcW w:w="1440" w:type="dxa"/>
            <w:vAlign w:val="bottom"/>
            <w:gridSpan w:val="3"/>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Pr>
          <w:p>
            <w:pPr>
              <w:jc w:val="right"/>
              <w:ind w:right="95"/>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600" w:type="dxa"/>
            <w:vAlign w:val="bottom"/>
            <w:gridSpan w:val="2"/>
            <w:vMerge w:val="continue"/>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20" w:type="dxa"/>
            <w:vAlign w:val="bottom"/>
            <w:tcBorders>
              <w:top w:val="single" w:sz="8" w:color="CCEEFF"/>
            </w:tcBorders>
            <w:shd w:val="clear" w:color="auto" w:fill="CCEEFF"/>
          </w:tcPr>
          <w:p>
            <w:pPr>
              <w:spacing w:after="0"/>
              <w:rPr>
                <w:sz w:val="19"/>
                <w:szCs w:val="19"/>
                <w:color w:val="auto"/>
              </w:rPr>
            </w:pPr>
          </w:p>
        </w:tc>
        <w:tc>
          <w:tcPr>
            <w:tcW w:w="3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income recognized in AOCI on derivative contracts designated as hedging instruments as of December 31, 2022 and 2021, and the amounts reclassified from AOCI into earnings for the years ended December 31, 2022, 2021 and 2020 (dollars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 of Income (Loss)</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center"/>
              <w:ind w:left="558"/>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Recognized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Loss Reclassified from</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in AOCI on Derivative</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Location of Loss</w:t>
            </w:r>
          </w:p>
        </w:tc>
        <w:tc>
          <w:tcPr>
            <w:tcW w:w="720" w:type="dxa"/>
            <w:vAlign w:val="bottom"/>
          </w:tcPr>
          <w:p>
            <w:pPr>
              <w:spacing w:after="0"/>
              <w:rPr>
                <w:sz w:val="16"/>
                <w:szCs w:val="16"/>
                <w:color w:val="auto"/>
              </w:rPr>
            </w:pPr>
          </w:p>
        </w:tc>
        <w:tc>
          <w:tcPr>
            <w:tcW w:w="18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AOCI into Earnings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 AOCI</w:t>
            </w: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0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0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204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into Earnings</w:t>
            </w:r>
          </w:p>
        </w:tc>
        <w:tc>
          <w:tcPr>
            <w:tcW w:w="720" w:type="dxa"/>
            <w:vAlign w:val="bottom"/>
          </w:tcPr>
          <w:p>
            <w:pPr>
              <w:spacing w:after="0"/>
              <w:rPr>
                <w:sz w:val="10"/>
                <w:szCs w:val="10"/>
                <w:color w:val="auto"/>
              </w:rPr>
            </w:pPr>
          </w:p>
        </w:tc>
        <w:tc>
          <w:tcPr>
            <w:tcW w:w="1880" w:type="dxa"/>
            <w:vAlign w:val="bottom"/>
            <w:gridSpan w:val="6"/>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vMerge w:val="restart"/>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vMerge w:val="restart"/>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vMerge w:val="restart"/>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line="20" w:lineRule="exact"/>
              <w:rPr>
                <w:sz w:val="1"/>
                <w:szCs w:val="1"/>
                <w:color w:val="auto"/>
              </w:rPr>
            </w:pPr>
          </w:p>
        </w:tc>
      </w:tr>
      <w:tr>
        <w:trPr>
          <w:trHeight w:val="214"/>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(Effective Portion)</w:t>
            </w:r>
          </w:p>
        </w:tc>
        <w:tc>
          <w:tcPr>
            <w:tcW w:w="7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was party to foreign currency exchange forward contracts to economically hedge changes in foreign currency rates with notional amounts of $127.2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June 2023. These contracts are not designated as hedge instruments; therefore, gains and losses on these contracts are recognized each period directly into the consolidated statement of operations.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operations (dollars in thousands):</w:t>
      </w:r>
    </w:p>
    <w:p>
      <w:pPr>
        <w:spacing w:after="0" w:line="216"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Amount of Income (Loss) Recognized in</w:t>
      </w: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Earnings on 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6"/>
          </w:tcPr>
          <w:p>
            <w:pPr>
              <w:jc w:val="center"/>
              <w:ind w:left="436"/>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900" w:type="dxa"/>
            <w:vAlign w:val="bottom"/>
          </w:tcPr>
          <w:p>
            <w:pPr>
              <w:spacing w:after="0"/>
              <w:rPr>
                <w:sz w:val="12"/>
                <w:szCs w:val="12"/>
                <w:color w:val="auto"/>
              </w:rPr>
            </w:pPr>
          </w:p>
        </w:tc>
        <w:tc>
          <w:tcPr>
            <w:tcW w:w="29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29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220" w:type="dxa"/>
            <w:vAlign w:val="bottom"/>
          </w:tcPr>
          <w:p>
            <w:pPr>
              <w:spacing w:after="0"/>
              <w:rPr>
                <w:sz w:val="14"/>
                <w:szCs w:val="14"/>
                <w:color w:val="auto"/>
              </w:rPr>
            </w:pPr>
          </w:p>
        </w:tc>
        <w:tc>
          <w:tcPr>
            <w:tcW w:w="820" w:type="dxa"/>
            <w:vAlign w:val="bottom"/>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 instruments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December 31, 2022 and 2021 are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2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8"/>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variable and other lease costs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remaining term of the Company's operating leases as of December 31, 2022 is 6.7 years. The weighted-average discount rate as of December 31, 2022 is 3.7%.</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$9.9 million, $7.9 million and $7.9 million during 2022, 2021 and 2020 respectively, and is included in cash flows provided by operating activities in the consolidated statement of cash flows.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were $5.8 million and $19.6 million during 2022 and 2021,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Other Long-term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the Company's operations and the long history of industrial activities at certain of the Company's current or former facilities, as well as those acquired, could potentially result in material environmental liabilities.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must comply with existing and pending climate change legislation, regulation and international treaties or accords, current laws and regulations have not had a material impact on the Company's business, capital expenditures or financial position. Future events, including those relating to climate change or greenhouse gas regulation, could require the Company to incur expenses related to the modification or curtailment of operations, installation of pollution control equipment or investigation and cleanup of contaminated sites.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was a party to 426 pending cases involving an aggregate of 4,798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60" w:type="dxa"/>
            <w:vAlign w:val="bottom"/>
          </w:tcPr>
          <w:p>
            <w:pPr>
              <w:spacing w:after="0"/>
              <w:rPr>
                <w:sz w:val="14"/>
                <w:szCs w:val="14"/>
                <w:color w:val="auto"/>
              </w:rPr>
            </w:pPr>
          </w:p>
        </w:tc>
        <w:tc>
          <w:tcPr>
            <w:tcW w:w="118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12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8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8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 end</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60" w:type="dxa"/>
            <w:vAlign w:val="bottom"/>
          </w:tcPr>
          <w:p>
            <w:pPr>
              <w:spacing w:after="0"/>
              <w:rPr>
                <w:sz w:val="14"/>
                <w:szCs w:val="14"/>
                <w:color w:val="auto"/>
              </w:rPr>
            </w:pPr>
          </w:p>
        </w:tc>
        <w:tc>
          <w:tcPr>
            <w:tcW w:w="11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1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8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2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60" w:type="dxa"/>
            <w:vAlign w:val="bottom"/>
          </w:tcPr>
          <w:p>
            <w:pPr>
              <w:spacing w:after="0"/>
              <w:rPr>
                <w:sz w:val="18"/>
                <w:szCs w:val="18"/>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57"/>
        </w:trPr>
        <w:tc>
          <w:tcPr>
            <w:tcW w:w="21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Fiscal year ended</w:t>
            </w: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2,180,000</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the pending cases relate to locations at which none of its gaskets were distributed or used.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w:t>
      </w:r>
    </w:p>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large majority of claims do not specify the amount sought. Of the 4,798 claims pending at December 31, 2022, 45 set forth specific amounts of damages (other than those stating the statutory minimum or maximum). At December 31, 2022, of the 45 claims that set forth specific amounts, there was no claim seeking more than $5 million for punitive damages. Below is a breakdown of the compensatory damages sought for those claims seeking specific amounts: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Range of damages sought (in millions)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42</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of the claims have reached the discovery stage and even fewer claims have gone past the discovery stage. Total settlement costs (exclusive of defense costs) for all such cases, some of which were filed over 25 years ago, have been $12.5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accounting change was reflected as a change in accounting estimate effected by a change in accounting principle. Following the change in accounting estimate, the Company’s liability for asbestos-related claims will be based on a study from the Company’s third-party actuary, the Company's review of the study, as well as the Company’s own review of asbestos claims and claim resolution activity. After completing its study in the second quarter of 2020, the Company recorded a non-cash, pre-tax charge of $23.4 million. In 2021, the Company commissioned its actuary to update the asbestos study based on data as of September 30, 2021. The Company recorded a non-cash, pre-tax charge of $1.5 million to increase the liability estimate to $28.2 million, at the low-end of the range of the 2021 study. These pre-tax charges for 2020 and 2021 are included in selling, general and administrative expenses in the accompanying consolidated statement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the Company commissioned its actuary to update the asbestos study based on data as of September 30, 2022, which yielded a range of possible future liability of $29.6 million to $39.5 million. The Company did not believe any amount within the range of potential outcomes represented a better estimate than another given the many factors and assumptions inherent in the projections, and therefore recorded a non-cash, pre-tax charge of $5.6 million to increase the liability estimate to $29.6 million, at the low-end of the range. This charge is included in selling, general and administrative expenses in the accompanying consolidated statement of operations. As of December 31, 2022, the Company’s total asbestos-related liability is $29.1 million, and is included in accrued liabilities and other long-term liabilities, respectively,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Profit-Sharing Benefits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 defined contribution profit sharing plan for the benefit of substantially all the Company's domestic salaried and non-union hourly employees. The plan contains both contributory and noncontributory profit sharing arrangements, as defined. Aggregate charges included in the accompanying consolidated statement of operations under this plan were $3.7 million in 2022 and $3.4 million in each of 2021 and 2020, respectively. Certain of the Company's non-U.S. and union hourly employees participate in defined benefit pension plans.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 Expenses and Obligations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expense recorded in the Company's consolidated statement of operations for defined benefit pension plans include the following components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3"/>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expense is recorded in cost of goods sold and selling, general and administrative expenses, while non-service cost components are recorded in other income (expense), net in the accompanying consolidated statement of operations.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2022, the Company recorded a non-cash curtailment expense of $0.2 million, as it transitioned certain active employees previously participating in a defined benefit plan in the United Kingdom to a defined contribution plan, thereby eliminating future service cost accruals for all employees under this defined benefit plan.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Actuarial valuations of the Company's defined benefit pension plans were prepared as of December 31, 2022, 2021 and 2020. Weighted average assumptions used in accounting for the U.S. defined benefit pension plans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240" w:type="dxa"/>
            <w:vAlign w:val="bottom"/>
            <w:tcBorders>
              <w:bottom w:val="single" w:sz="8" w:color="auto"/>
            </w:tcBorders>
          </w:tcPr>
          <w:p>
            <w:pPr>
              <w:spacing w:after="0"/>
              <w:rPr>
                <w:sz w:val="18"/>
                <w:szCs w:val="18"/>
                <w:color w:val="auto"/>
              </w:rPr>
            </w:pPr>
          </w:p>
        </w:tc>
      </w:tr>
      <w:tr>
        <w:trPr>
          <w:trHeight w:val="211"/>
        </w:trPr>
        <w:tc>
          <w:tcPr>
            <w:tcW w:w="7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obligations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benefit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high-quality (Aa or greater) corporate bond yield curve as the basis for its domestic discount rate for its pension benefit plans. Management believes this yield curve removes the impact of including additional required corporate bond yields (potentially considered in the above-median curve) resulting from the uncertain economic climate that does not necessarily reflect the general trend in high-quality interest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in accounting for the non-U.S. defined benefit pension plans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240" w:type="dxa"/>
            <w:vAlign w:val="bottom"/>
            <w:tcBorders>
              <w:bottom w:val="single" w:sz="8" w:color="auto"/>
            </w:tcBorders>
          </w:tcPr>
          <w:p>
            <w:pPr>
              <w:spacing w:after="0"/>
              <w:rPr>
                <w:sz w:val="18"/>
                <w:szCs w:val="18"/>
                <w:color w:val="auto"/>
              </w:rPr>
            </w:pPr>
          </w:p>
        </w:tc>
      </w:tr>
      <w:tr>
        <w:trPr>
          <w:trHeight w:val="211"/>
        </w:trPr>
        <w:tc>
          <w:tcPr>
            <w:tcW w:w="7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obligations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benefit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the changes in the Company's defined benefit pension plans' projected benefit obligations and fair value of assets for each of the years ended December 31, 2022 and 2021 and the funded status as of December 31, 2022 and 2021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Pension Benefit</w:t>
            </w:r>
          </w:p>
        </w:tc>
      </w:tr>
      <w:tr>
        <w:trPr>
          <w:trHeight w:val="211"/>
        </w:trPr>
        <w:tc>
          <w:tcPr>
            <w:tcW w:w="8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Projected Benefit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(40,830)</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Actuarial gain </w:t>
            </w:r>
            <w:r>
              <w:rPr>
                <w:rFonts w:ascii="Times New Roman" w:cs="Times New Roman" w:eastAsia="Times New Roman" w:hAnsi="Times New Roman"/>
                <w:sz w:val="23"/>
                <w:szCs w:val="23"/>
                <w:color w:val="auto"/>
                <w:vertAlign w:val="superscript"/>
              </w:rPr>
              <w:t>(a)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payments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9"/>
        </w:trPr>
        <w:tc>
          <w:tcPr>
            <w:tcW w:w="8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foreign currency</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 at December 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(37,560)</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36,060</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payments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30"/>
        </w:trPr>
        <w:tc>
          <w:tcPr>
            <w:tcW w:w="8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foreign currency</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38,130</w:t>
            </w:r>
          </w:p>
        </w:tc>
      </w:tr>
      <w:tr>
        <w:trPr>
          <w:trHeight w:val="223"/>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Funded status at December 31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180" w:hanging="172"/>
        <w:spacing w:after="0" w:line="233" w:lineRule="auto"/>
        <w:tabs>
          <w:tab w:leader="none" w:pos="158"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actuarial gain for the year ended December 31, 2022 was primarily due to an increase in the discount rate utilized in measuring the projected benefit obligations, partially offset by experience losses. The actuarial gain for the year ended December 31, 2021 was primarily due to an increase in the discount rate utilized in measuring the projected benefit obligations as well as other assumptions and experience gains.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Pension Benefit</w:t>
            </w:r>
          </w:p>
        </w:tc>
      </w:tr>
      <w:tr>
        <w:trPr>
          <w:trHeight w:val="211"/>
        </w:trPr>
        <w:tc>
          <w:tcPr>
            <w:tcW w:w="8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Balance Sheet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w:t>
            </w:r>
          </w:p>
        </w:tc>
      </w:tr>
      <w:tr>
        <w:trPr>
          <w:trHeight w:val="248"/>
        </w:trPr>
        <w:tc>
          <w:tcPr>
            <w:tcW w:w="8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 (liability) recognized at December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43"/>
        </w:trPr>
        <w:tc>
          <w:tcPr>
            <w:tcW w:w="8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Pension Benefit</w:t>
            </w:r>
          </w:p>
        </w:tc>
      </w:tr>
      <w:tr>
        <w:trPr>
          <w:trHeight w:val="211"/>
        </w:trPr>
        <w:tc>
          <w:tcPr>
            <w:tcW w:w="8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net loss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r>
      <w:tr>
        <w:trPr>
          <w:trHeight w:val="223"/>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accumulated other comprehensive loss recognized at December 31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Accumulated Benefit</w:t>
            </w:r>
          </w:p>
        </w:tc>
        <w:tc>
          <w:tcPr>
            <w:tcW w:w="120" w:type="dxa"/>
            <w:vAlign w:val="bottom"/>
          </w:tcPr>
          <w:p>
            <w:pPr>
              <w:spacing w:after="0"/>
              <w:rPr>
                <w:sz w:val="16"/>
                <w:szCs w:val="16"/>
                <w:color w:val="auto"/>
              </w:rPr>
            </w:pPr>
          </w:p>
        </w:tc>
        <w:tc>
          <w:tcPr>
            <w:tcW w:w="2200" w:type="dxa"/>
            <w:vAlign w:val="bottom"/>
            <w:gridSpan w:val="4"/>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Projected Benefit Obligations</w:t>
            </w:r>
          </w:p>
        </w:tc>
        <w:tc>
          <w:tcPr>
            <w:tcW w:w="0" w:type="dxa"/>
            <w:vAlign w:val="bottom"/>
          </w:tcPr>
          <w:p>
            <w:pPr>
              <w:spacing w:after="0"/>
              <w:rPr>
                <w:sz w:val="1"/>
                <w:szCs w:val="1"/>
                <w:color w:val="auto"/>
              </w:rPr>
            </w:pPr>
          </w:p>
        </w:tc>
      </w:tr>
      <w:tr>
        <w:trPr>
          <w:trHeight w:val="214"/>
        </w:trPr>
        <w:tc>
          <w:tcPr>
            <w:tcW w:w="6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Obligations at December 31,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benefit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benefit obligations exceeding plan assets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regarding discount rates and expected return on plan assets can have a significant impact on amounts reported for benefit plans. A 25 basis point change in benefit obligation discount rates or 50 basis point change in expected return on plan assets would have the following effect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152"/>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0" w:type="dxa"/>
            <w:vAlign w:val="bottom"/>
          </w:tcPr>
          <w:p>
            <w:pPr>
              <w:spacing w:after="0"/>
              <w:rPr>
                <w:sz w:val="1"/>
                <w:szCs w:val="1"/>
                <w:color w:val="auto"/>
              </w:rPr>
            </w:pPr>
          </w:p>
        </w:tc>
      </w:tr>
      <w:tr>
        <w:trPr>
          <w:trHeight w:val="158"/>
        </w:trPr>
        <w:tc>
          <w:tcPr>
            <w:tcW w:w="7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Pr>
          <w:p>
            <w:pPr>
              <w:spacing w:after="0"/>
              <w:rPr>
                <w:sz w:val="13"/>
                <w:szCs w:val="13"/>
                <w:color w:val="auto"/>
              </w:rPr>
            </w:pPr>
          </w:p>
        </w:tc>
        <w:tc>
          <w:tcPr>
            <w:tcW w:w="14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 Expense</w:t>
            </w:r>
          </w:p>
        </w:tc>
        <w:tc>
          <w:tcPr>
            <w:tcW w:w="0" w:type="dxa"/>
            <w:vAlign w:val="bottom"/>
          </w:tcPr>
          <w:p>
            <w:pPr>
              <w:spacing w:after="0"/>
              <w:rPr>
                <w:sz w:val="1"/>
                <w:szCs w:val="1"/>
                <w:color w:val="auto"/>
              </w:rPr>
            </w:pPr>
          </w:p>
        </w:tc>
      </w:tr>
      <w:tr>
        <w:trPr>
          <w:trHeight w:val="214"/>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Benefit Obligation</w:t>
            </w:r>
          </w:p>
        </w:tc>
        <w:tc>
          <w:tcPr>
            <w:tcW w:w="2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(810)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return on assets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basis point increase</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 basis point decrease</w:t>
            </w:r>
          </w:p>
        </w:tc>
        <w:tc>
          <w:tcPr>
            <w:tcW w:w="160" w:type="dxa"/>
            <w:vAlign w:val="bottom"/>
          </w:tcPr>
          <w:p>
            <w:pPr>
              <w:spacing w:after="0"/>
              <w:rPr>
                <w:sz w:val="20"/>
                <w:szCs w:val="20"/>
                <w:color w:val="auto"/>
              </w:rPr>
            </w:pPr>
          </w:p>
        </w:tc>
        <w:tc>
          <w:tcPr>
            <w:tcW w:w="1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make contributions of $1.2 million to fund its pension plans during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overall investment goal is to provide for capital growth with a moderate level of volatility by investing assets in targeted allocation ranges. Specific long term investment goals include total investment return, diversity to reduce volatility and risk, and to achieve an asset allocation profile that reflects the general nature and sensitivity of the plans' liabilities. Investment goals are established after a comprehensive review of current and projected financial statement requirements, plan assets and liability structure, market returns and risks as well as special requirements of the plans. The Company reviews investment goals and actual results annually to determine whether stated objectives are still relevant and the continued feasibility of achieving the objectives.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weighted average asset allocation of the Company's domestic and foreign pension plans' assets at December 31, 2022 and 2021 and target allocations by class,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Domestic Pension</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Foreign Pension</w:t>
            </w:r>
          </w:p>
        </w:tc>
        <w:tc>
          <w:tcPr>
            <w:tcW w:w="880" w:type="dxa"/>
            <w:vAlign w:val="bottom"/>
            <w:tcBorders>
              <w:bottom w:val="single" w:sz="8" w:color="auto"/>
            </w:tcBorders>
          </w:tcPr>
          <w:p>
            <w:pPr>
              <w:spacing w:after="0"/>
              <w:rPr>
                <w:sz w:val="18"/>
                <w:szCs w:val="18"/>
                <w:color w:val="auto"/>
              </w:rPr>
            </w:pPr>
          </w:p>
        </w:tc>
      </w:tr>
      <w:tr>
        <w:trPr>
          <w:trHeight w:val="209"/>
        </w:trPr>
        <w:tc>
          <w:tcPr>
            <w:tcW w:w="3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80" w:type="dxa"/>
            <w:vAlign w:val="bottom"/>
            <w:tcBorders>
              <w:bottom w:val="single" w:sz="8" w:color="auto"/>
            </w:tcBorders>
          </w:tcPr>
          <w:p>
            <w:pPr>
              <w:spacing w:after="0"/>
              <w:rPr>
                <w:sz w:val="18"/>
                <w:szCs w:val="18"/>
                <w:color w:val="auto"/>
              </w:rPr>
            </w:pPr>
          </w:p>
        </w:tc>
      </w:tr>
      <w:tr>
        <w:trPr>
          <w:trHeight w:val="211"/>
        </w:trPr>
        <w:tc>
          <w:tcPr>
            <w:tcW w:w="332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20" w:type="dxa"/>
            <w:vAlign w:val="bottom"/>
            <w:gridSpan w:val="2"/>
          </w:tcPr>
          <w:p>
            <w:pPr>
              <w:spacing w:after="0"/>
              <w:rPr>
                <w:sz w:val="18"/>
                <w:szCs w:val="18"/>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20" w:type="dxa"/>
            <w:vAlign w:val="bottom"/>
          </w:tcPr>
          <w:p>
            <w:pPr>
              <w:spacing w:after="0"/>
              <w:rPr>
                <w:sz w:val="18"/>
                <w:szCs w:val="18"/>
                <w:color w:val="auto"/>
              </w:rPr>
            </w:pP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Diversified growth</w:t>
            </w:r>
            <w:r>
              <w:rPr>
                <w:rFonts w:ascii="Times New Roman" w:cs="Times New Roman" w:eastAsia="Times New Roman" w:hAnsi="Times New Roman"/>
                <w:sz w:val="23"/>
                <w:szCs w:val="23"/>
                <w:color w:val="auto"/>
                <w:vertAlign w:val="superscript"/>
              </w:rPr>
              <w:t>(a)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3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6" w:lineRule="exact"/>
        <w:rPr>
          <w:sz w:val="20"/>
          <w:szCs w:val="20"/>
          <w:color w:val="auto"/>
        </w:rPr>
      </w:pPr>
    </w:p>
    <w:p>
      <w:pPr>
        <w:ind w:left="140" w:hanging="132"/>
        <w:spacing w:after="0"/>
        <w:tabs>
          <w:tab w:leader="none" w:pos="14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Diversified growth funds invest in a broad range of asset classes including equities, investment grade and high yield bonds, commodities, property, private equity, infrastructure and currencies.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allocations to each asset vary from target allocations due to periodic investment strategy changes, market value fluctuations and the timing of benefit payments and contributions. The expected long-term rate of return for both the domestic and foreign plans' total assets is based on the expected return of each of the above categories, weighted based on the target allocation for each class. Actual allocation is reviewed regularly and investments are rebalanced to their targeted allocation range when deemed appropriate.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managing the plan assets, the Company reviews and manages risk associated with the funded status risk, interest rate risk, market risk, liquidity risk and operational risk. Investment policies reflect the unique circumstances of the respective plans and include requirements designed to mitigate these risks by including quality and diversification standards.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The following table summarizes the level under the fair value hierarchy (see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that the Company's pension plan assets are measured, on a recurring basis as of December 31, 2022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26"/>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subject to leveling</w:t>
            </w: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Plan assets measured at net asset value</w:t>
            </w:r>
            <w:r>
              <w:rPr>
                <w:rFonts w:ascii="Times New Roman" w:cs="Times New Roman" w:eastAsia="Times New Roman" w:hAnsi="Times New Roman"/>
                <w:sz w:val="23"/>
                <w:szCs w:val="23"/>
                <w:b w:val="1"/>
                <w:bCs w:val="1"/>
                <w:color w:val="auto"/>
                <w:vertAlign w:val="superscript"/>
              </w:rPr>
              <w:t>(a)</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Diversified growth</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0" w:lineRule="exact"/>
        <w:rPr>
          <w:sz w:val="20"/>
          <w:szCs w:val="20"/>
          <w:color w:val="auto"/>
        </w:rPr>
      </w:pPr>
    </w:p>
    <w:p>
      <w:pPr>
        <w:ind w:firstLine="8"/>
        <w:spacing w:after="0" w:line="302" w:lineRule="auto"/>
        <w:tabs>
          <w:tab w:leader="none" w:pos="154"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Certain investments that are measured at fair value using the net asset value per share as a practical expedient have not been classified in the fair value hierarchy. The fair value amounts presented in this table are intended to permit reconciliation of the fair value hierarchy to the amount presented in the fair value of plan assets.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benefit payments, which reflect expected future service, as appropriate, are expected to be paid during the following years (dollars in thousands):</w:t>
      </w:r>
    </w:p>
    <w:p>
      <w:pPr>
        <w:spacing w:after="0" w:line="198" w:lineRule="exact"/>
        <w:rPr>
          <w:sz w:val="20"/>
          <w:szCs w:val="20"/>
          <w:color w:val="auto"/>
        </w:rPr>
      </w:pPr>
    </w:p>
    <w:tbl>
      <w:tblPr>
        <w:tblLayout w:type="fixed"/>
        <w:tblInd w:w="306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Pension</w:t>
            </w:r>
          </w:p>
        </w:tc>
      </w:tr>
      <w:tr>
        <w:trPr>
          <w:trHeight w:val="214"/>
        </w:trPr>
        <w:tc>
          <w:tcPr>
            <w:tcW w:w="3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Benefit</w:t>
            </w:r>
          </w:p>
        </w:tc>
      </w:tr>
      <w:tr>
        <w:trPr>
          <w:trHeight w:val="2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2028-2032</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Equity Awards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the following long-term equity incentive plans (collectively, the "Plans"):</w:t>
      </w:r>
    </w:p>
    <w:p>
      <w:pPr>
        <w:spacing w:after="0" w:line="275"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Names</w:t>
            </w:r>
          </w:p>
        </w:tc>
        <w:tc>
          <w:tcPr>
            <w:tcW w:w="100" w:type="dxa"/>
            <w:vAlign w:val="bottom"/>
            <w:vMerge w:val="restart"/>
          </w:tcPr>
          <w:p>
            <w:pPr>
              <w:spacing w:after="0"/>
              <w:rPr>
                <w:sz w:val="16"/>
                <w:szCs w:val="16"/>
                <w:color w:val="auto"/>
              </w:rPr>
            </w:pP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Shares Approved for</w:t>
            </w:r>
          </w:p>
        </w:tc>
        <w:tc>
          <w:tcPr>
            <w:tcW w:w="0" w:type="dxa"/>
            <w:vAlign w:val="bottom"/>
          </w:tcPr>
          <w:p>
            <w:pPr>
              <w:spacing w:after="0"/>
              <w:rPr>
                <w:sz w:val="1"/>
                <w:szCs w:val="1"/>
                <w:color w:val="auto"/>
              </w:rPr>
            </w:pPr>
          </w:p>
        </w:tc>
      </w:tr>
      <w:tr>
        <w:trPr>
          <w:trHeight w:val="214"/>
        </w:trPr>
        <w:tc>
          <w:tcPr>
            <w:tcW w:w="6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0" w:type="dxa"/>
            <w:vAlign w:val="bottom"/>
          </w:tcPr>
          <w:p>
            <w:pPr>
              <w:spacing w:after="0"/>
              <w:rPr>
                <w:sz w:val="1"/>
                <w:szCs w:val="1"/>
                <w:color w:val="auto"/>
              </w:rPr>
            </w:pPr>
          </w:p>
        </w:tc>
      </w:tr>
      <w:tr>
        <w:trPr>
          <w:trHeight w:val="360"/>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TriMas Corporation 2017 Equity and Incentive Compensation Plan</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TriMas Corporation Director Retainer Share Election Program</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2022, 2021, and 2020:</w:t>
      </w:r>
    </w:p>
    <w:p>
      <w:pPr>
        <w:spacing w:after="0" w:line="158" w:lineRule="exact"/>
        <w:rPr>
          <w:sz w:val="20"/>
          <w:szCs w:val="20"/>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209,617, 131,198, and 190,650, RSUs, respectively, to certain employees, which are subject only to a service condition and vest ratably over three years so long as the employee remains with the Company;</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22,554, 21,112 and 30,590 RSUs, respectively, to its non-employee independent directors, which vest one year from date of grant so long as the director and/or Company does not terminate their service prior to the vesting date;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337, 1,792 and 3,673 RSUs, respectively, related to director fee deferrals as certain of the Company's directors elected to defer all or a portion of their directors fees and to receive the amount in Company common stock at a future date.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RSUs during 2022 and 2021:</w:t>
      </w:r>
    </w:p>
    <w:p>
      <w:pPr>
        <w:spacing w:after="0" w:line="144" w:lineRule="exact"/>
        <w:rPr>
          <w:sz w:val="20"/>
          <w:szCs w:val="20"/>
          <w:color w:val="auto"/>
        </w:rPr>
      </w:pPr>
    </w:p>
    <w:p>
      <w:pPr>
        <w:ind w:right="1720" w:firstLine="332"/>
        <w:spacing w:after="0" w:line="422"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260 and 49 RSUs, respectively, to certain employees related to dividend equivalent rights on existing equity awards. The Company awarded the following RSUs during 2020:</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31,816 RSUs to certain employees, which are subject only to a service condition and fully vest at the end of three years so long as the employee remains with the Company; and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2,558 RSUs to certain employees, which are subject only to a service condition and vest one year from the date of grant so long as the employee remains with the Company.</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2022, the Company awarded 85,156 performance-based RSUs to certain key employees which vest three years from the grant date as long as the employee remains with the Company. These awards are earned 50% based upon the Company's achievement of an earnings per share compound annual growth rate ("EPS CAGR") metric over a period beginning January 1, 2022 and ending December 31, 2024.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1.88% and annualized volatility of 36.5%. Depending on the performance achieved for these two metrics, the amount of shares earned, if any, can vary for each metric from 0% of the target award to a maximum of 200% of the target award. The Company awarded 72,962 and 113,146 of similar performance-based RSUs in 2021 and 2020, respectively. For similar performance-based RSUs awarded in 2019, the Company attained 65.4% of the target on a weighted average basis, resulting in a decrease of 24,975 shares during 2022.</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2020, the Company awarded 87,034 performance-based RSUs to certain key divisional employees which vest three years from the grant date as long as the employee remains with the Company. These awards are earned based upon the Company's stock price performance over the period from January 1, 2020 and ending December 31, 2022. The stock price achievement is calculated based on the Company's average closing stock price for each quarter end for the 20 trading days up to and including March 31, June 30, September 30, and December 31, 2022, respectively. The Company estimates the grant-date fair value subject to a market condition using a Monte Carlo simulation model, using the following weighted average assumptions: risk free rate of 0.85% and annualized volatility of 25.2%. Depending on the performance achieved for this metric, the amount of shares earned, if any, can vary from 0% of the target award to a maximum of 160% of the target award, although it automatically is earned at the target award level if the Company's stock price is equal to or greater than a specified stock price for either five consecutive trading days or 20 total trading days during the performance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restricted shares as of and for the year ended December 31, 2022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Unvested</w:t>
            </w:r>
          </w:p>
        </w:tc>
        <w:tc>
          <w:tcPr>
            <w:tcW w:w="24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4"/>
                <w:szCs w:val="14"/>
                <w:color w:val="auto"/>
              </w:rPr>
            </w:pPr>
          </w:p>
        </w:tc>
        <w:tc>
          <w:tcPr>
            <w:tcW w:w="13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Restricted</w:t>
            </w:r>
          </w:p>
        </w:tc>
        <w:tc>
          <w:tcPr>
            <w:tcW w:w="24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80" w:type="dxa"/>
            <w:vAlign w:val="bottom"/>
          </w:tcPr>
          <w:p>
            <w:pPr>
              <w:spacing w:after="0"/>
              <w:rPr>
                <w:sz w:val="18"/>
                <w:szCs w:val="18"/>
                <w:color w:val="auto"/>
              </w:rPr>
            </w:pPr>
          </w:p>
        </w:tc>
        <w:tc>
          <w:tcPr>
            <w:tcW w:w="136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2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19,957,515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$6.2 million of unrecognized compensation cost related to unvested restricted shares that is expected to be recorded over a weighted average period of 1.6 years.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restricted shares of $9.8 million, $9.5 million and $8.2 million in 2022, 2021 and 2020, respectively. The stock-based compensation expense is included in selling, general and administrative expenses in the accompanying statement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year to calculate basic earnings per share. For the year ended December 31, 2020, no restricted shares or stock options were included in the computation of net income (loss) per share because to do so would be anti-dilutive. The following table summarizes the dilutive effect of RSUs and options to purchase common stock:</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314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9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42,249,244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43,006,922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43,581,232</w:t>
            </w:r>
          </w:p>
        </w:tc>
      </w:tr>
      <w:tr>
        <w:trPr>
          <w:trHeight w:val="22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228,771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42,478,015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43,281,076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43,581,232</w:t>
            </w:r>
          </w:p>
        </w:tc>
      </w:tr>
      <w:tr>
        <w:trPr>
          <w:trHeight w:val="20"/>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The initial authorization, approved in November 2015, authorized up to $50 million of purchases in the aggregate of its common stock. During 2022, 2021 and 2020, the Company purchased 1,264,088, 596,084 and 1,582,049 shares of its outstanding common stock for $36.9 million, $19.1 million and $39.4 million, respectively. As of December 31, 2022, the Company has $105.7 million remaining under the repurchase authorization.</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Since the fourth quarter of 2021, we have declared dividends of $0.04 per share of common stock in each quarter, and total dividends declared and paid on common shares during 2022 and 2021 were $6.9 million and $1.7 million,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Other Comprehensive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year ended December 31, 2022 are summarized as follows, net of tax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180" w:hanging="172"/>
        <w:spacing w:after="0" w:line="238" w:lineRule="auto"/>
        <w:tabs>
          <w:tab w:leader="none" w:pos="145"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Defined benefit plans, net of income tax of $0.3 million. See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for additional details. Derivative instruments, net of income tax of $3.2 million. See Note 13,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21" w:lineRule="exact"/>
        <w:rPr>
          <w:rFonts w:ascii="Times New Roman" w:cs="Times New Roman" w:eastAsia="Times New Roman" w:hAnsi="Times New Roman"/>
          <w:sz w:val="18"/>
          <w:szCs w:val="18"/>
          <w:color w:val="auto"/>
          <w:vertAlign w:val="superscript"/>
        </w:rPr>
      </w:pPr>
    </w:p>
    <w:p>
      <w:pPr>
        <w:ind w:left="140" w:hanging="132"/>
        <w:spacing w:after="0"/>
        <w:tabs>
          <w:tab w:leader="none" w:pos="14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benefit plans, net of income tax of $0.2 million. See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for additional details.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year ended December 31, 2021 are summarized as follows, net of tax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r>
        <w:trPr>
          <w:trHeight w:val="229"/>
        </w:trPr>
        <w:tc>
          <w:tcPr>
            <w:tcW w:w="5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180" w:hanging="172"/>
        <w:spacing w:after="0" w:line="231" w:lineRule="auto"/>
        <w:tabs>
          <w:tab w:leader="none" w:pos="162"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$0.8 million. See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for additional details. Derivative instruments, net of income tax expense of $3.1 million. See Note 13,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20"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Defined benefit plans, net of income tax of $0.2 million. See Note 17, </w:t>
      </w:r>
      <w:r>
        <w:rPr>
          <w:rFonts w:ascii="Times New Roman" w:cs="Times New Roman" w:eastAsia="Times New Roman" w:hAnsi="Times New Roman"/>
          <w:sz w:val="12"/>
          <w:szCs w:val="12"/>
          <w:i w:val="1"/>
          <w:iCs w:val="1"/>
          <w:color w:val="auto"/>
        </w:rPr>
        <w:t>"Employee Benefit Plans,"</w:t>
      </w:r>
      <w:r>
        <w:rPr>
          <w:rFonts w:ascii="Times New Roman" w:cs="Times New Roman" w:eastAsia="Times New Roman" w:hAnsi="Times New Roman"/>
          <w:sz w:val="12"/>
          <w:szCs w:val="12"/>
          <w:color w:val="auto"/>
        </w:rPr>
        <w:t xml:space="preserve"> for additional details.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segment consists primarily of the Rieke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as well as more recently acquired brands which include the Affaba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Ferrari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Taplast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Rapak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Plastic Srl, Intertech and Omega brands. TriMas Packaging develops and manufactures a broad array of dispensing products (such as foaming pumps, lotion and hand soaps and sanitizer pumps, beverage dispensers, perfume sprayers, nasal sprayers and trigger sprayers), polymeric and steel caps and closures (such as food lids, flip-top closures, child resistance caps, beverage closures,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1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TriMas' Aerospace segment, which includes the Monogram Aerospace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Allfast Fastening Systems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TFI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Aerospace, RSA Engineered Products and Martinic Engineering brands, develops, qualifies and manufactures highly-engineered, precision fasteners, tubular products and assemblies for fluid conveyance, and machined products and assemblies to serve the aerospace and defense market.</w:t>
      </w:r>
    </w:p>
    <w:p>
      <w:pPr>
        <w:spacing w:after="0" w:line="1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Arrow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 brands, designs, manufactures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distributes highly-engineered steel cylinders, wellhead engines and compression systems for use within industrial markets.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522,180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533,260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488,340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113,890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769,970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93,990</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Aerospace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30,730</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721,440</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348,190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1,193,880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48" w:lineRule="exact"/>
        <w:rPr>
          <w:sz w:val="20"/>
          <w:szCs w:val="20"/>
          <w:color w:val="auto"/>
        </w:rPr>
      </w:pPr>
    </w:p>
    <w:p>
      <w:pPr>
        <w:ind w:left="180" w:hanging="172"/>
        <w:spacing w:after="0" w:line="221" w:lineRule="auto"/>
        <w:tabs>
          <w:tab w:leader="none" w:pos="165"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2022, the Company completed the sale of vacant land adjacent to the Company's Tolleson, Arizona, manufacturing facility for net proceeds of $5.0 million, and recognized a $4.8 million gain on the sale, which is included within the Aerospace segment.</w:t>
      </w:r>
    </w:p>
    <w:p>
      <w:pPr>
        <w:spacing w:after="0" w:line="136" w:lineRule="exact"/>
        <w:rPr>
          <w:rFonts w:ascii="Times New Roman" w:cs="Times New Roman" w:eastAsia="Times New Roman" w:hAnsi="Times New Roman"/>
          <w:sz w:val="19"/>
          <w:szCs w:val="19"/>
          <w:color w:val="auto"/>
          <w:vertAlign w:val="superscript"/>
        </w:rPr>
      </w:pPr>
    </w:p>
    <w:p>
      <w:pPr>
        <w:ind w:left="180" w:hanging="172"/>
        <w:spacing w:after="0" w:line="237" w:lineRule="auto"/>
        <w:tabs>
          <w:tab w:leader="none" w:pos="15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2022, the Company sold a non-core facility in City of Industry, California, for net proceeds of $23.3 million, and recognized a $17.6 million gain on the sale, which is included in Corporate operating loss for 2022 and included within net gain (loss) on disposition of assets in the accompanying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net sales for each of the years ended December 31 and long-lived assets at each year ended December 31, attributed to each subsidiary's continent of domicile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280" w:type="dxa"/>
            <w:vAlign w:val="bottom"/>
          </w:tcPr>
          <w:p>
            <w:pPr>
              <w:spacing w:after="0"/>
              <w:rPr>
                <w:sz w:val="13"/>
                <w:szCs w:val="13"/>
                <w:color w:val="auto"/>
              </w:rPr>
            </w:pPr>
          </w:p>
        </w:tc>
        <w:tc>
          <w:tcPr>
            <w:tcW w:w="108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80" w:type="dxa"/>
            <w:vAlign w:val="bottom"/>
          </w:tcPr>
          <w:p>
            <w:pPr>
              <w:spacing w:after="0"/>
              <w:rPr>
                <w:sz w:val="13"/>
                <w:szCs w:val="13"/>
                <w:color w:val="auto"/>
              </w:rPr>
            </w:pPr>
          </w:p>
        </w:tc>
        <w:tc>
          <w:tcPr>
            <w:tcW w:w="1060" w:type="dxa"/>
            <w:vAlign w:val="bottom"/>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Long-lived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3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225,120</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41,140</w:t>
            </w: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Americas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285,770</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477,460</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805,670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857,110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769,970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763,230</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export sales from the U.S. approximated $74.5 million, $80.6 million and $70.0 million in 2022, 2021 and 2020,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income (loss) before income taxes and income tax expense (benefit), each by tax jurisdiction, consists of the following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64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56,750</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30,920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31,920</w:t>
            </w:r>
          </w:p>
        </w:tc>
      </w:tr>
      <w:tr>
        <w:trPr>
          <w:trHeight w:val="223"/>
        </w:trPr>
        <w:tc>
          <w:tcPr>
            <w:tcW w:w="6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87,670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Current income tax expense:</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13,300</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w:t>
            </w:r>
          </w:p>
        </w:tc>
      </w:tr>
      <w:tr>
        <w:trPr>
          <w:trHeight w:val="223"/>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22,940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r>
      <w:tr>
        <w:trPr>
          <w:trHeight w:val="223"/>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(31,710)</w:t>
            </w: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21,500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taxes are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 long-term liabilities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experimentation costs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loss and credit carryforwards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asset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w:t>
            </w:r>
          </w:p>
        </w:tc>
      </w:tr>
      <w:tr>
        <w:trPr>
          <w:trHeight w:val="22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foreign affiliates, including withholding tax</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liability</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(57,630)</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(11,520)</w:t>
            </w: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48" w:lineRule="exact"/>
        <w:rPr>
          <w:sz w:val="20"/>
          <w:szCs w:val="20"/>
          <w:color w:val="auto"/>
        </w:rPr>
      </w:pPr>
    </w:p>
    <w:p>
      <w:pPr>
        <w:ind w:left="180" w:right="60" w:hanging="172"/>
        <w:spacing w:after="0" w:line="212" w:lineRule="auto"/>
        <w:tabs>
          <w:tab w:leader="none" w:pos="158"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Effective for tax years beginning after December 31, 2021, research and experimentation expenditures are to be capitalized and amortized for tax-purposes as part of the Tax Cuts and Jobs Act of 2017.</w:t>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income tax expense (benefit) computed at the U.S. federal statutory rate to income tax expense (benefit) allocated to income (loss) before income taxes (dollars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federal statutory rate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18,380</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(21,570)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(2,850)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Differences in statutory foreign tax rates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recognized tax benefits</w:t>
            </w: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(920)</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impairment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13,430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and incentives</w:t>
            </w: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(2,130)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(6,390)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(290)</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(1,280)</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11,800</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(22,950)</w:t>
            </w:r>
          </w:p>
        </w:tc>
      </w:tr>
      <w:tr>
        <w:trPr>
          <w:trHeight w:val="20"/>
        </w:trPr>
        <w:tc>
          <w:tcPr>
            <w:tcW w:w="6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2020, the Company undertook certain tax-planning actions with respect to intercompany debt restructuring within the group. These actions resulted in the recognition of a $6.4 million deferred tax benefit related to an interest limitation carryforward.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recorded deferred tax assets on $21.3 million of various state operating loss carryforwards and $54.3 million of various foreign operating loss carryforwards. The majority of the state tax loss carryforwards expire between 2026 and 2032 and the majority of the foreign losses have indefinite carryforward periods.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made a provision for U.S. or additional foreign withholding taxes related to investments in foreign subsidiaries that are indefinitely reinvested since any excess of the amount for financial reporting over the tax basis in these investments is not significant as of December 31,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$1.1 million and $1.3 million of unrecognized tax benefits ("UTBs") as of December 31, 2022 and 2021, respectively. If the UTBs were recognized, the impact to the Company's effective tax rate would be to reduce reported income tax expense for the years ended December 31, 2022 and 2021 by $1.1 million and $1.1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UTBs for the years ended December 31, 2022 and 2021 is as follows (dollars in thousands):</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Unrecognized</w:t>
            </w:r>
          </w:p>
        </w:tc>
      </w:tr>
      <w:tr>
        <w:trPr>
          <w:trHeight w:val="214"/>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Tax Benefits</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current year:</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Lapses in the statutes of limitations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current year:</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Lapses in the statutes of limitations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UTBs summarized above, the Company has recorded $0.8 million and $0.8 million in potential interest and penalties associated with uncertain tax positions as of December 31, 2022 and 2021, respectively.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state and local, and certain non-U.S. income tax examinations for tax years 2015 through 2022. In addition, there are currently several state and foreign income tax examinations in process. The Company does not believe that the results of these examinations will have a significant impact on the Company's tax position or its effective tax rate.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monitors changes in tax statutes and regulations and the issuance of judicial decisions to determine the potential impact to UTBs and is not aware of, nor does it anticipate, any subsequent events that could have a significant impact on the Company's financial position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 2023, the Company acquired Aarts Packaging B.V. ("Aarts") for a purchase price of approximately €35 million, subject to customary closing conditions. Aarts is a luxury packaging solutions provider for beauty and lifestyle brands, as well as for customers in the food and life sciences end markets, and has annual net sales of approximately €23 million. Aarts will become part of the Packaging reportable segment.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16, 2023, the Company announced that its Board of Directors had declared a cash dividend of $0.04 per share of TriMas Corporation common stock, which will be payable on March 9, 2023 to shareholders of record as of the close of business on March 2, 2023.</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23, 2023, the Company announced it has signed an agreement to acquire the operating net assets of Weldmac Manufacturing Company (“Weldmac”), a leading designer and manufacturer of high-performance, complex metal fabricated components and assemblies for the aerospace, defense and space launch end markets with annual net sales of approximately $33 million. Weldmac will become part of the Aerospace reportable segment upon closing, which the Company expects to be during second quarter 2022.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an evaluation was carried out by management, with the participation of our Chief Executive Officer and Chief Financial Officer, of the effectiveness of our disclosure controls and procedures (as such term is defined in Rule 13a-15(e) and Rule 15d-15(e) of the Securities Exchange Act of 1934 (the "Exchange Act")), pursuant to Rule 13a-15 of the Exchange Act. Our disclosure controls and procedures are designed only to provide reasonable assurance that they will meet their objectives. Based upon that evaluation, the Chief Executive Officer and Chief Financial Officer concluded that as of December 31, 2022, the Company's disclosure controls and procedures were effective to provide reasonable assurance that they would meet their objectives.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completed the acquisition of Intertech Plastics LLC and related companies (collectively, "Intertech") in February 2022 and have not yet included Intertech in our assessment of the effectiveness of our internal control over financial reporting. Accordingly, pursuant to the SEC's general guidance that an assessment of a recently acquired business may be omitted from the scope of an assessment in the year of acquisition, the scope of our assessment of the effectiveness of our disclosure controls and procedures does not include Intertech. For fiscal 2022, Intertech accounted for $28.7 million of our total net sales, and as of December 31, 2022 had total assets of $71.9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included in this annual report. The consolidated financial statements have been prepared in conformity with United States generally accepted accounting principles and reflect management's judgments and estimates concerning events and transactions that are accounted for or disclosed.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Management recognizes that there are inherent limitations in the effectiveness of any internal control and effective internal control over financial reporting can provide only reasonable assurance with respect to financial statement preparation. Additionally, because of changes in conditions, the effectiveness of internal control over financial reporting may vary over time.</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ensure that the Company's internal control over financial reporting is effective, management regularly assesses such controls and did so most recently for its financial reporting as of December 31, 2022. Management's assessment of internal control over financial reporting as of December 31, 2022 excludes internal control over financial reporting related to Intertech (acquired in February 2022), which accounted for $28.7 million of our total net sales, and as of December 31, 2022 had total assets of $71.9 million. Management's assessment was based on criteria for effective internal control over financial reporting described in Internal Control—Integrated Framework (2013) issued by the Committee of Sponsoring Organizations of the Treadway Commission. Based on this assessment, management asserts that the Company has maintained effective internal control over financial reporting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who audited the Company's consolidated financial statements, has also audited the effectiveness of the Company's internal control over financial reporting as of December 31, 2022, as stated in their report below.</w:t>
      </w:r>
    </w:p>
    <w:p>
      <w:pPr>
        <w:spacing w:after="0" w:line="77" w:lineRule="exact"/>
        <w:rPr>
          <w:sz w:val="20"/>
          <w:szCs w:val="20"/>
          <w:color w:val="auto"/>
        </w:rPr>
      </w:pPr>
    </w:p>
    <w:p>
      <w:pPr>
        <w:ind w:right="5060"/>
        <w:spacing w:after="0" w:line="40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TriMas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TriMas Corporation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2022, of the Company and our report dated February 23, 2023, expressed an unqualified opinion on those financial statements and financial statement schedule.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Management’s Annual Report on Internal Control over Financial Reporting, management excluded from its assessment the internal control over financial reporting at Intertech, which was acquired in February 2022, whose financial statements accounted for approximately $71.9 million of total assets, and $28.7 million of total net sales of the consolidated financial statements amounts as of and for the year ended December 31, 2022. Accordingly, our audit did not include the internal control over financial reporting at Intertech.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disclosure controls and procedures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December 31, 2022 that have materially affected, or are reasonably likely to materially affect, the Company's internal control over financial reporting.</w:t>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executive officers is included in Part I of this Form 10-K under the heading “</w:t>
      </w:r>
      <w:r>
        <w:rPr>
          <w:rFonts w:ascii="Times New Roman" w:cs="Times New Roman" w:eastAsia="Times New Roman" w:hAnsi="Times New Roman"/>
          <w:sz w:val="18"/>
          <w:szCs w:val="18"/>
          <w:i w:val="1"/>
          <w:iCs w:val="1"/>
          <w:color w:val="auto"/>
        </w:rPr>
        <w:t>Information about our Executive Officers.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Code of Ethics and Business Conduct is applicable to its directors, officers and employees. The Code of Ethics and Business Conduct is available on the "Investors" portion of the Company's website under the "Corporate Governance" link. The Company's website address is www.trimascorp.com.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2023 Annual Meeting of Shareholders.</w:t>
      </w:r>
    </w:p>
    <w:p>
      <w:pPr>
        <w:spacing w:after="0" w:line="14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2023 Annual Meeting of Shareholders.</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2023 Annual Meeting of Shareholders.</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2023 Annual Meeting of Shareholders.</w:t>
      </w:r>
    </w:p>
    <w:p>
      <w:pPr>
        <w:spacing w:after="0" w:line="1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about aggregate fees billed to us by our principal accountant, Deloitte &amp; Touche LLP (PCAOB ID No. 34), as required by this item, is incorporated by reference from our definitive proxy statement for the 2023 Annual Meeting of Shareholders.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58"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Listing of Documents</w:t>
      </w:r>
    </w:p>
    <w:p>
      <w:pPr>
        <w:spacing w:after="0" w:line="15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Statements included in Item 8 hereof, as required at December 31, 2022 and December 31, 2021, and for the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December 31, 2021 and December 31, 2020, consist of the following: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 Schedule of the Company appended hereto, as required for the periods ended December 31, 2022, December 31,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consists of the following: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and Qualifying Accounts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the information is otherwise included in the financial statements or the notes thereto.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documents referenced below were filed pursuant to the Securities Exchange Act of 1934, as amended, by TriMas Corporation (File No. 001-10716), unless otherwise noted.</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Fourth Amended and Restated Certificate of Incorporation of TriMas Corporation, incorporated by reference to Exhibit 3.1 to</w:t>
              </w:r>
            </w:hyperlink>
          </w:p>
        </w:tc>
      </w:tr>
      <w:tr>
        <w:trPr>
          <w:trHeight w:val="155"/>
        </w:trPr>
        <w:tc>
          <w:tcPr>
            <w:tcW w:w="154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the Company’s Quarterly Report on Form 10-Q filed on August 3, 2007.</w:t>
              </w:r>
            </w:hyperlink>
          </w:p>
        </w:tc>
        <w:tc>
          <w:tcPr>
            <w:tcW w:w="38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160" w:type="dxa"/>
            <w:vAlign w:val="bottom"/>
            <w:gridSpan w:val="21"/>
          </w:tcPr>
          <w:p>
            <w:pPr>
              <w:spacing w:after="0" w:line="207"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Third Amended and Restated By</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laws of TriMas Corporation, incorporated by reference to Exhibit 3.1 to the Company’s</w:t>
              </w:r>
            </w:hyperlink>
          </w:p>
        </w:tc>
      </w:tr>
      <w:tr>
        <w:trPr>
          <w:trHeight w:val="156"/>
        </w:trPr>
        <w:tc>
          <w:tcPr>
            <w:tcW w:w="1540" w:type="dxa"/>
            <w:vAlign w:val="bottom"/>
          </w:tcPr>
          <w:p>
            <w:pPr>
              <w:spacing w:after="0"/>
              <w:rPr>
                <w:sz w:val="13"/>
                <w:szCs w:val="13"/>
                <w:color w:val="auto"/>
              </w:rPr>
            </w:pPr>
          </w:p>
        </w:tc>
        <w:tc>
          <w:tcPr>
            <w:tcW w:w="87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Current Report on Form 8-K filed on December 18,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Indenture, dated as of March 29, 2021, among TriMas Corporation, the Guarantors named therein and Wells Fargo Bank,</w:t>
              </w:r>
            </w:hyperlink>
          </w:p>
        </w:tc>
      </w:tr>
      <w:tr>
        <w:trPr>
          <w:trHeight w:val="155"/>
        </w:trPr>
        <w:tc>
          <w:tcPr>
            <w:tcW w:w="154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National Association, as Trustee (including the Form of Note), incorporated by reference to Exhibit 4.1 to the Company’s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39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Current Report on Form 8-K filed on March 30, 2021.</w:t>
              </w:r>
            </w:hyperlink>
          </w:p>
        </w:tc>
        <w:tc>
          <w:tcPr>
            <w:tcW w:w="48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Description of Securities of TriMas Corporation, incorporated by reference to Exhibit 4.2 to the Company’s Annual Report on</w:t>
              </w:r>
            </w:hyperlink>
          </w:p>
        </w:tc>
      </w:tr>
      <w:tr>
        <w:trPr>
          <w:trHeight w:val="155"/>
        </w:trPr>
        <w:tc>
          <w:tcPr>
            <w:tcW w:w="154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Form 10-K filed on February 27, 2020.</w:t>
              </w:r>
            </w:hyperlink>
          </w:p>
        </w:tc>
        <w:tc>
          <w:tcPr>
            <w:tcW w:w="63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Credit Agreement, dated October 16, 2013, by and among TriMas Corporation, TriMas Company LLC and JPMorgan Chase</w:t>
              </w:r>
            </w:hyperlink>
          </w:p>
        </w:tc>
        <w:tc>
          <w:tcPr>
            <w:tcW w:w="180" w:type="dxa"/>
            <w:vAlign w:val="bottom"/>
            <w:gridSpan w:val="9"/>
          </w:tcPr>
          <w:p>
            <w:pPr>
              <w:spacing w:after="0"/>
              <w:rPr>
                <w:sz w:val="19"/>
                <w:szCs w:val="19"/>
                <w:color w:val="auto"/>
              </w:rPr>
            </w:pPr>
          </w:p>
        </w:tc>
      </w:tr>
      <w:tr>
        <w:trPr>
          <w:trHeight w:val="156"/>
        </w:trPr>
        <w:tc>
          <w:tcPr>
            <w:tcW w:w="1540" w:type="dxa"/>
            <w:vAlign w:val="bottom"/>
          </w:tcPr>
          <w:p>
            <w:pPr>
              <w:spacing w:after="0"/>
              <w:rPr>
                <w:sz w:val="13"/>
                <w:szCs w:val="13"/>
                <w:color w:val="auto"/>
              </w:rPr>
            </w:pPr>
          </w:p>
        </w:tc>
        <w:tc>
          <w:tcPr>
            <w:tcW w:w="9160" w:type="dxa"/>
            <w:vAlign w:val="bottom"/>
            <w:gridSpan w:val="21"/>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Bank, N.A., as Administrative Agent and Collateral Agent, and the various lenders from time to time thereto, incorporated by</w:t>
              </w:r>
            </w:hyperlink>
          </w:p>
        </w:tc>
      </w:tr>
      <w:tr>
        <w:trPr>
          <w:trHeight w:val="169"/>
        </w:trPr>
        <w:tc>
          <w:tcPr>
            <w:tcW w:w="154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reference to Exhibit 10.1 to the Company’s Current Report on Form 8-K filed on October 21, 2013.</w:t>
              </w:r>
            </w:hyperlink>
          </w:p>
        </w:tc>
        <w:tc>
          <w:tcPr>
            <w:tcW w:w="190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Amendment to Credit Agreement, dated November 19, 2021, by and among TriMas Corporation, TriMas Company LLC and</w:t>
              </w:r>
            </w:hyperlink>
          </w:p>
        </w:tc>
      </w:tr>
      <w:tr>
        <w:trPr>
          <w:trHeight w:val="183"/>
        </w:trPr>
        <w:tc>
          <w:tcPr>
            <w:tcW w:w="154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JPMorgan Chase Bank, N.A., as Administrative Agent and Collateral Agent, and the various lenders from time to time thereto,</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9140" w:type="dxa"/>
            <w:vAlign w:val="bottom"/>
            <w:gridSpan w:val="20"/>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incorporated by reference to Exhibit 10.2 to the Company’s Annual Report on Form 10-K filed on March 1, 2022.</w:t>
              </w:r>
            </w:hyperlink>
          </w:p>
        </w:tc>
        <w:tc>
          <w:tcPr>
            <w:tcW w:w="2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900" w:type="dxa"/>
            <w:vAlign w:val="bottom"/>
            <w:gridSpan w:val="6"/>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Incremental Facility Agreement and Amendment dated as of October 17, 2014, among TriMas Company LLC, the other Loan</w:t>
              </w:r>
            </w:hyperlink>
          </w:p>
        </w:tc>
      </w:tr>
      <w:tr>
        <w:trPr>
          <w:trHeight w:val="155"/>
        </w:trPr>
        <w:tc>
          <w:tcPr>
            <w:tcW w:w="1540" w:type="dxa"/>
            <w:vAlign w:val="bottom"/>
          </w:tcPr>
          <w:p>
            <w:pPr>
              <w:spacing w:after="0"/>
              <w:rPr>
                <w:sz w:val="13"/>
                <w:szCs w:val="13"/>
                <w:color w:val="auto"/>
              </w:rPr>
            </w:pPr>
          </w:p>
        </w:tc>
        <w:tc>
          <w:tcPr>
            <w:tcW w:w="91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Parties party thereto, JPMorgan Chase Bank, N.A., as administrative agent, the Incremental Tranche A Term Lenders and the</w:t>
              </w:r>
            </w:hyperlink>
          </w:p>
        </w:tc>
        <w:tc>
          <w:tcPr>
            <w:tcW w:w="60" w:type="dxa"/>
            <w:vAlign w:val="bottom"/>
            <w:gridSpan w:val="3"/>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other Lenders party thereto, incorporated by reference to Exhibit 10.1 to the Company’s Current Report on Form 8-K filed on</w:t>
              </w:r>
            </w:hyperlink>
          </w:p>
        </w:tc>
        <w:tc>
          <w:tcPr>
            <w:tcW w:w="40" w:type="dxa"/>
            <w:vAlign w:val="bottom"/>
            <w:tcBorders>
              <w:bottom w:val="single" w:sz="8" w:color="0000FF"/>
            </w:tcBorders>
            <w:gridSpan w:val="2"/>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5"/>
        </w:trPr>
        <w:tc>
          <w:tcPr>
            <w:tcW w:w="1540" w:type="dxa"/>
            <w:vAlign w:val="bottom"/>
          </w:tcPr>
          <w:p>
            <w:pPr>
              <w:spacing w:after="0"/>
              <w:rPr>
                <w:sz w:val="13"/>
                <w:szCs w:val="13"/>
                <w:color w:val="auto"/>
              </w:rPr>
            </w:pPr>
          </w:p>
        </w:tc>
        <w:tc>
          <w:tcPr>
            <w:tcW w:w="13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05">
              <w:r>
                <w:rPr>
                  <w:rFonts w:ascii="Times New Roman" w:cs="Times New Roman" w:eastAsia="Times New Roman" w:hAnsi="Times New Roman"/>
                  <w:sz w:val="18"/>
                  <w:szCs w:val="18"/>
                  <w:color w:val="0000FF"/>
                  <w:w w:val="98"/>
                </w:rPr>
                <w:t>October 20, 2014.</w:t>
              </w:r>
            </w:hyperlink>
          </w:p>
        </w:tc>
        <w:tc>
          <w:tcPr>
            <w:tcW w:w="7740" w:type="dxa"/>
            <w:vAlign w:val="bottom"/>
            <w:gridSpan w:val="1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Replacement Facility Amendment, dated as of June 30, 2015, among TriMas Company LLC, the other Loan Parties party</w:t>
              </w:r>
            </w:hyperlink>
          </w:p>
        </w:tc>
      </w:tr>
      <w:tr>
        <w:trPr>
          <w:trHeight w:val="155"/>
        </w:trPr>
        <w:tc>
          <w:tcPr>
            <w:tcW w:w="154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thereto, JPMorgan Chase Bank, N.A., as administrative agent, and the Lenders party thereto, incorporated by reference to</w:t>
              </w:r>
            </w:hyperlink>
          </w:p>
        </w:tc>
        <w:tc>
          <w:tcPr>
            <w:tcW w:w="20" w:type="dxa"/>
            <w:vAlign w:val="bottom"/>
            <w:tcBorders>
              <w:top w:val="single" w:sz="8" w:color="0000FF"/>
            </w:tcBorders>
          </w:tcPr>
          <w:p>
            <w:pPr>
              <w:spacing w:after="0"/>
              <w:rPr>
                <w:sz w:val="13"/>
                <w:szCs w:val="13"/>
                <w:color w:val="auto"/>
              </w:rPr>
            </w:pPr>
          </w:p>
        </w:tc>
        <w:tc>
          <w:tcPr>
            <w:tcW w:w="380" w:type="dxa"/>
            <w:vAlign w:val="bottom"/>
            <w:gridSpan w:val="10"/>
          </w:tcPr>
          <w:p>
            <w:pPr>
              <w:spacing w:after="0"/>
              <w:rPr>
                <w:sz w:val="13"/>
                <w:szCs w:val="13"/>
                <w:color w:val="auto"/>
              </w:rPr>
            </w:pPr>
          </w:p>
        </w:tc>
      </w:tr>
    </w:tbl>
    <w:p>
      <w:pPr>
        <w:ind w:left="1760"/>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Exhibit 10.5 to the Company’s Current Report on Form 8-K filed on July 6, 2015.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Foreign Subsidiary Borrowing Agreement and Amendment dated as of January 10, 2017, among TriMas Company LLC,</w:t>
              </w:r>
            </w:hyperlink>
          </w:p>
        </w:tc>
      </w:tr>
      <w:tr>
        <w:trPr>
          <w:trHeight w:val="169"/>
        </w:trPr>
        <w:tc>
          <w:tcPr>
            <w:tcW w:w="154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TriMas Corporation, TriMas Corporation Limited, JPMorgan Chase Bank, N.A., as administrative agent for the Lenders</w:t>
              </w:r>
            </w:hyperlink>
          </w:p>
        </w:tc>
        <w:tc>
          <w:tcPr>
            <w:tcW w:w="20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85"/>
              </w:rPr>
            </w:pPr>
            <w:hyperlink r:id="rId108">
              <w:r>
                <w:rPr>
                  <w:rFonts w:ascii="Times New Roman" w:cs="Times New Roman" w:eastAsia="Times New Roman" w:hAnsi="Times New Roman"/>
                  <w:sz w:val="18"/>
                  <w:szCs w:val="18"/>
                  <w:color w:val="0000FF"/>
                  <w:w w:val="85"/>
                </w:rPr>
                <w:t>(as</w:t>
              </w:r>
            </w:hyperlink>
          </w:p>
        </w:tc>
        <w:tc>
          <w:tcPr>
            <w:tcW w:w="460" w:type="dxa"/>
            <w:vAlign w:val="bottom"/>
            <w:gridSpan w:val="18"/>
          </w:tcPr>
          <w:p>
            <w:pPr>
              <w:spacing w:after="0"/>
              <w:rPr>
                <w:sz w:val="14"/>
                <w:szCs w:val="14"/>
                <w:color w:val="auto"/>
              </w:rPr>
            </w:pPr>
          </w:p>
        </w:tc>
      </w:tr>
      <w:tr>
        <w:trPr>
          <w:trHeight w:val="155"/>
        </w:trPr>
        <w:tc>
          <w:tcPr>
            <w:tcW w:w="1540" w:type="dxa"/>
            <w:vAlign w:val="bottom"/>
          </w:tcPr>
          <w:p>
            <w:pPr>
              <w:spacing w:after="0"/>
              <w:rPr>
                <w:sz w:val="13"/>
                <w:szCs w:val="13"/>
                <w:color w:val="auto"/>
              </w:rPr>
            </w:pPr>
          </w:p>
        </w:tc>
        <w:tc>
          <w:tcPr>
            <w:tcW w:w="9360" w:type="dxa"/>
            <w:vAlign w:val="bottom"/>
            <w:gridSpan w:val="44"/>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defined therein) and as Fronting Lender, JPMorgan Chase Bank, N.A., Bank of America, N.A. and Wells Fargo Bank, National</w:t>
              </w:r>
            </w:hyperlink>
          </w:p>
        </w:tc>
      </w:tr>
      <w:tr>
        <w:trPr>
          <w:trHeight w:val="156"/>
        </w:trPr>
        <w:tc>
          <w:tcPr>
            <w:tcW w:w="1540" w:type="dxa"/>
            <w:vAlign w:val="bottom"/>
          </w:tcPr>
          <w:p>
            <w:pPr>
              <w:spacing w:after="0"/>
              <w:rPr>
                <w:sz w:val="13"/>
                <w:szCs w:val="13"/>
                <w:color w:val="auto"/>
              </w:rPr>
            </w:pPr>
          </w:p>
        </w:tc>
        <w:tc>
          <w:tcPr>
            <w:tcW w:w="91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Association, J.P. Morgan Europe Limited, in its capacity as Foreign Currency Agent, and the Revolving Lenders party 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incorporated by reference to Exhibit 10.4 to the Company’s Quarterly Report on Form 10-Q filed on April 27, 2017.</w:t>
              </w:r>
            </w:hyperlink>
          </w:p>
        </w:tc>
        <w:tc>
          <w:tcPr>
            <w:tcW w:w="66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Amendment, dated as of March 8, 2017 to the Credit Agreement, dated as of October 16, 2013 (as amended, amended and</w:t>
              </w:r>
            </w:hyperlink>
          </w:p>
        </w:tc>
      </w:tr>
      <w:tr>
        <w:trPr>
          <w:trHeight w:val="169"/>
        </w:trPr>
        <w:tc>
          <w:tcPr>
            <w:tcW w:w="1540" w:type="dxa"/>
            <w:vAlign w:val="bottom"/>
          </w:tcPr>
          <w:p>
            <w:pPr>
              <w:spacing w:after="0"/>
              <w:rPr>
                <w:sz w:val="14"/>
                <w:szCs w:val="14"/>
                <w:color w:val="auto"/>
              </w:rPr>
            </w:pPr>
          </w:p>
        </w:tc>
        <w:tc>
          <w:tcPr>
            <w:tcW w:w="88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restated, supplemented or otherwise modified from time to time), among TriMas Corporation, TriMas Company LLC, the</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87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subsidiary borrowers from time to time parties thereto, the Lenders party thereto, JPMorgan Chase Bank, N.A., as</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82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administrative agent, and the other agents party thereto, incorporated by reference to Exhibit 10.5 to the Company’s</w:t>
              </w:r>
            </w:hyperlink>
          </w:p>
        </w:tc>
        <w:tc>
          <w:tcPr>
            <w:tcW w:w="160" w:type="dxa"/>
            <w:vAlign w:val="bottom"/>
          </w:tcPr>
          <w:p>
            <w:pPr>
              <w:spacing w:after="0"/>
              <w:rPr>
                <w:sz w:val="13"/>
                <w:szCs w:val="13"/>
                <w:color w:val="auto"/>
              </w:rPr>
            </w:pPr>
          </w:p>
        </w:tc>
        <w:tc>
          <w:tcPr>
            <w:tcW w:w="1000" w:type="dxa"/>
            <w:vAlign w:val="bottom"/>
            <w:gridSpan w:val="30"/>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Quarterly</w:t>
              </w:r>
            </w:hyperlink>
          </w:p>
        </w:tc>
      </w:tr>
      <w:tr>
        <w:trPr>
          <w:trHeight w:val="169"/>
        </w:trPr>
        <w:tc>
          <w:tcPr>
            <w:tcW w:w="1540" w:type="dxa"/>
            <w:vAlign w:val="bottom"/>
          </w:tcPr>
          <w:p>
            <w:pPr>
              <w:spacing w:after="0"/>
              <w:rPr>
                <w:sz w:val="14"/>
                <w:szCs w:val="14"/>
                <w:color w:val="auto"/>
              </w:rPr>
            </w:pPr>
          </w:p>
        </w:tc>
        <w:tc>
          <w:tcPr>
            <w:tcW w:w="906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Report on Form 10-Q filed on April 27, 2017.</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Replacement Facility Amendment, dated as September 20, 2017, among TriMas Company LLC, the other Loan Parties party</w:t>
              </w:r>
            </w:hyperlink>
          </w:p>
        </w:tc>
      </w:tr>
      <w:tr>
        <w:trPr>
          <w:trHeight w:val="169"/>
        </w:trPr>
        <w:tc>
          <w:tcPr>
            <w:tcW w:w="1540" w:type="dxa"/>
            <w:vAlign w:val="bottom"/>
          </w:tcPr>
          <w:p>
            <w:pPr>
              <w:spacing w:after="0"/>
              <w:rPr>
                <w:sz w:val="14"/>
                <w:szCs w:val="14"/>
                <w:color w:val="auto"/>
              </w:rPr>
            </w:pPr>
          </w:p>
        </w:tc>
        <w:tc>
          <w:tcPr>
            <w:tcW w:w="90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thereto, JPMorgan Chase Bank, N.A., as administrative agent, and the Lenders party thereto, incorporated by reference to</w:t>
              </w:r>
            </w:hyperlink>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540" w:type="dxa"/>
            <w:vAlign w:val="bottom"/>
          </w:tcPr>
          <w:p>
            <w:pPr>
              <w:spacing w:after="0"/>
              <w:rPr>
                <w:sz w:val="13"/>
                <w:szCs w:val="13"/>
                <w:color w:val="auto"/>
              </w:rPr>
            </w:pPr>
          </w:p>
        </w:tc>
        <w:tc>
          <w:tcPr>
            <w:tcW w:w="87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Exhibit 10.1 to the Company’s Current Report on Form 8-K filed on September 20, 2017.**</w:t>
              </w:r>
            </w:hyperlink>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TriMas Corporation Long Term Equity Incentive Plan Non-Qualified Stock Option Agreement, incorporated by reference to</w:t>
              </w:r>
            </w:hyperlink>
          </w:p>
        </w:tc>
      </w:tr>
      <w:tr>
        <w:trPr>
          <w:trHeight w:val="169"/>
        </w:trPr>
        <w:tc>
          <w:tcPr>
            <w:tcW w:w="1540" w:type="dxa"/>
            <w:vAlign w:val="bottom"/>
          </w:tcPr>
          <w:p>
            <w:pPr>
              <w:spacing w:after="0"/>
              <w:rPr>
                <w:sz w:val="14"/>
                <w:szCs w:val="14"/>
                <w:color w:val="auto"/>
              </w:rPr>
            </w:pPr>
          </w:p>
        </w:tc>
        <w:tc>
          <w:tcPr>
            <w:tcW w:w="89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Exhibit 10.1 to the Company’s Current Report on Form 8-K filed on March 6, 2009.*</w:t>
              </w:r>
            </w:hyperlink>
          </w:p>
        </w:tc>
        <w:tc>
          <w:tcPr>
            <w:tcW w:w="1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Flexible Cash Allowance Policy, incorporated by reference to Exhibit 10.2 to the Company’s Current Report on Form 8-K filed</w:t>
              </w:r>
            </w:hyperlink>
          </w:p>
        </w:tc>
      </w:tr>
      <w:tr>
        <w:trPr>
          <w:trHeight w:val="169"/>
        </w:trPr>
        <w:tc>
          <w:tcPr>
            <w:tcW w:w="1540" w:type="dxa"/>
            <w:vAlign w:val="bottom"/>
          </w:tcPr>
          <w:p>
            <w:pPr>
              <w:spacing w:after="0"/>
              <w:rPr>
                <w:sz w:val="14"/>
                <w:szCs w:val="14"/>
                <w:color w:val="auto"/>
              </w:rPr>
            </w:pPr>
          </w:p>
        </w:tc>
        <w:tc>
          <w:tcPr>
            <w:tcW w:w="918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on December 10, 2009.*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TriMas Corporation 2017 Equity and Incentive Compensation Plan, incorporated by reference to Exhibit 10.1 to the Company’s</w:t>
              </w:r>
            </w:hyperlink>
          </w:p>
        </w:tc>
      </w:tr>
      <w:tr>
        <w:trPr>
          <w:trHeight w:val="169"/>
        </w:trPr>
        <w:tc>
          <w:tcPr>
            <w:tcW w:w="1540" w:type="dxa"/>
            <w:vAlign w:val="bottom"/>
          </w:tcPr>
          <w:p>
            <w:pPr>
              <w:spacing w:after="0"/>
              <w:rPr>
                <w:sz w:val="14"/>
                <w:szCs w:val="14"/>
                <w:color w:val="auto"/>
              </w:rPr>
            </w:pPr>
          </w:p>
        </w:tc>
        <w:tc>
          <w:tcPr>
            <w:tcW w:w="928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Quarterly Report on Form 10-Q filed on July 27,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2013 Form of Indemnification Agreement, incorporated by reference to Exhibit 10.1 to the Company’s Current Report on Form</w:t>
              </w:r>
            </w:hyperlink>
          </w:p>
        </w:tc>
      </w:tr>
      <w:tr>
        <w:trPr>
          <w:trHeight w:val="169"/>
        </w:trPr>
        <w:tc>
          <w:tcPr>
            <w:tcW w:w="1540" w:type="dxa"/>
            <w:vAlign w:val="bottom"/>
          </w:tcPr>
          <w:p>
            <w:pPr>
              <w:spacing w:after="0"/>
              <w:rPr>
                <w:sz w:val="14"/>
                <w:szCs w:val="14"/>
                <w:color w:val="auto"/>
              </w:rPr>
            </w:pPr>
          </w:p>
        </w:tc>
        <w:tc>
          <w:tcPr>
            <w:tcW w:w="922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8-K filed on November 13,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Offer Letter between TriMas Corporation and Thomas A. Amato dated July 23, 2016, incorporated by reference to Exhibit 10.2</w:t>
              </w:r>
            </w:hyperlink>
          </w:p>
        </w:tc>
      </w:tr>
      <w:tr>
        <w:trPr>
          <w:trHeight w:val="169"/>
        </w:trPr>
        <w:tc>
          <w:tcPr>
            <w:tcW w:w="1540" w:type="dxa"/>
            <w:vAlign w:val="bottom"/>
          </w:tcPr>
          <w:p>
            <w:pPr>
              <w:spacing w:after="0"/>
              <w:rPr>
                <w:sz w:val="14"/>
                <w:szCs w:val="14"/>
                <w:color w:val="auto"/>
              </w:rPr>
            </w:pPr>
          </w:p>
        </w:tc>
        <w:tc>
          <w:tcPr>
            <w:tcW w:w="55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to the Company’s Quarterly Report on Form 10-Q filed on October 27, 2016.</w:t>
              </w:r>
            </w:hyperlink>
          </w:p>
        </w:tc>
        <w:tc>
          <w:tcPr>
            <w:tcW w:w="3640" w:type="dxa"/>
            <w:vAlign w:val="bottom"/>
            <w:tcBorders>
              <w:top w:val="single" w:sz="8" w:color="0000FF"/>
            </w:tcBorders>
            <w:gridSpan w:val="2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Special Performance Stock Units Agreement - 2019 LTI - under the 2017 Equity and Incentive Compensation Plan,</w:t>
              </w:r>
            </w:hyperlink>
          </w:p>
        </w:tc>
      </w:tr>
      <w:tr>
        <w:trPr>
          <w:trHeight w:val="169"/>
        </w:trPr>
        <w:tc>
          <w:tcPr>
            <w:tcW w:w="1540" w:type="dxa"/>
            <w:vAlign w:val="bottom"/>
          </w:tcPr>
          <w:p>
            <w:pPr>
              <w:spacing w:after="0"/>
              <w:rPr>
                <w:sz w:val="14"/>
                <w:szCs w:val="14"/>
                <w:color w:val="auto"/>
              </w:rPr>
            </w:pPr>
          </w:p>
        </w:tc>
        <w:tc>
          <w:tcPr>
            <w:tcW w:w="866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incorporated by reference to Exhibit 10.37 to the Company’s Annual Report on Form 10-K filed on February 27, 2020.*</w:t>
              </w:r>
            </w:hyperlink>
          </w:p>
        </w:tc>
        <w:tc>
          <w:tcPr>
            <w:tcW w:w="280" w:type="dxa"/>
            <w:vAlign w:val="bottom"/>
            <w:tcBorders>
              <w:top w:val="single" w:sz="8" w:color="0000FF"/>
            </w:tcBorders>
            <w:gridSpan w:val="10"/>
          </w:tcPr>
          <w:p>
            <w:pPr>
              <w:spacing w:after="0"/>
              <w:rPr>
                <w:sz w:val="14"/>
                <w:szCs w:val="14"/>
                <w:color w:val="auto"/>
              </w:rPr>
            </w:pPr>
          </w:p>
        </w:tc>
        <w:tc>
          <w:tcPr>
            <w:tcW w:w="2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Performance Stock Units Agreement - 2020 LTI - under the 2017 Equity and Incentive Compensation Plan,</w:t>
              </w:r>
            </w:hyperlink>
          </w:p>
        </w:tc>
      </w:tr>
      <w:tr>
        <w:trPr>
          <w:trHeight w:val="169"/>
        </w:trPr>
        <w:tc>
          <w:tcPr>
            <w:tcW w:w="15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incorporated by reference to Exhibit 10.1 to the Company’s Quarterly Report on Form 10-Q filed on April 30, 2020.</w:t>
              </w:r>
            </w:hyperlink>
          </w:p>
        </w:tc>
        <w:tc>
          <w:tcPr>
            <w:tcW w:w="1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88"/>
              </w:rPr>
            </w:pPr>
            <w:hyperlink r:id="rId117">
              <w:r>
                <w:rPr>
                  <w:rFonts w:ascii="Times New Roman" w:cs="Times New Roman" w:eastAsia="Times New Roman" w:hAnsi="Times New Roman"/>
                  <w:sz w:val="18"/>
                  <w:szCs w:val="18"/>
                  <w:color w:val="0000FF"/>
                  <w:w w:val="88"/>
                </w:rPr>
                <w:t>*</w:t>
              </w:r>
            </w:hyperlink>
          </w:p>
        </w:tc>
        <w:tc>
          <w:tcPr>
            <w:tcW w:w="10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Restricted Stock Units Agreement - (Three Year Vest) - 2020 LTI - under the 2017 Equity and Incentive Compensation</w:t>
              </w:r>
            </w:hyperlink>
          </w:p>
        </w:tc>
      </w:tr>
      <w:tr>
        <w:trPr>
          <w:trHeight w:val="169"/>
        </w:trPr>
        <w:tc>
          <w:tcPr>
            <w:tcW w:w="1540" w:type="dxa"/>
            <w:vAlign w:val="bottom"/>
          </w:tcPr>
          <w:p>
            <w:pPr>
              <w:spacing w:after="0"/>
              <w:rPr>
                <w:sz w:val="14"/>
                <w:szCs w:val="14"/>
                <w:color w:val="auto"/>
              </w:rPr>
            </w:pPr>
          </w:p>
        </w:tc>
        <w:tc>
          <w:tcPr>
            <w:tcW w:w="888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Plan, incorporated by reference to Exhibit 10.2 to the Company’s Quarterly Report on Form 10-Q filed on April 30, 2020.*</w:t>
              </w:r>
            </w:hyperlink>
          </w:p>
        </w:tc>
        <w:tc>
          <w:tcPr>
            <w:tcW w:w="3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88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Form of Restricted Stock Units Agreement - (Board of Directors) (One-Year Vest) - 2020 LTI - under the 2017 Equity and</w:t>
              </w:r>
            </w:hyperlink>
          </w:p>
        </w:tc>
        <w:tc>
          <w:tcPr>
            <w:tcW w:w="560" w:type="dxa"/>
            <w:vAlign w:val="bottom"/>
            <w:gridSpan w:val="22"/>
          </w:tcPr>
          <w:p>
            <w:pPr>
              <w:spacing w:after="0"/>
              <w:rPr>
                <w:sz w:val="18"/>
                <w:szCs w:val="18"/>
                <w:color w:val="auto"/>
              </w:rPr>
            </w:pPr>
          </w:p>
        </w:tc>
      </w:tr>
      <w:tr>
        <w:trPr>
          <w:trHeight w:val="169"/>
        </w:trPr>
        <w:tc>
          <w:tcPr>
            <w:tcW w:w="1540" w:type="dxa"/>
            <w:vAlign w:val="bottom"/>
          </w:tcPr>
          <w:p>
            <w:pPr>
              <w:spacing w:after="0"/>
              <w:rPr>
                <w:sz w:val="14"/>
                <w:szCs w:val="14"/>
                <w:color w:val="auto"/>
              </w:rPr>
            </w:pPr>
          </w:p>
        </w:tc>
        <w:tc>
          <w:tcPr>
            <w:tcW w:w="9360" w:type="dxa"/>
            <w:vAlign w:val="bottom"/>
            <w:gridSpan w:val="44"/>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Incentive Compensation Plan, incorporated by reference to Exhibit 10.3 to the Company’s Quarterly Report on Form 10-Q filed</w:t>
              </w:r>
            </w:hyperlink>
          </w:p>
        </w:tc>
      </w:tr>
      <w:tr>
        <w:trPr>
          <w:trHeight w:val="156"/>
        </w:trPr>
        <w:tc>
          <w:tcPr>
            <w:tcW w:w="1540" w:type="dxa"/>
            <w:vAlign w:val="bottom"/>
          </w:tcPr>
          <w:p>
            <w:pPr>
              <w:spacing w:after="0"/>
              <w:rPr>
                <w:sz w:val="13"/>
                <w:szCs w:val="13"/>
                <w:color w:val="auto"/>
              </w:rPr>
            </w:pPr>
          </w:p>
        </w:tc>
        <w:tc>
          <w:tcPr>
            <w:tcW w:w="932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on April 30,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Performance Stock Units Agreement - 2021 LTI - under the 2017 Equity and Incentive Compensation Plan,</w:t>
              </w:r>
            </w:hyperlink>
          </w:p>
        </w:tc>
      </w:tr>
      <w:tr>
        <w:trPr>
          <w:trHeight w:val="169"/>
        </w:trPr>
        <w:tc>
          <w:tcPr>
            <w:tcW w:w="15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incorporated by reference to Exhibit 10.1 to the Company’s Quarterly Report on Form 10-Q filed on April 29, 2021.</w:t>
              </w:r>
            </w:hyperlink>
          </w:p>
        </w:tc>
        <w:tc>
          <w:tcPr>
            <w:tcW w:w="1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88"/>
              </w:rPr>
            </w:pPr>
            <w:hyperlink r:id="rId120">
              <w:r>
                <w:rPr>
                  <w:rFonts w:ascii="Times New Roman" w:cs="Times New Roman" w:eastAsia="Times New Roman" w:hAnsi="Times New Roman"/>
                  <w:sz w:val="18"/>
                  <w:szCs w:val="18"/>
                  <w:color w:val="0000FF"/>
                  <w:w w:val="88"/>
                </w:rPr>
                <w:t>*</w:t>
              </w:r>
            </w:hyperlink>
          </w:p>
        </w:tc>
        <w:tc>
          <w:tcPr>
            <w:tcW w:w="100" w:type="dxa"/>
            <w:vAlign w:val="bottom"/>
          </w:tcPr>
          <w:p>
            <w:pPr>
              <w:spacing w:after="0"/>
              <w:rPr>
                <w:sz w:val="14"/>
                <w:szCs w:val="14"/>
                <w:color w:val="auto"/>
              </w:rPr>
            </w:pPr>
          </w:p>
        </w:tc>
        <w:tc>
          <w:tcPr>
            <w:tcW w:w="30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220" w:type="dxa"/>
            <w:vAlign w:val="bottom"/>
            <w:gridSpan w:val="6"/>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Restricted Stock Units Agreement - (Three Year Vest) - 2021 LTI - under the 2017 Equity and Incentive Compensation</w:t>
              </w:r>
            </w:hyperlink>
          </w:p>
        </w:tc>
      </w:tr>
      <w:tr>
        <w:trPr>
          <w:trHeight w:val="169"/>
        </w:trPr>
        <w:tc>
          <w:tcPr>
            <w:tcW w:w="1540" w:type="dxa"/>
            <w:vAlign w:val="bottom"/>
          </w:tcPr>
          <w:p>
            <w:pPr>
              <w:spacing w:after="0"/>
              <w:rPr>
                <w:sz w:val="14"/>
                <w:szCs w:val="14"/>
                <w:color w:val="auto"/>
              </w:rPr>
            </w:pPr>
          </w:p>
        </w:tc>
        <w:tc>
          <w:tcPr>
            <w:tcW w:w="888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Plan, incorporated by reference to Exhibit 10.2 to the Company’s Quarterly Report on Form 10-Q filed on April 29, 2021.*</w:t>
              </w:r>
            </w:hyperlink>
          </w:p>
        </w:tc>
        <w:tc>
          <w:tcPr>
            <w:tcW w:w="3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88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Form of Restricted Stock Units Agreement - (Board of Directors) (One-Year Vest) - 2021 LTI - under the 2017 Equity and</w:t>
              </w:r>
            </w:hyperlink>
          </w:p>
        </w:tc>
        <w:tc>
          <w:tcPr>
            <w:tcW w:w="560" w:type="dxa"/>
            <w:vAlign w:val="bottom"/>
            <w:gridSpan w:val="22"/>
          </w:tcPr>
          <w:p>
            <w:pPr>
              <w:spacing w:after="0"/>
              <w:rPr>
                <w:sz w:val="18"/>
                <w:szCs w:val="18"/>
                <w:color w:val="auto"/>
              </w:rPr>
            </w:pPr>
          </w:p>
        </w:tc>
      </w:tr>
      <w:tr>
        <w:trPr>
          <w:trHeight w:val="169"/>
        </w:trPr>
        <w:tc>
          <w:tcPr>
            <w:tcW w:w="1540" w:type="dxa"/>
            <w:vAlign w:val="bottom"/>
          </w:tcPr>
          <w:p>
            <w:pPr>
              <w:spacing w:after="0"/>
              <w:rPr>
                <w:sz w:val="14"/>
                <w:szCs w:val="14"/>
                <w:color w:val="auto"/>
              </w:rPr>
            </w:pPr>
          </w:p>
        </w:tc>
        <w:tc>
          <w:tcPr>
            <w:tcW w:w="9360" w:type="dxa"/>
            <w:vAlign w:val="bottom"/>
            <w:gridSpan w:val="44"/>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Incentive Compensation Plan, incorporated by reference to Exhibit 10.3 to the Company’s Quarterly Report on Form 10-Q filed</w:t>
              </w:r>
            </w:hyperlink>
          </w:p>
        </w:tc>
      </w:tr>
      <w:tr>
        <w:trPr>
          <w:trHeight w:val="155"/>
        </w:trPr>
        <w:tc>
          <w:tcPr>
            <w:tcW w:w="1540" w:type="dxa"/>
            <w:vAlign w:val="bottom"/>
          </w:tcPr>
          <w:p>
            <w:pPr>
              <w:spacing w:after="0"/>
              <w:rPr>
                <w:sz w:val="13"/>
                <w:szCs w:val="13"/>
                <w:color w:val="auto"/>
              </w:rPr>
            </w:pPr>
          </w:p>
        </w:tc>
        <w:tc>
          <w:tcPr>
            <w:tcW w:w="932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on April 29,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Separation Agreement between TriMas Corporation and Joshua A. Sherbin dated February 26, 2021, incorporated by reference</w:t>
              </w:r>
            </w:hyperlink>
          </w:p>
        </w:tc>
      </w:tr>
      <w:tr>
        <w:trPr>
          <w:trHeight w:val="169"/>
        </w:trPr>
        <w:tc>
          <w:tcPr>
            <w:tcW w:w="1540" w:type="dxa"/>
            <w:vAlign w:val="bottom"/>
          </w:tcPr>
          <w:p>
            <w:pPr>
              <w:spacing w:after="0"/>
              <w:rPr>
                <w:sz w:val="14"/>
                <w:szCs w:val="14"/>
                <w:color w:val="auto"/>
              </w:rPr>
            </w:pPr>
          </w:p>
        </w:tc>
        <w:tc>
          <w:tcPr>
            <w:tcW w:w="914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to Exhibit 10.4 to the Company’s Quarterly Report on Form 10-Q filed on April 29, 2021.*</w:t>
              </w:r>
            </w:hyperlink>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Second Replacement Revolving Facility Amendment, dated as of March 29, 2021, among TriMas Corporation, TriMas</w:t>
              </w:r>
            </w:hyperlink>
          </w:p>
        </w:tc>
      </w:tr>
      <w:tr>
        <w:trPr>
          <w:trHeight w:val="169"/>
        </w:trPr>
        <w:tc>
          <w:tcPr>
            <w:tcW w:w="1540" w:type="dxa"/>
            <w:vAlign w:val="bottom"/>
          </w:tcPr>
          <w:p>
            <w:pPr>
              <w:spacing w:after="0"/>
              <w:rPr>
                <w:sz w:val="14"/>
                <w:szCs w:val="14"/>
                <w:color w:val="auto"/>
              </w:rPr>
            </w:pPr>
          </w:p>
        </w:tc>
        <w:tc>
          <w:tcPr>
            <w:tcW w:w="85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Company LLC, the subsidiary borrowers party thereto, JPMorgan Chase Bank, N.A., as administrative agent, and the</w:t>
              </w:r>
            </w:hyperlink>
          </w:p>
        </w:tc>
        <w:tc>
          <w:tcPr>
            <w:tcW w:w="800" w:type="dxa"/>
            <w:vAlign w:val="bottom"/>
            <w:gridSpan w:val="27"/>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other</w:t>
              </w:r>
            </w:hyperlink>
          </w:p>
        </w:tc>
      </w:tr>
      <w:tr>
        <w:trPr>
          <w:trHeight w:val="156"/>
        </w:trPr>
        <w:tc>
          <w:tcPr>
            <w:tcW w:w="1540" w:type="dxa"/>
            <w:vAlign w:val="bottom"/>
          </w:tcPr>
          <w:p>
            <w:pPr>
              <w:spacing w:after="0"/>
              <w:rPr>
                <w:sz w:val="13"/>
                <w:szCs w:val="13"/>
                <w:color w:val="auto"/>
              </w:rPr>
            </w:pPr>
          </w:p>
        </w:tc>
        <w:tc>
          <w:tcPr>
            <w:tcW w:w="88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agents and Lenders party thereto, incorporated by reference to Exhibit 10.1 to the Company’s Current Report on Form 8-K</w:t>
              </w:r>
            </w:hyperlink>
          </w:p>
        </w:tc>
        <w:tc>
          <w:tcPr>
            <w:tcW w:w="500" w:type="dxa"/>
            <w:vAlign w:val="bottom"/>
            <w:gridSpan w:val="20"/>
          </w:tcPr>
          <w:p>
            <w:pPr>
              <w:ind w:left="20"/>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filed</w:t>
              </w:r>
            </w:hyperlink>
          </w:p>
        </w:tc>
      </w:tr>
      <w:tr>
        <w:trPr>
          <w:trHeight w:val="155"/>
        </w:trPr>
        <w:tc>
          <w:tcPr>
            <w:tcW w:w="1540" w:type="dxa"/>
            <w:vAlign w:val="bottom"/>
          </w:tcPr>
          <w:p>
            <w:pPr>
              <w:spacing w:after="0"/>
              <w:rPr>
                <w:sz w:val="13"/>
                <w:szCs w:val="13"/>
                <w:color w:val="auto"/>
              </w:rPr>
            </w:pPr>
          </w:p>
        </w:tc>
        <w:tc>
          <w:tcPr>
            <w:tcW w:w="930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on March 30,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620" w:type="dxa"/>
            <w:vAlign w:val="bottom"/>
            <w:gridSpan w:val="16"/>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Separation Agreement between TriMas Corporation and Robert J. Zalupski dated May 1, 2021, incorporated by reference to</w:t>
              </w:r>
            </w:hyperlink>
          </w:p>
        </w:tc>
      </w:tr>
      <w:tr>
        <w:trPr>
          <w:trHeight w:val="169"/>
        </w:trPr>
        <w:tc>
          <w:tcPr>
            <w:tcW w:w="1540" w:type="dxa"/>
            <w:vAlign w:val="bottom"/>
          </w:tcPr>
          <w:p>
            <w:pPr>
              <w:spacing w:after="0"/>
              <w:rPr>
                <w:sz w:val="14"/>
                <w:szCs w:val="14"/>
                <w:color w:val="auto"/>
              </w:rPr>
            </w:pPr>
          </w:p>
        </w:tc>
        <w:tc>
          <w:tcPr>
            <w:tcW w:w="630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Exhibit 10.1 to the Company’s Quarterly Report on Form 10-Q filed on July 29, 2021.*</w:t>
              </w:r>
            </w:hyperlink>
          </w:p>
        </w:tc>
        <w:tc>
          <w:tcPr>
            <w:tcW w:w="2620" w:type="dxa"/>
            <w:vAlign w:val="bottom"/>
            <w:tcBorders>
              <w:top w:val="single" w:sz="8" w:color="0000FF"/>
            </w:tcBorders>
            <w:gridSpan w:val="16"/>
          </w:tcPr>
          <w:p>
            <w:pPr>
              <w:spacing w:after="0"/>
              <w:rPr>
                <w:sz w:val="14"/>
                <w:szCs w:val="14"/>
                <w:color w:val="auto"/>
              </w:rPr>
            </w:pPr>
          </w:p>
        </w:tc>
        <w:tc>
          <w:tcPr>
            <w:tcW w:w="340" w:type="dxa"/>
            <w:vAlign w:val="bottom"/>
            <w:gridSpan w:val="1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Offer Letter between TriMas Corporation and Scott Mell dated March 15, 2021, incorporated by reference to Exhibit 10.2 to the</w:t>
              </w:r>
            </w:hyperlink>
          </w:p>
        </w:tc>
      </w:tr>
      <w:tr>
        <w:trPr>
          <w:trHeight w:val="169"/>
        </w:trPr>
        <w:tc>
          <w:tcPr>
            <w:tcW w:w="154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Company’s Quarterly Report on Form 10-Q filed on July 29, 2021.*</w:t>
              </w:r>
            </w:hyperlink>
          </w:p>
        </w:tc>
        <w:tc>
          <w:tcPr>
            <w:tcW w:w="4420" w:type="dxa"/>
            <w:vAlign w:val="bottom"/>
            <w:tcBorders>
              <w:top w:val="single" w:sz="8" w:color="0000FF"/>
            </w:tcBorders>
            <w:gridSpan w:val="35"/>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360" w:type="dxa"/>
            <w:vAlign w:val="bottom"/>
            <w:gridSpan w:val="4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Executive Severance / Change in Control Policy, incorporated by reference to Exhibit 10.1 to the Company’s Current Report on</w:t>
              </w:r>
            </w:hyperlink>
          </w:p>
        </w:tc>
      </w:tr>
      <w:tr>
        <w:trPr>
          <w:trHeight w:val="169"/>
        </w:trPr>
        <w:tc>
          <w:tcPr>
            <w:tcW w:w="154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Form 8-K filed on August 11, 2021.*</w:t>
              </w:r>
            </w:hyperlink>
          </w:p>
        </w:tc>
        <w:tc>
          <w:tcPr>
            <w:tcW w:w="6580" w:type="dxa"/>
            <w:vAlign w:val="bottom"/>
            <w:tcBorders>
              <w:top w:val="single" w:sz="8" w:color="0000FF"/>
            </w:tcBorders>
            <w:gridSpan w:val="34"/>
          </w:tcPr>
          <w:p>
            <w:pPr>
              <w:spacing w:after="0"/>
              <w:rPr>
                <w:sz w:val="14"/>
                <w:szCs w:val="14"/>
                <w:color w:val="auto"/>
              </w:rPr>
            </w:pPr>
          </w:p>
        </w:tc>
        <w:tc>
          <w:tcPr>
            <w:tcW w:w="100" w:type="dxa"/>
            <w:vAlign w:val="bottom"/>
            <w:gridSpan w:val="5"/>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220" w:type="dxa"/>
            <w:vAlign w:val="bottom"/>
            <w:gridSpan w:val="1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Performance Stock Units Agreement - 2022 LTI - under the 2017 Equity and Incentive Compensation Plan,</w:t>
              </w:r>
            </w:hyperlink>
          </w:p>
        </w:tc>
      </w:tr>
      <w:tr>
        <w:trPr>
          <w:trHeight w:val="169"/>
        </w:trPr>
        <w:tc>
          <w:tcPr>
            <w:tcW w:w="15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incorporated by reference to Exhibit 10.1 to the Company’s Quarterly Report on Form 10-Q filed on April 28, 2022.</w:t>
              </w:r>
            </w:hyperlink>
          </w:p>
        </w:tc>
        <w:tc>
          <w:tcPr>
            <w:tcW w:w="100" w:type="dxa"/>
            <w:vAlign w:val="bottom"/>
            <w:tcBorders>
              <w:bottom w:val="single" w:sz="8" w:color="0000FF"/>
            </w:tcBorders>
          </w:tcPr>
          <w:p>
            <w:pPr>
              <w:jc w:val="right"/>
              <w:spacing w:after="0" w:line="169" w:lineRule="exact"/>
              <w:rPr>
                <w:rFonts w:ascii="Times New Roman" w:cs="Times New Roman" w:eastAsia="Times New Roman" w:hAnsi="Times New Roman"/>
                <w:sz w:val="18"/>
                <w:szCs w:val="18"/>
                <w:color w:val="0000FF"/>
                <w:w w:val="88"/>
              </w:rPr>
            </w:pPr>
            <w:hyperlink r:id="rId129">
              <w:r>
                <w:rPr>
                  <w:rFonts w:ascii="Times New Roman" w:cs="Times New Roman" w:eastAsia="Times New Roman" w:hAnsi="Times New Roman"/>
                  <w:sz w:val="18"/>
                  <w:szCs w:val="18"/>
                  <w:color w:val="0000FF"/>
                  <w:w w:val="88"/>
                </w:rPr>
                <w:t>*</w:t>
              </w:r>
            </w:hyperlink>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220" w:type="dxa"/>
            <w:vAlign w:val="bottom"/>
            <w:gridSpan w:val="1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Restricted Stock Units Agreement (Three-Year Vest) - 2022 LTI - under the 2017 Equity and Incentive Compensation</w:t>
              </w:r>
            </w:hyperlink>
          </w:p>
        </w:tc>
      </w:tr>
      <w:tr>
        <w:trPr>
          <w:trHeight w:val="169"/>
        </w:trPr>
        <w:tc>
          <w:tcPr>
            <w:tcW w:w="1540" w:type="dxa"/>
            <w:vAlign w:val="bottom"/>
          </w:tcPr>
          <w:p>
            <w:pPr>
              <w:spacing w:after="0"/>
              <w:rPr>
                <w:sz w:val="14"/>
                <w:szCs w:val="14"/>
                <w:color w:val="auto"/>
              </w:rPr>
            </w:pPr>
          </w:p>
        </w:tc>
        <w:tc>
          <w:tcPr>
            <w:tcW w:w="910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Plan, incorporated by reference to Exhibit 10.2 to the Company’s Quarterly Report on Form 10-Q filed on April 28, 2022.*</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886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Restricted Stock Units Agreement (Board Of Directors) (One-Year Vest) - 2022 LTI - under the 2017 Equity and</w:t>
              </w:r>
            </w:hyperlink>
          </w:p>
        </w:tc>
        <w:tc>
          <w:tcPr>
            <w:tcW w:w="360" w:type="dxa"/>
            <w:vAlign w:val="bottom"/>
            <w:gridSpan w:val="3"/>
          </w:tcPr>
          <w:p>
            <w:pPr>
              <w:spacing w:after="0"/>
              <w:rPr>
                <w:sz w:val="18"/>
                <w:szCs w:val="18"/>
                <w:color w:val="auto"/>
              </w:rPr>
            </w:pPr>
          </w:p>
        </w:tc>
      </w:tr>
      <w:tr>
        <w:trPr>
          <w:trHeight w:val="169"/>
        </w:trPr>
        <w:tc>
          <w:tcPr>
            <w:tcW w:w="1540" w:type="dxa"/>
            <w:vAlign w:val="bottom"/>
          </w:tcPr>
          <w:p>
            <w:pPr>
              <w:spacing w:after="0"/>
              <w:rPr>
                <w:sz w:val="14"/>
                <w:szCs w:val="14"/>
                <w:color w:val="auto"/>
              </w:rPr>
            </w:pPr>
          </w:p>
        </w:tc>
        <w:tc>
          <w:tcPr>
            <w:tcW w:w="876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Incentive Compensation Plan, incorporated by reference to Exhibit 10.3 to the Company’s Quarterly Report on Form 10-</w:t>
              </w:r>
            </w:hyperlink>
          </w:p>
        </w:tc>
        <w:tc>
          <w:tcPr>
            <w:tcW w:w="460" w:type="dxa"/>
            <w:vAlign w:val="bottom"/>
            <w:gridSpan w:val="4"/>
          </w:tcPr>
          <w:p>
            <w:pPr>
              <w:spacing w:after="0" w:line="169" w:lineRule="exact"/>
              <w:rPr>
                <w:rFonts w:ascii="Times New Roman" w:cs="Times New Roman" w:eastAsia="Times New Roman" w:hAnsi="Times New Roman"/>
                <w:sz w:val="18"/>
                <w:szCs w:val="18"/>
                <w:color w:val="0000FF"/>
                <w:w w:val="87"/>
              </w:rPr>
            </w:pPr>
            <w:hyperlink r:id="rId131">
              <w:r>
                <w:rPr>
                  <w:rFonts w:ascii="Times New Roman" w:cs="Times New Roman" w:eastAsia="Times New Roman" w:hAnsi="Times New Roman"/>
                  <w:sz w:val="18"/>
                  <w:szCs w:val="18"/>
                  <w:color w:val="0000FF"/>
                  <w:w w:val="87"/>
                </w:rPr>
                <w:t>Q filed</w:t>
              </w:r>
            </w:hyperlink>
          </w:p>
        </w:tc>
      </w:tr>
      <w:tr>
        <w:trPr>
          <w:trHeight w:val="156"/>
        </w:trPr>
        <w:tc>
          <w:tcPr>
            <w:tcW w:w="1540" w:type="dxa"/>
            <w:vAlign w:val="bottom"/>
          </w:tcPr>
          <w:p>
            <w:pPr>
              <w:spacing w:after="0"/>
              <w:rPr>
                <w:sz w:val="13"/>
                <w:szCs w:val="13"/>
                <w:color w:val="auto"/>
              </w:rPr>
            </w:pPr>
          </w:p>
        </w:tc>
        <w:tc>
          <w:tcPr>
            <w:tcW w:w="92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on April 28, 2022.*</w:t>
              </w:r>
            </w:hyperlink>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TriMas Corporation Subsidiary List.</w:t>
            </w:r>
          </w:p>
        </w:tc>
        <w:tc>
          <w:tcPr>
            <w:tcW w:w="6600" w:type="dxa"/>
            <w:vAlign w:val="bottom"/>
            <w:gridSpan w:val="10"/>
          </w:tcPr>
          <w:p>
            <w:pPr>
              <w:spacing w:after="0"/>
              <w:rPr>
                <w:sz w:val="18"/>
                <w:szCs w:val="18"/>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3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w:t>
            </w:r>
          </w:p>
        </w:tc>
        <w:tc>
          <w:tcPr>
            <w:tcW w:w="4860" w:type="dxa"/>
            <w:vAlign w:val="bottom"/>
            <w:gridSpan w:val="9"/>
          </w:tcPr>
          <w:p>
            <w:pPr>
              <w:ind w:left="40"/>
              <w:spacing w:after="0" w:line="207" w:lineRule="exact"/>
              <w:rPr>
                <w:sz w:val="20"/>
                <w:szCs w:val="20"/>
                <w:color w:val="auto"/>
              </w:rPr>
            </w:pPr>
            <w:r>
              <w:rPr>
                <w:rFonts w:ascii="Times New Roman" w:cs="Times New Roman" w:eastAsia="Times New Roman" w:hAnsi="Times New Roman"/>
                <w:sz w:val="18"/>
                <w:szCs w:val="18"/>
                <w:color w:val="0000FF"/>
              </w:rPr>
              <w:t>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20" w:type="dxa"/>
            <w:vAlign w:val="bottom"/>
            <w:tcBorders>
              <w:top w:val="single" w:sz="8" w:color="0000FF"/>
              <w:bottom w:val="single" w:sz="8" w:color="0000FF"/>
            </w:tcBorders>
            <w:gridSpan w:val="6"/>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FF"/>
            </w:tcBorders>
          </w:tcPr>
          <w:p>
            <w:pPr>
              <w:spacing w:after="0"/>
              <w:rPr>
                <w:sz w:val="18"/>
                <w:szCs w:val="18"/>
                <w:color w:val="auto"/>
              </w:rPr>
            </w:pPr>
          </w:p>
        </w:tc>
        <w:tc>
          <w:tcPr>
            <w:tcW w:w="480" w:type="dxa"/>
            <w:vAlign w:val="bottom"/>
            <w:gridSpan w:val="5"/>
          </w:tcPr>
          <w:p>
            <w:pPr>
              <w:spacing w:after="0"/>
              <w:rPr>
                <w:sz w:val="18"/>
                <w:szCs w:val="18"/>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40" w:type="dxa"/>
            <w:vAlign w:val="bottom"/>
            <w:tcBorders>
              <w:bottom w:val="single" w:sz="8" w:color="0000FF"/>
            </w:tcBorders>
            <w:gridSpan w:val="7"/>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480" w:type="dxa"/>
            <w:vAlign w:val="bottom"/>
            <w:gridSpan w:val="5"/>
          </w:tcPr>
          <w:p>
            <w:pPr>
              <w:spacing w:after="0"/>
              <w:rPr>
                <w:sz w:val="18"/>
                <w:szCs w:val="18"/>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740" w:type="dxa"/>
            <w:vAlign w:val="bottom"/>
            <w:tcBorders>
              <w:bottom w:val="single" w:sz="8" w:color="0000FF"/>
            </w:tcBorders>
            <w:gridSpan w:val="7"/>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480" w:type="dxa"/>
            <w:vAlign w:val="bottom"/>
            <w:gridSpan w:val="5"/>
          </w:tcPr>
          <w:p>
            <w:pPr>
              <w:spacing w:after="0"/>
              <w:rPr>
                <w:sz w:val="18"/>
                <w:szCs w:val="18"/>
                <w:color w:val="auto"/>
              </w:rPr>
            </w:pPr>
          </w:p>
        </w:tc>
      </w:tr>
    </w:tbl>
    <w:p>
      <w:pPr>
        <w:spacing w:after="0" w:line="22" w:lineRule="exact"/>
        <w:rPr>
          <w:sz w:val="20"/>
          <w:szCs w:val="20"/>
          <w:color w:val="auto"/>
        </w:rPr>
      </w:pPr>
    </w:p>
    <w:p>
      <w:pPr>
        <w:ind w:left="1760" w:right="300" w:hanging="1532"/>
        <w:spacing w:after="0" w:line="223" w:lineRule="auto"/>
        <w:tabs>
          <w:tab w:leader="none" w:pos="1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TriMas Corporation's Annual Report on Form 10-K for the fiscal year ended December 31, 2022, formatted in Inline XBRL (eXtensible Business Reporting Language): (i) the Consolidated Balance Sheet, (ii) the Consolidated Statement of Operations, (iii) the Consolidated Statement of Comprehensive Income, (iv) the Consolidated Statement of Cash Flows, (v) the Consolidated Statement of Shareholders' Equity, (vi) Notes to Consolidated Financial Statements, and (vii) document and entity information.</w:t>
      </w:r>
    </w:p>
    <w:p>
      <w:pPr>
        <w:spacing w:after="0" w:line="2" w:lineRule="exact"/>
        <w:rPr>
          <w:sz w:val="20"/>
          <w:szCs w:val="20"/>
          <w:color w:val="auto"/>
        </w:rPr>
      </w:pPr>
    </w:p>
    <w:p>
      <w:pPr>
        <w:ind w:left="22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contracts and compensatory plans or arrangements required to be filed as an exhibit pursuant to Item 15(b) of Form 10-K.</w:t>
      </w:r>
    </w:p>
    <w:p>
      <w:pPr>
        <w:spacing w:after="0" w:line="252" w:lineRule="exact"/>
        <w:rPr>
          <w:sz w:val="20"/>
          <w:szCs w:val="20"/>
          <w:color w:val="auto"/>
        </w:rPr>
      </w:pPr>
    </w:p>
    <w:p>
      <w:pPr>
        <w:ind w:firstLine="8"/>
        <w:spacing w:after="0" w:line="282" w:lineRule="auto"/>
        <w:tabs>
          <w:tab w:leader="none" w:pos="2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00" w:lineRule="exact"/>
        <w:rPr>
          <w:sz w:val="20"/>
          <w:szCs w:val="20"/>
          <w:color w:val="auto"/>
        </w:rPr>
      </w:pPr>
    </w:p>
    <w:p>
      <w:pPr>
        <w:spacing w:after="0" w:line="2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TRIMAS CORPORATION</w:t>
      </w:r>
    </w:p>
    <w:p>
      <w:pPr>
        <w:ind w:left="3200"/>
        <w:spacing w:after="0"/>
        <w:rPr>
          <w:sz w:val="20"/>
          <w:szCs w:val="20"/>
          <w:color w:val="auto"/>
        </w:rPr>
      </w:pPr>
      <w:r>
        <w:rPr>
          <w:rFonts w:ascii="Times New Roman" w:cs="Times New Roman" w:eastAsia="Times New Roman" w:hAnsi="Times New Roman"/>
          <w:sz w:val="18"/>
          <w:szCs w:val="18"/>
          <w:color w:val="auto"/>
        </w:rPr>
        <w:t>(Registrant)</w:t>
      </w:r>
    </w:p>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6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BY:</w:t>
            </w:r>
          </w:p>
        </w:tc>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A. AMATO</w:t>
            </w:r>
          </w:p>
        </w:tc>
      </w:tr>
      <w:tr>
        <w:trPr>
          <w:trHeight w:val="169"/>
        </w:trPr>
        <w:tc>
          <w:tcPr>
            <w:tcW w:w="36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w:t>
            </w:r>
          </w:p>
        </w:tc>
        <w:tc>
          <w:tcPr>
            <w:tcW w:w="7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Name: Thomas A. Amato</w:t>
            </w:r>
          </w:p>
        </w:tc>
      </w:tr>
      <w:tr>
        <w:trPr>
          <w:trHeight w:val="243"/>
        </w:trPr>
        <w:tc>
          <w:tcPr>
            <w:tcW w:w="36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February 23, 2023</w:t>
            </w: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President and Chief Executive Officer</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9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2860" w:type="dxa"/>
            <w:vAlign w:val="bottom"/>
          </w:tcPr>
          <w:p>
            <w:pPr>
              <w:spacing w:after="0"/>
              <w:rPr>
                <w:sz w:val="16"/>
                <w:szCs w:val="16"/>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6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0"/>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THOMAS A. AMATO</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February 23,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Thomas A. Amato</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SCOTT A. MELL</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February 23,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Scott A. Mell</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PAUL A. SWART</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Vice President Business Planning, Controller and Chief Accounting Officer</w:t>
            </w: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February 23,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Paul A. Swart</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SAMUEL VALENTI III</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February 23,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Samuel Valenti III</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HOLLY M. BOEHNE</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February 23,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Holly M. Boehne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TERESA M. FINLEY</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February 23,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Teresa M. Finley</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JEFFREY M. GREENE</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February 23,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Jeffrey M. Greene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HERBERT K. PARKER</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February 23,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Herbert K. Parker</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NICK L. STANAGE</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February 23,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Nick L. Stanage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DANIEL P. TREDWELL</w:t>
            </w:r>
          </w:p>
        </w:tc>
        <w:tc>
          <w:tcPr>
            <w:tcW w:w="6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February 23,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Daniel P. Tredwell</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ITEM 15(a)(2)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FORM 10-K VALUATION AND QUALIFYING ACCOUNTS FOR THE YEARS ENDED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CHARGED</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115"/>
              <w:spacing w:after="0" w:line="161" w:lineRule="exact"/>
              <w:rPr>
                <w:sz w:val="20"/>
                <w:szCs w:val="20"/>
                <w:color w:val="auto"/>
              </w:rPr>
            </w:pPr>
            <w:r>
              <w:rPr>
                <w:rFonts w:ascii="Times New Roman" w:cs="Times New Roman" w:eastAsia="Times New Roman" w:hAnsi="Times New Roman"/>
                <w:sz w:val="16"/>
                <w:szCs w:val="16"/>
                <w:b w:val="1"/>
                <w:bCs w:val="1"/>
                <w:color w:val="auto"/>
              </w:rPr>
              <w:t>CHARGED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0"/>
              <w:spacing w:after="0" w:line="162" w:lineRule="exact"/>
              <w:rPr>
                <w:sz w:val="20"/>
                <w:szCs w:val="20"/>
                <w:color w:val="auto"/>
              </w:rPr>
            </w:pPr>
            <w:r>
              <w:rPr>
                <w:rFonts w:ascii="Times New Roman" w:cs="Times New Roman" w:eastAsia="Times New Roman" w:hAnsi="Times New Roman"/>
                <w:sz w:val="16"/>
                <w:szCs w:val="16"/>
                <w:b w:val="1"/>
                <w:bCs w:val="1"/>
                <w:color w:val="auto"/>
              </w:rPr>
              <w:t>AT</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4"/>
              </w:rPr>
              <w:t>TO</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(CREDITED)</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COSTS AND</w:t>
            </w:r>
          </w:p>
        </w:tc>
        <w:tc>
          <w:tcPr>
            <w:tcW w:w="200" w:type="dxa"/>
            <w:vAlign w:val="bottom"/>
          </w:tcPr>
          <w:p>
            <w:pPr>
              <w:spacing w:after="0"/>
              <w:rPr>
                <w:sz w:val="14"/>
                <w:szCs w:val="14"/>
                <w:color w:val="auto"/>
              </w:rPr>
            </w:pPr>
          </w:p>
        </w:tc>
        <w:tc>
          <w:tcPr>
            <w:tcW w:w="14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TO OTHER</w:t>
            </w:r>
          </w:p>
        </w:tc>
        <w:tc>
          <w:tcPr>
            <w:tcW w:w="180" w:type="dxa"/>
            <w:vAlign w:val="bottom"/>
          </w:tcPr>
          <w:p>
            <w:pPr>
              <w:spacing w:after="0"/>
              <w:rPr>
                <w:sz w:val="14"/>
                <w:szCs w:val="14"/>
                <w:color w:val="auto"/>
              </w:rPr>
            </w:pP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DEDUCTIONS</w:t>
            </w:r>
            <w:r>
              <w:rPr>
                <w:rFonts w:ascii="Times New Roman" w:cs="Times New Roman" w:eastAsia="Times New Roman" w:hAnsi="Times New Roman"/>
                <w:sz w:val="21"/>
                <w:szCs w:val="21"/>
                <w:b w:val="1"/>
                <w:bCs w:val="1"/>
                <w:color w:val="auto"/>
                <w:vertAlign w:val="superscript"/>
              </w:rPr>
              <w:t>(A)</w:t>
            </w:r>
          </w:p>
        </w:tc>
        <w:tc>
          <w:tcPr>
            <w:tcW w:w="160" w:type="dxa"/>
            <w:vAlign w:val="bottom"/>
          </w:tcPr>
          <w:p>
            <w:pPr>
              <w:spacing w:after="0"/>
              <w:rPr>
                <w:sz w:val="14"/>
                <w:szCs w:val="14"/>
                <w:color w:val="auto"/>
              </w:rPr>
            </w:pPr>
          </w:p>
        </w:tc>
        <w:tc>
          <w:tcPr>
            <w:tcW w:w="114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6"/>
              </w:rPr>
              <w:t>AT END</w:t>
            </w:r>
          </w:p>
        </w:tc>
        <w:tc>
          <w:tcPr>
            <w:tcW w:w="0" w:type="dxa"/>
            <w:vAlign w:val="bottom"/>
          </w:tcPr>
          <w:p>
            <w:pPr>
              <w:spacing w:after="0"/>
              <w:rPr>
                <w:sz w:val="1"/>
                <w:szCs w:val="1"/>
                <w:color w:val="auto"/>
              </w:rPr>
            </w:pPr>
          </w:p>
        </w:tc>
      </w:tr>
      <w:tr>
        <w:trPr>
          <w:trHeight w:val="216"/>
        </w:trPr>
        <w:tc>
          <w:tcPr>
            <w:tcW w:w="3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EXPENSES</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1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0" w:type="dxa"/>
            <w:vAlign w:val="bottom"/>
          </w:tcPr>
          <w:p>
            <w:pPr>
              <w:spacing w:after="0"/>
              <w:rPr>
                <w:sz w:val="1"/>
                <w:szCs w:val="1"/>
                <w:color w:val="auto"/>
              </w:rPr>
            </w:pPr>
          </w:p>
        </w:tc>
      </w:tr>
      <w:tr>
        <w:trPr>
          <w:trHeight w:val="164"/>
        </w:trPr>
        <w:tc>
          <w:tcPr>
            <w:tcW w:w="354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Allowance for doubtful accounts deducted</w:t>
            </w: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accounts receivable in the balance sheet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1,570,000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1,730,000</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2,120,000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Year ended December 31, 2020</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color w:val="auto"/>
              </w:rPr>
              <w:t>2,060,000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2,080,000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2,120,000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2,120,000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0"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Deductions, representing uncollectible accounts written-off, less recoveries of amounts reserved in prior years.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80"/>
          </w:cols>
          <w:pgMar w:left="320" w:top="121" w:right="3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TriMas Corporation Significant</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Subsidiary List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Allfast Fastening Systems, LLC (California limited liability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Monogram Aerospace Fasteners, Inc. (Delaware corporation)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Norris Cylinder Company (Delaware corporation)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Rieke Corporation (Indiana corporation)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companies may also use trade names or other assumed names in the conduct of their business.</w:t>
      </w:r>
    </w:p>
    <w:p>
      <w:pPr>
        <w:spacing w:after="0" w:line="233"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defined in Rule 1-02(w) of Regulation S-X, and other more significant operating companies as determined by management</w:t>
      </w:r>
    </w:p>
    <w:p>
      <w:pPr>
        <w:sectPr>
          <w:pgSz w:w="11900" w:h="16838" w:orient="portrait"/>
          <w:cols w:equalWidth="0" w:num="1">
            <w:col w:w="11240"/>
          </w:cols>
          <w:pgMar w:left="320" w:top="88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333-190666 and 333-218867 on Form S-8 of our reports dated February 23, 2023, relating to the consolidated financial statements and financial statement schedule of TriMas Corporation and subsidiaries, and the effectiveness of TriMas Corporation’s internal control over financial reporting, appearing in the Annual Report on Form 10-K of TriMas Corporation for the year ended 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TriMas Corporation;</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8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2023</w:t>
      </w: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17145</wp:posOffset>
            </wp:positionV>
            <wp:extent cx="18516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Thomas A. Amato</w:t>
      </w:r>
    </w:p>
    <w:p>
      <w:pPr>
        <w:ind w:left="32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Mell,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TriMas Corporation;</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8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2023</w:t>
      </w: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17145</wp:posOffset>
            </wp:positionV>
            <wp:extent cx="18516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Scott A. Mell</w:t>
      </w:r>
    </w:p>
    <w:p>
      <w:pPr>
        <w:ind w:left="3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TriMas Corporation (the "Company") on Form 10-K for the period ended December 31, 2022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40" w:firstLine="332"/>
        <w:spacing w:after="0" w:line="461"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23, 2023</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19456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Thomas A. Amato</w:t>
      </w:r>
    </w:p>
    <w:p>
      <w:pPr>
        <w:ind w:left="6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TriMas Corporation (the "Company") on Form 10-K for the period ended December 31, 2022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40" w:firstLine="332"/>
        <w:spacing w:after="0" w:line="461"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23, 2023</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19456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Scott A. Mell</w:t>
      </w:r>
    </w:p>
    <w:p>
      <w:pPr>
        <w:ind w:left="600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9"/>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
      <w:numFmt w:val="bullet"/>
      <w:start w:val="1"/>
    </w:lvl>
    <w:lvl w:ilvl="1">
      <w:lvlJc w:val="left"/>
      <w:lvlText w:val="%2."/>
      <w:numFmt w:val="lowerRoman"/>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10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upperLetter"/>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7" Type="http://schemas.openxmlformats.org/officeDocument/2006/relationships/image" Target="media/image92.png"/><Relationship Id="rId128"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99" Type="http://schemas.openxmlformats.org/officeDocument/2006/relationships/hyperlink" Target="http://www.sec.gov/Archives/edgar/data/842633/000110465907058776/a07-19157_1ex3d1.htm" TargetMode="External"/><Relationship Id="rId100" Type="http://schemas.openxmlformats.org/officeDocument/2006/relationships/hyperlink" Target="http://www.sec.gov/Archives/edgar/data/842633/000084263315000161/thirdamendedandrestatedbyl.htm" TargetMode="External"/><Relationship Id="rId101" Type="http://schemas.openxmlformats.org/officeDocument/2006/relationships/hyperlink" Target="https://www.sec.gov/Archives/edgar/data/0000842633/000119312521100309/d159208dex41.htm" TargetMode="External"/><Relationship Id="rId102" Type="http://schemas.openxmlformats.org/officeDocument/2006/relationships/hyperlink" Target="http://www.sec.gov/Archives/edgar/data/842633/000084263320000014/trs-123119xexh42.htm" TargetMode="External"/><Relationship Id="rId103" Type="http://schemas.openxmlformats.org/officeDocument/2006/relationships/hyperlink" Target="http://www.sec.gov/Archives/edgar/data/842633/000119312513405477/d614258dex101.htm" TargetMode="External"/><Relationship Id="rId104" Type="http://schemas.openxmlformats.org/officeDocument/2006/relationships/hyperlink" Target="http://www.sec.gov/Archives/edgar/data/842633/000084263322000008/trs-123121xexh102.htm" TargetMode="External"/><Relationship Id="rId105" Type="http://schemas.openxmlformats.org/officeDocument/2006/relationships/hyperlink" Target="http://www.sec.gov/Archives/edgar/data/842633/000119312514376398/d804320dex101.htm" TargetMode="External"/><Relationship Id="rId106" Type="http://schemas.openxmlformats.org/officeDocument/2006/relationships/hyperlink" Target="http://www.sec.gov/Archives/edgar/data/842633/000119312515245544/d17730dex105.htm" TargetMode="External"/><Relationship Id="rId108" Type="http://schemas.openxmlformats.org/officeDocument/2006/relationships/hyperlink" Target="http://www.sec.gov/Archives/edgar/data/842633/000084263317000059/trs_03312017xexh104.htm" TargetMode="External"/><Relationship Id="rId109" Type="http://schemas.openxmlformats.org/officeDocument/2006/relationships/hyperlink" Target="http://www.sec.gov/Archives/edgar/data/842633/000084263317000059/trs_03312017xexh105.htm" TargetMode="External"/><Relationship Id="rId110" Type="http://schemas.openxmlformats.org/officeDocument/2006/relationships/hyperlink" Target="http://www.sec.gov/Archives/edgar/data/842633/000119312517289439/d431929dex101.htm" TargetMode="External"/><Relationship Id="rId111" Type="http://schemas.openxmlformats.org/officeDocument/2006/relationships/hyperlink" Target="http://www.sec.gov/Archives/edgar/data/842633/000110465909015133/a09-7188_1ex10d1.htm" TargetMode="External"/><Relationship Id="rId112" Type="http://schemas.openxmlformats.org/officeDocument/2006/relationships/hyperlink" Target="http://www.sec.gov/Archives/edgar/data/842633/000110465909069548/a09-35212_1ex10d2.htm" TargetMode="External"/><Relationship Id="rId113" Type="http://schemas.openxmlformats.org/officeDocument/2006/relationships/hyperlink" Target="http://www.sec.gov/Archives/edgar/data/842633/000084263317000084/trs_06302017xexh101.htm" TargetMode="External"/><Relationship Id="rId114" Type="http://schemas.openxmlformats.org/officeDocument/2006/relationships/hyperlink" Target="http://www.sec.gov/Archives/edgar/data/842633/000084263313000204/a101_formofindemnification.htm" TargetMode="External"/><Relationship Id="rId115" Type="http://schemas.openxmlformats.org/officeDocument/2006/relationships/hyperlink" Target="http://www.sec.gov/Archives/edgar/data/842633/000084263316000271/trs_09302016xexh102.htm" TargetMode="External"/><Relationship Id="rId116" Type="http://schemas.openxmlformats.org/officeDocument/2006/relationships/hyperlink" Target="http://www.sec.gov/Archives/edgar/data/842633/000084263320000014/trs-123119xexh1037.htm" TargetMode="External"/><Relationship Id="rId117" Type="http://schemas.openxmlformats.org/officeDocument/2006/relationships/hyperlink" Target="http://www.sec.gov/Archives/edgar/data/842633/000084263320000058/trs03312020exh101.htm" TargetMode="External"/><Relationship Id="rId118" Type="http://schemas.openxmlformats.org/officeDocument/2006/relationships/hyperlink" Target="http://www.sec.gov/Archives/edgar/data/842633/000084263320000058/trs03312020exh102.htm" TargetMode="External"/><Relationship Id="rId119" Type="http://schemas.openxmlformats.org/officeDocument/2006/relationships/hyperlink" Target="https://www.sec.gov/Archives/edgar/data/842633/000084263320000058/trs03312020exh103.htm" TargetMode="External"/><Relationship Id="rId120" Type="http://schemas.openxmlformats.org/officeDocument/2006/relationships/hyperlink" Target="http://www.sec.gov/Archives/edgar/data/0000842633/000084263321000051/trs_03312021xexh101.htm" TargetMode="External"/><Relationship Id="rId121" Type="http://schemas.openxmlformats.org/officeDocument/2006/relationships/hyperlink" Target="http://www.sec.gov/Archives/edgar/data/0000842633/000084263321000051/trs_03312021xexh102.htm" TargetMode="External"/><Relationship Id="rId122" Type="http://schemas.openxmlformats.org/officeDocument/2006/relationships/hyperlink" Target="http://www.sec.gov/Archives/edgar/data/0000842633/000084263321000051/trs_03312021xexh103.htm" TargetMode="External"/><Relationship Id="rId123" Type="http://schemas.openxmlformats.org/officeDocument/2006/relationships/hyperlink" Target="http://www.sec.gov/Archives/edgar/data/0000842633/000084263321000051/trs_03312021xexh104.htm" TargetMode="External"/><Relationship Id="rId124" Type="http://schemas.openxmlformats.org/officeDocument/2006/relationships/hyperlink" Target="http://www.sec.gov/Archives/edgar/data/0000842633/000119312521100309/d159208dex101.htm" TargetMode="External"/><Relationship Id="rId125" Type="http://schemas.openxmlformats.org/officeDocument/2006/relationships/hyperlink" Target="http://www.sec.gov/Archives/edgar/data/0000842633/000084263321000076/trs_06302021xexhibit101.htm" TargetMode="External"/><Relationship Id="rId126" Type="http://schemas.openxmlformats.org/officeDocument/2006/relationships/hyperlink" Target="http://www.sec.gov/Archives/edgar/data/0000842633/000084263321000076/trs_06302021xexhibit102.htm" TargetMode="External"/><Relationship Id="rId127" Type="http://schemas.openxmlformats.org/officeDocument/2006/relationships/hyperlink" Target="http://www.sec.gov/Archives/edgar/data/842633/000084263321000079/aex101_trimasxexecutivesev.htm" TargetMode="External"/><Relationship Id="rId129" Type="http://schemas.openxmlformats.org/officeDocument/2006/relationships/hyperlink" Target="http://www.sec.gov/Archives/edgar/data/842633/000084263322000044/trs_03312022xexh101.htm" TargetMode="External"/><Relationship Id="rId130" Type="http://schemas.openxmlformats.org/officeDocument/2006/relationships/hyperlink" Target="http://www.sec.gov/Archives/edgar/data/842633/000084263322000044/trs_03312022exh102.htm" TargetMode="External"/><Relationship Id="rId131" Type="http://schemas.openxmlformats.org/officeDocument/2006/relationships/hyperlink" Target="http://www.sec.gov/Archives/edgar/data/842633/000084263322000044/trs_03312022xexh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2023-02-23T13:22:21Z</dcterms:created>
  <dcterms:modified xsi:type="dcterms:W3CDTF">2023-02-23T13:22:21Z</dcterms:modified>
</cp:coreProperties>
</file>