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29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ind w:left="1920" w:hanging="1109"/>
        <w:spacing w:after="0"/>
        <w:tabs>
          <w:tab w:leader="none" w:pos="19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ANNUAL REPORT PURSUANT TO SECTION 13 OR 15(d) OF THE SECURITIES</w:t>
      </w:r>
    </w:p>
    <w:p>
      <w:pPr>
        <w:ind w:left="1920"/>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10" w:lineRule="exact"/>
        <w:rPr>
          <w:sz w:val="24"/>
          <w:szCs w:val="24"/>
          <w:color w:val="auto"/>
        </w:rPr>
      </w:pPr>
    </w:p>
    <w:p>
      <w:pPr>
        <w:ind w:left="1920" w:hanging="1102"/>
        <w:spacing w:after="0"/>
        <w:tabs>
          <w:tab w:leader="none" w:pos="19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w:t>
      </w:r>
    </w:p>
    <w:p>
      <w:pPr>
        <w:ind w:left="1920"/>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transition period from</w:t>
            </w:r>
          </w:p>
        </w:tc>
        <w:tc>
          <w:tcPr>
            <w:tcW w:w="34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w:t>
            </w:r>
          </w:p>
        </w:tc>
      </w:tr>
      <w:tr>
        <w:trPr>
          <w:trHeight w:val="249"/>
        </w:trPr>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b w:val="1"/>
                <w:bCs w:val="1"/>
                <w:color w:val="auto"/>
                <w:w w:val="92"/>
              </w:rPr>
              <w:t>Commission file number 001-10716</w:t>
            </w:r>
          </w:p>
        </w:tc>
      </w:tr>
      <w:tr>
        <w:trPr>
          <w:trHeight w:val="108"/>
        </w:trPr>
        <w:tc>
          <w:tcPr>
            <w:tcW w:w="8700" w:type="dxa"/>
            <w:vAlign w:val="bottom"/>
            <w:gridSpan w:val="8"/>
          </w:tcPr>
          <w:p>
            <w:pPr>
              <w:jc w:val="right"/>
              <w:ind w:right="140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tc>
      </w:tr>
      <w:tr>
        <w:trPr>
          <w:trHeight w:val="346"/>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29"/>
                <w:szCs w:val="29"/>
                <w:b w:val="1"/>
                <w:bCs w:val="1"/>
                <w:color w:val="auto"/>
              </w:rPr>
              <w:t>TRIMAS CORPORATION</w:t>
            </w:r>
          </w:p>
        </w:tc>
      </w:tr>
      <w:tr>
        <w:trPr>
          <w:trHeight w:val="182"/>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330"/>
        </w:trPr>
        <w:tc>
          <w:tcPr>
            <w:tcW w:w="1120" w:type="dxa"/>
            <w:vAlign w:val="bottom"/>
          </w:tcPr>
          <w:p>
            <w:pPr>
              <w:spacing w:after="0"/>
              <w:rPr>
                <w:sz w:val="24"/>
                <w:szCs w:val="24"/>
                <w:color w:val="auto"/>
              </w:rPr>
            </w:pPr>
          </w:p>
        </w:tc>
        <w:tc>
          <w:tcPr>
            <w:tcW w:w="1600" w:type="dxa"/>
            <w:vAlign w:val="bottom"/>
            <w:gridSpan w:val="2"/>
          </w:tcPr>
          <w:p>
            <w:pPr>
              <w:jc w:val="center"/>
              <w:ind w:right="748"/>
              <w:spacing w:after="0"/>
              <w:rPr>
                <w:sz w:val="20"/>
                <w:szCs w:val="20"/>
                <w:color w:val="auto"/>
              </w:rPr>
            </w:pPr>
            <w:r>
              <w:rPr>
                <w:rFonts w:ascii="Arial" w:cs="Arial" w:eastAsia="Arial" w:hAnsi="Arial"/>
                <w:sz w:val="16"/>
                <w:szCs w:val="16"/>
                <w:b w:val="1"/>
                <w:bCs w:val="1"/>
                <w:color w:val="auto"/>
                <w:w w:val="93"/>
              </w:rPr>
              <w:t>Delaware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2"/>
          </w:tcPr>
          <w:p>
            <w:pPr>
              <w:jc w:val="right"/>
              <w:ind w:right="1124"/>
              <w:spacing w:after="0"/>
              <w:rPr>
                <w:sz w:val="20"/>
                <w:szCs w:val="20"/>
                <w:color w:val="auto"/>
              </w:rPr>
            </w:pPr>
            <w:r>
              <w:rPr>
                <w:rFonts w:ascii="Arial" w:cs="Arial" w:eastAsia="Arial" w:hAnsi="Arial"/>
                <w:sz w:val="16"/>
                <w:szCs w:val="16"/>
                <w:b w:val="1"/>
                <w:bCs w:val="1"/>
                <w:color w:val="auto"/>
              </w:rPr>
              <w:t>38-2687639</w:t>
            </w:r>
          </w:p>
        </w:tc>
      </w:tr>
      <w:tr>
        <w:trPr>
          <w:trHeight w:val="172"/>
        </w:trPr>
        <w:tc>
          <w:tcPr>
            <w:tcW w:w="5240" w:type="dxa"/>
            <w:vAlign w:val="bottom"/>
            <w:gridSpan w:val="6"/>
          </w:tcPr>
          <w:p>
            <w:pPr>
              <w:jc w:val="center"/>
              <w:ind w:right="2220"/>
              <w:spacing w:after="0" w:line="171" w:lineRule="exact"/>
              <w:rPr>
                <w:sz w:val="20"/>
                <w:szCs w:val="20"/>
                <w:color w:val="auto"/>
              </w:rPr>
            </w:pPr>
            <w:r>
              <w:rPr>
                <w:rFonts w:ascii="Arial" w:cs="Arial" w:eastAsia="Arial" w:hAnsi="Arial"/>
                <w:sz w:val="16"/>
                <w:szCs w:val="16"/>
                <w:color w:val="auto"/>
                <w:w w:val="93"/>
              </w:rPr>
              <w:t>(State or Other Jurisdiction of Incorporation or</w:t>
            </w:r>
          </w:p>
        </w:tc>
        <w:tc>
          <w:tcPr>
            <w:tcW w:w="600" w:type="dxa"/>
            <w:vAlign w:val="bottom"/>
          </w:tcPr>
          <w:p>
            <w:pPr>
              <w:spacing w:after="0"/>
              <w:rPr>
                <w:sz w:val="14"/>
                <w:szCs w:val="14"/>
                <w:color w:val="auto"/>
              </w:rPr>
            </w:pPr>
          </w:p>
        </w:tc>
        <w:tc>
          <w:tcPr>
            <w:tcW w:w="2860" w:type="dxa"/>
            <w:vAlign w:val="bottom"/>
          </w:tcPr>
          <w:p>
            <w:pPr>
              <w:jc w:val="center"/>
              <w:ind w:right="244"/>
              <w:spacing w:after="0" w:line="171" w:lineRule="exact"/>
              <w:rPr>
                <w:sz w:val="20"/>
                <w:szCs w:val="20"/>
                <w:color w:val="auto"/>
              </w:rPr>
            </w:pPr>
            <w:r>
              <w:rPr>
                <w:rFonts w:ascii="Arial" w:cs="Arial" w:eastAsia="Arial" w:hAnsi="Arial"/>
                <w:sz w:val="16"/>
                <w:szCs w:val="16"/>
                <w:color w:val="auto"/>
                <w:w w:val="95"/>
              </w:rPr>
              <w:t>(IRS Employer Identification No.)</w:t>
            </w:r>
          </w:p>
        </w:tc>
      </w:tr>
      <w:tr>
        <w:trPr>
          <w:trHeight w:val="206"/>
        </w:trPr>
        <w:tc>
          <w:tcPr>
            <w:tcW w:w="2720" w:type="dxa"/>
            <w:vAlign w:val="bottom"/>
            <w:gridSpan w:val="3"/>
          </w:tcPr>
          <w:p>
            <w:pPr>
              <w:jc w:val="center"/>
              <w:ind w:left="228"/>
              <w:spacing w:after="0"/>
              <w:rPr>
                <w:sz w:val="20"/>
                <w:szCs w:val="20"/>
                <w:color w:val="auto"/>
              </w:rPr>
            </w:pPr>
            <w:r>
              <w:rPr>
                <w:rFonts w:ascii="Arial" w:cs="Arial" w:eastAsia="Arial" w:hAnsi="Arial"/>
                <w:sz w:val="16"/>
                <w:szCs w:val="16"/>
                <w:color w:val="auto"/>
                <w:w w:val="93"/>
              </w:rPr>
              <w:t>Organization)</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75"/>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b w:val="1"/>
                <w:bCs w:val="1"/>
                <w:color w:val="auto"/>
                <w:w w:val="92"/>
              </w:rPr>
              <w:t>38505 Woodward Avenue, Suite 200</w:t>
            </w:r>
          </w:p>
        </w:tc>
      </w:tr>
      <w:tr>
        <w:trPr>
          <w:trHeight w:val="166"/>
        </w:trPr>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b w:val="1"/>
                <w:bCs w:val="1"/>
                <w:color w:val="auto"/>
                <w:w w:val="93"/>
              </w:rPr>
              <w:t>Bloomfield Hills, Michigan 48304</w:t>
            </w:r>
          </w:p>
        </w:tc>
      </w:tr>
      <w:tr>
        <w:trPr>
          <w:trHeight w:val="182"/>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04"/>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290"/>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(248) 631-5450</w:t>
            </w: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97"/>
        </w:trPr>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gridSpan w:val="5"/>
          </w:tcPr>
          <w:p>
            <w:pPr>
              <w:jc w:val="center"/>
              <w:ind w:right="2224"/>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82"/>
        </w:trPr>
        <w:tc>
          <w:tcPr>
            <w:tcW w:w="1120" w:type="dxa"/>
            <w:vAlign w:val="bottom"/>
          </w:tcPr>
          <w:p>
            <w:pPr>
              <w:spacing w:after="0"/>
              <w:rPr>
                <w:sz w:val="24"/>
                <w:szCs w:val="24"/>
                <w:color w:val="auto"/>
              </w:rPr>
            </w:pPr>
          </w:p>
        </w:tc>
        <w:tc>
          <w:tcPr>
            <w:tcW w:w="16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Title of Each Class:</w:t>
            </w:r>
          </w:p>
        </w:tc>
        <w:tc>
          <w:tcPr>
            <w:tcW w:w="1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460" w:type="dxa"/>
            <w:vAlign w:val="bottom"/>
            <w:gridSpan w:val="2"/>
          </w:tcPr>
          <w:p>
            <w:pPr>
              <w:jc w:val="center"/>
              <w:ind w:left="525"/>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1"/>
        </w:trPr>
        <w:tc>
          <w:tcPr>
            <w:tcW w:w="2720" w:type="dxa"/>
            <w:vAlign w:val="bottom"/>
            <w:gridSpan w:val="3"/>
          </w:tcPr>
          <w:p>
            <w:pPr>
              <w:jc w:val="center"/>
              <w:ind w:left="648"/>
              <w:spacing w:after="0"/>
              <w:rPr>
                <w:sz w:val="20"/>
                <w:szCs w:val="20"/>
                <w:color w:val="auto"/>
              </w:rPr>
            </w:pPr>
            <w:r>
              <w:rPr>
                <w:rFonts w:ascii="Arial" w:cs="Arial" w:eastAsia="Arial" w:hAnsi="Arial"/>
                <w:sz w:val="14"/>
                <w:szCs w:val="14"/>
                <w:color w:val="auto"/>
                <w:w w:val="93"/>
              </w:rPr>
              <w:t>Common stock, $0.01 par value</w:t>
            </w:r>
          </w:p>
        </w:tc>
        <w:tc>
          <w:tcPr>
            <w:tcW w:w="1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TRS</w:t>
            </w: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7"/>
              </w:rPr>
              <w:t>The NASDAQ Stock Market LLC</w:t>
            </w:r>
          </w:p>
        </w:tc>
      </w:tr>
    </w:tbl>
    <w:p>
      <w:pPr>
        <w:spacing w:after="0" w:line="88"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6" w:lineRule="exact"/>
        <w:rPr>
          <w:sz w:val="24"/>
          <w:szCs w:val="24"/>
          <w:color w:val="auto"/>
        </w:rPr>
      </w:pPr>
    </w:p>
    <w:p>
      <w:pPr>
        <w:spacing w:after="0" w:line="173" w:lineRule="exact"/>
        <w:tabs>
          <w:tab w:leader="none" w:pos="730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ab/>
        <w:t xml:space="preserve">No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184" w:lineRule="exact"/>
        <w:tabs>
          <w:tab w:leader="none" w:pos="744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58"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1480"/>
        <w:spacing w:after="0" w:line="368" w:lineRule="exact"/>
        <w:tabs>
          <w:tab w:leader="none" w:pos="3940" w:val="left"/>
          <w:tab w:leader="none" w:pos="6320" w:val="left"/>
          <w:tab w:leader="none" w:pos="8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25"/>
          <w:szCs w:val="25"/>
          <w:color w:val="auto"/>
          <w:vertAlign w:val="subscript"/>
        </w:rPr>
        <w:t>☐</w:t>
      </w:r>
    </w:p>
    <w:p>
      <w:pPr>
        <w:spacing w:after="0" w:line="198" w:lineRule="exact"/>
        <w:rPr>
          <w:sz w:val="24"/>
          <w:szCs w:val="24"/>
          <w:color w:val="auto"/>
        </w:rPr>
      </w:pPr>
    </w:p>
    <w:p>
      <w:pPr>
        <w:ind w:left="8660"/>
        <w:spacing w:after="0" w:line="368"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32"/>
          <w:szCs w:val="32"/>
          <w:color w:val="auto"/>
          <w:vertAlign w:val="superscript"/>
        </w:rPr>
        <w:t>☐</w:t>
      </w:r>
    </w:p>
    <w:p>
      <w:pPr>
        <w:spacing w:after="0" w:line="97" w:lineRule="exact"/>
        <w:rPr>
          <w:sz w:val="24"/>
          <w:szCs w:val="24"/>
          <w:color w:val="auto"/>
        </w:rPr>
      </w:pPr>
    </w:p>
    <w:p>
      <w:pPr>
        <w:jc w:val="both"/>
        <w:spacing w:after="0" w:line="19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4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69"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common equity held by non-affiliates of the Registrant as of June 30, 2020 was approximately $1.0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19, 2021, the number of outstanding shares of the Registrant's common stock, $0.01 par value, was 43,178,165 shares.</w:t>
      </w:r>
    </w:p>
    <w:p>
      <w:pPr>
        <w:spacing w:after="0" w:line="5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2021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80" w:type="dxa"/>
            <w:vAlign w:val="bottom"/>
            <w:gridSpan w:val="4"/>
          </w:tcPr>
          <w:p>
            <w:pPr>
              <w:ind w:left="600"/>
              <w:spacing w:after="0"/>
              <w:rPr>
                <w:sz w:val="20"/>
                <w:szCs w:val="20"/>
                <w:color w:val="auto"/>
              </w:rPr>
            </w:pPr>
            <w:r>
              <w:rPr>
                <w:rFonts w:ascii="Arial" w:cs="Arial" w:eastAsia="Arial" w:hAnsi="Arial"/>
                <w:sz w:val="18"/>
                <w:szCs w:val="18"/>
                <w:b w:val="1"/>
                <w:bCs w:val="1"/>
                <w:color w:val="auto"/>
              </w:rPr>
              <w:t>TRIMAS CORPORATION INDEX</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28"/>
        </w:trPr>
        <w:tc>
          <w:tcPr>
            <w:tcW w:w="31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Forward-Looking Statements</w:t>
              </w:r>
            </w:hyperlink>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Trademarks and Service Marks</w:t>
              </w:r>
            </w:hyperlink>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485"/>
        </w:trPr>
        <w:tc>
          <w:tcPr>
            <w:tcW w:w="3100" w:type="dxa"/>
            <w:vAlign w:val="bottom"/>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Item 1A.</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Risk Factors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15</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1B.</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Properties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3.</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4.</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30"/>
        </w:trPr>
        <w:tc>
          <w:tcPr>
            <w:tcW w:w="3100" w:type="dxa"/>
            <w:vAlign w:val="bottom"/>
            <w:vMerge w:val="restart"/>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Supplementary Item.</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Information about our Executive Officers</w:t>
              </w:r>
            </w:hyperlink>
          </w:p>
        </w:tc>
        <w:tc>
          <w:tcPr>
            <w:tcW w:w="1180" w:type="dxa"/>
            <w:vAlign w:val="bottom"/>
            <w:vMerge w:val="restart"/>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5"/>
        </w:trPr>
        <w:tc>
          <w:tcPr>
            <w:tcW w:w="310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PART II.</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6920" w:type="dxa"/>
            <w:vAlign w:val="bottom"/>
            <w:gridSpan w:val="5"/>
          </w:tcPr>
          <w:p>
            <w:pPr>
              <w:spacing w:after="0" w:line="190" w:lineRule="exact"/>
              <w:rPr>
                <w:rFonts w:ascii="Arial" w:cs="Arial" w:eastAsia="Arial" w:hAnsi="Arial"/>
                <w:sz w:val="18"/>
                <w:szCs w:val="18"/>
                <w:color w:val="0000FF"/>
                <w:w w:val="92"/>
              </w:rPr>
            </w:pPr>
            <w:hyperlink w:anchor="page27">
              <w:r>
                <w:rPr>
                  <w:rFonts w:ascii="Arial" w:cs="Arial" w:eastAsia="Arial" w:hAnsi="Arial"/>
                  <w:sz w:val="18"/>
                  <w:szCs w:val="18"/>
                  <w:color w:val="0000FF"/>
                  <w:w w:val="92"/>
                </w:rPr>
                <w:t>Market for Registrant's Common Equity, Related Stockholder Matters and Issuer Purchases of</w:t>
              </w:r>
            </w:hyperlink>
          </w:p>
        </w:tc>
        <w:tc>
          <w:tcPr>
            <w:tcW w:w="1180" w:type="dxa"/>
            <w:vAlign w:val="bottom"/>
            <w:vMerge w:val="restart"/>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27">
              <w:r>
                <w:rPr>
                  <w:rFonts w:ascii="Arial" w:cs="Arial" w:eastAsia="Arial" w:hAnsi="Arial"/>
                  <w:sz w:val="18"/>
                  <w:szCs w:val="18"/>
                  <w:color w:val="0000FF"/>
                  <w:w w:val="90"/>
                </w:rPr>
                <w:t>Equity Securities</w:t>
              </w:r>
            </w:hyperlink>
          </w:p>
        </w:tc>
        <w:tc>
          <w:tcPr>
            <w:tcW w:w="554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10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Selected Financial Data</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7.</w:t>
              </w:r>
            </w:hyperlink>
          </w:p>
        </w:tc>
        <w:tc>
          <w:tcPr>
            <w:tcW w:w="6920" w:type="dxa"/>
            <w:vAlign w:val="bottom"/>
            <w:gridSpan w:val="5"/>
          </w:tcPr>
          <w:p>
            <w:pPr>
              <w:spacing w:after="0"/>
              <w:rPr>
                <w:rFonts w:ascii="Arial" w:cs="Arial" w:eastAsia="Arial" w:hAnsi="Arial"/>
                <w:sz w:val="18"/>
                <w:szCs w:val="18"/>
                <w:u w:val="single" w:color="auto"/>
                <w:color w:val="0000FF"/>
                <w:w w:val="97"/>
              </w:rPr>
            </w:pPr>
            <w:hyperlink w:anchor="page29">
              <w:r>
                <w:rPr>
                  <w:rFonts w:ascii="Arial" w:cs="Arial" w:eastAsia="Arial" w:hAnsi="Arial"/>
                  <w:sz w:val="18"/>
                  <w:szCs w:val="18"/>
                  <w:u w:val="single" w:color="auto"/>
                  <w:color w:val="0000FF"/>
                  <w:w w:val="97"/>
                </w:rPr>
                <w:t>Management's Discussion and Analysis of Financial Condition and Results of Operations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7A.</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118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8.</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Financial Statements and Supplementary Data</w:t>
              </w:r>
            </w:hyperlink>
          </w:p>
        </w:tc>
        <w:tc>
          <w:tcPr>
            <w:tcW w:w="11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9.</w:t>
              </w:r>
            </w:hyperlink>
          </w:p>
        </w:tc>
        <w:tc>
          <w:tcPr>
            <w:tcW w:w="6920" w:type="dxa"/>
            <w:vAlign w:val="bottom"/>
            <w:gridSpan w:val="5"/>
          </w:tcPr>
          <w:p>
            <w:pPr>
              <w:spacing w:after="0"/>
              <w:rPr>
                <w:rFonts w:ascii="Arial" w:cs="Arial" w:eastAsia="Arial" w:hAnsi="Arial"/>
                <w:sz w:val="18"/>
                <w:szCs w:val="18"/>
                <w:u w:val="single" w:color="auto"/>
                <w:color w:val="0000FF"/>
                <w:w w:val="96"/>
              </w:rPr>
            </w:pPr>
            <w:hyperlink w:anchor="page91">
              <w:r>
                <w:rPr>
                  <w:rFonts w:ascii="Arial" w:cs="Arial" w:eastAsia="Arial" w:hAnsi="Arial"/>
                  <w:sz w:val="18"/>
                  <w:szCs w:val="18"/>
                  <w:u w:val="single" w:color="auto"/>
                  <w:color w:val="0000FF"/>
                  <w:w w:val="96"/>
                </w:rPr>
                <w:t>Changes in and Disagreements with Accountants on Accounting and Financial Disclosure</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92</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9A.</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Controls and Procedures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92</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Item 9B.</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Other Information</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94</w:t>
              </w:r>
            </w:hyperlink>
          </w:p>
        </w:tc>
        <w:tc>
          <w:tcPr>
            <w:tcW w:w="0" w:type="dxa"/>
            <w:vAlign w:val="bottom"/>
          </w:tcPr>
          <w:p>
            <w:pPr>
              <w:spacing w:after="0"/>
              <w:rPr>
                <w:sz w:val="1"/>
                <w:szCs w:val="1"/>
                <w:color w:val="auto"/>
              </w:rPr>
            </w:pPr>
          </w:p>
        </w:tc>
      </w:tr>
      <w:tr>
        <w:trPr>
          <w:trHeight w:val="485"/>
        </w:trPr>
        <w:tc>
          <w:tcPr>
            <w:tcW w:w="3100" w:type="dxa"/>
            <w:vAlign w:val="bottom"/>
          </w:tcPr>
          <w:p>
            <w:pPr>
              <w:spacing w:after="0"/>
              <w:rPr>
                <w:rFonts w:ascii="Arial" w:cs="Arial" w:eastAsia="Arial" w:hAnsi="Arial"/>
                <w:sz w:val="18"/>
                <w:szCs w:val="18"/>
                <w:color w:val="0000FF"/>
              </w:rPr>
            </w:pPr>
            <w:hyperlink w:anchor="page94">
              <w:r>
                <w:rPr>
                  <w:rFonts w:ascii="Arial" w:cs="Arial" w:eastAsia="Arial" w:hAnsi="Arial"/>
                  <w:sz w:val="18"/>
                  <w:szCs w:val="18"/>
                  <w:u w:val="single" w:color="auto"/>
                  <w:color w:val="0000FF"/>
                </w:rPr>
                <w:t>PART III</w:t>
              </w:r>
              <w:r>
                <w:rPr>
                  <w:rFonts w:ascii="Arial" w:cs="Arial" w:eastAsia="Arial" w:hAnsi="Arial"/>
                  <w:sz w:val="18"/>
                  <w:szCs w:val="18"/>
                  <w:color w:val="0000FF"/>
                </w:rPr>
                <w:t>.</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10.</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Directors, Executive Officers and Corporate Governance</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229"/>
        </w:trPr>
        <w:tc>
          <w:tcPr>
            <w:tcW w:w="310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11.</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Executive Compensation</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190"/>
        </w:trPr>
        <w:tc>
          <w:tcPr>
            <w:tcW w:w="3100" w:type="dxa"/>
            <w:vAlign w:val="bottom"/>
          </w:tcPr>
          <w:p>
            <w:pPr>
              <w:spacing w:after="0" w:line="190" w:lineRule="exact"/>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12.</w:t>
              </w:r>
            </w:hyperlink>
          </w:p>
        </w:tc>
        <w:tc>
          <w:tcPr>
            <w:tcW w:w="6920" w:type="dxa"/>
            <w:vAlign w:val="bottom"/>
            <w:gridSpan w:val="5"/>
          </w:tcPr>
          <w:p>
            <w:pPr>
              <w:spacing w:after="0" w:line="190" w:lineRule="exact"/>
              <w:rPr>
                <w:rFonts w:ascii="Arial" w:cs="Arial" w:eastAsia="Arial" w:hAnsi="Arial"/>
                <w:sz w:val="18"/>
                <w:szCs w:val="18"/>
                <w:color w:val="0000FF"/>
                <w:w w:val="93"/>
              </w:rPr>
            </w:pPr>
            <w:hyperlink w:anchor="page95">
              <w:r>
                <w:rPr>
                  <w:rFonts w:ascii="Arial" w:cs="Arial" w:eastAsia="Arial" w:hAnsi="Arial"/>
                  <w:sz w:val="18"/>
                  <w:szCs w:val="18"/>
                  <w:color w:val="0000FF"/>
                  <w:w w:val="93"/>
                </w:rPr>
                <w:t>Security Ownership of Certain Beneficial Owners and Management and Related Stockholder</w:t>
              </w:r>
            </w:hyperlink>
          </w:p>
        </w:tc>
        <w:tc>
          <w:tcPr>
            <w:tcW w:w="1180" w:type="dxa"/>
            <w:vAlign w:val="bottom"/>
            <w:vMerge w:val="restart"/>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67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95">
              <w:r>
                <w:rPr>
                  <w:rFonts w:ascii="Arial" w:cs="Arial" w:eastAsia="Arial" w:hAnsi="Arial"/>
                  <w:sz w:val="18"/>
                  <w:szCs w:val="18"/>
                  <w:color w:val="0000FF"/>
                </w:rPr>
                <w:t>Matters</w:t>
              </w:r>
            </w:hyperlink>
          </w:p>
        </w:tc>
        <w:tc>
          <w:tcPr>
            <w:tcW w:w="220" w:type="dxa"/>
            <w:vAlign w:val="bottom"/>
            <w:gridSpan w:val="2"/>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0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13.</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Certain Relationships and Related Transactions, and Director Independence</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14.</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Principal Accountant Fees and Services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485"/>
        </w:trPr>
        <w:tc>
          <w:tcPr>
            <w:tcW w:w="3100" w:type="dxa"/>
            <w:vAlign w:val="bottom"/>
          </w:tcPr>
          <w:p>
            <w:pPr>
              <w:spacing w:after="0"/>
              <w:rPr>
                <w:rFonts w:ascii="Arial" w:cs="Arial" w:eastAsia="Arial" w:hAnsi="Arial"/>
                <w:sz w:val="18"/>
                <w:szCs w:val="18"/>
                <w:color w:val="0000FF"/>
              </w:rPr>
            </w:pPr>
            <w:hyperlink w:anchor="page95">
              <w:r>
                <w:rPr>
                  <w:rFonts w:ascii="Arial" w:cs="Arial" w:eastAsia="Arial" w:hAnsi="Arial"/>
                  <w:sz w:val="18"/>
                  <w:szCs w:val="18"/>
                  <w:u w:val="single" w:color="auto"/>
                  <w:color w:val="0000FF"/>
                </w:rPr>
                <w:t>PART IV</w:t>
              </w:r>
              <w:r>
                <w:rPr>
                  <w:rFonts w:ascii="Arial" w:cs="Arial" w:eastAsia="Arial" w:hAnsi="Arial"/>
                  <w:sz w:val="18"/>
                  <w:szCs w:val="18"/>
                  <w:color w:val="0000FF"/>
                </w:rPr>
                <w:t>.</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15.</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Exhibits and Financial Statement Schedules</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96</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Item 16.</w:t>
              </w:r>
            </w:hyperlink>
          </w:p>
        </w:tc>
        <w:tc>
          <w:tcPr>
            <w:tcW w:w="6920" w:type="dxa"/>
            <w:vAlign w:val="bottom"/>
            <w:gridSpan w:val="5"/>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Form 10-K Summary</w:t>
              </w:r>
            </w:hyperlink>
          </w:p>
        </w:tc>
        <w:tc>
          <w:tcPr>
            <w:tcW w:w="118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98</w:t>
              </w:r>
            </w:hyperlink>
          </w:p>
        </w:tc>
        <w:tc>
          <w:tcPr>
            <w:tcW w:w="0" w:type="dxa"/>
            <w:vAlign w:val="bottom"/>
          </w:tcPr>
          <w:p>
            <w:pPr>
              <w:spacing w:after="0"/>
              <w:rPr>
                <w:sz w:val="1"/>
                <w:szCs w:val="1"/>
                <w:color w:val="auto"/>
              </w:rPr>
            </w:pPr>
          </w:p>
        </w:tc>
      </w:tr>
      <w:tr>
        <w:trPr>
          <w:trHeight w:val="230"/>
        </w:trPr>
        <w:tc>
          <w:tcPr>
            <w:tcW w:w="3100" w:type="dxa"/>
            <w:vAlign w:val="bottom"/>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Signatures</w:t>
              </w:r>
            </w:hyperlink>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and public health crises; the potential impact of Brexit; our future prospects; and other risks that are discussed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TriMas is a diversified manufacturer and provider of products for customers primarily in the consumer products, aerospace and industrial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With approximately 3,200 employees in eleven countries, we manufacture and supply products globally to a wide range of companies, with nearly 75% of our 2020 revenue generated from sales into North America.</w:t>
      </w:r>
    </w:p>
    <w:p>
      <w:pPr>
        <w:spacing w:after="0" w:line="1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2020, our net sales were $770.0 million, operating loss was $88.3 million, which included non-cash goodwill and indefinite-lived intangible asset impairment pre-tax charges of approximately $134.6 million in the Aerospace segment, and net cash provided by operating activities was $127.4 million.</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we completed the previously announced divestiture of our Lamons business ("Lamons"), a transaction entered into on November 1, 2019 with an investment fund sponsored by First Reserve. Lamons was sold for approximately $137 million in cash. The financial results of Lamons were previously reported within our Specialty Products segment, and are presented as discontinued operations for all periods presented in the financial statements attached 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reported in three segments: Packaging, Aerospace and Specialty Products. We believe TriMas is uniquely positioned because of a number of competitive strengths, including:</w:t>
      </w:r>
    </w:p>
    <w:p>
      <w:pPr>
        <w:spacing w:after="0" w:line="97" w:lineRule="exact"/>
        <w:rPr>
          <w:sz w:val="20"/>
          <w:szCs w:val="20"/>
          <w:color w:val="auto"/>
        </w:rPr>
      </w:pPr>
    </w:p>
    <w:p>
      <w:pPr>
        <w:jc w:val="both"/>
        <w:ind w:left="660" w:hanging="328"/>
        <w:spacing w:after="0" w:line="25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Well-Recognized and Established Brands. </w:t>
      </w:r>
      <w:r>
        <w:rPr>
          <w:rFonts w:ascii="Arial" w:cs="Arial" w:eastAsia="Arial" w:hAnsi="Arial"/>
          <w:sz w:val="16"/>
          <w:szCs w:val="16"/>
          <w:color w:val="auto"/>
        </w:rPr>
        <w:t>Our main brands include Rieke®, Affaba &amp; Ferrari™, Taplast™ and Rapak</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Packaging);</w:t>
      </w:r>
      <w:r>
        <w:rPr>
          <w:rFonts w:ascii="Arial" w:cs="Arial" w:eastAsia="Arial" w:hAnsi="Arial"/>
          <w:sz w:val="16"/>
          <w:szCs w:val="16"/>
          <w:i w:val="1"/>
          <w:iCs w:val="1"/>
          <w:color w:val="auto"/>
        </w:rPr>
        <w:t xml:space="preserve"> </w:t>
      </w:r>
      <w:r>
        <w:rPr>
          <w:rFonts w:ascii="Arial" w:cs="Arial" w:eastAsia="Arial" w:hAnsi="Arial"/>
          <w:sz w:val="16"/>
          <w:szCs w:val="16"/>
          <w:color w:val="auto"/>
        </w:rPr>
        <w:t>TriMas Aerospace™, Monogram Aerospace Fasteners™, Allfast Fastening Systems</w:t>
      </w:r>
      <w:r>
        <w:rPr>
          <w:rFonts w:ascii="Arial" w:cs="Arial" w:eastAsia="Arial" w:hAnsi="Arial"/>
          <w:sz w:val="20"/>
          <w:szCs w:val="20"/>
          <w:color w:val="auto"/>
          <w:vertAlign w:val="superscript"/>
        </w:rPr>
        <w:t>®</w:t>
      </w:r>
      <w:r>
        <w:rPr>
          <w:rFonts w:ascii="Arial" w:cs="Arial" w:eastAsia="Arial" w:hAnsi="Arial"/>
          <w:sz w:val="16"/>
          <w:szCs w:val="16"/>
          <w:color w:val="auto"/>
        </w:rPr>
        <w:t>, Mac Fasteners™, RSA Engineered Products and Martinic Engineering™ (reported in Aerospace); and Norris Cylinder™ and Arrow</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Engine Company (reported in Specialty Products). We believe each of our go-to-market brands are well-recognized and firmly established in the focused markets we serve. We believe our brands represent high standards and a commitment to quality and service that our customers rely on when they make their sourcing decisions.</w:t>
      </w:r>
    </w:p>
    <w:p>
      <w:pPr>
        <w:spacing w:after="0" w:line="127" w:lineRule="exact"/>
        <w:rPr>
          <w:rFonts w:ascii="Arial" w:cs="Arial" w:eastAsia="Arial" w:hAnsi="Arial"/>
          <w:sz w:val="16"/>
          <w:szCs w:val="16"/>
          <w:color w:val="auto"/>
        </w:rPr>
      </w:pPr>
    </w:p>
    <w:p>
      <w:pPr>
        <w:jc w:val="both"/>
        <w:ind w:left="66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Innovative and Proprietary Manufacturing and Product Technologies. </w:t>
      </w:r>
      <w:r>
        <w:rPr>
          <w:rFonts w:ascii="Arial" w:cs="Arial" w:eastAsia="Arial" w:hAnsi="Arial"/>
          <w:sz w:val="17"/>
          <w:szCs w:val="17"/>
          <w:color w:val="auto"/>
        </w:rPr>
        <w:t>We believe each of our businesses is well-positioned through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refined manufacturing know-how, innovative product development, application engineering and solutions design. We believe our manufacturing competencies and installed capital base would be difficult and costly to replicate, providing us an advantage. We continue to place a priority on investing in innovation to protect and enhance our product designs, brand names and manufacturing methods.</w:t>
      </w:r>
    </w:p>
    <w:p>
      <w:pPr>
        <w:spacing w:after="0" w:line="90"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Customer-Focused Solutions and Long-Term Customer Relationships. </w:t>
      </w:r>
      <w:r>
        <w:rPr>
          <w:rFonts w:ascii="Arial" w:cs="Arial" w:eastAsia="Arial" w:hAnsi="Arial"/>
          <w:sz w:val="18"/>
          <w:szCs w:val="18"/>
          <w:color w:val="auto"/>
        </w:rPr>
        <w:t>We work collaboratively with our customers to design new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that help satisfy rapidly changing preferences in the consumer product marketplace. As a recognized leader in many of our markets, customers partner with us during both the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 Customers look to TriMas’ businesses for these product innovations because of our long-standing, trusted relationships.</w:t>
      </w:r>
    </w:p>
    <w:p>
      <w:pPr>
        <w:spacing w:after="0" w:line="124" w:lineRule="exact"/>
        <w:rPr>
          <w:rFonts w:ascii="Arial" w:cs="Arial" w:eastAsia="Arial" w:hAnsi="Arial"/>
          <w:sz w:val="18"/>
          <w:szCs w:val="18"/>
          <w:i w:val="1"/>
          <w:iCs w:val="1"/>
          <w:color w:val="auto"/>
        </w:rPr>
      </w:pPr>
    </w:p>
    <w:p>
      <w:pPr>
        <w:jc w:val="both"/>
        <w:ind w:left="660" w:hanging="328"/>
        <w:spacing w:after="0" w:line="279"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Well-Established, Extensive Distribution Channels. </w:t>
      </w:r>
      <w:r>
        <w:rPr>
          <w:rFonts w:ascii="Arial" w:cs="Arial" w:eastAsia="Arial" w:hAnsi="Arial"/>
          <w:sz w:val="17"/>
          <w:szCs w:val="17"/>
          <w:color w:val="auto"/>
        </w:rPr>
        <w:t>Each of our businesses provides products through established distribution channels that cater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specific needs of our customers’ purchasing preferences. We developed many of these channels over decades, and believe they are a competitive differentiator for us across the markets we serve. In many cases, we provide products directly to our end markets through our locations, while in other cases, we supply to distribution companies that provide our customers with flexible purchasing solutions.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TriMas Business Model. </w:t>
      </w:r>
      <w:r>
        <w:rPr>
          <w:rFonts w:ascii="Arial" w:cs="Arial" w:eastAsia="Arial" w:hAnsi="Arial"/>
          <w:sz w:val="17"/>
          <w:szCs w:val="17"/>
          <w:color w:val="auto"/>
        </w:rPr>
        <w:t>We implemented the TriMas Business Model ("TBM") in late 2016 to improve the management,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oversight of our businesses. The TBM is the framework that provides a platform of standards across TriMas, which allows the executive management team to communicate how we plan, budget, measure, review, incent and reward our employees. It provides the foundation for determining our priorities, executing our growth and productivity initiatives, and allocating capital and resources. Through the TMB, we set near-and long-term performance objectives and goals, including safety, financial, and talent development, measure these against defined objectives, and utilize a reliable communication and escalation process that provides for flexibility and adjustments if market expectations change. We believe the TBM enhances connectivity between our operations, and allows us to benefit from sharing best practices across each of our businesses. We believe that the TBM, through a culture of Kaizen and continuous improvement, helps drive long-term improvement in our performance. Since implementation, we have rationalized manufacturing, warehousing and office locations, streamlined fixed expenses and selling, general and administrative expenses in certain of our businesses, increased our focus on optimizing inventory levels and improved certain of our manufacturing processes. We believe actions driven by the TBM have provided a benefit to us and have augmented our cash conversion characteristics and performance overall. We will continue to rely on the TBM to drive continuous improvement and to unlock TriMas’ value potential.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Guided by our experienced management team and our commitment to operational excellence, we are focused on the following components that comprise our core growth strategy:</w:t>
      </w:r>
    </w:p>
    <w:p>
      <w:pPr>
        <w:spacing w:after="0" w:line="103" w:lineRule="exact"/>
        <w:rPr>
          <w:sz w:val="20"/>
          <w:szCs w:val="20"/>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Leverage the TriMas Business Model to Drive Performance. </w:t>
      </w:r>
      <w:r>
        <w:rPr>
          <w:rFonts w:ascii="Arial" w:cs="Arial" w:eastAsia="Arial" w:hAnsi="Arial"/>
          <w:sz w:val="18"/>
          <w:szCs w:val="18"/>
          <w:color w:val="auto"/>
        </w:rPr>
        <w:t>A key tenet of the TBM is our commitment to operational excellence and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We adopted the use of Kaizen methodology within our operations, which is predicated on engaging our employees to improve all aspects of our businesses. We believe our operating performance will continue to benefit from the use of Kaizen as a means to drive our decision-making processes. In addition to continuous improvement, the TBM is also focused on environmental, health and safety, annual goal setting and measurement, flawless launches and talent development.</w:t>
      </w:r>
    </w:p>
    <w:p>
      <w:pPr>
        <w:spacing w:after="0" w:line="106"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Accelerate Organic Growth through Innovation. </w:t>
      </w:r>
      <w:r>
        <w:rPr>
          <w:rFonts w:ascii="Arial" w:cs="Arial" w:eastAsia="Arial" w:hAnsi="Arial"/>
          <w:sz w:val="17"/>
          <w:szCs w:val="17"/>
          <w:color w:val="auto"/>
        </w:rPr>
        <w:t>We continue to invest in organic growth in our most compelling market segments with the highest</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return potential. We intend to leverage our brands, expand our product offerings to current and new customers, and introduce innovative products to meet our customers' needs and help solve their challenges. We believe our disciplined approach will allow us to defend and expand our product offerings, and grow our business over the longer term. In addition to product innovation, we also value process innovation and believe we can solidify our customer relationships using new innovative processes and manufacturing "know-how" to improve our quality, speed to market and overall competitiveness, increasing customer satisfaction, as well as our performance.</w:t>
      </w:r>
    </w:p>
    <w:p>
      <w:pPr>
        <w:spacing w:after="0" w:line="110"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our Core Platforms through Strategic Acquisitions. </w:t>
      </w:r>
      <w:r>
        <w:rPr>
          <w:rFonts w:ascii="Arial" w:cs="Arial" w:eastAsia="Arial" w:hAnsi="Arial"/>
          <w:sz w:val="16"/>
          <w:szCs w:val="16"/>
          <w:color w:val="auto"/>
        </w:rPr>
        <w:t>We believe that TriMas has opportunities to grow through strategic acquisitions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the strengths of our core businesses. Our primary focus is on acquisition candidates to build out our Packaging and Aerospace platforms, as we believe the markets they serve offer the highest long-term growth and performance profile.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w:t>
      </w:r>
    </w:p>
    <w:p>
      <w:pPr>
        <w:spacing w:after="0" w:line="93"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Enhanced Cash Conversion. </w:t>
      </w:r>
      <w:r>
        <w:rPr>
          <w:rFonts w:ascii="Arial" w:cs="Arial" w:eastAsia="Arial" w:hAnsi="Arial"/>
          <w:sz w:val="17"/>
          <w:szCs w:val="17"/>
          <w:color w:val="auto"/>
        </w:rPr>
        <w:t>We use the TBM to drive management’s decision-making processes to achieve our annual growth and</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profitability targets, as well as drive our businesses toward achieving market-leading returns and cash flow conversion. We believe our commitment to having well-defined strategies in place, setting and executing against annual goals and long-range targets, operating in a data-driven environment, and awarding our team on annual cash flow achievement will allow us to grow our businesses and enhance our cash flow and related cash conversion. We believe we have the ability to generate substantial cash flow for reinvestment in our businesses, strategic acquisitions and other capital allocation actions consistent with our long-term financial goals.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the results of our operations in three segments, which had net sales and operating profit/loss for the year ended December 31, 2020 as follows: Packaging (net sales: $488.3 million; operating profit: $94.0 million), Aerospace (net sales: $167.7 million; operating loss: $133.4 million, which includes non-cash goodwill and indefinite-lived intangible asset impairment charges) and Specialty Products (net sales: $113.9 million; operating profit: $4.4 million). For information pertaining to the net sales and operating profit attributed to our segments, refer to Note 22, "</w:t>
      </w:r>
      <w:r>
        <w:rPr>
          <w:rFonts w:ascii="Arial" w:cs="Arial" w:eastAsia="Arial" w:hAnsi="Arial"/>
          <w:sz w:val="18"/>
          <w:szCs w:val="18"/>
          <w:i w:val="1"/>
          <w:iCs w:val="1"/>
          <w:color w:val="auto"/>
        </w:rPr>
        <w:t>Segment Information</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with the first quarter of 2020, we reported our machined components operations in Stanton, California, and Tolleson, Arizona, as part of the Aerospace segment. The operations were previously reported in the Specialty Products segment. The move of these operations into our Aerospace segment facilitated a more rapid approach to achieving anticipated synergies from the February 2020 RSA Engineered Products acquisition, allowing the Company to better leverage the machining competencies and resources across its aerospace businesses.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Each of our segments is described in more detail on the following pages.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(63% of 2020 net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Packaging segment consists primarily of the Rieke, Affaba &amp; Ferrari, Taplast and Rapak brands. We believe our Packaging segment is a leading designer and manufacturer of specialty, highly-engineered polymeric and steel closure and dispensing systems for a range of end markets, including consumer packaging and industrial markets. We manufacture high-performance, value-added products that are designed to enhance its customers’ ability to store, transport, process and dispense various products.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Packaging segment designs and manufactures dispensing products, (including foaming pumps, lotion and hand soap pumps, sanitizer pumps, beverage dispensers, perfume sprayers, nasal sprayers and trigger sprayers), polymeric and steel caps and closures (including food lids, flip-top closures, child resistance caps, drum and pail closures and flexible spouts), polymeric jar products, and fully integrated dispensers for fill-ready bag-in-box applications, all for a variety of consumer product markets including, but not limited to, beauty and personal care, home care, food and beverage, and pharmaceutical and nutraceutical, as well as the industrial market.</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2020, we acquired the Rapak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April and Affaba &amp; Ferrari Srl in December to continue to expand our packaging platform. The acquisition of the Rapak brand included certain bag-in-box product lines and assets used in dairy, soda, smoothie and wine applications in the United States. Affaba &amp; Ferrari, with a highly-automated manufacturing operation in Italy, designs and manufactures aseptic closures for energetic, juice and dairy drinks, as well as industrial closures and flex spouts with tamper evident and child-proof features.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we acquired Plastic Srl and Taplast. Plastic Srl, with operations in Italy, is a manufacturer of single-bodied and assembled caps and closures for use in home care product applications. Taplast, with operations in Italy and Slovakia, is a designer and manufacturer of dispensers, closures and containers for the beauty and personal care, household, and food and beverage packaging markets.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TriMas' Packaging segment has the capability of manufacturing the majority of its products in North America, Europe or Asia, which allows us to evaluate manufacturing location decisions based on customer needs, timing, cost and capacity.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TriMas' Packaging segment benefits from the following competitive strengths in coordination with operating under TriMas' overarching strategy:</w:t>
      </w:r>
    </w:p>
    <w:p>
      <w:pPr>
        <w:spacing w:after="0" w:line="103" w:lineRule="exact"/>
        <w:rPr>
          <w:sz w:val="20"/>
          <w:szCs w:val="20"/>
          <w:color w:val="auto"/>
        </w:rPr>
      </w:pPr>
    </w:p>
    <w:p>
      <w:pPr>
        <w:jc w:val="both"/>
        <w:ind w:left="660" w:hanging="328"/>
        <w:spacing w:after="0" w:line="26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Strong Product Innovation</w:t>
      </w:r>
      <w:r>
        <w:rPr>
          <w:rFonts w:ascii="Arial" w:cs="Arial" w:eastAsia="Arial" w:hAnsi="Arial"/>
          <w:sz w:val="17"/>
          <w:szCs w:val="17"/>
          <w:color w:val="auto"/>
        </w:rPr>
        <w:t>. Through its Global Innovation Centers located in India, the United Kingdom and the United States, our Packaging</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is focused on driving innovation across a broad range of dispensing and closure solutions for its customers. We have focused product development capabilities on consumer applications requiring special packaging forms, stylized containers and dispensing systems requiring a high degree of functionality and engineering, as well as evolving its industrial applications to include child resistant closures and other applications. Our Packaging segment has a consistent pipeline of new products ready for launch and continues to innovate to make products more environmentally friendly. For example, Rieke’s product development programs have provided innovative and proprietary product solutions, such as the patented single-polymer Mono</w:t>
      </w:r>
      <w:r>
        <w:rPr>
          <w:rFonts w:ascii="Arial" w:cs="Arial" w:eastAsia="Arial" w:hAnsi="Arial"/>
          <w:sz w:val="9"/>
          <w:szCs w:val="9"/>
          <w:color w:val="auto"/>
        </w:rPr>
        <w:t>TM</w:t>
      </w:r>
      <w:r>
        <w:rPr>
          <w:rFonts w:ascii="Arial" w:cs="Arial" w:eastAsia="Arial" w:hAnsi="Arial"/>
          <w:sz w:val="17"/>
          <w:szCs w:val="17"/>
          <w:color w:val="auto"/>
        </w:rPr>
        <w:t>-2e pump, which features six parts, all made from one material making it 100% recyclable. Taplast's AllPlastic</w:t>
      </w:r>
      <w:r>
        <w:rPr>
          <w:rFonts w:ascii="Arial" w:cs="Arial" w:eastAsia="Arial" w:hAnsi="Arial"/>
          <w:sz w:val="9"/>
          <w:szCs w:val="9"/>
          <w:color w:val="auto"/>
        </w:rPr>
        <w:t>TM</w:t>
      </w:r>
      <w:r>
        <w:rPr>
          <w:rFonts w:ascii="Arial" w:cs="Arial" w:eastAsia="Arial" w:hAnsi="Arial"/>
          <w:sz w:val="17"/>
          <w:szCs w:val="17"/>
          <w:color w:val="auto"/>
        </w:rPr>
        <w:t xml:space="preserve"> pump, which contains 100% polyolefin materials, has a bellows technology that replaces the metal spring delivering an eco-friendly solution to our customers and consumers. In addition, Rieke, partnering with Amazon, also developed a range of products designed to meet the requirements of the high-growth e-commerce retail channel, including a proprietary dispenser locking mechanism to protect the integrity of packages and prevent liquids from leaking during shipment, such as the LDS</w:t>
      </w:r>
      <w:r>
        <w:rPr>
          <w:rFonts w:ascii="Arial" w:cs="Arial" w:eastAsia="Arial" w:hAnsi="Arial"/>
          <w:sz w:val="9"/>
          <w:szCs w:val="9"/>
          <w:color w:val="auto"/>
        </w:rPr>
        <w:t>TM</w:t>
      </w:r>
      <w:r>
        <w:rPr>
          <w:rFonts w:ascii="Arial" w:cs="Arial" w:eastAsia="Arial" w:hAnsi="Arial"/>
          <w:sz w:val="17"/>
          <w:szCs w:val="17"/>
          <w:color w:val="auto"/>
        </w:rPr>
        <w:t>-2e, a lotion pump, which was developed to meet consumers' demands and ISTA 6 standards as required by Amazon. TriMas' Packaging segment's emphasis on highly-engineered solutions and product development has yielded numerous issued and enforceable patents, with many other patent applications pending. For example, 45 patents were filed and 84 patents were issued in 2020.</w:t>
      </w:r>
    </w:p>
    <w:p>
      <w:pPr>
        <w:spacing w:after="0" w:line="116"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Customized Solutions that Enhance Customer Loyalty and Relationships</w:t>
      </w:r>
      <w:r>
        <w:rPr>
          <w:rFonts w:ascii="Arial" w:cs="Arial" w:eastAsia="Arial" w:hAnsi="Arial"/>
          <w:sz w:val="16"/>
          <w:szCs w:val="16"/>
          <w:color w:val="auto"/>
        </w:rPr>
        <w:t>. A significant portion of our Packaging segment's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customized designs that are developed and engineered to address specific customer technical, marketing and sustainability needs, helping to distinguish our customers’ products from those of their competitors. For example, the customization of specialty plastic caps, closures and dispensers including branding, unique colors, collar sizes, lining and venting results in substantial customer loyalty. The substantial investment in flexible manufacturing cells allows us to offer both short lead-times for high volume products and customization for more moderate volume orders, which provides significant advantages to our consumer packaged goods customer base. In addition, we provide customized dispensing solutions including unique pump designs, precision metering, unique colors and special collar sizes to fit the customer’s bottles. TriMas' Packaging segment is collaborating with customers to develop innovative products that are more eco-friendly and easier to recycle. We have also been successful in promoting the sale of complementary products in an effort to achieve preferred supplier status with several customers.</w:t>
      </w:r>
    </w:p>
    <w:p>
      <w:pPr>
        <w:spacing w:after="0" w:line="85" w:lineRule="exact"/>
        <w:rPr>
          <w:rFonts w:ascii="Arial" w:cs="Arial" w:eastAsia="Arial" w:hAnsi="Arial"/>
          <w:sz w:val="16"/>
          <w:szCs w:val="16"/>
          <w:i w:val="1"/>
          <w:iCs w:val="1"/>
          <w:color w:val="auto"/>
        </w:rPr>
      </w:pPr>
    </w:p>
    <w:p>
      <w:pPr>
        <w:jc w:val="both"/>
        <w:ind w:left="660" w:hanging="328"/>
        <w:spacing w:after="0" w:line="26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Global Sales and Manufacturing Footprint. </w:t>
      </w:r>
      <w:r>
        <w:rPr>
          <w:rFonts w:ascii="Arial" w:cs="Arial" w:eastAsia="Arial" w:hAnsi="Arial"/>
          <w:sz w:val="17"/>
          <w:szCs w:val="17"/>
          <w:color w:val="auto"/>
        </w:rPr>
        <w:t>TriMas' Packaging segment maintains a global network of sales, manufacturing and distribution sites,</w:t>
      </w:r>
      <w:r>
        <w:rPr>
          <w:rFonts w:ascii="Arial" w:cs="Arial" w:eastAsia="Arial" w:hAnsi="Arial"/>
          <w:sz w:val="17"/>
          <w:szCs w:val="17"/>
          <w:i w:val="1"/>
          <w:iCs w:val="1"/>
          <w:color w:val="auto"/>
        </w:rPr>
        <w:t xml:space="preserve"> </w:t>
      </w:r>
      <w:r>
        <w:rPr>
          <w:rFonts w:ascii="Arial" w:cs="Arial" w:eastAsia="Arial" w:hAnsi="Arial"/>
          <w:sz w:val="17"/>
          <w:szCs w:val="17"/>
          <w:color w:val="auto"/>
        </w:rPr>
        <w:t>to serve our global customer base. Our global customers often desire supply chain capability and a flexible manufacturing footprint close to their end markets which result in shorter supply chains, reduced carbon footprint and better sustainability. To serve our customers in Asia, we have design and manufacturing capacity and offer highly engineered dispensing solutions through locations in China, India and Vietnam, and increased our Asian market sales coverage. Additionally, Rieke opened a facility in San Miguel de Allende, Mexico, during 2017, to replace an older, smaller facility in Mexico City, and provide additional manufacturing capacity to support growth. We have also increased our sales coverage in Europe and Asia. Our acquisitions of Affaba &amp; Ferrari in 2020, and Plastic Srl and Taplast in 2019, provide us with additional sales, design and manufacturing capacity in Europe, with additional manufacturing facilities in Italy and Slovakia. We believe this flexible footprint provides us with multiple alternatives for production to best meet customer requirements and helps mitigate the impacts of potential trade disruption. The majority of our Packaging segment's manufacturing facilities around the world have advanced injection molding machines required to manufacture precision engineered dispensing and closure components, as well as automated, high-speed assembly equipment for multi-component products.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Packaging segment accesses its markets through direct sales to end-use customers, as well as through leading distributors, where it has enjoyed favorable, long-standing relationships. Rieke employs an internal sales force in North America, Europe and Asia, and has recently established a Global Strategic Account sales team. We also use third-party agents and distributors in key geographic markets, including Europe, South America and Asia, as well as agents and distributors primarily to sell to container manufacturers and to users or fillers of containers.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TriMas' Packaging segment's end customers include, but are not limited to, consumer packaged goods, cosmetic, personal care, pharmaceutical, nutraceutical, food, beverage, warehouse clubs, retailers, e-retailers, fast food retailers, industrial chemical, paint, petroleum, agricultural chemical and sanitary supply chemical companies. We may provide products directly to the end customer, but the end customers may also specify that our products be provided to fillers or packagers. We also supply major container manufacturers around the world, and maintain a customer service center that provides technical support, as well as other technical assistance to customers.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Packaging segment has manufacturing and distribution facilities in the United States, Mexico, the United Kingdom, Germany, Italy, Slovakia, China, India and Vietnam.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TriMas' Packaging segment has a broad range of products in both closures and dispensing systems, and therefore has various competitors in each of our product offerings. We do not believe that there is a single competitor that matches our entire product offering. Depending on the product and customers served, our competitors include Aptar, Bericap, Berry Global, </w:t>
      </w:r>
      <w:r>
        <w:rPr>
          <w:rFonts w:ascii="Arial" w:cs="Arial" w:eastAsia="Arial" w:hAnsi="Arial"/>
          <w:sz w:val="18"/>
          <w:szCs w:val="18"/>
          <w:color w:val="1F3864"/>
        </w:rPr>
        <w:t>CLC Packaging,</w:t>
      </w:r>
      <w:r>
        <w:rPr>
          <w:rFonts w:ascii="Arial" w:cs="Arial" w:eastAsia="Arial" w:hAnsi="Arial"/>
          <w:sz w:val="18"/>
          <w:szCs w:val="18"/>
          <w:color w:val="auto"/>
        </w:rPr>
        <w:t xml:space="preserve"> Greif, Phoenix Closures, Silgan (including the acquisition of Albea in 2020), Technocraft and TKPC.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 (22% of 2020 net sales)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Aerospace segment is comprised of TriMas Aerospace, which includes the Monogram Aerospace Fasteners, Allfast Fastening Systems, Mac Fasteners, RSA Engineered Products and Martinic Engineering brands. We believe TriMas Aerospace is a leading designer and manufacturer of a diverse range of products, including, but not limited to, highly-engineered fasteners, collars, blind bolts, rivets, ducting and connectors for air management systems, and other highly-engineered machined parts and components,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products to commercial, maintenance, repair and operations ("MRO"), and military and defense aerospace applications and platforms with sales to original equipment manufacturers ("OEMs"), supply chain distributors, MRO/aftermarket providers and tier one suppliers. Our customer-specified and/or qualified products are used in production of significant long-term aircraft programs, including several Boeing and Airbus commercial jetliner programs. Based on Boeing and Airbus' future aircraft delivery projections, we believe that commercial production will remain at stable levels through the next several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brands are well established and recognized in their markets. The TriMas Aerospace product offering is as follows:</w:t>
      </w:r>
    </w:p>
    <w:p>
      <w:pPr>
        <w:spacing w:after="0" w:line="158"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Monogram Aerospace Fasteners (“Monogram”). </w:t>
      </w:r>
      <w:r>
        <w:rPr>
          <w:rFonts w:ascii="Arial" w:cs="Arial" w:eastAsia="Arial" w:hAnsi="Arial"/>
          <w:sz w:val="18"/>
          <w:szCs w:val="18"/>
          <w:color w:val="auto"/>
        </w:rPr>
        <w:t>The product offering includes permanent threaded blind bolts, including high-strength, rotary-actuated blind bolts that allow sections of aircraft to be joined together when access is limited to only one side of the airframe, providing cost efficiencies over conventional two piece fastening devices. Monogram also provides collars and temporary fasteners used in aircraft construction and assembly.</w:t>
      </w:r>
    </w:p>
    <w:p>
      <w:pPr>
        <w:spacing w:after="0" w:line="11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Allfast Fastening Systems (“Allfast”). </w:t>
      </w:r>
      <w:r>
        <w:rPr>
          <w:rFonts w:ascii="Arial" w:cs="Arial" w:eastAsia="Arial" w:hAnsi="Arial"/>
          <w:sz w:val="18"/>
          <w:szCs w:val="18"/>
          <w:color w:val="auto"/>
        </w:rPr>
        <w:t>The product offering includes solid and blind rivets, blind bolts, temporary fasteners and installation tools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aerospace industry.</w:t>
      </w:r>
    </w:p>
    <w:p>
      <w:pPr>
        <w:spacing w:after="0" w:line="89"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Mac Fasteners. </w:t>
      </w:r>
      <w:r>
        <w:rPr>
          <w:rFonts w:ascii="Arial" w:cs="Arial" w:eastAsia="Arial" w:hAnsi="Arial"/>
          <w:sz w:val="18"/>
          <w:szCs w:val="18"/>
          <w:color w:val="auto"/>
        </w:rPr>
        <w:t>The product offering consists of high-volume, standard aerospace screws and bolts, manufactured to meet NAS, MS, AN and AS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Engineered Products (“RSA”). </w:t>
      </w:r>
      <w:r>
        <w:rPr>
          <w:rFonts w:ascii="Arial" w:cs="Arial" w:eastAsia="Arial" w:hAnsi="Arial"/>
          <w:sz w:val="18"/>
          <w:szCs w:val="18"/>
          <w:color w:val="auto"/>
        </w:rPr>
        <w:t>In February of 2020, we acquired RSA, a manufacturer of complex, highly-engineered and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ducting, connectors and related products for air management systems used in aerospace and defense applications.</w:t>
      </w:r>
    </w:p>
    <w:p>
      <w:pPr>
        <w:spacing w:after="0" w:line="10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Martinic Engineering (“Martinic”). </w:t>
      </w:r>
      <w:r>
        <w:rPr>
          <w:rFonts w:ascii="Arial" w:cs="Arial" w:eastAsia="Arial" w:hAnsi="Arial"/>
          <w:sz w:val="18"/>
          <w:szCs w:val="18"/>
          <w:color w:val="auto"/>
        </w:rPr>
        <w:t>The product offering includes highly-engineered, precision machined, complex machine-to-print parts for</w:t>
      </w:r>
      <w:r>
        <w:rPr>
          <w:rFonts w:ascii="Arial" w:cs="Arial" w:eastAsia="Arial" w:hAnsi="Arial"/>
          <w:sz w:val="18"/>
          <w:szCs w:val="18"/>
          <w:i w:val="1"/>
          <w:iCs w:val="1"/>
          <w:color w:val="auto"/>
        </w:rPr>
        <w:t xml:space="preserve"> </w:t>
      </w:r>
      <w:r>
        <w:rPr>
          <w:rFonts w:ascii="Arial" w:cs="Arial" w:eastAsia="Arial" w:hAnsi="Arial"/>
          <w:sz w:val="18"/>
          <w:szCs w:val="18"/>
          <w:color w:val="auto"/>
        </w:rPr>
        <w:t>aerospace applications, including auxiliary power units, as well as electrical, hydraulic and pneumatic systems.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believe TriMas Aerospace benefits from the following competitive strengths in coordination with operating under TriMas' overarching strategy:</w:t>
      </w:r>
    </w:p>
    <w:p>
      <w:pPr>
        <w:spacing w:after="0" w:line="169" w:lineRule="exact"/>
        <w:rPr>
          <w:sz w:val="20"/>
          <w:szCs w:val="20"/>
          <w:color w:val="auto"/>
        </w:rPr>
      </w:pPr>
    </w:p>
    <w:p>
      <w:pPr>
        <w:jc w:val="both"/>
        <w:ind w:left="660" w:hanging="328"/>
        <w:spacing w:after="0" w:line="270"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Broad Product Portfolio of Established Brands</w:t>
      </w:r>
      <w:r>
        <w:rPr>
          <w:rFonts w:ascii="Arial" w:cs="Arial" w:eastAsia="Arial" w:hAnsi="Arial"/>
          <w:sz w:val="17"/>
          <w:szCs w:val="17"/>
          <w:color w:val="auto"/>
        </w:rPr>
        <w:t>. We believe that TriMas Aerospace is a leading designer and manufacturer of engineered fasteners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aerospace industry. The combination of the Monogram, Allfast and Mac Fasteners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and Mac Fasteners brands uniquely position us to benefit from platform-wide supply opportunities. In addition, RSA has extensive experience in providing air ducting, connectors and flexible joints used in hot engine bleed air, anti-icing and environmental control system applications. Martinic has a reputation, with more than 40 years of experience, of specializing in the high complexity machining of castings, forgings and bar stock for leading tier-one commercial and defense aerospace original equipment manufacturers.</w:t>
      </w:r>
    </w:p>
    <w:p>
      <w:pPr>
        <w:spacing w:after="0" w:line="113"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Product Innovation. </w:t>
      </w:r>
      <w:r>
        <w:rPr>
          <w:rFonts w:ascii="Arial" w:cs="Arial" w:eastAsia="Arial" w:hAnsi="Arial"/>
          <w:sz w:val="16"/>
          <w:szCs w:val="16"/>
          <w:color w:val="auto"/>
        </w:rPr>
        <w:t>We believe that TriMas Aerospace’s engineering, research and development capability and new product focus are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advantages. For many years, TriMas Aerospace’s product development programs have provided innovative and proprietary product solutions. The close working relationship between our sales and engineering teams and our customers’ engineering teams is key to developing future products desired and required by our customers. Our innovation team adds value by working directly with our customers to address assembly and manufacturing process challenges to increase productivity, quality, speed and efficiency, while reducing overall installed cost. TriMas Aerospace has developed new fastener products that offer a flush break upon installation and is developing and testing other fastener designs which offer improved clamping characteristics on composite structures, improved aerodynamics and enhanced installed aesthetics. An example of such would include the newer Composi-Lok4</w:t>
      </w:r>
      <w:r>
        <w:rPr>
          <w:rFonts w:ascii="Arial" w:cs="Arial" w:eastAsia="Arial" w:hAnsi="Arial"/>
          <w:sz w:val="8"/>
          <w:szCs w:val="8"/>
          <w:color w:val="auto"/>
        </w:rPr>
        <w:t>®</w:t>
      </w:r>
      <w:r>
        <w:rPr>
          <w:rFonts w:ascii="Arial" w:cs="Arial" w:eastAsia="Arial" w:hAnsi="Arial"/>
          <w:sz w:val="16"/>
          <w:szCs w:val="16"/>
          <w:color w:val="auto"/>
        </w:rPr>
        <w:t xml:space="preserve"> fastener evolution, affording installed weight savings in concert with fuel efficient aircraft designs. TriMas Aerospace has also designed the next generation temporary fastener with an 800% increase in clamping force called Fastack® SC (Super Clamp). TriMas Aerospace has also expanded its fastener offerings to include other fastening product applications on current aircraft, including the expansion of its suite of collar families used in traditional two-sided assembly. We believe our customer-focused approach to provide cost-effective technical solutions will drive the development of new products and create new opportunities for growth.</w:t>
      </w:r>
    </w:p>
    <w:p>
      <w:pPr>
        <w:spacing w:after="0" w:line="86" w:lineRule="exact"/>
        <w:rPr>
          <w:rFonts w:ascii="Arial" w:cs="Arial" w:eastAsia="Arial" w:hAnsi="Arial"/>
          <w:sz w:val="16"/>
          <w:szCs w:val="16"/>
          <w:i w:val="1"/>
          <w:iCs w:val="1"/>
          <w:color w:val="auto"/>
        </w:rPr>
      </w:pPr>
    </w:p>
    <w:p>
      <w:pPr>
        <w:jc w:val="both"/>
        <w:ind w:left="660" w:hanging="328"/>
        <w:spacing w:after="0" w:line="269"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Leading Manufacturing Capabilities and Processes. </w:t>
      </w:r>
      <w:r>
        <w:rPr>
          <w:rFonts w:ascii="Arial" w:cs="Arial" w:eastAsia="Arial" w:hAnsi="Arial"/>
          <w:sz w:val="17"/>
          <w:szCs w:val="17"/>
          <w:color w:val="auto"/>
        </w:rPr>
        <w:t>We believe that TriMas Aerospace is a leading manufacturer of precision engineered</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for the aerospace industry. Given industry regulatory requirements, as well as customer requirements, these products are required to be manufactured within tight tolerances and specifications, often out of hard-to-work-with and exotic materials including titanium, inconel and specialty steels. TriMas Aerospace is also capable of advanced precision CNC milling, high performance CNC turning and assembly, working in a variety of metals including super alloys, stainless steel, aircraft steel alloys, carbon steel alloys and aluminum alloys.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In addition, TriMas Aerospace is focused on continuously improving its processes and manufacturing operations by using the tools of Kaizen and automation, as applicable.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TriMas Aerospace serves both OEM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applications,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380"/>
        <w:spacing w:after="0" w:line="414" w:lineRule="auto"/>
        <w:rPr>
          <w:sz w:val="20"/>
          <w:szCs w:val="20"/>
          <w:color w:val="auto"/>
        </w:rPr>
      </w:pPr>
      <w:r>
        <w:rPr>
          <w:rFonts w:ascii="Arial" w:cs="Arial" w:eastAsia="Arial" w:hAnsi="Arial"/>
          <w:sz w:val="18"/>
          <w:szCs w:val="18"/>
          <w:color w:val="auto"/>
        </w:rPr>
        <w:t xml:space="preserve">TriMas Aerospace's manufacturing facilities are located in the United States, and it exports products to Europe, South America and Asia. </w:t>
      </w:r>
      <w:r>
        <w:rPr>
          <w:rFonts w:ascii="Arial" w:cs="Arial" w:eastAsia="Arial" w:hAnsi="Arial"/>
          <w:sz w:val="18"/>
          <w:szCs w:val="18"/>
          <w:i w:val="1"/>
          <w:iCs w:val="1"/>
          <w:color w:val="auto"/>
        </w:rPr>
        <w:t>Competition</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Depending on the product and customers served, our primary competitors include Ateliers de la Haute Garonne, Cherry Aerospace - Precision Castparts Corp., Howmet Aerospace and LISI Aerospace, as well as a variety of aerospace and general industrial machined component manufacturers. We believe that we are a leader in the blind bolt market with significant market share in all blind fastener product categories in which we compete.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Products (15% of 2020 net sales)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Specialty Products segment is comprised of Norris Cylinder and Arrow Engine Company. We believe these businesses are well established and recognized in their respective markets.</w:t>
      </w:r>
    </w:p>
    <w:p>
      <w:pPr>
        <w:spacing w:after="0" w:line="103" w:lineRule="exact"/>
        <w:rPr>
          <w:sz w:val="20"/>
          <w:szCs w:val="20"/>
          <w:color w:val="auto"/>
        </w:rPr>
      </w:pPr>
    </w:p>
    <w:p>
      <w:pPr>
        <w:jc w:val="both"/>
        <w:ind w:left="660" w:hanging="328"/>
        <w:spacing w:after="0" w:line="26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Norris Cylinder</w:t>
      </w:r>
      <w:r>
        <w:rPr>
          <w:rFonts w:ascii="Arial" w:cs="Arial" w:eastAsia="Arial" w:hAnsi="Arial"/>
          <w:sz w:val="17"/>
          <w:szCs w:val="17"/>
          <w:color w:val="auto"/>
        </w:rPr>
        <w:t>. We believe Norris Cylinder is a leading designer, manufacturer and distributor of highly-engineered steel cylinders for use in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heating, ventilation and air conditioning ("HVAC"), construction, health care and defense end markets. 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Department of Transportation ("DOT") or International Standards Organization ("ISO"), which certifies a cylinder's adequacy to perform in specific applications. Norris Cylinder markets cylinders primarily to domestic and international industrial gas producers and distributors, welding equipment distributors and equipment manufacturers. Given this customer base, Norris Cylinder tends to grow in times of increased industrial and infrastructure investment.</w:t>
      </w:r>
    </w:p>
    <w:p>
      <w:pPr>
        <w:spacing w:after="0" w:line="117"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Arrow Engine</w:t>
      </w:r>
      <w:r>
        <w:rPr>
          <w:rFonts w:ascii="Arial" w:cs="Arial" w:eastAsia="Arial" w:hAnsi="Arial"/>
          <w:sz w:val="16"/>
          <w:szCs w:val="16"/>
          <w:color w:val="auto"/>
        </w:rPr>
        <w:t>. Arrow Engine is a provider of natural gas powered wellhead engines, compressors and replacement parts, all engineered for use in</w:t>
      </w:r>
      <w:r>
        <w:rPr>
          <w:rFonts w:ascii="Arial" w:cs="Arial" w:eastAsia="Arial" w:hAnsi="Arial"/>
          <w:sz w:val="16"/>
          <w:szCs w:val="16"/>
          <w:i w:val="1"/>
          <w:iCs w:val="1"/>
          <w:color w:val="auto"/>
        </w:rPr>
        <w:t xml:space="preserve"> </w:t>
      </w:r>
      <w:r>
        <w:rPr>
          <w:rFonts w:ascii="Arial" w:cs="Arial" w:eastAsia="Arial" w:hAnsi="Arial"/>
          <w:sz w:val="16"/>
          <w:szCs w:val="16"/>
          <w:color w:val="auto"/>
        </w:rPr>
        <w:t>oil 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primarily focused in the United States and Canada. Arrow Engine manufactures its own engine line and also offers a wide variety of spare parts for various industrial engines not manufactured by Arrow Engine.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our Specialty Products segment benefits from the following competitive strengths in coordination with operating under TriMas' overarching strategy:</w:t>
      </w:r>
    </w:p>
    <w:p>
      <w:pPr>
        <w:spacing w:after="0" w:line="103" w:lineRule="exact"/>
        <w:rPr>
          <w:sz w:val="20"/>
          <w:szCs w:val="20"/>
          <w:color w:val="auto"/>
        </w:rPr>
      </w:pPr>
    </w:p>
    <w:p>
      <w:pPr>
        <w:jc w:val="both"/>
        <w:ind w:left="660" w:hanging="328"/>
        <w:spacing w:after="0" w:line="29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Leading Market Positions and Strong Brand Names</w:t>
      </w:r>
      <w:r>
        <w:rPr>
          <w:rFonts w:ascii="Arial" w:cs="Arial" w:eastAsia="Arial" w:hAnsi="Arial"/>
          <w:sz w:val="16"/>
          <w:szCs w:val="16"/>
          <w:color w:val="auto"/>
        </w:rPr>
        <w:t>. Norris Cylinder, with more than 70 years of experience, is one of the worlds'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of high- and low-pressure steel cylinders, and the only manufacturer in the United States. We believe that Norris has a reputation for high-quality cylinders used in a variety of applications, including industrial gas, welding and cutting, government, medical, laboratories, food and beverage technology, breathing air, fire protection and aviation. We believe that Arrow Engine has also built a reputation for quality equipment, parts and accessories used in oil and natural gas production, and has a leading market position in the niche it serves.</w:t>
      </w:r>
    </w:p>
    <w:p>
      <w:pPr>
        <w:spacing w:after="0" w:line="80" w:lineRule="exact"/>
        <w:rPr>
          <w:rFonts w:ascii="Arial" w:cs="Arial" w:eastAsia="Arial" w:hAnsi="Arial"/>
          <w:sz w:val="16"/>
          <w:szCs w:val="16"/>
          <w:color w:val="auto"/>
        </w:rPr>
      </w:pPr>
    </w:p>
    <w:p>
      <w:pPr>
        <w:jc w:val="both"/>
        <w:ind w:left="660" w:hanging="328"/>
        <w:spacing w:after="0" w:line="27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Comprehensive Product Offering</w:t>
      </w:r>
      <w:r>
        <w:rPr>
          <w:rFonts w:ascii="Arial" w:cs="Arial" w:eastAsia="Arial" w:hAnsi="Arial"/>
          <w:sz w:val="17"/>
          <w:szCs w:val="17"/>
          <w:color w:val="auto"/>
        </w:rPr>
        <w:t>. We believe that both Norris Cylinder and Arrow Engine offer a comprehensive product offering that meets its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needs. Norris Cylinder offers a complete line of large, intermediate and small size, high and low-pressure steel cylinders to its customers across a variety of end markets. Arrow Engine also provides a comprehensive product offering, including engines, compressors, chemical pumps, generator sets, electronics and replacement parts to a variety of oilfield and industrial markets.</w:t>
      </w:r>
    </w:p>
    <w:p>
      <w:pPr>
        <w:spacing w:after="0" w:line="103"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Established and Extensive Distribution Channels</w:t>
      </w:r>
      <w:r>
        <w:rPr>
          <w:rFonts w:ascii="Arial" w:cs="Arial" w:eastAsia="Arial" w:hAnsi="Arial"/>
          <w:sz w:val="16"/>
          <w:szCs w:val="16"/>
          <w:color w:val="auto"/>
        </w:rPr>
        <w:t>. Norris Cylinder has long-standing customer relationships and distributes directly to major gas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as well as distributing to domestic buying groups, OEMs, medium and small independent gas companies, and independent gas and welding distributors. Arrow Engine sells through a combination of a direct sales team and an established network of independent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the past several years, we realigned the cost structures of these businesses to better match recent demand levels. We are now focused on continuous improvement opportunities that will positively impact these businesses. We believe we are positioned well to leverage additional volume related to improvements in end market demand.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customers of our Specialty Products segment operate in the industrial and upstream oil and gas end markets. Given the focused nature of many of our products, we rely upon a combination of a direct sales force and an established network of distributors with familiarity of the end-users. Norris Cylinder, for example, sells directly to customers and through distributors. Our primary customers include industrial gas producers and distributors, welding equipment distributors, and equipment manufacturers.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Norris Cylinder and Arrow Engine manufacturing facilities are located are in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Norris Cylinder competes against Worthington, Beijing Tianhai Industry Co., Faber and Vitkovice Cylinders, but is the only remaining steel cylinder manufacturer in the United States. In May 2012, the U.S. International Trade Commission made a unanimous final determination that Norris Cylinder had been materially injured by imports of DOT high-pressure steel cylinders that were being subsidized by the Government of China, as well as being dumped in the U.S. market by producers in China. As a result, trade duties were imposed on the subject imports for a five-year period to create a fairer competitive environment in the United States. The duty was extended and increased for an additional five-year period in 2017, and will be subject to renewal in 2022. Arrow Engine tends to compete against natural gas powered, lower horsepower, multi-cylinder engines from manufacturers such as Caterpillar, Chevy, Cummins and Ford industrial engines and electric motors.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Acquisition Strategy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TriMas views accelerating its growth through acquisitions as core to achieving its overarching corporate growth strategy. Maintaining a relentless commitment to generating exceptional cash flow, along with a strong balance sheet, allows TriMas to execute against its acquisition strategy. Our primary focus is on acquisition candidates to build out our Packaging and Aerospace platforms, as we believe the markets they serve offer the highest long-term growth and performance profiles.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 While we would also consider opportunistic product line or bolt-on acquisitions in our Specialty Products segment, such transactions are of secondary focus.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Supply Arrangements</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largest raw material purchases are for resins (such as polypropylene and polyethylene), steel, aluminum and other oil and metal-based purchased components. Raw materials and other supplies used in our operations are normally available from a variety of competing suppliers. In addition to raw materials, we purchase a variety of components and finished products from low-cost sources in China, India, Mexico, South Korea and Vietnam.</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Polypropylene and polyethylene are generally commodity resins with multiple suppliers capable of providing product globally. Steel is purchased primarily from steel mills and service centers. Changing global dynamics for steel production and supply will continue to present a challenge to our business.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we have experienced volatility in costs of our raw material purchases and have worked with our suppliers to manage costs and disruptions in supply. We also utilize pricing programs to pass increased steel, resin and other raw material costs to customers. Although we may experience delays in our ability to implement price increases, we have been generally able to recover such increased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employed approximately 3,200 people, of which approximately 50% were located outside the United States. We have one facility, located in Commerce, California (USA) where our hourly employees operate under a collective bargaining agreement, and which represents approximately 14% of our U.S. employees. We have four facilities outside of the United States where our employees are affiliated with state-controlled or trade unions, which covers approximately 41% of our non-U.S. employees.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employee relations are good and are not aware of any present active union organizing activities at any of our facilities. We cannot predict the impact of any further unionization of our workplace. Our labor agreement with the United Automobile, Aerospace and Agricultural Implement Workers of America at our TriMas Aerospace facility in Commerce, California expires in August 2021 and we expect to enter into timely negotiations regarding the extension of our agreement.</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TriMas focuses on a number of human capital resources objectives in managing its business, including our commitment to safety, employee engagement, diversity and inclusion, and talent development. These human capital resources objectives, taken together, may be material to understanding our business under certain circumstances. These objectives are reinforced by our Code of Conduct, our global policies, including our Global Human Rights Policy, and our commitment to sustainability as evidenced in our inaugural 2020 Sustainability Report.These objectives are reinforced by our Code of Conduct, our global policies, including our Global Human Rights Policy, and our commitment to sustainability as evidenced in our inaugural 2020 Sustainability Report</w:t>
      </w: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Safety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One of our primary objectives is the health and safety of our employees and anyone who conducts business on our behalf. The commitment to safety starts at the top levels of our organization. We believe a safe and secure workplace is fundamental and important to our success. TriMas is committed to providing a safe and healthy workplace, and complying with applicable safety and health laws, regulations and internal requirements. We are also committed to engaging our employees to continually improve health and safety by acting upon opportunities to reduce risk and improve our safety and health performance. TriMas maintains comprehensive safety programs focused on identifying hazards and eliminating risks that can lead to severe injuries.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TriMas, a commitment to continuous improvement is one of our core values and imperative to our long-term success. We embrace the tools of Kaizen and work to foster a culture of employee engagement to drive performance improvements and operational excellence.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believe we are at our best when we bring together unique perspectives, experiences and ideas, and actively build diverse teams and inclusive work environments across our global locations. We believe that tapping into our employees’ diverse backgrounds and experiences ensures we make better decisions and supports stronger operating performance. Our goal is to foster working environments that are fair and safe, where rights are respected and everyone can achieve their full potential. Our policies and practices strive to assure equal employment and advancement opportunities for all qualified people. We also work to maintain appropriate standards of conduct in the workplace and to be sensitive to the concerns of our diverse group of employees. We strive to maintain workplaces that are free from discrimination or harassment on the basis of race, religion, color, national origin, sex, age, genetic information, sexual orientation, gender identity, protected veteran status, disability or any other characteristic protected by applicable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a talented, engaged and dynamic workforce is vital to our success. We seek to hire, develop and retain individuals who embrace and thrive in our culture. Our culture is grounded in our values: Integrity, Customer-focused, Teamwork, Results-driven and Continuous Improvement. Our businesses strive to build robust talent pipelines through targeted recruitment initiatives across our global footprint. Our programs are intended to ensure seamless onboarding for our new employees. We identify and nurture talent through a culture that is designed to enable employees to succeed and grow into leadership positions. We believe that our diverse businesses and structure provide many opportunities for employees to follow their own path and advance their careers.</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support a culture of continuous development, and we provide employees with the opportunity to receive frequent performance feedback. On a regular basis throughout the year, employees have goal alignment, performance and career development discussions with their managers (via annual goal setting, mid-year and year-end performance and talent reviews). At these times, employees receive candid feedback on their performance against set objectives. These reviews evaluate each employee’s strengths, skills and areas for opportunity, which are important for career development.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does not experience significant seasonal fluctuation, other than our fourth quarter, which has tended to be the lowest net sales quarter of the year given holiday shutdowns by certain of our customers and other customers deferring capital spending to the following 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Current environmental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 In addition to environmental laws and regulations, our operations are governed by variety of laws and regulations, including those relating to workplace safety and worker health, principally the Occupational Safety and Health Act and regulations thereunder. We believe that we are in material compliance with these laws and regulations and do not believe that future compliance with such laws and regulations will have a material adverse effect on our business, financial condition, results of operations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identified intangible assets, consisting of customer relationships, trademarks and trade names, and technology, are recorded at approximately $206.2 million at December 31, 2020, net of accumulated amortization. The valuation of each of the identified intangibles was performed using broadly accepted valuation methodologies and techniques.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Relationships. </w:t>
      </w:r>
      <w:r>
        <w:rPr>
          <w:rFonts w:ascii="Arial" w:cs="Arial" w:eastAsia="Arial" w:hAnsi="Arial"/>
          <w:sz w:val="18"/>
          <w:szCs w:val="18"/>
          <w:color w:val="auto"/>
        </w:rPr>
        <w:t>We have developed and maintained stable, long-term selling relationships with customer groups for specific branded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and/or 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Trademarks and Trade Names. </w:t>
      </w:r>
      <w:r>
        <w:rPr>
          <w:rFonts w:ascii="Arial" w:cs="Arial" w:eastAsia="Arial" w:hAnsi="Arial"/>
          <w:sz w:val="18"/>
          <w:szCs w:val="18"/>
          <w:color w:val="auto"/>
        </w:rPr>
        <w:t>Each of our businesses designs and manufactures products for focused markets under various trade names and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(see discussion above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We hold a number of United States and foreign patents, patent applications, and proprietary product and process-oriented technologies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all 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22.7% of our net sales for the year ended December 31, 2020 were derived from sales by our businesses located outside of the United States, and approximately 37.4% of our long-lived assets as of December 31, 2020 were located outside of the United States. We operate manufacturing facilities in China, Germany, India, Italy, Mexico, Slovakia, the United Kingdom and Vietnam, in addition to our U.S. operations. In addition to the net sales derived from sales by our businesses located outside of the United States, we also generated approximately $70.0 million of export sales from the United States.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 Reports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our corporate website, www.trimascorp.com, as a channel for routine distribution of important information, including news releases, company presentations and links to our businesses' websites, as well as our inaugural Sustainability Report, which we launched in December 2020. We also provide financial information on our website and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Although the risks are organized by headings, and each risk is discussed separately, many of the risks are interrelated. Additional risks and uncertainties not currently known to us or that we currently believe are immaterial may also impact our business operations, financial results and liquidity.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has had, and is expected to continue to have, a significant impact on the Company's operations and results.</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late January 2020, we have been managing matters related to the global COVID-19 pandemic, including impacts to our operations and strategic supplier-partners in Asia, as well as our manufacturing operations in Europe and North America. We have experienced temporary disruptions in the operation of certain of our facilities due to elevated levels of absenteeism, which has impacted workforce staffing. In response, we were early adopters of many of the workplace guidelines published by the U.S. Centers for Disease Control and Prevention ("CDC") and implemented other precautionary measures as necessary to maintain social distancing. COVID-19 has also affected our customers and suppliers, and we have been and will continue to collaborate with them to minimize supply chain disruptions. We have also implemented pandemic and business continuity plans, as well as other precautionary measures on behalf of our customers and employees, including supporting remote work opportunities for certain of our employees. While we believe that all of these measures have been necessary and appropriate, they have resulted in additional costs and may adversely impact our business and financial performance in the future or expose us to additional unknown risks.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impacted our results of operations, and we expect it will continue to impact us in the future at varying levels. For example, due in part to the impact of the COVID-19 pandemic, sales for our dispensing and closure products increased, while sales in our Aerospace and Specialty Products segments decreased in 2020. Although it is not possible to predict the ultimate impact of COVID-19, including on our business, results of operations, financial position or cash flows, such impacts that may be material and include, but are not limited to: (i) shifting customer demand for many of our products, including those used in cosmetic, personal care, pharmaceutical, home care, food and beverage, and industrial markets, as well as aerospace markets; (ii) increased credit risk, including increased failure by customers experiencing business disruptions to make timely payments; (iii) reduced availability and productivity of employees, as well as increased costs associated with our high-deductible medical insurance plan if our employees become ill; (iv) increased operational risks as a result of manufacturing facility disruptions or remote work arrangements, including the potential effects on internal controls and procedures, as well as cybersecurity risks and increased vulnerability to security breaches, information technology disruptions and other similar events; (v) delays and disruptions in the availability of and timely delivery of materials and components used in our operations, as well as increased costs for such materials and components; (vi) customer requirements to accelerate the relocation of certain of our production lines to North America, which may increase our capital investment needs and launch costs; (vii) a negative impact on liquidity position; (viii) any impairment in value of tangible or intangible assets which could be recorded as a result of weaker economic conditions; and (ix) increased costs and less ability to access amounts available under our existing credit facility or more generally, access to and the availability of capital markets.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In addition, because we cannot predict the impact that COVID-19 will ultimately have, the actual impact may also exacerbate other risks discussed in this Item 1A.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financial performance depends, in large part, on conditions in the markets that we serve in both the U.S. and global economies. Although with the sale of Lamons in December 2019 we significantly reduced our exposure to the oil and gas end market, we still are exposed to highly cyclical end markets for industrial goods (including our remaining exposure in oil and gas), and to a lesser extent, aerospace and consumer products. When combined with ongoing customer consolidation activity and periodic inventory reduction initiatives,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Our ability to precisely forecast the level of our customers’ orders is limited and can result in inefficiencies in scheduling our installed manufacturing capacity and result in sub-optimal business and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markets we serve are highly competitive, which could limit sales volumes and reduce our operating margins.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manufacturers located in China,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implement our business strategies and achieve our strategic and financial objectives.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and we will have a greater dependency on remaining businesses for our financial results.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2020, our goodwill and intangible assets were approximately $510.2 million and represented approximately 42.7%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our raw material or energy costs or the loss of critical suppliers could adversely affect our profitability and other financial results.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Prices for these products fluctuate with market conditions, and have generally increased over time.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or component parts on commercially reasonable terms, or at all, could have a material adverse effect on us. To the extent there are energy supply disruptions or material fluctuations in energy costs, our margins could be materially adversely impacted.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exposed to risks associated with an increasingly concentrated customer base.</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no individual customer accounted for 10% or more of our consolidated net sales for 2020, 2019 or 2018, our customer base has become, and may further become, increasingly concentrated as a result of our smaller revenue base following the 2019 sale of Lamons, or due to customer consolidations and/or through sales growth to existing customers. In 2020, our Packaging and Aerospace segments each had customers that comprised more than 10% of its segment revenue. As a result of these factors, changes to or reductions in the buying patterns of these larger customers may expose our business and results of operations to greater volatility. For example, prior to the outbreak of COVID-19, a large commercial aircraft manufacturer announced significant production delays and/or reductions on certain of its platforms for which we provide products, which has impacted our sales, profit and production efficiencies compared with historical levels and is expected to continue into the foreseeable future until and if these delays and/or reductions are lifted.</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require that we localize manufacturing and supply capacity rather than sourcing from lower cost countries, or seek pricing, payment, intellectual property-related,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manufacturing facilities become unavailable either temporarily or permanently due to labor disruptions or circumstances beyond our control, such as geopolitical developments or logistical complications arising from acts of war, cyber-attacks, weather, global climate change, earthquakes or other natural disasters including public health crises,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1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service disruption from one of these suppliers, either due to circumstances beyond the supplier’s control, such as geopolitical developments or logistical complications due to weather, global climate change, earthquakes or other natural disasters, or as a result of performance problems or financial difficulties, could have a material adverse effect on our ability to meet commitments to our customers or increase our operating costs.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oil and natural gas prices may affect the demand for, and profitability of, our energy-related products and services, which could have an adverse effect on our business, consolidated results of operations, and consolidated financial condition.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 and gas industry historically has experienced periodic downturns. Demand for our energy-related products, such as pump jack engines and compressors, is sensitive to the level of production activity of, and the corresponding capital spending by, oil and natural gas companies. The level of production activity is directly affected by trends in oil (and related derivatives) and natural gas prices, which have been at lower levels over the past four years, and may continue to remain at depressed levels and be subject to future volatility.</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Prices for oil and natural gas are subject to large fluctuations in response to changes in the supply of and demand for oil and natural gas, market uncertainty, geopolitical developments, alternative production methods and a variety of other factors that are beyond our control. Even the perception of longer-term lower oil and natural gas prices can reduce or defer major capital expenditures by our customers in the oil and gas industry.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international sources, which exposes us to certain risks which may adversely affect our financial results and impact our ability to service debt.</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operations outside of the United States. Approximately 22.7% of our net sales for the year ended December 31, 2020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1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of currency exchange between the U.S. dollar and currencies in international markets;</w:t>
      </w:r>
    </w:p>
    <w:p>
      <w:pPr>
        <w:spacing w:after="0" w:line="25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14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 including labor unrest, civil strife, public health crises (including viral outbreaks such as the coronavirus), acts of war, guerrilla activities, insurrection and terrorism;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international trade laws and regulations, including export control and economic sanctions, such as anti-dumping duties;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tax inefficiencies in repatriating cash flow from non-U.S. subsidiaries that could affect our financial results and reduce our ability to service debt;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Legal and Environmental Risks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developments from the recent and potential changes in U.S. trade policies could have a material adverse effect on us and our financial condition and results of operations.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Free trade laws and regulations provide certain duties and tariffs on qualifying imports and exports, subject to compliance with the applicable classification and other requirements. The U.S. government has indicated its intent to alter its approach to international trade policy and in some cases to renegotiate, or potentially terminate, certain existing bilateral or multi-lateral trade agreements and treaties with foreign countries. For example, beginning in October 2018, the U.S. government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the past two years, we experienced higher input costs as a direct result of recently imposed tariffs on certain raw materials and components imported from China. In certain cases, we have passed-through these incremental costs to the customer, while in some cases we have not changed pricing to retain or expand volume, and in other cases we are working to install capacity in facilities where there currently is no tariff. In addition, our U.S. suppliers raised prices for certain components in response to an overall increase in demand for domestic sources as a result of recently imposed tariffs.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liability associated with the use of products for which patent ownership or other intellectual property rights are claimed.</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believe that our patents, trademarks, know-how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losses and costs as a result of product liability, recall and warranty claims brought against us.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 variety of litigation incidental to our businesses, including claims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former Lamons business is a party to lawsuits related to asbestos contained in gaskets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4,655 claims pending at December 31, 2020, 40 set forth specific amounts of damages (other than those stating the statutory minimum or maximum). See Note 17,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within this Form 10-K for additional information.</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$10.0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materially and adversely affected by compliance obligations and liabilities under environmental laws and regulations.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obtaining and complying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Economic conditions and regulatory changes following the United Kingdom's exit from the European Union could have a material adverse effect on our business and results of operations.</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United Kingdom's exit from the European Union and the resulting significant change to the United Kingdom's relationship with the European Union and with countries outside the European Union (and the laws, regulations and trade deals impacting business conducted between them) could disrupt the overall economic growth or stability of the United Kingdom and the European Union and negatively impact our operations. The United Kingdom exited the European Union on January 31, 2020.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We operate manufacturing facilities internationally, including in the United Kingdom. Accordingly, the United Kingdom's withdrawal from the European Union may have an adverse impact on our international operations, particularly in the United Kingdom.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results of operations may be impaired by legal compliance risks.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and Other Financial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principal and interest payment requirements that may restrict our future operations and impair our ability to meet our obligations.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have approximately $346.3 million of outstanding debt. We are subject to variable interest rates on our revolving credit facility. Such interest rates are based on the London Interbank Offered Rate ("LIBOR") plus 1.50%. We may experience increases in our interest expense as a result of general increases in interest rate levels, which could be affected by the replacement of LIBOR as the benchmark interest rate. We had $50.5 million outstanding under our revolving credit facility as of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158"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instruments limit our ability to take certain actions and breaches thereof could impair our liquidity.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the indenture governing our senior notes contain covenants that restrict our ability to:</w:t>
      </w:r>
    </w:p>
    <w:p>
      <w:pPr>
        <w:spacing w:after="0" w:line="14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redeem or repurchase capital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and grant liens;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acquisitions and joint venture investments;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be impacted by our credit ratings developed by various rating agencies.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operating lease obligations and our failure to meet those obligations could adversely affect our financial condition.</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many of our manufacturing and distribution branch facilities, and certain capital equipment. Our rental expense in 2020 under these operating leases was approximately $9.4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Risks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we have one facility, located in Commerce, California (USA) where our hourly employees operate under a collective bargaining agreement, and which represents approximately 14% of our U.S. employees. We have four facilities outside of the United States where our employees are affiliated with state-controlled or trade unions, which covers approximately 41% of our non-U.S. employees. Our labor agreement with the United Automobile, Aerospace and Agricultural Implement Workers of America at our TriMas Aerospace facility in Commerce, California expires in 2021. We are not aware of any present active union organizing drives at any of our other facilities. We cannot predict the impact of any further unionization of our workplace.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utilized.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costs for active employees may exceed projections and may negatively affect our financial results.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individuals and relationships, the loss of which could materially harm us.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will depend, in part, on the efforts of our key leadership, including key technical, commercial and manufacturing personnel.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2021 through 2030 and are generally renewable, at our option, for various terms, provided that we are not in default under the lease agreements. Substantially all of our owned U.S. real properties are subject to liens in connection with our credit facility. Our executive offices are located in Bloomfield Hills, Michigan under a lease through February 2028. Our buildings have been generally well maintained, are in good operating condition and are adequate for current production requirements.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list sets forth the location of our principal owned and leased manufacturing and other facilities used in continuing operations and identifies the principal segment utilizing such facilities as of December 31,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Packaging</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Aerospace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Specialty Products</w:t>
            </w:r>
          </w:p>
        </w:tc>
      </w:tr>
      <w:tr>
        <w:trPr>
          <w:trHeight w:val="209"/>
        </w:trPr>
        <w:tc>
          <w:tcPr>
            <w:tcW w:w="4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2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Alabama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Huntsville</w:t>
            </w: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Arkansas</w:t>
            </w:r>
          </w:p>
        </w:tc>
        <w:tc>
          <w:tcPr>
            <w:tcW w:w="2720" w:type="dxa"/>
            <w:vAlign w:val="bottom"/>
            <w:gridSpan w:val="2"/>
            <w:shd w:val="clear" w:color="auto" w:fill="CCEEFF"/>
          </w:tcPr>
          <w:p>
            <w:pPr>
              <w:jc w:val="center"/>
              <w:ind w:right="140"/>
              <w:spacing w:after="0" w:line="230" w:lineRule="exact"/>
              <w:rPr>
                <w:sz w:val="20"/>
                <w:szCs w:val="20"/>
                <w:color w:val="auto"/>
              </w:rPr>
            </w:pPr>
            <w:r>
              <w:rPr>
                <w:rFonts w:ascii="Arial" w:cs="Arial" w:eastAsia="Arial" w:hAnsi="Arial"/>
                <w:sz w:val="18"/>
                <w:szCs w:val="18"/>
                <w:color w:val="auto"/>
                <w:w w:val="91"/>
              </w:rPr>
              <w:t>Atkins</w:t>
            </w:r>
            <w:r>
              <w:rPr>
                <w:rFonts w:ascii="Arial" w:cs="Arial" w:eastAsia="Arial" w:hAnsi="Arial"/>
                <w:sz w:val="23"/>
                <w:szCs w:val="23"/>
                <w:color w:val="auto"/>
                <w:w w:val="91"/>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Arial" w:cs="Arial" w:eastAsia="Arial" w:hAnsi="Arial"/>
                <w:sz w:val="18"/>
                <w:szCs w:val="18"/>
                <w:color w:val="auto"/>
              </w:rPr>
              <w:t>Arizona</w:t>
            </w: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2"/>
          </w:tcPr>
          <w:p>
            <w:pPr>
              <w:jc w:val="center"/>
              <w:ind w:right="120"/>
              <w:spacing w:after="0" w:line="176" w:lineRule="exact"/>
              <w:rPr>
                <w:sz w:val="20"/>
                <w:szCs w:val="20"/>
                <w:color w:val="auto"/>
              </w:rPr>
            </w:pPr>
            <w:r>
              <w:rPr>
                <w:rFonts w:ascii="Arial" w:cs="Arial" w:eastAsia="Arial" w:hAnsi="Arial"/>
                <w:sz w:val="16"/>
                <w:szCs w:val="16"/>
                <w:color w:val="auto"/>
                <w:w w:val="97"/>
              </w:rPr>
              <w:t>Mesa</w:t>
            </w:r>
            <w:r>
              <w:rPr>
                <w:rFonts w:ascii="Arial" w:cs="Arial" w:eastAsia="Arial" w:hAnsi="Arial"/>
                <w:sz w:val="20"/>
                <w:szCs w:val="20"/>
                <w:color w:val="auto"/>
                <w:w w:val="97"/>
                <w:vertAlign w:val="superscript"/>
              </w:rPr>
              <w:t>(1)</w:t>
            </w:r>
          </w:p>
        </w:tc>
        <w:tc>
          <w:tcPr>
            <w:tcW w:w="26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Tolleson</w:t>
            </w:r>
          </w:p>
        </w:tc>
        <w:tc>
          <w:tcPr>
            <w:tcW w:w="26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California</w:t>
            </w:r>
          </w:p>
        </w:tc>
        <w:tc>
          <w:tcPr>
            <w:tcW w:w="272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6"/>
                <w:szCs w:val="16"/>
                <w:color w:val="auto"/>
              </w:rPr>
              <w:t>Irwindale</w:t>
            </w:r>
            <w:r>
              <w:rPr>
                <w:rFonts w:ascii="Arial" w:cs="Arial" w:eastAsia="Arial" w:hAnsi="Arial"/>
                <w:sz w:val="20"/>
                <w:szCs w:val="20"/>
                <w:color w:val="auto"/>
                <w:vertAlign w:val="superscript"/>
              </w:rPr>
              <w:t>(1)</w:t>
            </w:r>
          </w:p>
        </w:tc>
        <w:tc>
          <w:tcPr>
            <w:tcW w:w="27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4"/>
              </w:rPr>
              <w:t>City of Industry</w:t>
            </w:r>
          </w:p>
        </w:tc>
        <w:tc>
          <w:tcPr>
            <w:tcW w:w="26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w w:val="97"/>
              </w:rPr>
              <w:t>Rohnert Park</w:t>
            </w:r>
            <w:r>
              <w:rPr>
                <w:rFonts w:ascii="Arial" w:cs="Arial" w:eastAsia="Arial" w:hAnsi="Arial"/>
                <w:sz w:val="20"/>
                <w:szCs w:val="20"/>
                <w:color w:val="auto"/>
                <w:w w:val="97"/>
                <w:vertAlign w:val="superscript"/>
              </w:rPr>
              <w:t>(1)</w:t>
            </w:r>
          </w:p>
        </w:tc>
        <w:tc>
          <w:tcPr>
            <w:tcW w:w="27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w w:val="99"/>
              </w:rPr>
              <w:t>Commerce</w:t>
            </w:r>
            <w:r>
              <w:rPr>
                <w:rFonts w:ascii="Arial" w:cs="Arial" w:eastAsia="Arial" w:hAnsi="Arial"/>
                <w:sz w:val="20"/>
                <w:szCs w:val="20"/>
                <w:color w:val="auto"/>
                <w:w w:val="99"/>
                <w:vertAlign w:val="superscript"/>
              </w:rPr>
              <w:t>(1)</w:t>
            </w:r>
          </w:p>
        </w:tc>
        <w:tc>
          <w:tcPr>
            <w:tcW w:w="2620" w:type="dxa"/>
            <w:vAlign w:val="bottom"/>
            <w:shd w:val="clear" w:color="auto" w:fill="CCEEFF"/>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6"/>
                <w:szCs w:val="16"/>
                <w:color w:val="auto"/>
              </w:rPr>
              <w:t>Union City</w:t>
            </w:r>
            <w:r>
              <w:rPr>
                <w:rFonts w:ascii="Arial" w:cs="Arial" w:eastAsia="Arial" w:hAnsi="Arial"/>
                <w:sz w:val="20"/>
                <w:szCs w:val="20"/>
                <w:color w:val="auto"/>
                <w:vertAlign w:val="superscript"/>
              </w:rPr>
              <w:t>(1)</w:t>
            </w:r>
          </w:p>
        </w:tc>
        <w:tc>
          <w:tcPr>
            <w:tcW w:w="270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rPr>
              <w:t>Simi Valley</w:t>
            </w:r>
            <w:r>
              <w:rPr>
                <w:rFonts w:ascii="Arial" w:cs="Arial" w:eastAsia="Arial" w:hAnsi="Arial"/>
                <w:sz w:val="20"/>
                <w:szCs w:val="20"/>
                <w:color w:val="auto"/>
                <w:vertAlign w:val="superscript"/>
              </w:rPr>
              <w:t>(1)</w:t>
            </w:r>
          </w:p>
        </w:tc>
        <w:tc>
          <w:tcPr>
            <w:tcW w:w="262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86"/>
              </w:rPr>
              <w:t>Stanton</w:t>
            </w:r>
            <w:r>
              <w:rPr>
                <w:rFonts w:ascii="Arial" w:cs="Arial" w:eastAsia="Arial" w:hAnsi="Arial"/>
                <w:sz w:val="23"/>
                <w:szCs w:val="23"/>
                <w:color w:val="auto"/>
                <w:w w:val="86"/>
                <w:vertAlign w:val="superscript"/>
              </w:rPr>
              <w:t>(1)</w:t>
            </w: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Illinois</w:t>
            </w:r>
          </w:p>
        </w:tc>
        <w:tc>
          <w:tcPr>
            <w:tcW w:w="272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86"/>
              </w:rPr>
              <w:t>Woodridge</w:t>
            </w:r>
            <w:r>
              <w:rPr>
                <w:rFonts w:ascii="Arial" w:cs="Arial" w:eastAsia="Arial" w:hAnsi="Arial"/>
                <w:sz w:val="23"/>
                <w:szCs w:val="23"/>
                <w:color w:val="auto"/>
                <w:w w:val="86"/>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Indiana</w:t>
            </w:r>
          </w:p>
        </w:tc>
        <w:tc>
          <w:tcPr>
            <w:tcW w:w="2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6"/>
              </w:rPr>
              <w:t>Auburn</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6"/>
                <w:szCs w:val="16"/>
                <w:color w:val="auto"/>
              </w:rPr>
              <w:t>Hamilton</w:t>
            </w:r>
            <w:r>
              <w:rPr>
                <w:rFonts w:ascii="Arial" w:cs="Arial" w:eastAsia="Arial" w:hAnsi="Arial"/>
                <w:sz w:val="20"/>
                <w:szCs w:val="20"/>
                <w:color w:val="auto"/>
                <w:vertAlign w:val="superscript"/>
              </w:rPr>
              <w:t>(1)</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center"/>
              <w:ind w:right="140"/>
              <w:spacing w:after="0" w:line="230" w:lineRule="exact"/>
              <w:rPr>
                <w:sz w:val="20"/>
                <w:szCs w:val="20"/>
                <w:color w:val="auto"/>
              </w:rPr>
            </w:pPr>
            <w:r>
              <w:rPr>
                <w:rFonts w:ascii="Arial" w:cs="Arial" w:eastAsia="Arial" w:hAnsi="Arial"/>
                <w:sz w:val="18"/>
                <w:szCs w:val="18"/>
                <w:color w:val="auto"/>
                <w:w w:val="88"/>
              </w:rPr>
              <w:t>Indianapolis</w:t>
            </w:r>
            <w:r>
              <w:rPr>
                <w:rFonts w:ascii="Arial" w:cs="Arial" w:eastAsia="Arial" w:hAnsi="Arial"/>
                <w:sz w:val="23"/>
                <w:szCs w:val="23"/>
                <w:color w:val="auto"/>
                <w:w w:val="88"/>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Kansas</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Ottawa</w:t>
            </w:r>
          </w:p>
        </w:tc>
        <w:tc>
          <w:tcPr>
            <w:tcW w:w="26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Ohio</w:t>
            </w:r>
          </w:p>
        </w:tc>
        <w:tc>
          <w:tcPr>
            <w:tcW w:w="272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0"/>
              </w:rPr>
              <w:t>New Albany</w:t>
            </w:r>
            <w:r>
              <w:rPr>
                <w:rFonts w:ascii="Arial" w:cs="Arial" w:eastAsia="Arial" w:hAnsi="Arial"/>
                <w:sz w:val="23"/>
                <w:szCs w:val="23"/>
                <w:color w:val="auto"/>
                <w:w w:val="90"/>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Oklahoma</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Tulsa</w:t>
            </w: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Texas</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Longview</w:t>
            </w:r>
          </w:p>
        </w:tc>
      </w:tr>
      <w:tr>
        <w:trPr>
          <w:trHeight w:val="257"/>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2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Arial" w:cs="Arial" w:eastAsia="Arial" w:hAnsi="Arial"/>
                <w:sz w:val="18"/>
                <w:szCs w:val="18"/>
                <w:color w:val="auto"/>
              </w:rPr>
              <w:t>China</w:t>
            </w:r>
          </w:p>
        </w:tc>
        <w:tc>
          <w:tcPr>
            <w:tcW w:w="2720" w:type="dxa"/>
            <w:vAlign w:val="bottom"/>
            <w:gridSpan w:val="2"/>
          </w:tcPr>
          <w:p>
            <w:pPr>
              <w:jc w:val="center"/>
              <w:ind w:right="120"/>
              <w:spacing w:after="0" w:line="176" w:lineRule="exact"/>
              <w:rPr>
                <w:sz w:val="20"/>
                <w:szCs w:val="20"/>
                <w:color w:val="auto"/>
              </w:rPr>
            </w:pPr>
            <w:r>
              <w:rPr>
                <w:rFonts w:ascii="Arial" w:cs="Arial" w:eastAsia="Arial" w:hAnsi="Arial"/>
                <w:sz w:val="16"/>
                <w:szCs w:val="16"/>
                <w:color w:val="auto"/>
              </w:rPr>
              <w:t>Haining City</w:t>
            </w:r>
            <w:r>
              <w:rPr>
                <w:rFonts w:ascii="Arial" w:cs="Arial" w:eastAsia="Arial" w:hAnsi="Arial"/>
                <w:sz w:val="20"/>
                <w:szCs w:val="20"/>
                <w:color w:val="auto"/>
                <w:vertAlign w:val="superscript"/>
              </w:rPr>
              <w:t>(1)</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2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87"/>
              </w:rPr>
              <w:t>Hangzhou</w:t>
            </w:r>
            <w:r>
              <w:rPr>
                <w:rFonts w:ascii="Arial" w:cs="Arial" w:eastAsia="Arial" w:hAnsi="Arial"/>
                <w:sz w:val="23"/>
                <w:szCs w:val="23"/>
                <w:color w:val="auto"/>
                <w:w w:val="87"/>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Germany</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Neunkirchen</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tcPr>
          <w:p>
            <w:pPr>
              <w:ind w:left="440"/>
              <w:spacing w:after="0" w:line="176" w:lineRule="exact"/>
              <w:rPr>
                <w:sz w:val="20"/>
                <w:szCs w:val="20"/>
                <w:color w:val="auto"/>
              </w:rPr>
            </w:pPr>
            <w:r>
              <w:rPr>
                <w:rFonts w:ascii="Arial" w:cs="Arial" w:eastAsia="Arial" w:hAnsi="Arial"/>
                <w:sz w:val="18"/>
                <w:szCs w:val="18"/>
                <w:color w:val="auto"/>
              </w:rPr>
              <w:t>India</w:t>
            </w:r>
          </w:p>
        </w:tc>
        <w:tc>
          <w:tcPr>
            <w:tcW w:w="27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Baddi</w:t>
            </w: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2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1"/>
              </w:rPr>
              <w:t>New Delhi</w:t>
            </w:r>
            <w:r>
              <w:rPr>
                <w:rFonts w:ascii="Arial" w:cs="Arial" w:eastAsia="Arial" w:hAnsi="Arial"/>
                <w:sz w:val="23"/>
                <w:szCs w:val="23"/>
                <w:color w:val="auto"/>
                <w:w w:val="91"/>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Italy</w:t>
            </w:r>
          </w:p>
        </w:tc>
        <w:tc>
          <w:tcPr>
            <w:tcW w:w="2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rPr>
              <w:t>Borgo San Giovanni</w:t>
            </w:r>
            <w:r>
              <w:rPr>
                <w:rFonts w:ascii="Arial" w:cs="Arial" w:eastAsia="Arial" w:hAnsi="Arial"/>
                <w:sz w:val="20"/>
                <w:szCs w:val="20"/>
                <w:color w:val="auto"/>
                <w:vertAlign w:val="superscript"/>
              </w:rPr>
              <w:t>(1)</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rPr>
              <w:t>Forli</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w w:val="98"/>
              </w:rPr>
              <w:t>Pieve Fissiraga</w:t>
            </w:r>
            <w:r>
              <w:rPr>
                <w:rFonts w:ascii="Arial" w:cs="Arial" w:eastAsia="Arial" w:hAnsi="Arial"/>
                <w:sz w:val="20"/>
                <w:szCs w:val="20"/>
                <w:color w:val="auto"/>
                <w:w w:val="98"/>
                <w:vertAlign w:val="superscript"/>
              </w:rPr>
              <w:t>(1)</w:t>
            </w: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Povolaro</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Mexico</w:t>
            </w:r>
          </w:p>
        </w:tc>
        <w:tc>
          <w:tcPr>
            <w:tcW w:w="272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0"/>
              </w:rPr>
              <w:t>San Miguel de Allende</w:t>
            </w:r>
            <w:r>
              <w:rPr>
                <w:rFonts w:ascii="Arial" w:cs="Arial" w:eastAsia="Arial" w:hAnsi="Arial"/>
                <w:sz w:val="23"/>
                <w:szCs w:val="23"/>
                <w:color w:val="auto"/>
                <w:w w:val="90"/>
                <w:vertAlign w:val="superscript"/>
              </w:rPr>
              <w:t>(1)</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Slovakia</w:t>
            </w:r>
          </w:p>
        </w:tc>
        <w:tc>
          <w:tcPr>
            <w:tcW w:w="2720" w:type="dxa"/>
            <w:vAlign w:val="bottom"/>
            <w:gridSpan w:val="2"/>
            <w:shd w:val="clear" w:color="auto" w:fill="CCEEFF"/>
          </w:tcPr>
          <w:p>
            <w:pPr>
              <w:jc w:val="center"/>
              <w:ind w:right="140"/>
              <w:spacing w:after="0" w:line="230" w:lineRule="exact"/>
              <w:rPr>
                <w:sz w:val="20"/>
                <w:szCs w:val="20"/>
                <w:color w:val="auto"/>
              </w:rPr>
            </w:pPr>
            <w:r>
              <w:rPr>
                <w:rFonts w:ascii="Arial" w:cs="Arial" w:eastAsia="Arial" w:hAnsi="Arial"/>
                <w:sz w:val="18"/>
                <w:szCs w:val="18"/>
                <w:color w:val="auto"/>
                <w:w w:val="87"/>
              </w:rPr>
              <w:t>Levice</w:t>
            </w:r>
            <w:r>
              <w:rPr>
                <w:rFonts w:ascii="Arial" w:cs="Arial" w:eastAsia="Arial" w:hAnsi="Arial"/>
                <w:sz w:val="23"/>
                <w:szCs w:val="23"/>
                <w:color w:val="auto"/>
                <w:w w:val="87"/>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United Kingdom</w:t>
            </w: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Leicester</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Vietnam</w:t>
            </w:r>
          </w:p>
        </w:tc>
        <w:tc>
          <w:tcPr>
            <w:tcW w:w="272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1"/>
              </w:rPr>
              <w:t>Thu Dau Mot</w:t>
            </w:r>
            <w:r>
              <w:rPr>
                <w:rFonts w:ascii="Arial" w:cs="Arial" w:eastAsia="Arial" w:hAnsi="Arial"/>
                <w:sz w:val="23"/>
                <w:szCs w:val="23"/>
                <w:color w:val="auto"/>
                <w:w w:val="91"/>
                <w:vertAlign w:val="superscript"/>
              </w:rPr>
              <w:t>(1)</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356"/>
        </w:trPr>
        <w:tc>
          <w:tcPr>
            <w:tcW w:w="3180" w:type="dxa"/>
            <w:vAlign w:val="bottom"/>
            <w:gridSpan w:val="2"/>
          </w:tcPr>
          <w:p>
            <w:pPr>
              <w:jc w:val="right"/>
              <w:ind w:right="1670"/>
              <w:spacing w:after="0"/>
              <w:rPr>
                <w:sz w:val="20"/>
                <w:szCs w:val="20"/>
                <w:color w:val="auto"/>
              </w:rPr>
            </w:pPr>
            <w:r>
              <w:rPr>
                <w:rFonts w:ascii="Arial" w:cs="Arial" w:eastAsia="Arial" w:hAnsi="Arial"/>
                <w:sz w:val="11"/>
                <w:szCs w:val="11"/>
                <w:color w:val="auto"/>
                <w:w w:val="88"/>
              </w:rPr>
              <w:t>__________________________</w:t>
            </w: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99"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Represents a leased facility. All such leases are operating leases.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Information about our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following were executive officers of the Company:</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A. Amato. </w:t>
      </w:r>
      <w:r>
        <w:rPr>
          <w:rFonts w:ascii="Arial" w:cs="Arial" w:eastAsia="Arial" w:hAnsi="Arial"/>
          <w:sz w:val="17"/>
          <w:szCs w:val="17"/>
          <w:color w:val="auto"/>
        </w:rPr>
        <w:t>Mr. Amato, age 57, was appointed the Company's president and chief executive officer in July 2016. Previously,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Robert J. Zalupski</w:t>
      </w:r>
      <w:r>
        <w:rPr>
          <w:rFonts w:ascii="Arial" w:cs="Arial" w:eastAsia="Arial" w:hAnsi="Arial"/>
          <w:sz w:val="16"/>
          <w:szCs w:val="16"/>
          <w:color w:val="auto"/>
        </w:rPr>
        <w:t>. Mr. Zalupski, age 61, was appointed the Company’s chief financial officer in January 2015. Previously, he served 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and treasurer of the Company since 2003 and assumed responsibility for corporate development in March 2010.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Joshua A. Sherbin</w:t>
      </w:r>
      <w:r>
        <w:rPr>
          <w:rFonts w:ascii="Arial" w:cs="Arial" w:eastAsia="Arial" w:hAnsi="Arial"/>
          <w:sz w:val="17"/>
          <w:szCs w:val="17"/>
          <w:color w:val="auto"/>
        </w:rPr>
        <w:t>. Mr. Sherbin, age 57, was appointed the Company’s general counsel and corporate secretary in 2005,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par value $0.01 per share, is listed for trading on the NASDAQ Global Select Market under the symbol "TRS." As of February 19, 2021, there were 181 holders of record of our common stock.</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credit agreement and the indenture governing our senior notes restrict the payment of dividends on common stock, as such we did not pay dividends in 2020 or 2019. Our current policy is to retain earnings to repay debt and finance our operations and acquisitions. See the discussion under Item 7, "</w:t>
      </w:r>
      <w:r>
        <w:rPr>
          <w:rFonts w:ascii="Arial" w:cs="Arial" w:eastAsia="Arial" w:hAnsi="Arial"/>
          <w:sz w:val="16"/>
          <w:szCs w:val="16"/>
          <w:i w:val="1"/>
          <w:iCs w:val="1"/>
          <w:color w:val="auto"/>
        </w:rPr>
        <w:t>Management's Discussion and Analysis of Financial Condition and Results of Operations—Liquidity and Capital Resources"</w:t>
      </w:r>
      <w:r>
        <w:rPr>
          <w:rFonts w:ascii="Arial" w:cs="Arial" w:eastAsia="Arial" w:hAnsi="Arial"/>
          <w:sz w:val="16"/>
          <w:szCs w:val="16"/>
          <w:color w:val="auto"/>
        </w:rPr>
        <w:t xml:space="preserve"> and Note 13 to the Company's financial statements captioned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2015 through December 31, 2020 for TriMas common stock, the Russell 2000 Index and the S&amp;P SmallCap 600 Capped Industrials Index. We have assumed that dividends have been reinvested (and taking into account the value of Horizon Global shares distributed in the spin-off) and returns have been weighted-averaged based on market capitalization. The graph assumes that $100 was invested on December 31, 2015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48640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December 31,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17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2020 to October 31, 2020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162,248,483</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November 1, 2020 to November 30, 2020</w:t>
            </w:r>
          </w:p>
        </w:tc>
        <w:tc>
          <w:tcPr>
            <w:tcW w:w="1720" w:type="dxa"/>
            <w:vAlign w:val="bottom"/>
          </w:tcPr>
          <w:p>
            <w:pPr>
              <w:jc w:val="right"/>
              <w:spacing w:after="0"/>
              <w:rPr>
                <w:sz w:val="20"/>
                <w:szCs w:val="20"/>
                <w:color w:val="auto"/>
              </w:rPr>
            </w:pPr>
            <w:r>
              <w:rPr>
                <w:rFonts w:ascii="Arial" w:cs="Arial" w:eastAsia="Arial" w:hAnsi="Arial"/>
                <w:sz w:val="18"/>
                <w:szCs w:val="18"/>
                <w:color w:val="auto"/>
              </w:rPr>
              <w:t>22,311</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22,311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161,705,818</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to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161,705,818</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140,371</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161,705,818</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28" w:lineRule="auto"/>
        <w:tabs>
          <w:tab w:leader="none" w:pos="309"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December 31, 2020, the Company repurchased 140,371 shares of its common stock at a cost of approximately $3.4 million. The share repurchase program is effective and has no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manufacturer and provider of products for customers primarily in the consumer products, aerospace &amp; defense and industrial markets.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2019, we completed the sale of our Lamons division ("Lamons"), a manufacturer and distributor of industrial sealing, fastening and specialty products primarily used in the petrochemical and petroleum-refining industries, to two wholly-owned subsidiaries of an investment fund sponsored by First Reserve. The sale of Lamons was an important strategic step for TriMas, in streamlining our portfolio of businesses, as it significantly reduced our exposure to the oil and gas market from over 20% of net sales in 2019 to less than 2% in 2020, and allowed us to further invest in our Packaging and Aerospace segments. We received net after-tax proceeds from the sale of approximately $112.7 million. The financial results of Lamons were previously reported within our Specialty Products segment. The financial position, results of operations and cash flows of Lamons are reported as discontinued operations for all periods presented through the date of disposition.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and Risks Affecting Our Reported Results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have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is critical to our future results of operations.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divisions were impacted in first quarter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We expect that we will continue to operate with these protocols in place, which have impacted our 2020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our 2020 net sales increased approximately $46.4 million compared to 2019, primarily as a result of robust organic sales growth in our Packaging segment, particularly for dispensing and closure products we supply that are used in applications to fight the spread of germs, and as a result of acquisitions. These increases more than offset declines in sales in our Aerospace and Specialty Products segments, primarily related to the effects of the COVID-19 pandemic.</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drivers of change in results of operations in 2020 compared with 2019, other than as directly impacted by demand level changes as a result of the COVID-19 pandemic, were goodwill and intangible asset impairment charges in our Aerospace segment, our election to change our accounting policy for asbestos-related defense costs, realignment actions we undertook, primarily in our Aerospace and Specialty Products segments, in response to reduced end-market demand following the outbreak of COVID-19, the impact of our recent acquisitions and the recognition of income tax benefits related to tax-planning actions with respect to our intercompany debt restructuring.</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we determined there was a triggering event requiring an interim quantitative impairment assessment for goodwill and indefinite-lived intangible assets within our Aerospace segment. While third quarter operating results were below pre-pandemic projected levels, the larger driver of the triggering event was a significant reduction in the July financial projection update for the remainder of 2020 compared with prior projections, and uncertainty around the duration and magnitude of the impact of the COVID-19 pandemic on future financial results given the dependence of our Aerospace segment reporting units on future levels of air travel and new aircraft builds. We determined the carrying value of both of our Aerospace reporting units, as well as of certain trade names, exceeded the fair value, resulting in non-cash, pre-tax impairment charges of approximately $126.8 million to goodwill and $7.8 million to indefinite lived intangible assets.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techniques used in our interim impairment tests incorporated a number of assumptions that we believe to be reasonable and to reflect the current market conditions. Assumptions in estimating future cash flows and earnings were based on Level 3 inputs under the fair value hierarchy and were primarily related to customer demand and revenue growth, and associated profitability and cash flows, all as part of an aerospace industry recovery post-pandemic. Data from aerospace publications and public companies was used to assess the reasonableness of management’s assumptions regarding the timing and extent of the industry recovery. To provide a level of sensitivity analysis, a 1% change in the discount rate would have impacted the total goodwill impairment charge by approximately $20 million, while a 0.5% change in the terminal growth rate would have impacted the total goodwill impairment charge by approximately $5 million.</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Changes in future results, assumptions, and estimates from those used in the interim impairment test may lead to an outcome where additional impairment charges would be required in future periods. Specifically, actual results may vary from management's forecasts and such variations may be material and unfavorable, thereby triggering the need for future impairment tests where the conclusions may differ in reflection of prevailing market conditions. Further, continued adverse or worsening market conditions could result in the recognition of additional impairment if we determine that the fair value of our Aerospace Fasteners reporting unit has fallen below its carrying value. Certain circumstances that could reasonably be expected to negatively affect the underlying key assumptions and impact the estimated fair value of the Company’s Aerospace Fastener reporting unit may include such items as: (i) a decrease in expected future cash flows, due to the pandemic adversely impacting the aerospace industry longer or more deeply than currently estimated, (ii) inability to achieve the sales targeted as part of the Company’s strategic growth initiatives, and (iii) inability to efficiently leverage the projected sales growth at expected margin rates.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in second quarter 2020 for asbestos-related costs of approximately $23.4 million, which is included in selling, general and administrative expenses.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the onset of the COVID-19 pandemic, we undertook certain realignment actions, primarily in our Aerospace and Specialty Products segments, in response to current and expected future reduced end market demand. We recorded non-cash charges of approximately $13.8 million related to inventory reductions, primarily as a result of a strategic decision in our Arrow Engine division to streamline its product line offering. We also recorded charges of approximately $2.3 million related to certain production equipment removed from service given reduced demand levels. In addition, we reduced our employment levels given lower customer demand, incurring approximately $3.8 million in severance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2020, we completed the acquisition of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by mid-2021. Affaba &amp; Ferrari, which is reported in the Company's Packaging segment, operates out of a highly automated manufacturing facility and support office located in Borgo San Giovanni, Italy. Affaba &amp; Ferrari contributed approximately $0.7 million of net sales during 2020 within our Packaging segment.</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we acquired the Rapak brand, including certain bag-in-box product lines and assets ("Rapak") for an aggregate amount of approximately $11.4 million. Rapak, which is reported in our Packaging segment, has three manufacturing locations in the United States. Rapak contributed approximately $13.9 million of net sales during 2020 within our Packaging segment, although it is performing below break-even operating profit as demand for its products, particularly those used in quick service restaurant applications, has significantly declined from pre-acquisition levels in 2019 due to the impact of the COVID-19 pandemic.</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we completed the acquisition of RSA Engineered Products ("RSA"), a provider of highly-engineered and proprietary components for air management systems used in critical flight applications, for an aggregate amount of approximately $83.7 million, net of cash acquired. RSA, located in Simi Valley, California, designs, engineers and manufactures highly-engineered components, including air ducting products, connectors and flexible joints, predominantly used in aerospace and defense engine bleed air, anti-icing and environmental control system applications. RSA contributed approximately $19.4 million of net sales during 2020 within our Aerospace segment.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we also undertook certain tax-planning actions with respect to intercompany debt restructuring, resulting in the recognition of approximately $6.4 million of income tax benefit.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COVID-19 pandemic significantly impacted our 2020 results, and we expect it will continue to impact us in the future at varying degrees. We expect the robust customer demand for our Packaging segment's dispensing pumps and closure products used in personal care and home care applications that fight the spread of germs will continue, as we believe there is a new secular trend for higher levels of health and cleanliness. We are actively collaborating with our customers and strategic supply partners to manage production capacity and supply chain availability as efficiently as possible. Industrial demand in North America was lower than 2019 levels, and we are uncertain how and when demand will be impacted as many of the shelter-in-place orders are adjusted or lifted, particularly in North America, where orders for our industrial cylinders, for example, are heavily influenced by the levels of construction and HVAC activity. We expect the aerospace market to continue to experience the most severe dislocation going forward. With the current travel restrictions and significant drop in passenger miles, aircraft manufacturers have now significantly slowed production, and since second quarter we have experienced a significant drop in aerospace-related sales compared to prior year levels. We expect this trend to continue for the foreseeable future.</w:t>
      </w:r>
    </w:p>
    <w:p>
      <w:pPr>
        <w:spacing w:after="0" w:line="9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executed realignment actions in 2020, primarily in our Aerospace and Specialty Products segments, and also in certain Packaging product areas where demand has fallen, such as in the quick-serve and restaurant applications,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Despite the potential decline in future demand levels and results of operations as a result of the COVID-19 pandemic, at present, we believe our capital structure is in a solid position, and we have ample cash and available liquidity under our revolving credit facility to meet our debt service obligations, capital expenditure requirements and other short-term and long-term obligations for the foreseeable future. Even after deploying nearly $200 million in our three acquisitions and completing stock purchases totaling $39.4 million during 2020, our December 31, 2020 net leverage ratio, as defined in our credit agreement, is below our long-term target of 2.0x.</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timing of widespread vaccine availability,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sensitive to price movements and availability of our raw materials supply. Our largest raw material purchases are for resins (such as polypropylene and polyethylene), steel, aluminum and other oil and metal-based purchased components. While material cost changes did not have a significant impact in 2020 compared with 2019,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As needed, we have taken actions, and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lags the underlying material cost increase, and we cannot be assured of full cost recovery in the open market.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year, as a core tenet of the TBM,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2020, 2019 and 2018, we purchased 1,582,049, 1,230,050 and 442,632 shares of our outstanding common stock for approximately $39.4 million, $36.7 million and $12.1 million, respectively.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2020, the Company has approximately $161.7 million remaining under the repurchase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three reportable segments (dollars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14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As a Percentage</w:t>
            </w:r>
          </w:p>
        </w:tc>
        <w:tc>
          <w:tcPr>
            <w:tcW w:w="2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300" w:type="dxa"/>
            <w:vAlign w:val="bottom"/>
          </w:tcPr>
          <w:p>
            <w:pPr>
              <w:jc w:val="right"/>
              <w:ind w:right="11"/>
              <w:spacing w:after="0" w:line="158" w:lineRule="exact"/>
              <w:rPr>
                <w:sz w:val="20"/>
                <w:szCs w:val="20"/>
                <w:color w:val="auto"/>
              </w:rPr>
            </w:pPr>
            <w:r>
              <w:rPr>
                <w:rFonts w:ascii="Arial" w:cs="Arial" w:eastAsia="Arial" w:hAnsi="Arial"/>
                <w:sz w:val="16"/>
                <w:szCs w:val="16"/>
                <w:b w:val="1"/>
                <w:bCs w:val="1"/>
                <w:color w:val="auto"/>
                <w:w w:val="94"/>
              </w:rPr>
              <w:t>As a Percentage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Net Sales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488,340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392,340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368,200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769,970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182,080</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200,110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35,340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134,480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91,210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93,990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80,770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84,590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(88,290)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108,810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Specialty Products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49" w:val="left"/>
        </w:tabs>
        <w:numPr>
          <w:ilvl w:val="0"/>
          <w:numId w:val="16"/>
        </w:numPr>
        <w:rPr>
          <w:rFonts w:ascii="Arial" w:cs="Arial" w:eastAsia="Arial" w:hAnsi="Arial"/>
          <w:sz w:val="9"/>
          <w:szCs w:val="9"/>
          <w:color w:val="auto"/>
        </w:rPr>
      </w:pPr>
      <w:r>
        <w:rPr>
          <w:rFonts w:ascii="Arial" w:cs="Arial" w:eastAsia="Arial" w:hAnsi="Arial"/>
          <w:sz w:val="14"/>
          <w:szCs w:val="14"/>
          <w:color w:val="auto"/>
        </w:rPr>
        <w:t>Corporate capital expenditures for the year ended December 31, 2018 are primarily related to purchases of machinery and equipment formerly held under operating leases. These purchased assets were subsequently transferred from Corporate to the segment utilizing the assets.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with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2020, compared with the year ended December 31, 2019 were:</w:t>
      </w:r>
    </w:p>
    <w:p>
      <w:pPr>
        <w:spacing w:after="0" w:line="158"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our Packaging segment's organic sales and related operating profit as a result of significantly higher demand, primarily for our products used in applications to help fight the spread of germs;</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$134.6 million of non-cash, pre-tax goodwill and indefinite-lived intangible asset impairment charges during 2020 in our Aerospace segment, primarily as a result of lower current and expected future financial results due to uncertainty around the duration and magnitude of the impact of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sales and related profit within our Aerospace and Specialty Products segments, primarily as a result of the COVID-19 pandemic;</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accounting policy for asbestos-related defense costs during 2020;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our recent acquisitions, primarily RSA in February 2020 and Rapak in April 2020;</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realignment expenses, primarily in our Aerospace and Specialty Products segments, in response to reduced end-market demand following the outbreak of COVID-19;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income tax benefit related to intercompany debt restructuring.</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net sales increased approximately $46.4 million, or approximately 6.4%, to $770.0 million in 2020, as compared to $723.5 million in 2019. Our recent acquisitions contributed approximately $44.1 million of inorganic sales growth. Organic sales, excluding the impact of currency exchange, increased approximately $3.4 million, as approximately $72.4 million of sales increases in our Packaging segment, primarily for products used in applications that help fight the spread of germs, were more than offset by approximately $45.8 million of lower sales in our Aerospace segment and $23.2 million lower sales in our Specialty Products segment, both primarily due to lower demand as a result of the COVID-19 pandemic. In addition, net sales were lower by approximately $1.1 million due to unfavorable currency exchange, as our reported results in U.S. dollars were negatively impacted as a result of the stronger U.S. dollar relative to foreign currencies.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margin (gross profit as a percentage of sales) approximated 23.6% and 26.8% in 2020 and 2019, respectively. Gross profit margin decreased, as the impact of higher sales levels was more than offset by the impact of approximately $17.1 million of realignment expenses during 2020, approximately $15.0 million of which were non-cash and approximately $2.1 million of which were cash expenses, primarily in our Aerospace and Specialty Products segments, where we executed actions to lower our cost structure in response to reduced end market demand following the outbreak of the COVID-19 pandemic. In addition, we recorded approximately $2.8 million of non-cash purchase accounting charges during 2020 for the step-up of inventory to fair value and subsequent amortization related to our RSA and Rapak acquisitions as compared to approximately $0.3 million of such charges in 2019. Gross profit margin was also negatively impacted by approximately $2.0 million for an updated estimate of a pre-acquisition contingent liability within our Aerospace segment during 2020, as well as lower fixed cost absorption, higher production inefficiencies and a less favorable product sales mix, all due primarily to the COVID-19 pandemic.</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profit (loss) margin (operating profit as a percentage of sales) approximated (11.5)% and 12.6% in 2020 and 2019, respectively. Operating profit (loss) decreased $179.5 million, to $88.3 million of operating loss in 2020, as compared to $91.2 million operating profit in 2019. This decrease was primarily a result of approximately $134.6 million of non-cash goodwill and indefinite-lived intangible asset impairment charges within our Aerospace segment and an approximate $23.4 million non-cash charge due to a change in accounting policy, both recorded during 2020. Operating profit further decreased due to approximately $19.9 million of realignment expenses recorded during 2020, of which $16.1 million were non-cash and $3.8 million were cash expenses, primarily in our Aerospace and Specialty Products segments, where we executed actions to lower our cost structure in response to reduced end market demand. Operating profit (loss) also decreased as a result of increased purchase accounting expenses, a less favorable product sales mix and as a result of unfavorable currency exchange.</w:t>
      </w:r>
    </w:p>
    <w:p>
      <w:pPr>
        <w:spacing w:after="0" w:line="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increased approximately $0.7 million, to $14.7 million in 2020, as compared to $14.0 million in 2019, primarily as a result of increased weighted average borrowings from approximately $338.0 million in 2019 to $368.9 million in 2020. We drew $150 million on our revolving credit facility in first quarter 2020 to ensure availability of cash on hand at the onset of the pandemic, but subsequently repaid this amount in second quarter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decreased approximately $0.8 million to $0.2 million in 2020, from $1.0 million in 2019, primarily due to lower year-over-year interest income on cash balances and higher defined benefit pension expenses.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2020 was 22.3%, compared to 20.9% for 2019. We recorded an income tax benefit of approximately $23.0 million in 2020, as compared to $16.3 million of income tax expense in 2019. During 2020, we reported a domestic income tax loss of approximately $134.6 million and foreign pre-tax income of approximately $31.9 million, compared to 2019 domestic and foreign pre-tax income of approximately $52.2 million and $26.1 million, respectively. The effective tax rate for 2020 was impacted by a decrease in profitability in the U.S. resulting from various one-time charges, including impairment of goodwill and indefinite-lived intangible assets and a change in our accounting policy for asbestos-related defense costs. During 2020, we also undertook certain tax-planning actions with respect to restructuring our intercompany debt, resulting in the recognition of a $6.4 million deferred tax benefit.</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(loss) from continuing operations decreased approximately $141.7 million to a loss of approximately $79.8 million in 2020, compared to income of $61.9 million in 2019. The decrease was primarily the result of a decrease in operating profit (loss) of approximately $179.5 million, which was significantly impacted by the goodwill and indefinite-lived intangibles impairment charge, an increase in interest expense of approximately $0.7 million, and a decrease in other income of approximately $0.8 million, partially offset by an increase in income tax benefit of approximately $39.3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$96.0 million, or 24.5%, to $488.3 million in 2020, as compared to $392.3 million in 2019. Acquisition-related growth was approximately $24.7 million, comprised of approximately $13.9 million of sales from our April 2020 acquisition of Rapak, approximately $0.7 million of sales from our December 2020 acquisition of Affaba &amp; Ferrari, and approximately $10.1 million of January through April 2020 sales for Taplast, which was acquired in late April 2019. Sales of dispensing products used in beauty and personal care and home care applications increased by approximately $53.5 million, primarily as a result of increased demand for personal hygiene applications due to heightened awareness of reducing the spread of germs following the onset of the COVID-19 pandemic. Sales of products used in food and beverage markets increased by approximately $15.4 million, primarily due to higher sales of beverage dispensers, including pumps and related products, in North America. Sales of products used in industrial markets increased by approximately $2.1 million, primarily due to higher demand within North America, some of which we believe is attributable to higher sales of products used in the transportation of bulk sanitizer and industrial cleaning solutions. These increases were partially offset by approximately $1.1 million of unfavorable currency exchange, as our reported results in U.S. dollars were negatively impacted as a result of the stronger U.S. dollar relative to foreign currencies.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$26.2 million to $142.4 million, or 29.2% of sales, in 2020, as compared to $116.2 million, or 29.6% of sales, in 2019, primarily due to increased sales levels. These increases were partially offset by approximately $1.1 million in non-cash realignment costs during 2020 primarily related to the disposal of certain equipment that was taken out of service and approximately $0.8 million for a purchase accounting non-cash charge related to the step-up of Rapak's inventory to fair value and subsequent amortization. Gross profit margin was lower than 2019 due to a less favorable product sales mix as well as Rapak generating low gross profit at current demand levels, all as a result of the impacts of the COVID-19 pandemic.</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Packaging's selling, general and administrative expenses increased approximately $12.5 million to $47.9 million, or 9.8% of sales, in 2020, as compared to $35.3 million, or 9.0% of sales, in 2019, as we incurred approximately $4.4 million of higher ongoing selling, general and administrative costs associated with our acquisitions, higher incentive costs in 2020 given the higher profit levels and higher employment levels given the higher sales levels. Additionally, we incurred approximately $1.2 million in charges associated with our realignment actions, primarily for severance in 2020, as well as recognized an approximate $3.9 million non-cash reversal of a contingent liability for which the underlying obligation expired during 2019, which did not repeat in 2020. These increases were partially offset by an approximate $0.8 million non-cash charge during 2019 related to the write-off of the trade name acquired in the Plastic Srl acquisition that was not used.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increased approximately $13.2 million to $94.0 million, or 19.2% of sales, in 2020, as compared to $80.8 million, or 20.6% of sales, in 2019, primarily as a result of increased sales, which was partially offset by realignment charges taken during 2020, the recognition of the purchase accounting adjustment related to Rapak's inventory step-up to fair value and subsequent amortization, a less favorable product sales mix and higher selling, general and administrative expenses.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decreased approximately $26.4 million, or 13.6%, to $167.7 million in 2020, as compared to $194.1 million in 2019. The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acquisition of RSA contributed approximately $19.4 million of sales. Sales of our fastener and machined components products declined by approximately $35.5 million and $10.3 million, respectively, both due to lower demand resulting from current and expected future reduced air travel due to the COVID-19 pandemic, with fastener sales also lower, as expected, due to the 737 Max grounding.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within Aerospace decreased approximately $26.0 million to $27.0 million, or 16.1% of sales, in 2020, from $53.1 million, or 27.3% of sales, in 2019, due primarily to the decrease in sales levels and related lower fixed cost absorption and production inefficiencies due to the impact of the COVID-19 pandemic. In 2020, we also undertook certain realignment actions to protect against uncertain end-market demand related to the COVID-19 pandemic, resulting in charges of approximately $4.6 million related to inventory reductions, $2.1 million related to severance as we reduced our manufacturing employment levels and $0.3 million related to production equipment removed from service given current demand levels. In addition, we recorded charges during 2020 of approximately $2.0 million related to the non-cash step-up of RSA's inventory to fair value under purchase accounting and subsequent amortization as well as approximately $2.0 million for an update to a pre-acquisition contingent liability.</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$1.5 million to $25.6 million, or 15.2% of sales, in 2020, as compared to $24.1 million, or 12.4% of sales, in 2019, primarily due to approximately $3.8 million of ongoing costs of RSA. This increase was partially offset by cost reduction efforts to mitigate the impact of lower sales levels.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profit (loss) within Aerospace decreased approximately $162.4 million to an operating loss of $133.4 million, or (79.6)% of sales, in 2020, as compared to an operating profit of $29.0 million, or 14.9% of sales, in 2019. Operating profit and related margin decreased primarily due to approximately $134.6 million of pre-tax, non-cash goodwill and indefinite-lived intangible asset impairment charges in 2020. Operating profit also declined due to realignment charges, as well as the impact of lower sales levels, which resulted in lower fixed cost absorption and higher production inefficiencies as a result of the COVID-19 pandemic, the recognition of the purchase accounting adjustment related to RSA's inventory step-up to fair value and subsequent amortization, the update of a pre-acquisition contingent liability and higher selling, general and administrative expenses.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decreased approximately $23.2 million, or 16.9%, to $113.9 million in 2020, as compared to $137.1 million in 2019.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cylinder products decreased by approximately $14.6 million, as low demand for steel cylinders used in construction and HVAC activity in North America was partially offset by a modest increase in the sale of cylinders used for oxygen and other medical applications. Sales of engines, compressors and related parts used in upstream oil and gas applications decreased by approximately $8.6 million, primarily as a result of low oil-field activity in North America given the low price of oil.</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Specialty Products decreased approximately $12.0 million to $12.7 million, or 11.1% of sales, in 2020, as compared to $24.7 million, or 18.0% of sales, in 2019. During 2020, we undertook certain realignment actions in response to reduced end market demand, resulting in approximately $9.0 million of non-cash charges, primarily related to Arrow Engine streamlining its product line offering and liquidating its non-core inventory. The remainder of the decrease is primarily due to the decrease in sales levels, as well as to the related lower fixed cost absorption and production inefficiencies, all as a result of the COVID-19 pandemic.</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decreased approximately $0.7 million to $7.9 million, or 6.9% of sales, in 2020, as compared to $8.6 million, or 6.3% of net sales, in 2019. During 2020, we incurred realignment expenses of approximately $0.7 million related to severance for sales and administrative employees, which was more than offset by reduced year-over-year spending levels as a result of lower activity and employee levels.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within Specialty Products decreased approximately $11.7 million to $4.4 million, or 3.8% of sales, in 2020, as compared to $16.0 million, or 11.7% of sales, in 2019, primarily as a result of the 2020 realignment actions, as well as due to the impact of lower sales and related lower fixed cost absorption and production inefficiencies.</w:t>
      </w:r>
    </w:p>
    <w:p>
      <w:pPr>
        <w:spacing w:after="0" w:line="10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(income) expenses, net</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020" w:type="dxa"/>
            <w:vAlign w:val="bottom"/>
          </w:tcPr>
          <w:p>
            <w:pPr>
              <w:ind w:left="260"/>
              <w:spacing w:after="0"/>
              <w:rPr>
                <w:sz w:val="20"/>
                <w:szCs w:val="20"/>
                <w:color w:val="auto"/>
              </w:rPr>
            </w:pPr>
            <w:r>
              <w:rPr>
                <w:rFonts w:ascii="Arial" w:cs="Arial" w:eastAsia="Arial" w:hAnsi="Arial"/>
                <w:sz w:val="18"/>
                <w:szCs w:val="18"/>
                <w:color w:val="auto"/>
              </w:rPr>
              <w:t>Corporate expenses</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expenses included in operating profit increased approximately $18.7 million to $53.2 million in 2020, from $34.5 million in 2019, primarily as a result of the $23.4 million non-cash charge due to the change of our accounting policy for asbestos-related defense costs during 2020 from accruing for probable and reasonably estimable defense costs associated with known claims expected to settle to accrue for all future defense costs for both known and unknown claims, which we now believe can be reasonably estimated. Non-cash stock compensation expense increased due to the timing and nature of equity awards in 2020 compared with 2019. We also incurred lower corporate operating expenses in 2020 and favorably resolved certain legacy matters during 2020.</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 of our former Lamons business, which was sold in December 2019.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discontinued operations, net of income tax expenses, was $36.7 million for the year ended December 31, 2019. See Note 5,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to our consolidated financial statements attached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with Year Ended December 31,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2019 compared with the year ended December 31, 2018 were:</w:t>
      </w:r>
    </w:p>
    <w:p>
      <w:pPr>
        <w:spacing w:after="0" w:line="158" w:lineRule="exact"/>
        <w:rPr>
          <w:sz w:val="20"/>
          <w:szCs w:val="20"/>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two acquisitions, Plastic Srl and Taplast, acquired in January 2019 and April 2019, respectively, which drove the overall sales growth but at lower operating margins;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decline in North American industrial end market sales and related operating profit, primarily in our Specialty Products and Packaging segments;</w:t>
      </w:r>
    </w:p>
    <w:p>
      <w:pPr>
        <w:spacing w:after="0" w:line="167"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termination of a Corporate liability, resulting in an approximate $8.2 million reduction in selling, general and administrative expenses during 2018 which did not repeat in 2019;</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approximate $3.9 million non-cash reversal of a contingent liability in our Packaging segment, for which the underlying obligation expired in 2019;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settlement of defined benefit obligations in 2018, which resulted in an approximate $2.5 million non-cash settlement charge that did not repeat in 2019.</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net sales increased approximately $18.5 million, or approximately 2.6%, to $723.5 million in 2019, as compared to $705.0 million in 2018. The acquisitions of Taplast, in April 2019, and Plastic Srl, in January 2019, contributed approximately $35.3 million of sales in our Packaging segment. Organic sales overall, excluding the impact of currency exchange, decreased by approximately $11.0 million compared to 2018. We experienced approximately $12.2 million higher sales to the Packaging segment's health, beauty and home care end markets and $8.2 million higher sales within our Aerospace segment, both due to solid demand levels primarily in North America. These increases were more than offset by an approximate $19.6 million decline in sales of industrial-related products in our Specialty Products and Packaging segments, primarily as a result of end market conditions in North America, as well as approximately $11.8 million lower sales of products for food and beverage applications. Additionally, net sales were lower by approximately $5.8 million due to unfavorable currency exchange, as our reported results in U.S. dollars were negatively impacted as a result of the stronger U.S. dollar relative to foreign currencies.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profit margin (gross profit as a percentage of sales) approximated 26.8% and 28.4% in 2019 and 2018, respectively. Gross profit margin decreased, as the impact of higher sales levels was more than offset by a less favorable product sales mix, resulting from higher levels of sales growth in product applications and end markets typically with lower margin profiles, and acquisition sales with gross margins below TriMas' overall gross margin rate. Gross profit margin further declined due to higher freight and conversion costs in 2019 and as a result of unfavorable currency exchange.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margin (operating profit as a percentage of sales) approximated 12.6% and 15.4% in 2019 and 2018, respectively. Operating profit decreased approximately $17.6 million, to $91.2 million in 2019, as compared to an operating profit of $108.8 million in 2018. Operating profit and margin decreased primarily due to the year-over-year impact of an approximate $8.2 million non-cash reduction of our recorded liability to Metaldyne in 2018 following the U.S. Bankruptcy Court's final decree to close all remaining cases and terminate the Metaldyne bankruptcy distribution trust that did not repeat in 2019. In addition, during 2019, we also recognized a $3.9 million non-cash reversal of a contingent liability in our Packaging segment. Operating profit and related margin further declined as the impact of higher sales levels was more than offset by a less favorable product sales mix, increased purchase accounting expenses, increased professional fees primarily in support of corporate development activities, higher freight and conversion costs, and as a result of unfavorable currency exchange.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approximately $0.1 million, to $14.0 million in 2019, as compared to $13.9 million in 2018, as a result of higher intra-period revolving credit borrowings in 2019 as compared to 2018.</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increased approximately $3.5 million to $1.0 million in 2019, from $2.5 million in 2018, primarily due to a one-time charge of $2.5 million related to the settlement of defined benefit obligations in the second quarter of 2018 that did not repeat in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 expense decreased approximately $2.3 million, to $16.3 million in 2019 as compared to $18.7 million in 2018. The effective income tax rate for 2019 was 20.9%, compared to 20.2% for 2018. During 2019, we reported domestic and foreign pre-tax income of approximately $52.2 million and $26.1 million, respectively, and recognized tax benefits of approximately $1.2 million resulting from research and manufacturing tax incentives. We also incurred tax charges of approximately $3.6 million directly attributable to increases in valuation allowances on certain deferred tax assets including foreign tax operating loss carryforwards. In 2018, we reported domestic and foreign pre-tax income of approximately $64.7 million and $27.7 million, and recognized a net tax benefit of approximately $2.7 million related to provision to return adjustments for our U.S. Federal tax return, which included an approximate $1.1 million benefit due to additional regulations that were issued in connection with the Tax Cuts and Jobs Act ("Tax Reform Act").</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continuing operations decreased approximately $11.8 million to $61.9 million in 2019, from $73.7 million in 2018. The decrease was primarily the result of a decrease in operating profit of approximately $17.6 million, partially offset by a decrease in income tax expense of approximately $2.3 million and an increase of other income (expense) of approximately $3.5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$24.1 million, or 6.6%, to $392.3 million in 2019, as compared to $368.2 million in 2018. The Taplast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Plastic Srl acquisitions contributed approximately $35.3 million in 2019. Sales to the health, beauty and home care end market increased approximately $12.2 million, primarily due to higher demand in North America and Europe as well as sales growth in Asia. These increases were partially offset by a decrease in sales of products to the food and beverage end market by approximately $11.8 million, primarily due to lower sales of pumps as well as labor and capacity constraints to manufacture caps for certain food applications. Sales of products to the industrial end market declined by approximately $5.8 million due to lower demand in North America. Additionally, net sales were lower by approximately $5.8 million due to unfavorable currency exchange, as our reported results in U.S. dollars were negatively impacted as a result of the stronger U.S. dollar relative to foreign currencies.</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decreased approximately $3.4 million to $116.2 million, or 29.6% of sales, in 2019, as compared to $119.6 million, or 32.5% of sales, in 2018. Gross profit decreased by approximately $3.2 million due to higher freight costs, more than half of which was as a result of expediting shipments to fulfill committed delivery dates, and by approximately $2.0 million due to unfavorable currency exchange, as our reported results in U.S. dollars were negatively impacted as a result of the stronger U.S. dollar relative to foreign currencies. While the increase in net sales contributed incremental gross profit dollars, we experienced a less favorable product sales mix, primarily due to gross margins of the acquired businesses being below the current overall segment margin, which impacted gross margin by nearly 100 basis points. In addition, sales to the health, beauty and home care end market comprised a larger percentage of net sales in 2019 compared to 2018, and yield a lower gross profit margin.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increased approximately $0.3 million to $35.3 million, or 9% of sales, in 2019, as compared to $35.0 million, or 9.5% of sales, in 2018, primarily due to higher ongoing selling, general and administrative costs associated with the acquisitions completed in 2019 as well as non-cash purchase accounting-related expenses of approximately $0.8 million related to the write-off of the trade name acquired in the Plastic Srl acquisition that will not be used. These increases were partially offset by an approximate $3.9 million non-cash reversal of a contingent liability for which the underlying obligation expired in 2019.</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Packaging's operating profit decreased approximately $3.8 million to $80.8 million, or 20.6% of sales, in 2019, as compared to $84.6 million, or 23.0% of sales, in 2018, as the impact of higher freight costs, unfavorable foreign currency exchange, a less favorable product sales mix, and higher selling, general and administrative expenses more than offset the impact of higher sales levels.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increased approximately $8.2 million, or 4.4%, to $194.1 million in 2019, as compared to $185.9 million in 2018, due to an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approximately $8.5 million due to steady demand levels for fastener products combined with improved production throughput at our manufacturing facilities, partially offset by a decrease of approximately $0.3 million due to lower sales of machined components products.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Aerospace increased approximately $3.4 million to $53.1 million, or 27.3% of sales, in 2019, from $49.6 million, or 26.7% of sales, in 2018, as the higher sales were more profitable as a result of production efficiencies. In addition, gross profit and related margin increased due to a favorable product sales mix of more highly-engineered fasteners.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approximately $1.7 million to $24.1 million, or 12.4% of sales, in 2019, as compared to $22.3 million, or 12.0% of sales, in 2018, primarily due to higher employee costs.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within Aerospace increased approximately $1.7 million to $29.0 million, or 14.9% of sales, in 2019, as compared to $27.3 million, or 14.7% of sales, in 2018, primarily due to higher sales levels, improved production efficiencies and a more favorable product sales mix, which were partially offset by higher selling, general and administrative expenses.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2019 decreased approximately $13.8 million, or 9.2%, to $137.1 million, as compared to $150.9 million in 2018.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engines, compressors and related parts used in upstream oil and gas applications decreased approximately $7.1 million due to lower oil and gas drilling investment activity in the U.S. and Canada. Sales of our industrial cylinder products decreased approximately $6.7 million, primarily due to decreased demand for both high pressure and acetylene steel cylinders, we believe, as a result of customer consolidation and related asset cylinder inventory management.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Specialty Products decreased approximately $6.2 million to $24.7 million, or 18.0% of sales, in 2019, as compared to $30.9 million, or 20.4% of sales, in 2018. Gross profit decreased primarily due to lower sales, reduced fixed cost absorption, and higher conversion costs for our cylinder products.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within Specialty Products decreased approximately $1.2 million to $8.6 million, or 6.3% of sales, in 2019, as compared to $9.8 million, or 6.5% of sales, in 2018. Selling, general and administrative expenses decreased as we have continued to manage spending levels consistent with current lower demand levels.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within Specialty Products decreased approximately $5.0 million to $16.0 million, or 11.7% of sales, in 2019, as compared to $21.0 million, or 13.9% of sales, in 2018, primarily due to lower sales levels, reduced fixed cost absorption and higher conversion costs.</w:t>
      </w:r>
    </w:p>
    <w:p>
      <w:pPr>
        <w:spacing w:after="0" w:line="10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Corporate expenses</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expenses included in operating profit increased approximately $10.4 million to $34.5 million in 2019, from $24.1 million in 2018. Legacy (income) expenses, net increased approximately $8.7 million, primarily due to the termination of the liability to Metaldyne in first quarter 2018, which resulted in an approximate $8.2 million non-cash reduction in legacy (income) expenses, net, that did not occur in 2019. Corporate operating expenses increased approximately $3.1 million, primarily due to increased professional fees in support of corporate development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consists of our former Lamons business, which was sold on December 20,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Income from discontinued operations, net of income tax expenses, was $36.7 million for the year ended December, 31 2019, as compared to a loss from discontinued operations, net of income taxes, of $9.6 million for the year ended December 31, 2018.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attached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of continuing operations in 2020 were approximately $127.4 million, as compared to approximately $95.7 million in 2019. Significant changes in cash flows provided by operating activities of continuing operations and the reasons for such changes are as follows:</w:t>
      </w:r>
    </w:p>
    <w:p>
      <w:pPr>
        <w:spacing w:after="0" w:line="116" w:lineRule="exact"/>
        <w:rPr>
          <w:sz w:val="20"/>
          <w:szCs w:val="20"/>
          <w:color w:val="auto"/>
        </w:rPr>
      </w:pPr>
    </w:p>
    <w:p>
      <w:pPr>
        <w:jc w:val="both"/>
        <w:ind w:left="660" w:hanging="328"/>
        <w:spacing w:after="0" w:line="27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2020, the Company generated approximately $105.0 million in cash flows, based on the reported net loss of approximately $79.8 million and after considering the effects of non-cash items related to depreciation, amortization, loss on dispositions of assets, changes in deferred income taxes, stock-based compensation, change in legacy liability estimate, impairment of goodwill and indefinite-lived intangible assets and other operating activities. In 2019, the Company generated approximately $111.4 million in cash flows based on the reported net income from continuing operations of approximately $61.9 million and after considering the effects of similar non-cash items.</w:t>
      </w:r>
    </w:p>
    <w:p>
      <w:pPr>
        <w:spacing w:after="0" w:line="10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accounts receivable resulted in a source of cash of approximately $9.6 million and $3.3 million in 2020 and 2019, respectively, primarily due to timing of cash collections. Days sales outstanding of receivables decreased by approximately four days compared to 2019, as we placed a significant focus on our credit and collections process, particularly in those businesses most impacted by the pandemic where credit risk was heightened.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decreased our investment in inventory by approximately $4.0 million and $0.7 million in 2020 and 2019, respectively. Our days sales in inventory decreased by approximately eight days in 2020 as compared to 2019, primarily as a result of the strategic decision in our Arrow Engine division to streamline its product line offering during 2020. We continue to moderate inventory levels in line with sales levels.</w:t>
      </w:r>
    </w:p>
    <w:p>
      <w:pPr>
        <w:spacing w:after="0" w:line="8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source of cash of approximately $4.4 million in 2020, while increases in prepaid expense and other assets resulted in a use of cash of approximately $6.9 million in 2019. The changes in both 2020 and 2019 are primarily as a result of the timing of payments made for income taxes and certain operating expenses.</w:t>
      </w:r>
    </w:p>
    <w:p>
      <w:pPr>
        <w:spacing w:after="0" w:line="116" w:lineRule="exact"/>
        <w:rPr>
          <w:rFonts w:ascii="Arial" w:cs="Arial" w:eastAsia="Arial" w:hAnsi="Arial"/>
          <w:sz w:val="18"/>
          <w:szCs w:val="18"/>
          <w:color w:val="auto"/>
        </w:rPr>
      </w:pPr>
    </w:p>
    <w:p>
      <w:pPr>
        <w:jc w:val="both"/>
        <w:ind w:left="660" w:hanging="328"/>
        <w:spacing w:after="0" w:line="29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accounts payable and accrued liabilities resulted in a source of cash of approximately $4.5 million in 2020, while decreases in accounts payable and accrued liabilities resulted in a use of cash of approximately $12.8 million in 2019. Our days accounts payable on hand decreased by approximately 15 days in 2020 as we paid certain key Packaging vendors more quickly in 2020 to ensure our orders remained a top priority for them given our robust demand levels and minimal available capacity in the marketplace. This decrease was more than offset by our increase in accrued liabilities during 2020, primarily as a result of the timing and amount of wage-related accruals. Our days accounts payable on hand increased by approximately seven days in 2019 due to the timing and mix of payment terms with our vendors. The decrease in accounts payable and accrued liabilities was further impacted by net non-cash reductions of obligations of approximately $3.9 million in 2019.</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for investing activities of continuing operations was approximately $232.1 million in 2020, while net cash provided by investing activities of continuing operations was approximately $31.3 million in 2019. During 2020, we paid approximately $193.5 million, net of cash acquired, in the aggregate to acquire RSA, Rapak, and Affaba &amp; Ferrari. We invested approximately $40.5 million in capital expenditures as we have continued our investment in growth, capacity and productivity-related capital projects. Cash received from the disposition of business, property and equipment was approximately $2.0 million in 2020. During 2019, we invested approximately $29.7 million in capital expenditures and received cash from the disposition of business, property and equipment of approximately $128.1 million, primarily related to the sale of Lamons. During 2019, we paid approximately $67.1 million, net of cash acquired, to acquire Plastic Srl and Taplast.</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in 2020 was approximately $6.1 million, while net cash used for financing activities was approximately $40.4 million in 2019. During 2020, we received proceeds from borrowings, net of repayments, of approximately $48.2 million on our revolving credit facilities. We also purchased approximately $39.4 million of outstanding common stock and used a net cash amount of approximately $2.6 million related to our stock compensation arrangements. During 2019, we made net repayments of approximately $0.3 million on our revolving credit facilities, purchased approximately $36.7 million of outstanding common stock and used a net cash amount of approximately $3.3 million related to our stock compensation arrangements.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our senior notes due 2025 ("Senior Notes") accrues interest at a rate of 4.875% per annum, payable semi-annually in arrears on April 15 and October 15, and mature on October 15, 2025.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existing and future senior indebtedness and subordinated to all existing and future secured indebtedness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value of the assets securing such indebtedness. In 2020, our consolidated subsidiaries that do not guarantee the Senior Notes represented approximately 22% of the total of guarantor and non-guarantor net sales, treating each as a consolidated group and excluding intercompany transactions between guarantor and non-guarantor subsidiaries. In addition, our non-guarantor subsidiaries represented approximately 34% and 54% of the total guarantor and non-guarantor assets and liabilities, respectively, as of December 31, 2020, treating the guarantor and non-guarantor subsidiaries each as a consolidated group.</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may redeem all or part of the Senior Notes at a redemption price equal to 102.438% (reducing to 101.219% from October 15, 2021 through October 15, 2022 and 100% thereafter) of the principal amount thereof, plus accrued and unpaid interest, if any, to the redemption date.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2020. If we were to complete an acquisition which qualifies for a Covenant Holiday Period, as defined in our Credit Agreement, then our permitted total net leverage ratio cannot exceed 4.50 to 1.00 during that period. Our actual total net leverage ratio was 1.83 to 1.00 at December 31, 2020. Our permitted senior secured net leverage ratio under the Credit Agreement is 3.50 to 1.00 as of December 31, 2020. If we were to complete an acquisition which qualifies for a Covenant Holiday Period, as defined in our Credit Agreement, then our permitted senior secured net leverage ratio cannot exceed 4.00 to 1.00 during that period. Our actual senior secured net leverage ratio was 0.08 at December 31, 2020. Our permitted interest expense coverage ratio under the Credit Agreement is 3.00 to 1.00 and, our actual interest expense coverage ratio was 13.26 to 1.00 as of December 31, 2020. At December 31, 2020, we were in compliance with our financial and other covenants contained in the Credit Agreement.</w:t>
      </w:r>
    </w:p>
    <w:p>
      <w:pPr>
        <w:spacing w:after="0" w:line="3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(loss), as reported, which is a GAAP measure of our operating results, to Consolidated Bank EBITDA, as defined in our Credit Agreement, for the year ended December 31, 2020. We present Consolidated Bank EBITDA to show our performance under our financial covenants. Dollars are in thousands in the below tables.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551"/>
              <w:spacing w:after="0"/>
              <w:rPr>
                <w:sz w:val="20"/>
                <w:szCs w:val="20"/>
                <w:color w:val="auto"/>
              </w:rPr>
            </w:pPr>
            <w:r>
              <w:rPr>
                <w:rFonts w:ascii="Arial" w:cs="Arial" w:eastAsia="Arial" w:hAnsi="Arial"/>
                <w:sz w:val="16"/>
                <w:szCs w:val="16"/>
                <w:b w:val="1"/>
                <w:bCs w:val="1"/>
                <w:color w:val="auto"/>
              </w:rPr>
              <w:t>Year ended</w:t>
            </w:r>
          </w:p>
        </w:tc>
      </w:tr>
      <w:tr>
        <w:trPr>
          <w:trHeight w:val="213"/>
        </w:trPr>
        <w:tc>
          <w:tcPr>
            <w:tcW w:w="9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26"/>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(79,760)</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(as defined)</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(14,810)</w:t>
            </w:r>
          </w:p>
        </w:tc>
      </w:tr>
      <w:tr>
        <w:trPr>
          <w:trHeight w:val="229"/>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49,770</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Impairment charges and asset write-offs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134,600</w:t>
            </w:r>
          </w:p>
        </w:tc>
      </w:tr>
      <w:tr>
        <w:trPr>
          <w:trHeight w:val="230"/>
        </w:trPr>
        <w:tc>
          <w:tcPr>
            <w:tcW w:w="91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Other non-cash expenses or losses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17,420</w:t>
            </w:r>
          </w:p>
        </w:tc>
      </w:tr>
      <w:tr>
        <w:trPr>
          <w:trHeight w:val="230"/>
        </w:trPr>
        <w:tc>
          <w:tcPr>
            <w:tcW w:w="91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r>
      <w:tr>
        <w:trPr>
          <w:trHeight w:val="229"/>
        </w:trPr>
        <w:tc>
          <w:tcPr>
            <w:tcW w:w="9140" w:type="dxa"/>
            <w:vAlign w:val="bottom"/>
          </w:tcPr>
          <w:p>
            <w:pPr>
              <w:ind w:left="220"/>
              <w:spacing w:after="0"/>
              <w:rPr>
                <w:sz w:val="20"/>
                <w:szCs w:val="20"/>
                <w:color w:val="auto"/>
              </w:rPr>
            </w:pPr>
            <w:r>
              <w:rPr>
                <w:rFonts w:ascii="Arial" w:cs="Arial" w:eastAsia="Arial" w:hAnsi="Arial"/>
                <w:sz w:val="18"/>
                <w:szCs w:val="18"/>
                <w:color w:val="auto"/>
              </w:rPr>
              <w:t>Extraordinary, non-recurring or unusual gains or losses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22,340</w:t>
            </w: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Effects of purchase accounting adjustments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230"/>
        </w:trPr>
        <w:tc>
          <w:tcPr>
            <w:tcW w:w="9140" w:type="dxa"/>
            <w:vAlign w:val="bottom"/>
          </w:tcPr>
          <w:p>
            <w:pPr>
              <w:ind w:left="220"/>
              <w:spacing w:after="0"/>
              <w:rPr>
                <w:sz w:val="20"/>
                <w:szCs w:val="20"/>
                <w:color w:val="auto"/>
              </w:rPr>
            </w:pPr>
            <w:r>
              <w:rPr>
                <w:rFonts w:ascii="Arial" w:cs="Arial" w:eastAsia="Arial" w:hAnsi="Arial"/>
                <w:sz w:val="18"/>
                <w:szCs w:val="18"/>
                <w:color w:val="auto"/>
              </w:rPr>
              <w:t>Business and asset dispositions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Permitted acquisitions</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r>
      <w:tr>
        <w:trPr>
          <w:trHeight w:val="223"/>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170,940</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Indebtedness, as defined</w:t>
            </w: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312,970</w:t>
            </w:r>
          </w:p>
        </w:tc>
        <w:tc>
          <w:tcPr>
            <w:tcW w:w="40" w:type="dxa"/>
            <w:vAlign w:val="bottom"/>
            <w:tcBorders>
              <w:top w:val="single" w:sz="8" w:color="auto"/>
              <w:right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Consolidated Bank EBITDA, as defined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170,940</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total net leverage ratio</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r>
      <w:tr>
        <w:trPr>
          <w:trHeight w:val="223"/>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1"/>
        </w:trPr>
        <w:tc>
          <w:tcPr>
            <w:tcW w:w="40" w:type="dxa"/>
            <w:vAlign w:val="bottom"/>
          </w:tcPr>
          <w:p>
            <w:pPr>
              <w:spacing w:after="0"/>
              <w:rPr>
                <w:sz w:val="24"/>
                <w:szCs w:val="24"/>
                <w:color w:val="auto"/>
              </w:rPr>
            </w:pPr>
          </w:p>
        </w:tc>
        <w:tc>
          <w:tcPr>
            <w:tcW w:w="8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6"/>
        </w:trPr>
        <w:tc>
          <w:tcPr>
            <w:tcW w:w="4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senior secured indebtedness</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170,940</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 w:type="dxa"/>
            <w:vAlign w:val="bottom"/>
            <w:tcBorders>
              <w:bottom w:val="single" w:sz="8" w:color="auto"/>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6"/>
        </w:trPr>
        <w:tc>
          <w:tcPr>
            <w:tcW w:w="40" w:type="dxa"/>
            <w:vAlign w:val="bottom"/>
            <w:tcBorders>
              <w:bottom w:val="single" w:sz="8" w:color="CCEEFF"/>
            </w:tcBorders>
          </w:tcPr>
          <w:p>
            <w:pPr>
              <w:spacing w:after="0"/>
              <w:rPr>
                <w:sz w:val="24"/>
                <w:szCs w:val="24"/>
                <w:color w:val="auto"/>
              </w:rPr>
            </w:pPr>
          </w:p>
        </w:tc>
        <w:tc>
          <w:tcPr>
            <w:tcW w:w="8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9"/>
              </w:rPr>
              <w:t>December 31, 2020</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as defined</w:t>
            </w:r>
          </w:p>
        </w:tc>
        <w:tc>
          <w:tcPr>
            <w:tcW w:w="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Bank stipulated adjustments: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 attributable to amortization of financing costs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8"/>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2"/>
        </w:trPr>
        <w:tc>
          <w:tcPr>
            <w:tcW w:w="40" w:type="dxa"/>
            <w:vAlign w:val="bottom"/>
            <w:tcBorders>
              <w:bottom w:val="single" w:sz="8" w:color="CCEEFF"/>
            </w:tcBorders>
          </w:tcPr>
          <w:p>
            <w:pPr>
              <w:spacing w:after="0"/>
              <w:rPr>
                <w:sz w:val="24"/>
                <w:szCs w:val="24"/>
                <w:color w:val="auto"/>
              </w:rPr>
            </w:pPr>
          </w:p>
        </w:tc>
        <w:tc>
          <w:tcPr>
            <w:tcW w:w="88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98"/>
              </w:rPr>
              <w:t>December 31, 2020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170,940</w:t>
            </w:r>
          </w:p>
        </w:tc>
        <w:tc>
          <w:tcPr>
            <w:tcW w:w="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r>
      <w:tr>
        <w:trPr>
          <w:trHeight w:val="223"/>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17"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Non-cash compensation expenses resulting from the grant of equity awards.</w:t>
      </w:r>
    </w:p>
    <w:p>
      <w:pPr>
        <w:spacing w:after="0" w:line="92" w:lineRule="exact"/>
        <w:rPr>
          <w:rFonts w:ascii="Arial" w:cs="Arial" w:eastAsia="Arial" w:hAnsi="Arial"/>
          <w:sz w:val="19"/>
          <w:szCs w:val="19"/>
          <w:color w:val="auto"/>
          <w:vertAlign w:val="superscript"/>
        </w:rPr>
      </w:pPr>
    </w:p>
    <w:p>
      <w:pPr>
        <w:ind w:left="400" w:hanging="392"/>
        <w:spacing w:after="0"/>
        <w:tabs>
          <w:tab w:leader="none" w:pos="40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Non-recurring costs and expenses relating to severance, relocation, restructuring and curtailment expenses.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terminated our $75.0 million accounts receivable facility, under which we had the ability to sell eligible accounts receivable to a third-party multi-seller receivables funding company.</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2020, we placed cash on deposit with a financial institution to be held as cash collateral for our outstanding letters of credit; therefore, as of December 31, 2020, we had no letters of credit issued against our revolving credit facility. At December 31, 2020, we had $50.5 million outstanding under our revolving credit facility and had $249.5 million potentially available. At December 31, 2019, we had no amounts outstanding under our revolving credit facility and had $283.9 million potentially available after giving effect to approximately $16.1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December 31, 2020 and December 31, 2019.</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as well as for discretionary spending such as any repurchases of our common stock. At the end of each quarter, we have historically used cash on hand from our domestic and certain foreign subsidiaries to pay down amounts outstanding under our revolving credit facility, as applicable.</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weighted average borrowings approximated $368.9 million during 2020, compared to $338.0 million during 2019, due to our March 2020 proactive $150 million draw on our revolving credit facility to ensure availability of cash on hand given the potential uncertainty surrounding the financial markets as a result of the COVID-19 pandemic, and as a result of an increase in December 2020 as part of funding the Affaba &amp; Ferrari acquisition. We repaid the $150 million during second quarter 2020.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considering the economic uncertainty surrounding the potential business impacts from the COVID-19 pandemic with respect to our operations, supply chains, distribution channels, and end-market customers, during 2020, we took certain defensive actions as we monitored our cash position and available liquidity. Those actions included suspending our repurchase of our common stock during second quarter 2020, borrowing on our revolving credit facility, tightening our capital expenditures, advanced monitoring of our accounts receivable balances and flexing cost structures of operations expected to be most impacted by COVID-19. Given strong cash generation and our current liquidity position, we relaxed certain of these actions in the third quarter of 2020, choosing to further invest in capital expenditures and resume purchasing shares of our common stock.</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cash on hand as of December 31, 2020 is located in jurisdictions outside the United States. We have aggregate available funding under our revolving credit facility of $249.5 million at December 31, 2020, which is not reduced by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 In addition, we may evaluate opportunities to refinance our Senior Notes and/or the Credit Agreement ahead of their maturity dates. There can be no assurance, however, that we will be able to refinance our Senior Notes or the Credit Agreement on more favorable terms.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variable interest rates on our revolving credit facility. At December 31, 2020, 1-Month LIBOR approximated 0.14%. Based on our variable rate-based borrowings outstanding at December 31, 2020, a 1% increase in the per annum interest rate would increase our interest expense by approximately $0.5 million annually.</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long-term debt, we have other cash commitments related to leases. We account for these lease transactions primarily as operating leases, and incurred expense from continuing operations related thereto of approximately $9.4 million in 2020.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we announced our Board of Directors had authorized us to increase the purchase of our common stock up to $250 million in the aggregate, an increase of $100 million from the previous authorization. During 2020, 2019 and 2018, we purchased 1,582,049, 1,230,050 and 442,632 shares of our outstanding common stock for approximately $39.4 million, $36.7 million and $12.1 million, respectively. Since the initial authorization through December 31, 2020, we have purchased 3,254,731 shares of our outstanding common stock for an aggregate purchase price of approximately $88.3 million. We will continue to evaluate opportunities to return capital to shareholders through the purchase of our common stock, depending on market conditions, including the potential impact of the COVID-19 pandemic, and other factors.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various agreements, we are obligated to make future cash payments in fixed amounts. These include payments under our long-term debt agreements, rent payments required under operating lease agreements, certain benefit obligations and interest obligations on our long-term debt. The following table summarizes our significant contractual cash obligations as of December 31, 2020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8"/>
                <w:szCs w:val="18"/>
                <w:b w:val="1"/>
                <w:bCs w:val="1"/>
                <w:color w:val="auto"/>
                <w:w w:val="88"/>
              </w:rPr>
              <w:t>Payments Due by Periods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4"/>
                <w:szCs w:val="14"/>
                <w:color w:val="auto"/>
              </w:rPr>
            </w:pPr>
          </w:p>
        </w:tc>
        <w:tc>
          <w:tcPr>
            <w:tcW w:w="11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Less than</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1 - 3 Years</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3 - 5 Years</w:t>
            </w:r>
          </w:p>
        </w:tc>
        <w:tc>
          <w:tcPr>
            <w:tcW w:w="140" w:type="dxa"/>
            <w:vAlign w:val="bottom"/>
          </w:tcPr>
          <w:p>
            <w:pPr>
              <w:spacing w:after="0"/>
              <w:rPr>
                <w:sz w:val="14"/>
                <w:szCs w:val="14"/>
                <w:color w:val="auto"/>
              </w:rPr>
            </w:pPr>
          </w:p>
        </w:tc>
        <w:tc>
          <w:tcPr>
            <w:tcW w:w="10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One Year</w:t>
            </w: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350,450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Benefit obligations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48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right="20" w:hanging="332"/>
        <w:spacing w:after="0" w:line="194" w:lineRule="auto"/>
        <w:tabs>
          <w:tab w:leader="none" w:pos="303"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Our Senior Notes bear interest at 4.875%. The future interest obligations calculation excludes the impact of our cross-currency swap agreements. See Note 14, "</w:t>
      </w:r>
      <w:r>
        <w:rPr>
          <w:rFonts w:ascii="Arial" w:cs="Arial" w:eastAsia="Arial" w:hAnsi="Arial"/>
          <w:sz w:val="14"/>
          <w:szCs w:val="14"/>
          <w:i w:val="1"/>
          <w:iCs w:val="1"/>
          <w:color w:val="auto"/>
        </w:rPr>
        <w:t>Derivative Instruments</w:t>
      </w:r>
      <w:r>
        <w:rPr>
          <w:rFonts w:ascii="Arial" w:cs="Arial" w:eastAsia="Arial" w:hAnsi="Arial"/>
          <w:sz w:val="14"/>
          <w:szCs w:val="14"/>
          <w:color w:val="auto"/>
        </w:rPr>
        <w:t>," included in Item 8, "</w:t>
      </w:r>
      <w:r>
        <w:rPr>
          <w:rFonts w:ascii="Arial" w:cs="Arial" w:eastAsia="Arial" w:hAnsi="Arial"/>
          <w:sz w:val="14"/>
          <w:szCs w:val="14"/>
          <w:i w:val="1"/>
          <w:iCs w:val="1"/>
          <w:color w:val="auto"/>
        </w:rPr>
        <w:t>Financial Statements and Supplementary Data</w:t>
      </w:r>
      <w:r>
        <w:rPr>
          <w:rFonts w:ascii="Arial" w:cs="Arial" w:eastAsia="Arial" w:hAnsi="Arial"/>
          <w:sz w:val="14"/>
          <w:szCs w:val="14"/>
          <w:color w:val="auto"/>
        </w:rPr>
        <w:t>," within this Form 10-K for additional information.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23, "</w:t>
      </w:r>
      <w:r>
        <w:rPr>
          <w:rFonts w:ascii="Arial" w:cs="Arial" w:eastAsia="Arial" w:hAnsi="Arial"/>
          <w:sz w:val="18"/>
          <w:szCs w:val="18"/>
          <w:i w:val="1"/>
          <w:iCs w:val="1"/>
          <w:color w:val="auto"/>
        </w:rPr>
        <w:t>Income Taxes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historically used derivative financial instruments to manage currency risks, as we seek to to mitigate the risk associated with fluctuations in currency rates impacting cash flows related to certain receivables, payables and intercompany transactions denominated in foreign currencies. We also use cross-currency swap agreements to mitigate currency risks associated with the net investment in certain of our foreign subsidiaries. See Note 14,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 for additional information.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14,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9"/>
          <w:szCs w:val="9"/>
          <w:color w:val="auto"/>
        </w:rPr>
        <w:t>SM</w:t>
      </w:r>
      <w:r>
        <w:rPr>
          <w:rFonts w:ascii="Arial" w:cs="Arial" w:eastAsia="Arial" w:hAnsi="Arial"/>
          <w:sz w:val="18"/>
          <w:szCs w:val="18"/>
          <w:color w:val="auto"/>
        </w:rPr>
        <w:t>. Our stock trades under the symbol "TRS."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12, 2020, Moody's affirmed a Ba3 rating to our Senior Notes, as presented in Note 13,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within this Form 10-K. Moody's also affirmed a Ba2 Corporate Family Rating and maintained its outlook as stable. On February 12, 2020,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the whole, 2020 was an unprecedented and particularly challenging year following the onset of the COVID-19 pandemic, which significantly affected each of our businesses and how we operate, albeit in different ways and magnitudes. We believe our financial results demonstrate our ability to effectively leverage our TriMas Business Model, working across our businesses with a high degree of connectivity to respond to changing market conditions. We capitalized on opportunities where market demand was high, while also taking swift actions where market demand was sharply reduced. In 2020, we experienced year-over-year overall growth in sales, driven by robust organic growth in our Packaging segment and from acquisitions, which were partially offset by significant sales decreases in our Aerospace and Specialty Products segments, where we took proactive realignment actions to mitigate the effects of lower demand from the pandemic as much as practical.</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Looking forward, we believe there will be a continued period of uncertainty related to demand levels for our products, whether it be when new aircraft builds will ramp-up that require our fasteners or engineered products, if industrial production will increase over the lower 2020 levels that may require our cylinder or closure products, and how long and at what rate the recent high demand will continue for our dispenser and closure product applications that help fight the spread of germs. We expect to continue to mitigate, as much as practical, the impact of lower volumes in the most challenged end markets, executing realignment actions as necessary so we are positioned to gain operating leverage when these end markets begin to recover. We believe we remain well positioned to capitalize on the recovery of the aerospace and industrial markets, as well as available market growth opportunities. We believe the availability and effectiveness of vaccines, as well as continued measures intended to control the spread of the virus, are among the most significant factors that could impact demand for our products.</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practically estimate the extent or amount of any such potential cash and non-cash charges.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present, we believe our capital structure is strong and that we have sufficient headroom under our financial covenants, and ample cash and available liquidity under our revolving credit facility, to meet our debt service, capital expenditure and other short-term and long-term obligations for the foreseeable future.</w:t>
      </w:r>
    </w:p>
    <w:p>
      <w:pPr>
        <w:spacing w:after="0" w:line="209"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and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accounting policies is intended to supplement the accounting policies presented in Note 3,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Certain of our accounting policies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Receivables. </w:t>
      </w:r>
      <w:r>
        <w:rPr>
          <w:rFonts w:ascii="Arial" w:cs="Arial" w:eastAsia="Arial" w:hAnsi="Arial"/>
          <w:sz w:val="18"/>
          <w:szCs w:val="18"/>
          <w:color w:val="auto"/>
        </w:rPr>
        <w:t>Receivables are presented net of allowances for doubtful accounts of approximately $2.1 million at December 31, 2020 and 2019.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additional information regarding risks associated with a concentrated customer base.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is computed principally using the straight-line method over the estimated useful lives of the assets.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Impairment of Long-Lived Assets and Definite-Lived Intangible Assets. </w:t>
      </w:r>
      <w:r>
        <w:rPr>
          <w:rFonts w:ascii="Arial" w:cs="Arial" w:eastAsia="Arial" w:hAnsi="Arial"/>
          <w:sz w:val="17"/>
          <w:szCs w:val="17"/>
          <w:color w:val="auto"/>
        </w:rPr>
        <w:t>We review, on at least a quarterly basis, the financial performance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Goodwill and Indefinite-Lived Intangibles. </w:t>
      </w:r>
      <w:r>
        <w:rPr>
          <w:rFonts w:ascii="Arial" w:cs="Arial" w:eastAsia="Arial" w:hAnsi="Arial"/>
          <w:sz w:val="18"/>
          <w:szCs w:val="18"/>
          <w:color w:val="auto"/>
        </w:rPr>
        <w:t>We assess goodwill and indefinite-lived intangible assets for impairment at the reporting unit level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as of October 1, by reviewing relevant qualitative and quantitative factors. More frequent evaluations may be required if we experience changes in our business climate or as a result of other triggering events that take place. An impairment loss is recognized when the carrying value of the asset exceeds its fair value.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2020 goodwill impairment test, we had six reporting units, three of which had goodwill, within our three reportable segments.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the 2020 annual impairment tests, based on the qualitative assessments, we determined there were no indications that the fair value of a reporting unit or indefinite-lived intangible asset was less than its carrying amount; therefore, we determined that quantitative assessments were not required.</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third quarter of 2020, as a result of a decline in our aerospace-related business' financial results, a significant reduction in financial projections for the remainder of 2020 compared with prior projections, and uncertainty around the duration and magnitude of the impact of the COVID-19 pandemic on future financial results given their dependence on future levels of air travel and new aircraft builds, we determined there was a triggering event requiring an interim quantitative goodwill impairment assessment of each of our two aerospace-related reporting units: Aerospace Fasteners and Aerospace Engineered Products. In conducting the quantitative analysis, we determined the estimated fair value of the Aerospace reporting units utilizing both income and market-based approaches. The income approach relies on the present value of estimated future cash flows of the business, discounted using a rate appropriately reflecting the risks inherent in the cash flows. The market approach relies on market data of other public companies that we deem comparable in operations to our reporting units. Upon completion of the goodwill impairment test, we determined that the carrying values of the Aerospace Fasteners and Aerospace Engineered Products reporting units exceeded their fair values, resulting goodwill impairment charges of approximately $70.8 million in its Aerospace Fasteners reporting unit and approximately $56.0 million in its Aerospace Engineered Products reporting unit. We note that a 1% change in the discount rate would have impacted the total goodwill impairment charge by approximately $20 million, while a 0.5% change in the terminal growth rate would have impacted the total goodwill impairment charge by approximately $5 million.</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because of the factors previously mentioned, we also performed a quantitative assessment for all of our indefinite-lived intangible assets included within the Aerospace segment, using a relief-from-royalty method. The relief-from-royalty method involves the estimation of appropriate market royalty rates for our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is compared to the carrying value of the assets. Upon completion of the quantitative impairment test, we determined that certain of our aerospace-related trade names had carrying values that exceeded their fair values, and therefore recorded impairment charges of approximately $7.8 million during 2020.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Pension Benefits. </w:t>
      </w:r>
      <w:r>
        <w:rPr>
          <w:rFonts w:ascii="Arial" w:cs="Arial" w:eastAsia="Arial" w:hAnsi="Arial"/>
          <w:sz w:val="16"/>
          <w:szCs w:val="16"/>
          <w:color w:val="auto"/>
        </w:rPr>
        <w:t>We engage independent actuaries to compute the amounts of liabilities and expenses under defined benefit pension plans,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compute income taxes using the asset and liability method, whereby deferred income taxes using current enacted tax rates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Asbestos-related Matters. </w:t>
      </w:r>
      <w:r>
        <w:rPr>
          <w:rFonts w:ascii="Arial" w:cs="Arial" w:eastAsia="Arial" w:hAnsi="Arial"/>
          <w:sz w:val="16"/>
          <w:szCs w:val="16"/>
          <w:color w:val="auto"/>
        </w:rPr>
        <w:t>We accrue loss reserves for asbestos-related matters based upon an estimate of the ultimate liability for claims incurred,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Other Loss Reserves. </w:t>
      </w:r>
      <w:r>
        <w:rPr>
          <w:rFonts w:ascii="Arial" w:cs="Arial" w:eastAsia="Arial" w:hAnsi="Arial"/>
          <w:sz w:val="17"/>
          <w:szCs w:val="17"/>
          <w:color w:val="auto"/>
        </w:rPr>
        <w:t>We have other loss exposures related to insurance, litigation and environmental claims. Establishing loss reserves for these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between $0.3 million and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be subject to interest risk as it relates to long-term debt, for which we have historically and may prospectively employ derivative instruments such as interest rate swaps to mitigate the risk of variable interest rates.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for details about our primary market risks, and the objectives and strategies used to manage these risks. Also see Note 13, "</w:t>
      </w:r>
      <w:r>
        <w:rPr>
          <w:rFonts w:ascii="Arial" w:cs="Arial" w:eastAsia="Arial" w:hAnsi="Arial"/>
          <w:sz w:val="18"/>
          <w:szCs w:val="18"/>
          <w:i w:val="1"/>
          <w:iCs w:val="1"/>
          <w:color w:val="auto"/>
        </w:rPr>
        <w:t>Long-term Debt,</w:t>
      </w:r>
      <w:r>
        <w:rPr>
          <w:rFonts w:ascii="Arial" w:cs="Arial" w:eastAsia="Arial" w:hAnsi="Arial"/>
          <w:sz w:val="18"/>
          <w:szCs w:val="18"/>
          <w:color w:val="auto"/>
        </w:rPr>
        <w:t>" and Note 14,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ind w:right="506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TriMas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TriMas Corporation and subsidiaries (the "Company") as of December 31, 2020 and 2019, the related consolidated statements of operations, comprehensive income, cash flows, and shareholders’ equity,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2021, expressed an unqualified opinion on the Company's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Refer to Notes 3 and 17 to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The Company believes this change is preferable, and this accounting change has been reflected as a change in accounting estimate effected by a change in accounting principle. 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During the second quarter 2020, the Company recorded a $23.4 million charge to increase the liability estimate to the $31.5 million noted as the low end of the range. As of December 31, 2020, the Company’s total asbestos-related liability is $28.7 million and is included in accrued liabilities and other long-term liabilities, respectively,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identified the initial gross asbestos liability recorded as a result of the change in accounting estimate as a critical audit matter because estimating projected indemnity and defense costs of pending and future asbestos-related claims involves significant estimation by management due to variables that are difficult to predict and the range of possible outcomes. This required a high degree of auditor judgment and an increased extent of effort, including the need to involve our actuarial specialists, when performing audit procedures to evaluate whether the asbestos related reserves were appropriately recorded as of December 31,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asbestos-related reserves included the following, among others: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effectiveness of controls over the valuation of the liability, including controls over the inputs to the model (claims data sets, indemnity settlement payments and legal payments), and over the accounting and disclosures related to the change in accounting policy resulting in a change in estimate. This included inquires with management and inspection of documentation related to the change in accounting policy for asbestos and whether it is preferable and properly accounted for prospectively as a change in accounting estimate.</w:t>
      </w:r>
    </w:p>
    <w:p>
      <w:pPr>
        <w:spacing w:after="0" w:line="145"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the assistance of our actuarial specialists that have experience in the area of asbestos-related reserves, we assessed the reasonableness of the valuation methodology, significant assumptions, and the range of probable outcomes estimated by management. Additionally, the specialists developed a range of independent estimates and compared those to management’s estimate.</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assessed the qualifications, experience, and objectivity of management’s third-party actuary.</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actuarial analysis, including claims data sets, indemnity settlement payments, and legal payments, to test the inputs to the actuarial estimate for completeness and accuracy.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Aerospace Reporting Units - Refer to Notes 3 and 9 to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assesses goodwill for impairment on an annual basis as of October 1, and more frequently if there are changes in the business climate or as a result of a triggering event taking place. The Company’s evaluation of goodwill for impairment involved the comparison of the fair value of each reporting unit to its carrying value.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Company concludes that conducting a quantitative assessment is required, it determines the fair value of its reporting units utilizing a discounted cash flow (income approach) and a market comparable method (market approach). The determination of the fair value using the income approach requires management to make significant estimates and assumptions, which include forward-looking projections and discount rates. The determination of the fair value using the market approach requires management to make significant estimates and assumptions, which include multiples of potentially comparable companies that are applied to management’s financial projections.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goodwill impairment assessment for its Aerospace Fasteners and Aerospace Engineered Products reporting units. The Company determined that the carrying values of the Aerospace Fasteners and Aerospace Engineered Products reporting units exceeded their fair values, resulting in goodwill impairment charges of $70.8 million and $56.0 million, respectively. The total Company goodwill balance was $304.0 million as of December 31, 2020, of which the Aerospace Fasteners reporting unit has $62.9 million, while the Aerospace Engineered Products reporting unit had no remaining goodwill.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Given the nature of the Aerospace Fasteners and Aerospace Engineered Products operations, sensitivity of the reporting unit’s business to changes in the economy, the reporting unit’s historical performance as compared to financial projections, and the difference between its fair value and the carrying value, auditing management’s judgments regarding financial projections, as well as selection of the discount rate and selection of multiples applied to management’s financial projections for the Aerospace Fasteners and Aerospace Engineered Products reporting units,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audit procedures related to the financial projections, the selection of the discount rate, and the selection of multiples applied to management’s historical financial results and financial projections (“market multiples”) for the Aerospace Fasteners and Aerospace Engineered Products reporting units included the following, among others:</w:t>
      </w:r>
    </w:p>
    <w:p>
      <w:pPr>
        <w:spacing w:after="0" w:line="141"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the determination of fair value, such as controls related to management’s financial projections and the selection of the discount rate and market multiples used.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evaluated management’s ability to accurately project by comparing actual financial results to management’s historical financial projections.</w:t>
      </w:r>
    </w:p>
    <w:p>
      <w:pPr>
        <w:spacing w:after="0" w:line="207" w:lineRule="exact"/>
        <w:rPr>
          <w:rFonts w:ascii="Arial" w:cs="Arial" w:eastAsia="Arial" w:hAnsi="Arial"/>
          <w:sz w:val="16"/>
          <w:szCs w:val="16"/>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the reasonableness of management’s financial projections by comparing the financial projections to historical financial results and projected information included in industry reports for the various industries the reporting units operate within.</w:t>
      </w:r>
    </w:p>
    <w:p>
      <w:pPr>
        <w:spacing w:after="0" w:line="130"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discount rate, including testing the underlying source information and the mathematical accuracy of the calculations, and developing a range of independent estimates and comparing those to the discount rate selected by management.</w:t>
      </w:r>
    </w:p>
    <w:p>
      <w:pPr>
        <w:spacing w:after="0" w:line="141" w:lineRule="exact"/>
        <w:rPr>
          <w:rFonts w:ascii="Arial" w:cs="Arial" w:eastAsia="Arial" w:hAnsi="Arial"/>
          <w:sz w:val="18"/>
          <w:szCs w:val="18"/>
          <w:color w:val="auto"/>
        </w:rPr>
      </w:pPr>
    </w:p>
    <w:p>
      <w:pPr>
        <w:jc w:val="both"/>
        <w:ind w:left="660" w:hanging="328"/>
        <w:spacing w:after="0" w:line="294"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market multiples by evaluating the selected potentially comparable publicly traded companies and the adjustments made for differences in growth prospects and risk profiles between the reporting units and the potentially comparable publicly traded companies. We tested the underlying source information and mathematical accuracy of the calculations.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108,860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434,040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253,060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214,330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303,970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334,640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58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119,790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495,220</w:t>
            </w: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3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Issued and outstanding: None</w:t>
            </w: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Issued and outstanding: 43,178,165 shares at December 31, 2020 and 44,562,679 shares at December 31,</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749,050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782,880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697,480</w:t>
            </w:r>
          </w:p>
        </w:tc>
        <w:tc>
          <w:tcPr>
            <w:tcW w:w="0" w:type="dxa"/>
            <w:vAlign w:val="bottom"/>
          </w:tcPr>
          <w:p>
            <w:pPr>
              <w:spacing w:after="0"/>
              <w:rPr>
                <w:sz w:val="1"/>
                <w:szCs w:val="1"/>
                <w:color w:val="auto"/>
              </w:rPr>
            </w:pPr>
          </w:p>
        </w:tc>
      </w:tr>
      <w:tr>
        <w:trPr>
          <w:trHeight w:val="223"/>
        </w:trPr>
        <w:tc>
          <w:tcPr>
            <w:tcW w:w="80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705,030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(91,210)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dispositions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Impairment of goodwill and indefinite-lived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profit (loss)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108,810</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92,360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73,710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income taxes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earnings (loss)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 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45,303,659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45,824,555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 -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43,581,232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45,595,154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46,170,464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w:t>
            </w: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(6,880)</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14)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(79,760)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98,620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83,300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(79,760)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61,940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73,710</w:t>
            </w: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7"/>
              </w:rPr>
              <w:t>Adjustments to reconcile income from continuing operations to net cash provided by operating activities, net of</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acquisition impact: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Impairment of goodwill and indefinite-lived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dispositions of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6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0" w:type="dxa"/>
            <w:vAlign w:val="bottom"/>
          </w:tcPr>
          <w:p>
            <w:pPr>
              <w:spacing w:after="0"/>
              <w:rPr>
                <w:sz w:val="1"/>
                <w:szCs w:val="1"/>
                <w:color w:val="auto"/>
              </w:rPr>
            </w:pPr>
          </w:p>
        </w:tc>
      </w:tr>
      <w:tr>
        <w:trPr>
          <w:trHeight w:val="229"/>
        </w:trPr>
        <w:tc>
          <w:tcPr>
            <w:tcW w:w="7600" w:type="dxa"/>
            <w:vAlign w:val="bottom"/>
          </w:tcPr>
          <w:p>
            <w:pPr>
              <w:ind w:left="200"/>
              <w:spacing w:after="0"/>
              <w:rPr>
                <w:sz w:val="20"/>
                <w:szCs w:val="20"/>
                <w:color w:val="auto"/>
              </w:rPr>
            </w:pPr>
            <w:r>
              <w:rPr>
                <w:rFonts w:ascii="Arial" w:cs="Arial" w:eastAsia="Arial" w:hAnsi="Arial"/>
                <w:sz w:val="16"/>
                <w:szCs w:val="16"/>
                <w:color w:val="auto"/>
              </w:rPr>
              <w:t>Amortization of debt issue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Non-cash compensation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change in legacy liability estimate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(Increase) decrease in receivables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(Increase) decrease in 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29"/>
        </w:trPr>
        <w:tc>
          <w:tcPr>
            <w:tcW w:w="7600" w:type="dxa"/>
            <w:vAlign w:val="bottom"/>
          </w:tcPr>
          <w:p>
            <w:pPr>
              <w:ind w:left="200"/>
              <w:spacing w:after="0"/>
              <w:rPr>
                <w:sz w:val="20"/>
                <w:szCs w:val="20"/>
                <w:color w:val="auto"/>
              </w:rPr>
            </w:pPr>
            <w:r>
              <w:rPr>
                <w:rFonts w:ascii="Arial" w:cs="Arial" w:eastAsia="Arial" w:hAnsi="Arial"/>
                <w:sz w:val="16"/>
                <w:szCs w:val="16"/>
                <w:color w:val="auto"/>
              </w:rPr>
              <w:t>(Increase) decrease in prepaid expenses and 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Increase (decrease) in accounts payable and accrued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operating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110,780</w:t>
            </w:r>
          </w:p>
        </w:tc>
        <w:tc>
          <w:tcPr>
            <w:tcW w:w="0" w:type="dxa"/>
            <w:vAlign w:val="bottom"/>
          </w:tcPr>
          <w:p>
            <w:pPr>
              <w:spacing w:after="0"/>
              <w:rPr>
                <w:sz w:val="1"/>
                <w:szCs w:val="1"/>
                <w:color w:val="auto"/>
              </w:rPr>
            </w:pPr>
          </w:p>
        </w:tc>
      </w:tr>
      <w:tr>
        <w:trPr>
          <w:trHeight w:val="229"/>
        </w:trPr>
        <w:tc>
          <w:tcPr>
            <w:tcW w:w="7600" w:type="dxa"/>
            <w:vAlign w:val="bottom"/>
          </w:tcPr>
          <w:p>
            <w:pPr>
              <w:ind w:left="46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129,320</w:t>
            </w:r>
          </w:p>
        </w:tc>
        <w:tc>
          <w:tcPr>
            <w:tcW w:w="0" w:type="dxa"/>
            <w:vAlign w:val="bottom"/>
          </w:tcPr>
          <w:p>
            <w:pPr>
              <w:spacing w:after="0"/>
              <w:rPr>
                <w:sz w:val="1"/>
                <w:szCs w:val="1"/>
                <w:color w:val="auto"/>
              </w:rPr>
            </w:pPr>
          </w:p>
        </w:tc>
      </w:tr>
      <w:tr>
        <w:trPr>
          <w:trHeight w:val="193"/>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proceeds from dispositions of businesses,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600" w:type="dxa"/>
            <w:vAlign w:val="bottom"/>
          </w:tcPr>
          <w:p>
            <w:pPr>
              <w:ind w:left="46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 of discontinued operations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(232,070)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Proceeds from borrowings on revolving credit facilities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borrowings on revolving credit facilities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w:t>
            </w:r>
          </w:p>
        </w:tc>
        <w:tc>
          <w:tcPr>
            <w:tcW w:w="0" w:type="dxa"/>
            <w:vAlign w:val="bottom"/>
          </w:tcPr>
          <w:p>
            <w:pPr>
              <w:spacing w:after="0"/>
              <w:rPr>
                <w:sz w:val="1"/>
                <w:szCs w:val="1"/>
                <w:color w:val="auto"/>
              </w:rPr>
            </w:pPr>
          </w:p>
        </w:tc>
      </w:tr>
      <w:tr>
        <w:trPr>
          <w:trHeight w:val="229"/>
        </w:trPr>
        <w:tc>
          <w:tcPr>
            <w:tcW w:w="7600" w:type="dxa"/>
            <w:vAlign w:val="bottom"/>
          </w:tcPr>
          <w:p>
            <w:pPr>
              <w:ind w:left="200"/>
              <w:spacing w:after="0"/>
              <w:rPr>
                <w:sz w:val="20"/>
                <w:szCs w:val="20"/>
                <w:color w:val="auto"/>
              </w:rPr>
            </w:pPr>
            <w:r>
              <w:rPr>
                <w:rFonts w:ascii="Arial" w:cs="Arial" w:eastAsia="Arial" w:hAnsi="Arial"/>
                <w:sz w:val="16"/>
                <w:szCs w:val="16"/>
                <w:color w:val="auto"/>
              </w:rPr>
              <w:t>Payments to purchase common stock</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color w:val="auto"/>
              </w:rPr>
              <w:t>Other financing activities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financing activities of continuing operations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0" w:type="dxa"/>
            <w:vAlign w:val="bottom"/>
          </w:tcPr>
          <w:p>
            <w:pPr>
              <w:spacing w:after="0"/>
              <w:rPr>
                <w:sz w:val="1"/>
                <w:szCs w:val="1"/>
                <w:color w:val="auto"/>
              </w:rPr>
            </w:pPr>
          </w:p>
        </w:tc>
      </w:tr>
      <w:tr>
        <w:trPr>
          <w:trHeight w:val="230"/>
        </w:trPr>
        <w:tc>
          <w:tcPr>
            <w:tcW w:w="7600" w:type="dxa"/>
            <w:vAlign w:val="bottom"/>
          </w:tcPr>
          <w:p>
            <w:pPr>
              <w:ind w:left="460"/>
              <w:spacing w:after="0"/>
              <w:rPr>
                <w:sz w:val="20"/>
                <w:szCs w:val="20"/>
                <w:color w:val="auto"/>
              </w:rPr>
            </w:pPr>
            <w:r>
              <w:rPr>
                <w:rFonts w:ascii="Arial" w:cs="Arial" w:eastAsia="Arial" w:hAnsi="Arial"/>
                <w:sz w:val="16"/>
                <w:szCs w:val="16"/>
                <w:color w:val="auto"/>
              </w:rPr>
              <w:t>Net cash provided by financing activities of discontinued operations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0" w:type="dxa"/>
            <w:vAlign w:val="bottom"/>
          </w:tcPr>
          <w:p>
            <w:pPr>
              <w:spacing w:after="0"/>
              <w:rPr>
                <w:sz w:val="1"/>
                <w:szCs w:val="1"/>
                <w:color w:val="auto"/>
              </w:rPr>
            </w:pPr>
          </w:p>
        </w:tc>
      </w:tr>
      <w:tr>
        <w:trPr>
          <w:trHeight w:val="193"/>
        </w:trPr>
        <w:tc>
          <w:tcPr>
            <w:tcW w:w="760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Increase (decrease) for the year</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At beginning of year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At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tcPr>
          <w:p>
            <w:pPr>
              <w:ind w:left="460"/>
              <w:spacing w:after="0"/>
              <w:rPr>
                <w:sz w:val="20"/>
                <w:szCs w:val="20"/>
                <w:color w:val="auto"/>
              </w:rPr>
            </w:pPr>
            <w:r>
              <w:rPr>
                <w:rFonts w:ascii="Arial" w:cs="Arial" w:eastAsia="Arial" w:hAnsi="Arial"/>
                <w:sz w:val="16"/>
                <w:szCs w:val="16"/>
                <w:color w:val="auto"/>
              </w:rPr>
              <w:t>Cash paid for income taxes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44,020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40" w:type="dxa"/>
            <w:vAlign w:val="bottom"/>
          </w:tcPr>
          <w:p>
            <w:pPr>
              <w:spacing w:after="0"/>
              <w:rPr>
                <w:sz w:val="14"/>
                <w:szCs w:val="14"/>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544,020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83,300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surrendered upon exercise and vesting of equity</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620,450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98,620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(36,740)</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surrendered upon exercise and vesting of equity</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accounting standards adoption</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782,880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697,480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76" w:lineRule="exact"/>
              <w:rPr>
                <w:sz w:val="20"/>
                <w:szCs w:val="20"/>
                <w:color w:val="auto"/>
              </w:rPr>
            </w:pPr>
            <w:r>
              <w:rPr>
                <w:rFonts w:ascii="Arial" w:cs="Arial" w:eastAsia="Arial" w:hAnsi="Arial"/>
                <w:sz w:val="18"/>
                <w:szCs w:val="18"/>
                <w:color w:val="auto"/>
              </w:rPr>
              <w:t>Shares surrendered upon exercise and vesting of equity</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has been reflected as a change in accounting estimate effected by a change in accounting principle. See Note 17,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further information on this change.</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2020, TriMas began reporting its machined components operations, located in Stanton, California and Tolleson, Arizona, as part of its Aerospace segment. The operations were previously reported in the Specialty Products segment. The move of these operations into TriMas Aerospace facilitates achieving anticipated synergies from the February 2020 RSA Engineered Products ("RSA") acquisition, allowing the Company to better leverage the machining competencies and resources across its aerospace businesses. See Note 22,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fourth quarter of 2019, the Company completed the sale of its Lamons division (“Lamons”), a transaction entered into with an investment fund sponsored by First Reserve. Lamons was sold for approximately $136.8 million in cash, of which approximately $135.0 million was received in 2019 and the remaining $1.8 million was received in the first quarter of 2020. The financial results of Lamons were previously reported within the Company's Specialty Products segment, and are presented as discontinued operations for all periods presented in the financial statements attached hereto. See Note 5, "Discontinued Operations," for further information on the sale of Lamons and its historical financial results.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also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a new strain of the coronavirus (“COVID-19”). While the full impact of COVID-19 on the Company's operations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with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ASU 2019-12 is effective for fiscal years, and interim periods within those years, beginning after December 15, 2020, with early adoption permitted. The Company is in the process of assessing the impact of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2018-14, "Compensation - Retirement Benefits - Defined Benefit Plans - General (Subtopic 715-20)" ("ASU 2018-14"), which modifies the disclosure requirements for employers who sponsor defined benefit pension or other postretirement plans. The Company adopted ASU 2018-14 in the fourth quarter of 2020. The standard relates to financial statement disclosure only and did not have an impact on the Company’s consolidated balance sheet, statement of operations or cash flows. See Note 18,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disclosure of the Company's defined benefit plans.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Instead, under ASU 2017-04, the goodwill impairment is the amount by which a reporting unit's carrying value exceeds its fair value; however, the loss recognized should not exceed the total amount of goodwill allocated to the reporting unit. The Company adopted ASU 2017-04 in the first quarter of 2020.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further information on the Company's policies regarding assessing potential goodwill impairments.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48"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i w:val="1"/>
          <w:iCs w:val="1"/>
          <w:color w:val="auto"/>
        </w:rPr>
        <w:t>Principles of Consolidation.</w:t>
      </w:r>
      <w:r>
        <w:rPr>
          <w:sz w:val="20"/>
          <w:szCs w:val="20"/>
          <w:color w:val="auto"/>
        </w:rPr>
        <w:tab/>
      </w:r>
      <w:r>
        <w:rPr>
          <w:rFonts w:ascii="Arial" w:cs="Arial" w:eastAsia="Arial" w:hAnsi="Arial"/>
          <w:sz w:val="16"/>
          <w:szCs w:val="16"/>
          <w:color w:val="auto"/>
        </w:rPr>
        <w:t>The accompanying consolidated financial statements include the accounts and transactions of TriMas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reserves for asbestos and ordinary course litigation, assets and obligations related to employee benefits and estimated unrecognized tax benefits. Actual results may differ from such estimates and assumptions.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cash on hand and on deposit and investments in all highly liquid debt instruments with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and cash equivalents. Cash and cash equivalents also includes restricted cash held on deposit with a financial institution as cash collateral for the Company's outstanding letters of credit. See Note 8,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for further details regarding the Company's cash and cash equivalents.</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Receivables. </w:t>
      </w:r>
      <w:r>
        <w:rPr>
          <w:rFonts w:ascii="Arial" w:cs="Arial" w:eastAsia="Arial" w:hAnsi="Arial"/>
          <w:sz w:val="16"/>
          <w:szCs w:val="16"/>
          <w:color w:val="auto"/>
        </w:rPr>
        <w:t>Receivables are presented net of allowances for doubtful accounts of approximately $2.1 million at each of December 31,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with cost determined using the first-in, first-out method. Direct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labor and allocations of variable and fixed manufacturing-related overhead are included in inventory cost.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additions, including significant improvements, are recorded at cost. Upon retirement or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 cost and accumulated depreciation are removed from the accounts, and any gain or loss is included in the accompanying statement of operations. Repair and maintenance costs are charged to expense as incurred.</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is computed principally using the straight-line method over the estimated useful lives of the assets.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Impairment of Long-Lived Assets and Definite-Lived Intangible Assets. </w:t>
      </w:r>
      <w:r>
        <w:rPr>
          <w:rFonts w:ascii="Arial" w:cs="Arial" w:eastAsia="Arial" w:hAnsi="Arial"/>
          <w:sz w:val="16"/>
          <w:szCs w:val="16"/>
          <w:color w:val="auto"/>
        </w:rPr>
        <w:t>The Company reviews, on at least a quarterly basis, the financial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The Company assesses goodwill for impairment on an annual basis (October 1 test date) by reviewing relevant qualitative and quantitative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More frequent evaluations may be required if the Company experiences changes in its business climate or as a result of other triggering events that take place. An impairment loss is recognized when the carrying value of a reporting unit's goodwill exceeds its fair value.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its reporting units at the individual operating segment level, or one level below, when there is discrete financial information available that is regularly reviewed by segment management to evaluate operating results. For purposes of the Company's 2020 goodwill impairment test, the Company had six reporting units, three of which had goodwill, within its three reportable segments.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begins its goodwill reviews by conducting a qualitative assessment, considering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Each of these factors is considered by management in reaching its conclusion about whether a quantitative goodwill impairment test is necessary to estimate the fair value of its reporting units.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Company concludes that conducting a quantitative assessment is required, it performs a quantitative goodwill impairment test. When conducting a quantitative goodwill impairment test, the Company determines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on a discounted basis,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financial projections of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quantitative test, if it is determined that the carrying value of the reporting unit is higher than its fair value, goodwill is impaired and is written down to the fair value amount; however, the loss recognized will not exceed the total amount of goodwill allocated to the reporting unit.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regarding the Company's goodwill impairment testing.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Indefinite-Lived Intangibles. </w:t>
      </w:r>
      <w:r>
        <w:rPr>
          <w:rFonts w:ascii="Arial" w:cs="Arial" w:eastAsia="Arial" w:hAnsi="Arial"/>
          <w:sz w:val="18"/>
          <w:szCs w:val="18"/>
          <w:color w:val="auto"/>
        </w:rPr>
        <w:t>The Company assesses indefinite-lived intangible assets (primarily trademark/trade names) for impairment on an annual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An impairment loss is recognized when the carrying value of the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9,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for further details regarding the Company's indefinite-lived intangible asset impairment testing.</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High Deductible Insurance. </w:t>
      </w:r>
      <w:r>
        <w:rPr>
          <w:rFonts w:ascii="Arial" w:cs="Arial" w:eastAsia="Arial" w:hAnsi="Arial"/>
          <w:sz w:val="17"/>
          <w:szCs w:val="17"/>
          <w:color w:val="auto"/>
        </w:rPr>
        <w:t>The Company generally has high deductible insurance programs for losses and liabilities related to workers'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welfare claims and comprehensive general, product and vehicle liability. The Company is generally responsible for up to $0.8 million per occurrence under its retention program for workers' compensation, between $0.3 million and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Pension Plans. </w:t>
      </w:r>
      <w:r>
        <w:rPr>
          <w:rFonts w:ascii="Arial" w:cs="Arial" w:eastAsia="Arial" w:hAnsi="Arial"/>
          <w:sz w:val="17"/>
          <w:szCs w:val="17"/>
          <w:color w:val="auto"/>
        </w:rPr>
        <w:t>The Company engages independent actuaries to compute the amounts of liabilities and expenses under defined benefit pension plans,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 See Note 18, “</w:t>
      </w:r>
      <w:r>
        <w:rPr>
          <w:rFonts w:ascii="Arial" w:cs="Arial" w:eastAsia="Arial" w:hAnsi="Arial"/>
          <w:sz w:val="17"/>
          <w:szCs w:val="17"/>
          <w:i w:val="1"/>
          <w:iCs w:val="1"/>
          <w:color w:val="auto"/>
        </w:rPr>
        <w:t>Employee Benefit Plans</w:t>
      </w:r>
      <w:r>
        <w:rPr>
          <w:rFonts w:ascii="Arial" w:cs="Arial" w:eastAsia="Arial" w:hAnsi="Arial"/>
          <w:sz w:val="17"/>
          <w:szCs w:val="17"/>
          <w:color w:val="auto"/>
        </w:rPr>
        <w:t>,” for further information.</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Asbestos-related Matters. </w:t>
      </w:r>
      <w:r>
        <w:rPr>
          <w:rFonts w:ascii="Arial" w:cs="Arial" w:eastAsia="Arial" w:hAnsi="Arial"/>
          <w:sz w:val="17"/>
          <w:szCs w:val="17"/>
          <w:color w:val="auto"/>
        </w:rPr>
        <w:t>The Company accrues loss reserves for asbestos-related matters based upon an estimate of the ultimate liability for claims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whether reported or not, including an estimate of future settlement costs and costs to defend. The Company utilizes known facts and historical trends for Company-specific and general market asbestos-related activity, as well as an actuarial valuation in determining estimated required reserves which it believes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 See Note 17,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 is recognized when control of promised goods is transferred to customers, which generally occurs when products are</w:t>
      </w:r>
      <w:r>
        <w:rPr>
          <w:rFonts w:ascii="Arial" w:cs="Arial" w:eastAsia="Arial" w:hAnsi="Arial"/>
          <w:sz w:val="17"/>
          <w:szCs w:val="17"/>
          <w:i w:val="1"/>
          <w:iCs w:val="1"/>
          <w:color w:val="auto"/>
        </w:rPr>
        <w:t xml:space="preserve"> </w:t>
      </w:r>
      <w:r>
        <w:rPr>
          <w:rFonts w:ascii="Arial" w:cs="Arial" w:eastAsia="Arial" w:hAnsi="Arial"/>
          <w:sz w:val="17"/>
          <w:szCs w:val="17"/>
          <w:color w:val="auto"/>
        </w:rPr>
        <w:t>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worthiness.</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material, labor and overhead costs incurred in the manufacture of products sold in the period. Material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the following: costs related to the advertising, sale,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 computes income taxes using the asset and liability method, whereby deferred income taxes using current enacted tax rates</w:t>
      </w:r>
      <w:r>
        <w:rPr>
          <w:rFonts w:ascii="Arial" w:cs="Arial" w:eastAsia="Arial" w:hAnsi="Arial"/>
          <w:sz w:val="18"/>
          <w:szCs w:val="18"/>
          <w:i w:val="1"/>
          <w:iCs w:val="1"/>
          <w:color w:val="auto"/>
        </w:rPr>
        <w:t xml:space="preserve"> </w:t>
      </w:r>
      <w:r>
        <w:rPr>
          <w:rFonts w:ascii="Arial" w:cs="Arial" w:eastAsia="Arial" w:hAnsi="Arial"/>
          <w:sz w:val="18"/>
          <w:szCs w:val="18"/>
          <w:color w:val="auto"/>
        </w:rPr>
        <w:t>are 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 See Note 23,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The financial statements of subsidiaries located outside of the United States are measured using the currency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Net foreign currency transaction gains were approximately $0.6 million, $0.3 million and $1.0 million for the years ended December 31, 2020, 2019 and 2018, respectively, and are included in other expense, net in the accompanying consolidated statement of operations.</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 records derivative financial instruments at fair value on the balance sheet as either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its derivative transactions and the underlying hedged items, as well as its risk management objectives and strategies for undertaking the hedge transactions. See Note 14,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In accounting for and disclosing the fair value of financial instruments, the Company uses the following hierarchy:</w:t>
      </w:r>
    </w:p>
    <w:p>
      <w:pPr>
        <w:spacing w:after="0" w:line="167" w:lineRule="exact"/>
        <w:rPr>
          <w:sz w:val="20"/>
          <w:szCs w:val="20"/>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Company has the ability to access at the measurement date;</w:t>
      </w:r>
    </w:p>
    <w:p>
      <w:pPr>
        <w:spacing w:after="0" w:line="10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Valuation of the Company's interest rate swaps and cross-currency swaps are based on the income approach, which uses observable inputs such as interest rate yield curves and forward currency exchange rates, as applicable.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financial instruments reported in the balance sheet for current assets and current liabilities approximates fair value due to the short maturity of these instruments.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records assets acquired and liabilities assumed from acquisitions at fair value. The fair value of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The Company recognizes compensation expense related to equity awards based on their fair values as of the grant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awards with only a service condition, expense is recognized ratably over the vesting period. Performance 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 See Note 19, “</w:t>
      </w:r>
      <w:r>
        <w:rPr>
          <w:rFonts w:ascii="Arial" w:cs="Arial" w:eastAsia="Arial" w:hAnsi="Arial"/>
          <w:sz w:val="17"/>
          <w:szCs w:val="17"/>
          <w:i w:val="1"/>
          <w:iCs w:val="1"/>
          <w:color w:val="auto"/>
        </w:rPr>
        <w:t>Equity Awards</w:t>
      </w:r>
      <w:r>
        <w:rPr>
          <w:rFonts w:ascii="Arial" w:cs="Arial" w:eastAsia="Arial" w:hAnsi="Arial"/>
          <w:sz w:val="17"/>
          <w:szCs w:val="17"/>
          <w:color w:val="auto"/>
        </w:rPr>
        <w:t>,” for further information.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The Company refers to other comprehensive income (loss) as revenues, expenses, gains and losses that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15, 2020, the Company acquired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by mid-2021. The fair value of assets acquired and liabilities assumed included approximately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approximately $34 million in annual revenue.</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17, 2020, the Company acquired the Rapak® brand, including certain bag-in-box product lines and assets ("Rapak") for an aggregate amount of approximately $11.4 million. Rapak, which is reported in the Company's Packaging segment, has manufacturing locations in Indiana, California and Illinois, and historically generated approximately $30 million in annual revenue.</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("RSA"), a manufacturer of complex, highly-engineered and proprietary ducting, connectors and related products for air management systems used in aerospace and defense applications, for an aggregate amount of approximately $83.7 million, net of cash acquired. The fair value of assets acquired and liabilities assumed included approximately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household, and food and beverage packaging end markets, for an aggregate amount of approximately $44.7 million, net of cash acquired. With manufacturing locations in both Italy and Slovakia, Taplast serves end markets in Europe and North America and historically generated approximately $32 million in annual revenue. Taplast is reported in the Company's Packaging segment.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products, for an aggregate amount of approximately $22.4 million, net of cash acquired. Located in Italy, Plastic Srl serves the home care market throughout Italy and other European countries and historically generated approximately $12 million in annual revenue. Plastic Srl is reported in the Company's Packaging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December 20, 2019, the Company completed the sale of Lamons to two wholly-owned subsidiaries of an investment fund sponsored by First Reserve, pursuant to an Asset and Stock Purchase Agreement dated as of November 1, 2019 (the “Purchase Agreement”), for a purchase price of $136.8 million.</w:t>
      </w:r>
    </w:p>
    <w:p>
      <w:pPr>
        <w:spacing w:after="0" w:line="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net cash proceeds of approximately $112.7 million, which represented the purchase price, less estimated tax payments of approximately $20.9 million, transaction costs of approximately $3.2 million. The Company recorded a pre-tax gain on sale of approximately $38.9 million, which includes the recognition of previously deferred non-cash foreign currency translation losses of approximately $12.4 million.</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determined that Lamons met the criteria to be classified as a discontinued operation. As a result, the historical results for Lamons are reported in the accompanying consolidated statement of operations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(128,100)</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(30,590)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dispositions of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Realignment Actions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2020, the Company executed certain realignment actions, primarily in its Aerospace and Specialty Products segments, in response to reductions in current and expected future end-market demand. The Company recorded non-cash charges of approximately $13.8 million related to inventory reductions, primarily as a result of a strategic decision in its Arrow Engine division to narrow its product line focus. The Company also recorded non-cash charges of approximately $2.3 million related to certain production equipment removed from service given reduced demand levels. In addition, the Company reduced its employment levels given lower customer demand, incurring approximately $3.8 million in severance charges, of which approximately $3.7 million was paid by December 31, 2020. During 2020, approximately $17.1 million of these charges were included in cost of sales and approximately $2.8 million were included in selling, general and administrative expenses in the accompanying consolidated statement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Customer End Markets</w:t>
            </w: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26"/>
        </w:trPr>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402,080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276,740</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Aerospace &amp; Defense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167,740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185,920</w:t>
            </w:r>
          </w:p>
        </w:tc>
      </w:tr>
      <w:tr>
        <w:trPr>
          <w:trHeight w:val="229"/>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242,370</w:t>
            </w:r>
          </w:p>
        </w:tc>
      </w:tr>
      <w:tr>
        <w:trPr>
          <w:trHeight w:val="223"/>
        </w:trPr>
        <w:tc>
          <w:tcPr>
            <w:tcW w:w="6440" w:type="dxa"/>
            <w:vAlign w:val="bottom"/>
            <w:gridSpan w:val="2"/>
          </w:tcPr>
          <w:p>
            <w:pPr>
              <w:ind w:left="2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769,970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705,030</w:t>
            </w: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unrestricted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restricted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2020, the Company placed cash on deposit with a financial institution to be held as cash collateral for the Company's outstanding letters of credit. In prior years, the Company used a portion of its credit agreement as collateral for letters of credit, which decreased availability under its revolving credit facility. See Note 13,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further information on the Company's credit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performed a qualitative assessment as part of its 2020, 2019 and 2018 annual impairment tests (October 1 annual test date) for all reporting units, which included a review of the Company’s market capitalization. Based on results of the qualitative assessments for the 2020, 2019 and 2018 annual impairment tests, the Company determined there were no indications that the fair value of a reporting unit was less than its carrying amount; therefore, the Company determined that quantitative goodwill impairment tests were not required.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quantitative goodwill impairment assessment of each of its two aerospace-related reporting units: Aerospace Fasteners and Aerospace Engineered Products.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preparing the quantitative analysis, the Company utilized both income and market-based approaches. The income-based approach was conducted using the discounted cash flow method, for which management updated its internal five-year forecast, and reflected its current best estimates of when, and at what level, a recovery of air travel, new aircraft builds, and resulting customer orders would occur and the related impact on each reporting unit's future sales, earnings and cash flows. Assumptions in estimating the future cash flows were based on Level 3 inputs under the fair value hierarchy. The Company also selected appropriate terminal growth rates as well as discount rates, which considered various factors including the level of inherent risk in achieving the forecast based on prior history and current market conditions. The market-based approach considered potentially comparable publicly traded companies and transactions within the aerospace industry and applied their trading multiples to management's forecast estimates.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completion of the quantitative goodwill impairment tests, the Company determined that the carrying values of the Aerospace Fasteners and Aerospace Engineered Products reporting units exceeded their fair values, resulting in goodwill impairment charges of approximately $70.8 million in its Aerospace Fasteners reporting unit and approximately $56.0 million in its Aerospace Engineered Products reporting unit. Following the impairment charges, the Aerospace Fasteners reporting unit has $62.9 million of remaining goodwill, while the Aerospace Engineered Products reporting unit has no remaining goodwill. The Company notes that a 1% change in the discount rate would have impacted the total goodwill impairment charge by approximately $20 million, while a 0.5% change in the terminal growth rate would have impacted the total goodwill impairment charge by approximately $5 million. If the future financial results of the aerospace-related businesses significantly differ from the assumptions inherent in this analysis, the Company may be subject to further impairment charges.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the Company began reporting its machined components operations within the Aerospace segment. These operations were previously reported in the Company's Specialty Products segment. As a result of the reporting structure change, goodwill of approximately $12.7 million was reassigned from the Specialty Products segment to the Aerospace segment.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2020 and 2019 are as follows (dollars in thousands):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Products</w:t>
            </w: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226"/>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316,650</w:t>
            </w: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334,640</w:t>
            </w: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92,390</w:t>
            </w: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(126,840)</w:t>
            </w: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303,970</w:t>
            </w: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purposes of the Company's 2020, 2019 and 2018 annual indefinite-lived intangible asset impairment tests (as of October 1), the Company performed a qualitative assessment to determine whether it was more likely than not that the fair values of the indefinite-lived intangible assets were less than the carrying values. Based on the qualitative assessment performed, the Company did not believe that it is more likely than not that the fair values of each of its indefinite-lived intangible assets were less than the carrying values; therefore, a fair value calculation of the indefinite-lived intangible assets was not required for the 2020, 2019 and 2018 annual indefinite-lived intangible asset impairment tests.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2020, as a result of the significant forecast reduction in the Company's aerospace-related businesses, the Company also performed an interim quantitative assessment for the indefinite-lived intangible assets within the Aerospace segment, using the relief-from-royalty method. Significant management assumptions used under the relief-from-royalty method reflected the Company's current assessment of the risks and uncertainties associated with the aerospace industry. Upon completion of the quantitative impairment test, the Company determined that certain of the Company's aerospace-related trade names had carrying values that exceeded their fair values, and therefore recorded impairment charges of approximately $7.8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carrying amounts and accumulated amortization of the Company's other intangibles as of December 31, 2020 and 2019 are summarized below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560"/>
              <w:spacing w:after="0"/>
              <w:rPr>
                <w:sz w:val="20"/>
                <w:szCs w:val="20"/>
                <w:color w:val="auto"/>
              </w:rPr>
            </w:pPr>
            <w:r>
              <w:rPr>
                <w:rFonts w:ascii="Arial" w:cs="Arial" w:eastAsia="Arial" w:hAnsi="Arial"/>
                <w:sz w:val="16"/>
                <w:szCs w:val="16"/>
                <w:b w:val="1"/>
                <w:bCs w:val="1"/>
                <w:color w:val="auto"/>
              </w:rPr>
              <w:t>As of December 31, 2020</w:t>
            </w:r>
          </w:p>
        </w:tc>
        <w:tc>
          <w:tcPr>
            <w:tcW w:w="160" w:type="dxa"/>
            <w:vAlign w:val="bottom"/>
          </w:tcPr>
          <w:p>
            <w:pPr>
              <w:spacing w:after="0"/>
              <w:rPr>
                <w:sz w:val="18"/>
                <w:szCs w:val="18"/>
                <w:color w:val="auto"/>
              </w:rPr>
            </w:pPr>
          </w:p>
        </w:tc>
        <w:tc>
          <w:tcPr>
            <w:tcW w:w="300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58"/>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12"/>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32"/>
              <w:spacing w:after="0" w:line="158" w:lineRule="exact"/>
              <w:rPr>
                <w:sz w:val="20"/>
                <w:szCs w:val="20"/>
                <w:color w:val="auto"/>
              </w:rPr>
            </w:pPr>
            <w:r>
              <w:rPr>
                <w:rFonts w:ascii="Arial" w:cs="Arial" w:eastAsia="Arial" w:hAnsi="Arial"/>
                <w:sz w:val="16"/>
                <w:szCs w:val="16"/>
                <w:b w:val="1"/>
                <w:bCs w:val="1"/>
                <w:color w:val="auto"/>
                <w:w w:val="97"/>
              </w:rPr>
              <w:t>Accumulated</w:t>
            </w:r>
          </w:p>
        </w:tc>
        <w:tc>
          <w:tcPr>
            <w:tcW w:w="0" w:type="dxa"/>
            <w:vAlign w:val="bottom"/>
          </w:tcPr>
          <w:p>
            <w:pPr>
              <w:spacing w:after="0"/>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Customer relationships, 5 - 12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122,970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(59,470)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73,860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(49,910)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Customer relationships, 15 - 25 years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480"/>
              <w:spacing w:after="0"/>
              <w:rPr>
                <w:sz w:val="20"/>
                <w:szCs w:val="20"/>
                <w:color w:val="auto"/>
              </w:rPr>
            </w:pPr>
            <w:r>
              <w:rPr>
                <w:rFonts w:ascii="Arial" w:cs="Arial" w:eastAsia="Arial" w:hAnsi="Arial"/>
                <w:sz w:val="18"/>
                <w:szCs w:val="18"/>
                <w:color w:val="auto"/>
              </w:rPr>
              <w:t>Total customer relationships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(105,920)</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Technology and other, 1 - 15 years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Technology and other, 17 - 30 years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technology and 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(67,410)</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fiscal years beginning after December 31, 2020 is as follows (dollars in thousands):</w:t>
      </w:r>
    </w:p>
    <w:p>
      <w:pPr>
        <w:spacing w:after="0" w:line="280" w:lineRule="exact"/>
        <w:rPr>
          <w:sz w:val="20"/>
          <w:szCs w:val="20"/>
          <w:color w:val="auto"/>
        </w:rPr>
      </w:pPr>
    </w:p>
    <w:tbl>
      <w:tblPr>
        <w:tblLayout w:type="fixed"/>
        <w:tblInd w:w="2560" w:type="dxa"/>
        <w:tblCellMar>
          <w:top w:w="0" w:type="dxa"/>
          <w:left w:w="0" w:type="dxa"/>
          <w:bottom w:w="0" w:type="dxa"/>
          <w:right w:w="0" w:type="dxa"/>
        </w:tblCellMar>
      </w:tblPr>
      <w:tr>
        <w:trPr>
          <w:trHeight w:val="213"/>
        </w:trPr>
        <w:tc>
          <w:tcPr>
            <w:tcW w:w="26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6"/>
              </w:rPr>
              <w:t>Estimated Amortization Expense</w:t>
            </w:r>
          </w:p>
        </w:tc>
      </w:tr>
      <w:tr>
        <w:trPr>
          <w:trHeight w:val="226"/>
        </w:trPr>
        <w:tc>
          <w:tcPr>
            <w:tcW w:w="2600" w:type="dxa"/>
            <w:vAlign w:val="bottom"/>
            <w:shd w:val="clear" w:color="auto" w:fill="CCEEFF"/>
          </w:tcPr>
          <w:p>
            <w:pPr>
              <w:jc w:val="right"/>
              <w:ind w:right="2132"/>
              <w:spacing w:after="0"/>
              <w:rPr>
                <w:sz w:val="20"/>
                <w:szCs w:val="20"/>
                <w:color w:val="auto"/>
              </w:rPr>
            </w:pPr>
            <w:r>
              <w:rPr>
                <w:rFonts w:ascii="Arial" w:cs="Arial" w:eastAsia="Arial" w:hAnsi="Arial"/>
                <w:sz w:val="18"/>
                <w:szCs w:val="18"/>
                <w:color w:val="auto"/>
                <w:w w:val="89"/>
              </w:rPr>
              <w:t>2021</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r>
      <w:tr>
        <w:trPr>
          <w:trHeight w:val="230"/>
        </w:trPr>
        <w:tc>
          <w:tcPr>
            <w:tcW w:w="2600" w:type="dxa"/>
            <w:vAlign w:val="bottom"/>
          </w:tcPr>
          <w:p>
            <w:pPr>
              <w:jc w:val="right"/>
              <w:ind w:right="2132"/>
              <w:spacing w:after="0"/>
              <w:rPr>
                <w:sz w:val="20"/>
                <w:szCs w:val="20"/>
                <w:color w:val="auto"/>
              </w:rPr>
            </w:pPr>
            <w:r>
              <w:rPr>
                <w:rFonts w:ascii="Arial" w:cs="Arial" w:eastAsia="Arial" w:hAnsi="Arial"/>
                <w:sz w:val="18"/>
                <w:szCs w:val="18"/>
                <w:color w:val="auto"/>
                <w:w w:val="89"/>
              </w:rPr>
              <w:t>2022</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18,230</w:t>
            </w:r>
          </w:p>
        </w:tc>
      </w:tr>
      <w:tr>
        <w:trPr>
          <w:trHeight w:val="230"/>
        </w:trPr>
        <w:tc>
          <w:tcPr>
            <w:tcW w:w="2600" w:type="dxa"/>
            <w:vAlign w:val="bottom"/>
            <w:shd w:val="clear" w:color="auto" w:fill="CCEEFF"/>
          </w:tcPr>
          <w:p>
            <w:pPr>
              <w:jc w:val="right"/>
              <w:ind w:right="2132"/>
              <w:spacing w:after="0"/>
              <w:rPr>
                <w:sz w:val="20"/>
                <w:szCs w:val="20"/>
                <w:color w:val="auto"/>
              </w:rPr>
            </w:pPr>
            <w:r>
              <w:rPr>
                <w:rFonts w:ascii="Arial" w:cs="Arial" w:eastAsia="Arial" w:hAnsi="Arial"/>
                <w:sz w:val="18"/>
                <w:szCs w:val="18"/>
                <w:color w:val="auto"/>
                <w:w w:val="89"/>
              </w:rPr>
              <w:t>2023</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r>
      <w:tr>
        <w:trPr>
          <w:trHeight w:val="230"/>
        </w:trPr>
        <w:tc>
          <w:tcPr>
            <w:tcW w:w="2600" w:type="dxa"/>
            <w:vAlign w:val="bottom"/>
          </w:tcPr>
          <w:p>
            <w:pPr>
              <w:jc w:val="right"/>
              <w:ind w:right="2132"/>
              <w:spacing w:after="0"/>
              <w:rPr>
                <w:sz w:val="20"/>
                <w:szCs w:val="20"/>
                <w:color w:val="auto"/>
              </w:rPr>
            </w:pPr>
            <w:r>
              <w:rPr>
                <w:rFonts w:ascii="Arial" w:cs="Arial" w:eastAsia="Arial" w:hAnsi="Arial"/>
                <w:sz w:val="18"/>
                <w:szCs w:val="18"/>
                <w:color w:val="auto"/>
                <w:w w:val="89"/>
              </w:rPr>
              <w:t>2024</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14,830</w:t>
            </w:r>
          </w:p>
        </w:tc>
      </w:tr>
      <w:tr>
        <w:trPr>
          <w:trHeight w:val="229"/>
        </w:trPr>
        <w:tc>
          <w:tcPr>
            <w:tcW w:w="2600" w:type="dxa"/>
            <w:vAlign w:val="bottom"/>
            <w:shd w:val="clear" w:color="auto" w:fill="CCEEFF"/>
          </w:tcPr>
          <w:p>
            <w:pPr>
              <w:jc w:val="right"/>
              <w:ind w:right="2132"/>
              <w:spacing w:after="0"/>
              <w:rPr>
                <w:sz w:val="20"/>
                <w:szCs w:val="20"/>
                <w:color w:val="auto"/>
              </w:rPr>
            </w:pPr>
            <w:r>
              <w:rPr>
                <w:rFonts w:ascii="Arial" w:cs="Arial" w:eastAsia="Arial" w:hAnsi="Arial"/>
                <w:sz w:val="18"/>
                <w:szCs w:val="18"/>
                <w:color w:val="auto"/>
                <w:w w:val="89"/>
              </w:rPr>
              <w:t>2025</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32"/>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Property and Equipment, Net</w:t>
            </w: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4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32"/>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60" w:type="dxa"/>
            <w:vAlign w:val="bottom"/>
            <w:gridSpan w:val="10"/>
          </w:tcPr>
          <w:p>
            <w:pPr>
              <w:spacing w:after="0"/>
              <w:rPr>
                <w:sz w:val="20"/>
                <w:szCs w:val="20"/>
                <w:color w:val="auto"/>
              </w:rPr>
            </w:pPr>
            <w:r>
              <w:rPr>
                <w:rFonts w:ascii="Arial" w:cs="Arial" w:eastAsia="Arial" w:hAnsi="Arial"/>
                <w:sz w:val="18"/>
                <w:szCs w:val="18"/>
                <w:color w:val="auto"/>
                <w:w w:val="94"/>
              </w:rPr>
              <w:t>Depreciation expense as included in the accompanying consolidated statement of operations is as follows (dollars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right"/>
              <w:ind w:right="55"/>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included in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expense, included in selling, general and administrative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29,020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4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components (dollars in thousands):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32"/>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92"/>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2"/>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High deductible insurance</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3"/>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294,690</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has $300.0 million aggregate principal amount of 4.875% senior notes outstanding due October 15, 2025 ("Senior Notes"). The Senior Notes accrue interest at a rate of 4.875% per annum, payable semi-annually in arrears on April 15 and October 15.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redeem all or part of the Senior Notes at the redemption prices (expressed as percentages of principal amount) set forth below, plus accrued and unpaid interest, if any, to, but excluding, the redemption date, if redeemed during the twelve-month period beginning on October 15 of the years indicated below:</w:t>
      </w:r>
    </w:p>
    <w:p>
      <w:pPr>
        <w:spacing w:after="0" w:line="252"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102.438 %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101.219 %</w:t>
            </w: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a credit agreement ("Credit Agreement") consisting of a $300.0 million senior secured revolving credit facility, which permits borrowings denominated in specific foreign currencies, subject to a $125.0 million sub limit, maturing on September 20, 2022 and is subject to interest at London Interbank Offered Rate ("LIBOR") plus 1.50%. The interest rate spread is based upon the leverage ratio, as defined, as of the most recent determination date.</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During 2020, the Company placed cash on deposit with a financial institution to be held as cash collateral for the Company's outstanding letters of credit; therefore, as of December 31, 2020, the Company had no letters of credit issued against its revolving credit facility. See Note 8, "</w:t>
      </w:r>
      <w:r>
        <w:rPr>
          <w:rFonts w:ascii="Arial" w:cs="Arial" w:eastAsia="Arial" w:hAnsi="Arial"/>
          <w:sz w:val="17"/>
          <w:szCs w:val="17"/>
          <w:i w:val="1"/>
          <w:iCs w:val="1"/>
          <w:color w:val="auto"/>
        </w:rPr>
        <w:t>Cash and Cash Equivalents</w:t>
      </w:r>
      <w:r>
        <w:rPr>
          <w:rFonts w:ascii="Arial" w:cs="Arial" w:eastAsia="Arial" w:hAnsi="Arial"/>
          <w:sz w:val="17"/>
          <w:szCs w:val="17"/>
          <w:color w:val="auto"/>
        </w:rPr>
        <w:t>," for further information on its cash deposits. At December 31, 2020, the Company had $50.5 million outstanding under its revolving credit facility and had $249.5 million potentially available. At December 31, 2019, the Company had no amounts outstanding under its revolving credit facility and had $283.9 million potentially available after giving effect to approximately $16.1 million of letters of credit issued and outstanding. The Company's borrowing capacity was not reduced by leverage restrictions contained in the Credit Agreement as of December 31, 2020 and December 31, 2019.</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previously drew $150 million on its revolving credit facility in March 2020 to defend against potential uncertainty or liquidity issues in the financial markets as a result of the COVID-19 pandemic, but repaid this amount during second quarter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2020, the Company was in compliance with the financial covenants contained in the Credit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face value of long-term debt at December 31, 2020 are as follows (dollars in thousands):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39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Future Maturities</w:t>
            </w:r>
          </w:p>
        </w:tc>
      </w:tr>
      <w:tr>
        <w:trPr>
          <w:trHeight w:val="226"/>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50,450</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350,450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5"/>
          </w:tcPr>
          <w:p>
            <w:pPr>
              <w:ind w:left="102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3560" w:type="dxa"/>
            <w:vAlign w:val="bottom"/>
            <w:gridSpan w:val="4"/>
          </w:tcPr>
          <w:p>
            <w:pPr>
              <w:jc w:val="right"/>
              <w:ind w:right="1133"/>
              <w:spacing w:after="0"/>
              <w:rPr>
                <w:sz w:val="20"/>
                <w:szCs w:val="20"/>
                <w:color w:val="auto"/>
              </w:rPr>
            </w:pPr>
            <w:r>
              <w:rPr>
                <w:rFonts w:ascii="Arial" w:cs="Arial" w:eastAsia="Arial" w:hAnsi="Arial"/>
                <w:sz w:val="16"/>
                <w:szCs w:val="16"/>
                <w:b w:val="1"/>
                <w:bCs w:val="1"/>
                <w:color w:val="auto"/>
              </w:rPr>
              <w:t>December 31, 2019</w:t>
            </w:r>
          </w:p>
        </w:tc>
      </w:tr>
      <w:tr>
        <w:trPr>
          <w:trHeight w:val="210"/>
        </w:trPr>
        <w:tc>
          <w:tcPr>
            <w:tcW w:w="3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Notes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309,000</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50,450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unamortized debt issuance costs approximated $4.2 million and $5.3 million at December 31, 2020 and 2019,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$1.2 million, $1.1 million and $1.3 million in 2020, 2019 and 2018, respectively, and is included in interest expense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cross-currency swaps were designated as net investment hedges.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November 2020, the Company entered into additional cross-currency swap agreements at notional amounts declining from $50.0 million to $25.0 million over the contract period ending April 15, 2025. Under the terms of the swap agreements, the Company is to receive net interest payments at a fixed rate of approximately 0.8% of the notional amount. As of December 31, 2020, the notional amount of these cross-currency swaps was $50.0 million.</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October 2018, the Company entered into cross-currency swap agreements at notional amounts declining from $125.0 million to $75.0 million over the contract period ending October 15, 2023. Under the terms of the swap agreements, the Company is to receive net interest payments at a fixed rate of approximately 2.9% of the notional amount. As of December 31, 2020, the notional amount of these cross-currency swaps was $100.0 million.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immediately prior to entering into the new cross-currency swap agreements, the Company terminated its existing cross-currency swap agreements, de-designating the swaps as net investment hedges and receiving approximately $1.1 million of cash.</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fair value carrying amount of the Company's derivatives designated as hedging instruments are recorded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60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840" w:type="dxa"/>
            <w:vAlign w:val="bottom"/>
            <w:gridSpan w:val="2"/>
            <w:vMerge w:val="restart"/>
          </w:tcPr>
          <w:p>
            <w:pPr>
              <w:ind w:left="108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3"/>
                <w:szCs w:val="13"/>
                <w:color w:val="auto"/>
              </w:rPr>
            </w:pPr>
          </w:p>
        </w:tc>
        <w:tc>
          <w:tcPr>
            <w:tcW w:w="1440" w:type="dxa"/>
            <w:vAlign w:val="bottom"/>
            <w:gridSpan w:val="3"/>
          </w:tcPr>
          <w:p>
            <w:pPr>
              <w:jc w:val="center"/>
              <w:ind w:right="420"/>
              <w:spacing w:after="0" w:line="158" w:lineRule="exact"/>
              <w:rPr>
                <w:sz w:val="20"/>
                <w:szCs w:val="20"/>
                <w:color w:val="auto"/>
              </w:rPr>
            </w:pPr>
            <w:r>
              <w:rPr>
                <w:rFonts w:ascii="Arial" w:cs="Arial" w:eastAsia="Arial" w:hAnsi="Arial"/>
                <w:sz w:val="16"/>
                <w:szCs w:val="16"/>
                <w:b w:val="1"/>
                <w:bCs w:val="1"/>
                <w:color w:val="auto"/>
                <w:w w:val="90"/>
              </w:rPr>
              <w:t>December 31,</w:t>
            </w:r>
          </w:p>
        </w:tc>
        <w:tc>
          <w:tcPr>
            <w:tcW w:w="1160" w:type="dxa"/>
            <w:vAlign w:val="bottom"/>
          </w:tcPr>
          <w:p>
            <w:pPr>
              <w:jc w:val="right"/>
              <w:ind w:right="95"/>
              <w:spacing w:after="0" w:line="158" w:lineRule="exact"/>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600" w:type="dxa"/>
            <w:vAlign w:val="bottom"/>
            <w:gridSpan w:val="2"/>
            <w:vMerge w:val="continue"/>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2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income recognized in AOCI on derivative contracts designated as hedging instruments as of December 31, 2020 and 2019, and the amounts reclassified from AOCI into earnings for the years ended December 31, 2020, 2019 and 2018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Amount of Income (Loss)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left="558"/>
              <w:spacing w:after="0" w:line="162" w:lineRule="exact"/>
              <w:rPr>
                <w:sz w:val="20"/>
                <w:szCs w:val="20"/>
                <w:color w:val="auto"/>
              </w:rPr>
            </w:pPr>
            <w:r>
              <w:rPr>
                <w:rFonts w:ascii="Arial" w:cs="Arial" w:eastAsia="Arial" w:hAnsi="Arial"/>
                <w:sz w:val="16"/>
                <w:szCs w:val="16"/>
                <w:b w:val="1"/>
                <w:bCs w:val="1"/>
                <w:color w:val="auto"/>
                <w:w w:val="86"/>
              </w:rPr>
              <w:t>Recognized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8"/>
            <w:vMerge w:val="restart"/>
          </w:tcPr>
          <w:p>
            <w:pPr>
              <w:jc w:val="center"/>
              <w:spacing w:after="0"/>
              <w:rPr>
                <w:sz w:val="20"/>
                <w:szCs w:val="20"/>
                <w:color w:val="auto"/>
              </w:rPr>
            </w:pPr>
            <w:r>
              <w:rPr>
                <w:rFonts w:ascii="Arial" w:cs="Arial" w:eastAsia="Arial" w:hAnsi="Arial"/>
                <w:sz w:val="16"/>
                <w:szCs w:val="16"/>
                <w:b w:val="1"/>
                <w:bCs w:val="1"/>
                <w:color w:val="auto"/>
                <w:w w:val="89"/>
              </w:rPr>
              <w:t>Amount of Loss Reclassified from</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320"/>
              <w:spacing w:after="0" w:line="162" w:lineRule="exact"/>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(Effective Portion, net of tax)</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720" w:type="dxa"/>
            <w:vAlign w:val="bottom"/>
          </w:tcPr>
          <w:p>
            <w:pPr>
              <w:spacing w:after="0"/>
              <w:rPr>
                <w:sz w:val="16"/>
                <w:szCs w:val="16"/>
                <w:color w:val="auto"/>
              </w:rPr>
            </w:pPr>
          </w:p>
        </w:tc>
        <w:tc>
          <w:tcPr>
            <w:tcW w:w="18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5"/>
              </w:rPr>
              <w:t>AOCI into Earnings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gridSpan w:val="5"/>
            <w:vMerge w:val="restart"/>
          </w:tcPr>
          <w:p>
            <w:pPr>
              <w:jc w:val="center"/>
              <w:ind w:right="320"/>
              <w:spacing w:after="0"/>
              <w:rPr>
                <w:sz w:val="20"/>
                <w:szCs w:val="20"/>
                <w:color w:val="auto"/>
              </w:rPr>
            </w:pPr>
            <w:r>
              <w:rPr>
                <w:rFonts w:ascii="Arial" w:cs="Arial" w:eastAsia="Arial" w:hAnsi="Arial"/>
                <w:sz w:val="16"/>
                <w:szCs w:val="16"/>
                <w:b w:val="1"/>
                <w:bCs w:val="1"/>
                <w:color w:val="auto"/>
                <w:w w:val="90"/>
              </w:rPr>
              <w:t>As of December 31,</w:t>
            </w:r>
          </w:p>
        </w:tc>
        <w:tc>
          <w:tcPr>
            <w:tcW w:w="20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204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w w:val="91"/>
              </w:rPr>
              <w:t>into Earnings</w:t>
            </w:r>
          </w:p>
        </w:tc>
        <w:tc>
          <w:tcPr>
            <w:tcW w:w="720" w:type="dxa"/>
            <w:vAlign w:val="bottom"/>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vMerge w:val="restart"/>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center"/>
              <w:ind w:right="15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line="20" w:lineRule="exact"/>
              <w:rPr>
                <w:sz w:val="1"/>
                <w:szCs w:val="1"/>
                <w:color w:val="auto"/>
              </w:rPr>
            </w:pPr>
          </w:p>
        </w:tc>
      </w:tr>
      <w:tr>
        <w:trPr>
          <w:trHeight w:val="213"/>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Portion)</w:t>
            </w:r>
          </w:p>
        </w:tc>
        <w:tc>
          <w:tcPr>
            <w:tcW w:w="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22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the Company was party to foreign currency exchange forward contracts to economically hedge changes in foreign currency rates with notional amounts of approximately $96.3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Mexican peso and the Chinese yuan, and have various settlement dates through April 2021. These contracts are not designated as hedging instruments; therefore, gains and losses on these contracts are recognized each period directly into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operations (dollars in thousands):</w:t>
      </w:r>
    </w:p>
    <w:p>
      <w:pPr>
        <w:spacing w:after="0" w:line="221"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Amount of Loss Recognized in Earnings on</w:t>
      </w:r>
    </w:p>
    <w:p>
      <w:pPr>
        <w:jc w:val="center"/>
        <w:ind w:left="7740"/>
        <w:spacing w:after="0"/>
        <w:rPr>
          <w:sz w:val="20"/>
          <w:szCs w:val="20"/>
          <w:color w:val="auto"/>
        </w:rPr>
      </w:pPr>
      <w:r>
        <w:rPr>
          <w:rFonts w:ascii="Arial" w:cs="Arial" w:eastAsia="Arial" w:hAnsi="Arial"/>
          <w:sz w:val="16"/>
          <w:szCs w:val="16"/>
          <w:b w:val="1"/>
          <w:bCs w:val="1"/>
          <w:color w:val="auto"/>
        </w:rPr>
        <w:t>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6"/>
          </w:tcPr>
          <w:p>
            <w:pPr>
              <w:jc w:val="center"/>
              <w:ind w:left="436"/>
              <w:spacing w:after="0"/>
              <w:rPr>
                <w:sz w:val="20"/>
                <w:szCs w:val="20"/>
                <w:color w:val="auto"/>
              </w:rPr>
            </w:pPr>
            <w:r>
              <w:rPr>
                <w:rFonts w:ascii="Arial" w:cs="Arial" w:eastAsia="Arial" w:hAnsi="Arial"/>
                <w:sz w:val="16"/>
                <w:szCs w:val="16"/>
                <w:b w:val="1"/>
                <w:bCs w:val="1"/>
                <w:color w:val="auto"/>
                <w:w w:val="90"/>
              </w:rPr>
              <w:t>Year ended December 31,</w:t>
            </w: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900" w:type="dxa"/>
            <w:vAlign w:val="bottom"/>
          </w:tcPr>
          <w:p>
            <w:pPr>
              <w:spacing w:after="0"/>
              <w:rPr>
                <w:sz w:val="12"/>
                <w:szCs w:val="12"/>
                <w:color w:val="auto"/>
              </w:rPr>
            </w:pPr>
          </w:p>
        </w:tc>
        <w:tc>
          <w:tcPr>
            <w:tcW w:w="2920" w:type="dxa"/>
            <w:vAlign w:val="bottom"/>
            <w:gridSpan w:val="2"/>
          </w:tcPr>
          <w:p>
            <w:pPr>
              <w:jc w:val="center"/>
              <w:ind w:right="160"/>
              <w:spacing w:after="0" w:line="147" w:lineRule="exact"/>
              <w:rPr>
                <w:sz w:val="20"/>
                <w:szCs w:val="20"/>
                <w:color w:val="auto"/>
              </w:rPr>
            </w:pPr>
            <w:r>
              <w:rPr>
                <w:rFonts w:ascii="Arial" w:cs="Arial" w:eastAsia="Arial" w:hAnsi="Arial"/>
                <w:sz w:val="16"/>
                <w:szCs w:val="16"/>
                <w:b w:val="1"/>
                <w:bCs w:val="1"/>
                <w:color w:val="auto"/>
                <w:w w:val="90"/>
              </w:rPr>
              <w:t>Location of Loss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9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Recognized in</w:t>
            </w:r>
          </w:p>
        </w:tc>
        <w:tc>
          <w:tcPr>
            <w:tcW w:w="220" w:type="dxa"/>
            <w:vAlign w:val="bottom"/>
          </w:tcPr>
          <w:p>
            <w:pPr>
              <w:spacing w:after="0"/>
              <w:rPr>
                <w:sz w:val="14"/>
                <w:szCs w:val="14"/>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Earnings on Derivatives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Foreign exchange contracts</w:t>
            </w: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 instruments are estimated using an income approach based on valuation techniques to convert future amounts to a single, discounted amount. Estimates of the fair value of the Company's cross-currency swaps use observable inputs such as interest rate yield curves and forward currency exchange rates. Fair value measurements and the fair value hierarchy level for the Company's assets and liabilities measured at fair value on a recurring basis as of December 31, 2020 and 2019 are as follows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5"/>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Frequency</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2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 contracts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Foreign exchange contracts</w:t>
            </w: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Year ended December 31,</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Year ended December 31,</w:t>
            </w:r>
          </w:p>
        </w:tc>
      </w:tr>
      <w:tr>
        <w:trPr>
          <w:trHeight w:val="213"/>
        </w:trPr>
        <w:tc>
          <w:tcPr>
            <w:tcW w:w="7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2019</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variable and other lease costs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r>
      <w:tr>
        <w:trPr>
          <w:trHeight w:val="248"/>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20" w:type="dxa"/>
            <w:vAlign w:val="bottom"/>
            <w:gridSpan w:val="2"/>
          </w:tcPr>
          <w:p>
            <w:pPr>
              <w:ind w:left="4540"/>
              <w:spacing w:after="0"/>
              <w:rPr>
                <w:sz w:val="20"/>
                <w:szCs w:val="20"/>
                <w:color w:val="auto"/>
              </w:rPr>
            </w:pPr>
            <w:r>
              <w:rPr>
                <w:rFonts w:ascii="Arial" w:cs="Arial" w:eastAsia="Arial" w:hAnsi="Arial"/>
                <w:sz w:val="18"/>
                <w:szCs w:val="18"/>
                <w:b w:val="1"/>
                <w:bCs w:val="1"/>
                <w:color w:val="auto"/>
              </w:rPr>
              <w:t>TRIMAS CORPORATION</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9120" w:type="dxa"/>
            <w:vAlign w:val="bottom"/>
            <w:gridSpan w:val="2"/>
          </w:tcPr>
          <w:p>
            <w:pPr>
              <w:ind w:left="27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91"/>
        </w:trPr>
        <w:tc>
          <w:tcPr>
            <w:tcW w:w="914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1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24"/>
                <w:szCs w:val="24"/>
                <w:color w:val="auto"/>
              </w:rPr>
            </w:pPr>
          </w:p>
        </w:tc>
        <w:tc>
          <w:tcPr>
            <w:tcW w:w="1840" w:type="dxa"/>
            <w:vAlign w:val="bottom"/>
          </w:tcPr>
          <w:p>
            <w:pPr>
              <w:jc w:val="right"/>
              <w:ind w:right="271"/>
              <w:spacing w:after="0"/>
              <w:rPr>
                <w:sz w:val="20"/>
                <w:szCs w:val="20"/>
                <w:color w:val="auto"/>
              </w:rPr>
            </w:pPr>
            <w:r>
              <w:rPr>
                <w:rFonts w:ascii="Arial" w:cs="Arial" w:eastAsia="Arial" w:hAnsi="Arial"/>
                <w:sz w:val="16"/>
                <w:szCs w:val="16"/>
                <w:b w:val="1"/>
                <w:bCs w:val="1"/>
                <w:color w:val="auto"/>
                <w:w w:val="95"/>
              </w:rPr>
              <w:t>Operating Leases</w:t>
            </w:r>
            <w:r>
              <w:rPr>
                <w:rFonts w:ascii="Arial" w:cs="Arial" w:eastAsia="Arial" w:hAnsi="Arial"/>
                <w:sz w:val="23"/>
                <w:szCs w:val="23"/>
                <w:color w:val="auto"/>
                <w:w w:val="95"/>
                <w:vertAlign w:val="superscript"/>
              </w:rPr>
              <w:t>(a)</w:t>
            </w:r>
          </w:p>
        </w:tc>
      </w:tr>
      <w:tr>
        <w:trPr>
          <w:trHeight w:val="223"/>
        </w:trPr>
        <w:tc>
          <w:tcPr>
            <w:tcW w:w="20" w:type="dxa"/>
            <w:vAlign w:val="bottom"/>
          </w:tcPr>
          <w:p>
            <w:pPr>
              <w:spacing w:after="0"/>
              <w:rPr>
                <w:sz w:val="19"/>
                <w:szCs w:val="19"/>
                <w:color w:val="auto"/>
              </w:rPr>
            </w:pPr>
          </w:p>
        </w:tc>
        <w:tc>
          <w:tcPr>
            <w:tcW w:w="9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r>
      <w:tr>
        <w:trPr>
          <w:trHeight w:val="229"/>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7,250</w:t>
            </w: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30"/>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5,120</w:t>
            </w: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30"/>
        </w:trPr>
        <w:tc>
          <w:tcPr>
            <w:tcW w:w="20" w:type="dxa"/>
            <w:vAlign w:val="bottom"/>
          </w:tcPr>
          <w:p>
            <w:pPr>
              <w:spacing w:after="0"/>
              <w:rPr>
                <w:sz w:val="19"/>
                <w:szCs w:val="19"/>
                <w:color w:val="auto"/>
              </w:rPr>
            </w:pPr>
          </w:p>
        </w:tc>
        <w:tc>
          <w:tcPr>
            <w:tcW w:w="9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r>
      <w:tr>
        <w:trPr>
          <w:trHeight w:val="223"/>
        </w:trPr>
        <w:tc>
          <w:tcPr>
            <w:tcW w:w="20" w:type="dxa"/>
            <w:vAlign w:val="bottom"/>
          </w:tcPr>
          <w:p>
            <w:pPr>
              <w:spacing w:after="0"/>
              <w:rPr>
                <w:sz w:val="19"/>
                <w:szCs w:val="19"/>
                <w:color w:val="auto"/>
              </w:rPr>
            </w:pPr>
          </w:p>
        </w:tc>
        <w:tc>
          <w:tcPr>
            <w:tcW w:w="9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43,880</w:t>
            </w:r>
          </w:p>
        </w:tc>
      </w:tr>
      <w:tr>
        <w:trPr>
          <w:trHeight w:val="223"/>
        </w:trPr>
        <w:tc>
          <w:tcPr>
            <w:tcW w:w="20" w:type="dxa"/>
            <w:vAlign w:val="bottom"/>
          </w:tcPr>
          <w:p>
            <w:pPr>
              <w:spacing w:after="0"/>
              <w:rPr>
                <w:sz w:val="19"/>
                <w:szCs w:val="19"/>
                <w:color w:val="auto"/>
              </w:rPr>
            </w:pPr>
          </w:p>
        </w:tc>
        <w:tc>
          <w:tcPr>
            <w:tcW w:w="9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r>
      <w:tr>
        <w:trPr>
          <w:trHeight w:val="248"/>
        </w:trPr>
        <w:tc>
          <w:tcPr>
            <w:tcW w:w="20" w:type="dxa"/>
            <w:vAlign w:val="bottom"/>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r>
      <w:tr>
        <w:trPr>
          <w:trHeight w:val="20"/>
        </w:trPr>
        <w:tc>
          <w:tcPr>
            <w:tcW w:w="2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17" w:lineRule="auto"/>
        <w:tabs>
          <w:tab w:leader="none" w:pos="304"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term of the Company's operating leases as of December 31, 2020 is approximately 6.8 years. The weighted-average discount rate as of December 31, 2020 is approximately 4.4%.</w:t>
      </w:r>
    </w:p>
    <w:p>
      <w:pPr>
        <w:spacing w:after="0" w:line="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$7.9 million and $6.4 million during 2020 and 2019, respectively, and is included in cash flows provided by operating activities in the consolidated statement of cash flows.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$14.0 million and $1.4 million during 2020 and 2019, respectively, primarily due to acquisitions.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Rental expense for operating leases as classified under prior authoritative lease guidance for the Company was approximately $5.8 million in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was a party to 337 pending cases involving an aggregate of 4,655 claimants primarily alleging personal injury from exposure to asbestos containing materials formerly used in gaskets (both encapsulated and otherwise) manufactured or distributed by Lamons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8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5"/>
              </w:rPr>
              <w:t>Claims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 filed</w:t>
            </w:r>
          </w:p>
        </w:tc>
        <w:tc>
          <w:tcPr>
            <w:tcW w:w="12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60" w:type="dxa"/>
            <w:vAlign w:val="bottom"/>
          </w:tcPr>
          <w:p>
            <w:pPr>
              <w:spacing w:after="0"/>
              <w:rPr>
                <w:sz w:val="14"/>
                <w:szCs w:val="14"/>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pending at</w:t>
            </w: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4"/>
              </w:rPr>
              <w:t>dismissed</w:t>
            </w:r>
          </w:p>
        </w:tc>
        <w:tc>
          <w:tcPr>
            <w:tcW w:w="820" w:type="dxa"/>
            <w:vAlign w:val="bottom"/>
          </w:tcPr>
          <w:p>
            <w:pPr>
              <w:ind w:left="320"/>
              <w:spacing w:after="0" w:line="162" w:lineRule="exact"/>
              <w:rPr>
                <w:sz w:val="20"/>
                <w:szCs w:val="20"/>
                <w:color w:val="auto"/>
              </w:rPr>
            </w:pPr>
            <w:r>
              <w:rPr>
                <w:rFonts w:ascii="Arial" w:cs="Arial" w:eastAsia="Arial" w:hAnsi="Arial"/>
                <w:sz w:val="16"/>
                <w:szCs w:val="16"/>
                <w:b w:val="1"/>
                <w:bCs w:val="1"/>
                <w:color w:val="auto"/>
                <w:w w:val="92"/>
              </w:rPr>
              <w:t>settled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during</w:t>
            </w:r>
          </w:p>
        </w:tc>
        <w:tc>
          <w:tcPr>
            <w:tcW w:w="820" w:type="dxa"/>
            <w:vAlign w:val="bottom"/>
          </w:tcPr>
          <w:p>
            <w:pPr>
              <w:ind w:left="320"/>
              <w:spacing w:after="0" w:line="162" w:lineRule="exact"/>
              <w:rPr>
                <w:sz w:val="20"/>
                <w:szCs w:val="20"/>
                <w:color w:val="auto"/>
              </w:rPr>
            </w:pPr>
            <w:r>
              <w:rPr>
                <w:rFonts w:ascii="Arial" w:cs="Arial" w:eastAsia="Arial" w:hAnsi="Arial"/>
                <w:sz w:val="16"/>
                <w:szCs w:val="16"/>
                <w:b w:val="1"/>
                <w:bCs w:val="1"/>
                <w:color w:val="auto"/>
                <w:w w:val="96"/>
              </w:rPr>
              <w:t>during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pending at end</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60" w:type="dxa"/>
            <w:vAlign w:val="bottom"/>
          </w:tcPr>
          <w:p>
            <w:pPr>
              <w:spacing w:after="0"/>
              <w:rPr>
                <w:sz w:val="14"/>
                <w:szCs w:val="14"/>
                <w:color w:val="auto"/>
              </w:rPr>
            </w:pPr>
          </w:p>
        </w:tc>
        <w:tc>
          <w:tcPr>
            <w:tcW w:w="118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9"/>
              </w:rPr>
              <w:t>costs during</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820" w:type="dxa"/>
            <w:vAlign w:val="bottom"/>
          </w:tcPr>
          <w:p>
            <w:pPr>
              <w:ind w:left="320"/>
              <w:spacing w:after="0"/>
              <w:rPr>
                <w:sz w:val="20"/>
                <w:szCs w:val="20"/>
                <w:color w:val="auto"/>
              </w:rPr>
            </w:pPr>
            <w:r>
              <w:rPr>
                <w:rFonts w:ascii="Arial" w:cs="Arial" w:eastAsia="Arial" w:hAnsi="Arial"/>
                <w:sz w:val="16"/>
                <w:szCs w:val="16"/>
                <w:b w:val="1"/>
                <w:bCs w:val="1"/>
                <w:color w:val="auto"/>
                <w:w w:val="98"/>
              </w:rPr>
              <w:t>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of period</w:t>
            </w:r>
          </w:p>
        </w:tc>
        <w:tc>
          <w:tcPr>
            <w:tcW w:w="2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60" w:type="dxa"/>
            <w:vAlign w:val="bottom"/>
          </w:tcPr>
          <w:p>
            <w:pPr>
              <w:spacing w:after="0"/>
              <w:rPr>
                <w:sz w:val="18"/>
                <w:szCs w:val="18"/>
                <w:color w:val="auto"/>
              </w:rPr>
            </w:pPr>
          </w:p>
        </w:tc>
        <w:tc>
          <w:tcPr>
            <w:tcW w:w="118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1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Fiscal year ended</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36</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4,655</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2,130,000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5"/>
                <w:szCs w:val="15"/>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8"/>
                <w:szCs w:val="18"/>
                <w:color w:val="auto"/>
              </w:rPr>
              <w:t>4,759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16,616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4,820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2,260,000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4,655 claims pending at December 31, 2020, 40 set forth specific amounts of damages (other than those stating the statutory minimum or maximum). At December 31, 2020, of the 40 claims that set forth specific amounts, there were no claims seeking specific amounts for punitive damages. Below is a breakdown of the compensatory damages sought for those claims seeking specific amounts: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Range of damages sought (in millions)</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95"/>
              <w:spacing w:after="0"/>
              <w:rPr>
                <w:sz w:val="20"/>
                <w:szCs w:val="20"/>
                <w:color w:val="auto"/>
              </w:rPr>
            </w:pPr>
            <w:r>
              <w:rPr>
                <w:rFonts w:ascii="Arial" w:cs="Arial" w:eastAsia="Arial" w:hAnsi="Arial"/>
                <w:sz w:val="16"/>
                <w:szCs w:val="16"/>
                <w:b w:val="1"/>
                <w:bCs w:val="1"/>
                <w:color w:val="auto"/>
              </w:rPr>
              <w:t>$5.0+</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25 years ago, have been approximately $10.0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In the past three years, however, the number of new claim filings, and costs to defend, have become much more consistent, ranging between 143 to 173 new claims per year and total defense costs ranging between $2.2 million and $2.3 million.</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accounting change has been reflected as a change in accounting estimate effected by a change in accounting principle. In connection with this second quarter 2020 change, the Company recorded a non-cash, pre-tax charge for asbestos-related costs of approximately $23.4 million which is included in selling, general and administrative expenses in the accompanying consolidated statement of operations.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did not believe any amount within the range of potential outcomes represented a better estimate than another given the many factors and assumptions inherent in the projections, and therefore recorded the $23.4 million charge to increase the liability estimate to $31.5 million, at the low-end of the range. As of December 31, 2020, the Company’s total asbestos-related liability is $28.7 million, and is included in accrued liabilities and other long-term liabilities, respectively, in the accompanying consolidated balance sheet.</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recorded a significant non-cash charge in the six months ended June 30, 2020 in connection with its change in accounting policy,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or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Profit-Sharing Benefits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operations under this plan for both continuing and discontinued operations were approximately $3.4 million, $4.6 million and $4.2 million in 2020, 2019 and 2018, respectively. Certain of the Company's non-U.S. and union hourly employees participate in defined benefit pension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Expenses and Obligations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expense recorded in the Company's consolidated statement of operations for defined benefit pension plans include the following components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Pension Benefit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3"/>
        </w:trPr>
        <w:tc>
          <w:tcPr>
            <w:tcW w:w="7680" w:type="dxa"/>
            <w:vAlign w:val="bottom"/>
          </w:tcPr>
          <w:p>
            <w:pPr>
              <w:ind w:left="220"/>
              <w:spacing w:after="0"/>
              <w:rPr>
                <w:sz w:val="20"/>
                <w:szCs w:val="20"/>
                <w:color w:val="auto"/>
              </w:rPr>
            </w:pPr>
            <w:r>
              <w:rPr>
                <w:rFonts w:ascii="Arial" w:cs="Arial" w:eastAsia="Arial" w:hAnsi="Arial"/>
                <w:sz w:val="18"/>
                <w:szCs w:val="18"/>
                <w:color w:val="auto"/>
              </w:rPr>
              <w:t>Net periodic benefit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expense is recorded in cost of goods sold and selling, general and administrative expenses, while non-service cost components are recorded in other expense, net in the accompanying consolidated statement of operations.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2018, the Company recognized one-time settlement and curtailment charges of approximately $2.6 million, of which approximately $2.5 million was due to the purchase of an annuity contract to transfer certain U.S. retiree defined benefit obligations to an insurance company. The annuity contract was funded by plan assets.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valuations of the Company's defined benefit pension plans were prepared as of December 31, 2020, 2019 and 2018. Weighted average assumptions used in accounting for the U.S. defined benefit pension plans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0"/>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Discount rate for benefit costs</w:t>
            </w:r>
          </w:p>
        </w:tc>
        <w:tc>
          <w:tcPr>
            <w:tcW w:w="1220" w:type="dxa"/>
            <w:vAlign w:val="bottom"/>
          </w:tcPr>
          <w:p>
            <w:pPr>
              <w:jc w:val="right"/>
              <w:spacing w:after="0"/>
              <w:rPr>
                <w:sz w:val="20"/>
                <w:szCs w:val="20"/>
                <w:color w:val="auto"/>
              </w:rPr>
            </w:pPr>
            <w:r>
              <w:rPr>
                <w:rFonts w:ascii="Arial" w:cs="Arial" w:eastAsia="Arial" w:hAnsi="Arial"/>
                <w:sz w:val="18"/>
                <w:szCs w:val="18"/>
                <w:color w:val="auto"/>
              </w:rPr>
              <w:t>3.41 %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4.37 %</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accounting for the non-U.S. defined benefit pension plans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40" w:type="dxa"/>
            <w:vAlign w:val="bottom"/>
            <w:tcBorders>
              <w:bottom w:val="single" w:sz="8" w:color="auto"/>
            </w:tcBorders>
          </w:tcPr>
          <w:p>
            <w:pPr>
              <w:spacing w:after="0"/>
              <w:rPr>
                <w:sz w:val="18"/>
                <w:szCs w:val="18"/>
                <w:color w:val="auto"/>
              </w:rPr>
            </w:pPr>
          </w:p>
        </w:tc>
      </w:tr>
      <w:tr>
        <w:trPr>
          <w:trHeight w:val="210"/>
        </w:trPr>
        <w:tc>
          <w:tcPr>
            <w:tcW w:w="73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226"/>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obligations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Discount rate for benefit costs</w:t>
            </w:r>
          </w:p>
        </w:tc>
        <w:tc>
          <w:tcPr>
            <w:tcW w:w="12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4.60 %</w:t>
            </w:r>
          </w:p>
        </w:tc>
      </w:tr>
    </w:tbl>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provides a reconciliation of the changes in the Company's defined benefit pension plans' projected benefit obligations and fair value of assets for each of the years ended December 31, 2020 and 2019 and the funded status as of December 31, 2020 and 2019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210"/>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Projected Benefit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Benefit obligations at January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(30,300)</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9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Actuarial loss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(4,190)</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 at December 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(36,580)</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Changes in Plan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890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payments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 in foreign currency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30,260</w:t>
            </w:r>
          </w:p>
        </w:tc>
      </w:tr>
      <w:tr>
        <w:trPr>
          <w:trHeight w:val="223"/>
        </w:trPr>
        <w:tc>
          <w:tcPr>
            <w:tcW w:w="8900" w:type="dxa"/>
            <w:vAlign w:val="bottom"/>
          </w:tcPr>
          <w:p>
            <w:pPr>
              <w:ind w:left="140"/>
              <w:spacing w:after="0"/>
              <w:rPr>
                <w:sz w:val="20"/>
                <w:szCs w:val="20"/>
                <w:color w:val="auto"/>
              </w:rPr>
            </w:pPr>
            <w:r>
              <w:rPr>
                <w:rFonts w:ascii="Arial" w:cs="Arial" w:eastAsia="Arial" w:hAnsi="Arial"/>
                <w:sz w:val="18"/>
                <w:szCs w:val="18"/>
                <w:color w:val="auto"/>
              </w:rPr>
              <w:t>Funded status at December 31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(6,320)</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180" w:hanging="172"/>
        <w:spacing w:after="0" w:line="278" w:lineRule="auto"/>
        <w:tabs>
          <w:tab w:leader="none" w:pos="145"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The actuarial losses for the year ended December 31, 2020 and 2019 were primarily due to a decrease in the discount rate utilized in measuring the projected benefit obligations, partially offset by other assumptions and experience gains.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Pension Benefit</w:t>
            </w:r>
          </w:p>
        </w:tc>
      </w:tr>
      <w:tr>
        <w:trPr>
          <w:trHeight w:val="210"/>
        </w:trPr>
        <w:tc>
          <w:tcPr>
            <w:tcW w:w="8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r>
      <w:tr>
        <w:trPr>
          <w:trHeight w:val="212"/>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Recognized in Balance Sheet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w:t>
            </w: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liability recognized at December 31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57"/>
        </w:trPr>
        <w:tc>
          <w:tcPr>
            <w:tcW w:w="8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Pension Benefit</w:t>
            </w:r>
          </w:p>
        </w:tc>
      </w:tr>
      <w:tr>
        <w:trPr>
          <w:trHeight w:val="207"/>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Amounts Recognized in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loss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accumulated other comprehensive loss recognized at December 31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244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Accumulated Benefit</w:t>
            </w:r>
          </w:p>
        </w:tc>
        <w:tc>
          <w:tcPr>
            <w:tcW w:w="23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96"/>
              </w:rPr>
              <w:t>Projected Benefit Obligations</w:t>
            </w: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170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90"/>
              </w:rPr>
              <w:t>Obligations</w:t>
            </w: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5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1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720"/>
            <w:col w:w="4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Benefit Obligations at December 31,</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Total benefit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(36,580)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with benefit obligations exceeding plan assets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(14,910)</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Pension Benefit</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2020 Expense</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Benefit Obligation</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25 basis point increase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1020"/>
              <w:spacing w:after="0"/>
              <w:rPr>
                <w:sz w:val="20"/>
                <w:szCs w:val="20"/>
                <w:color w:val="auto"/>
              </w:rPr>
            </w:pPr>
            <w:r>
              <w:rPr>
                <w:rFonts w:ascii="Arial" w:cs="Arial" w:eastAsia="Arial" w:hAnsi="Arial"/>
                <w:sz w:val="18"/>
                <w:szCs w:val="18"/>
                <w:color w:val="auto"/>
                <w:w w:val="91"/>
              </w:rPr>
              <w:t>(1,580)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72"/>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 basis point decrease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7"/>
              </w:rPr>
              <w:t>1,760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12"/>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Expected return on assets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basis point increase</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952"/>
              <w:spacing w:after="0"/>
              <w:rPr>
                <w:sz w:val="20"/>
                <w:szCs w:val="20"/>
                <w:color w:val="auto"/>
              </w:rPr>
            </w:pPr>
            <w:r>
              <w:rPr>
                <w:rFonts w:ascii="Arial" w:cs="Arial" w:eastAsia="Arial" w:hAnsi="Arial"/>
                <w:sz w:val="18"/>
                <w:szCs w:val="18"/>
                <w:color w:val="auto"/>
                <w:w w:val="95"/>
              </w:rPr>
              <w:t>(170)</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50 basis point decrease</w:t>
            </w:r>
          </w:p>
        </w:tc>
        <w:tc>
          <w:tcPr>
            <w:tcW w:w="160" w:type="dxa"/>
            <w:vAlign w:val="bottom"/>
          </w:tcPr>
          <w:p>
            <w:pPr>
              <w:spacing w:after="0"/>
              <w:rPr>
                <w:sz w:val="20"/>
                <w:szCs w:val="20"/>
                <w:color w:val="auto"/>
              </w:rPr>
            </w:pP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992"/>
              <w:spacing w:after="0"/>
              <w:rPr>
                <w:sz w:val="20"/>
                <w:szCs w:val="20"/>
                <w:color w:val="auto"/>
              </w:rPr>
            </w:pPr>
            <w:r>
              <w:rPr>
                <w:rFonts w:ascii="Arial" w:cs="Arial" w:eastAsia="Arial" w:hAnsi="Arial"/>
                <w:sz w:val="18"/>
                <w:szCs w:val="18"/>
                <w:color w:val="auto"/>
                <w:w w:val="93"/>
              </w:rPr>
              <w:t>170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contributions of approximately $3.6 million to fund its pension plans during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weighted average asset allocation of the Company's domestic and foreign pension plans' assets at December 31, 2020 and 2019 and target allocations by class,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Domestic Pension</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Foreign Pension</w:t>
            </w:r>
          </w:p>
        </w:tc>
        <w:tc>
          <w:tcPr>
            <w:tcW w:w="880" w:type="dxa"/>
            <w:vAlign w:val="bottom"/>
            <w:tcBorders>
              <w:bottom w:val="single" w:sz="8" w:color="auto"/>
            </w:tcBorders>
          </w:tcPr>
          <w:p>
            <w:pPr>
              <w:spacing w:after="0"/>
              <w:rPr>
                <w:sz w:val="18"/>
                <w:szCs w:val="18"/>
                <w:color w:val="auto"/>
              </w:rPr>
            </w:pPr>
          </w:p>
        </w:tc>
      </w:tr>
      <w:tr>
        <w:trPr>
          <w:trHeight w:val="207"/>
        </w:trPr>
        <w:tc>
          <w:tcPr>
            <w:tcW w:w="3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rPr>
              <w:t>Actual</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rPr>
              <w:t>Actual</w:t>
            </w:r>
          </w:p>
        </w:tc>
        <w:tc>
          <w:tcPr>
            <w:tcW w:w="880" w:type="dxa"/>
            <w:vAlign w:val="bottom"/>
            <w:tcBorders>
              <w:bottom w:val="single" w:sz="8" w:color="auto"/>
            </w:tcBorders>
          </w:tcPr>
          <w:p>
            <w:pPr>
              <w:spacing w:after="0"/>
              <w:rPr>
                <w:sz w:val="17"/>
                <w:szCs w:val="17"/>
                <w:color w:val="auto"/>
              </w:rPr>
            </w:pPr>
          </w:p>
        </w:tc>
      </w:tr>
      <w:tr>
        <w:trPr>
          <w:trHeight w:val="212"/>
        </w:trPr>
        <w:tc>
          <w:tcPr>
            <w:tcW w:w="3320" w:type="dxa"/>
            <w:vAlign w:val="bottom"/>
          </w:tcPr>
          <w:p>
            <w:pPr>
              <w:spacing w:after="0"/>
              <w:rPr>
                <w:sz w:val="18"/>
                <w:szCs w:val="18"/>
                <w:color w:val="auto"/>
              </w:rPr>
            </w:pPr>
          </w:p>
        </w:tc>
        <w:tc>
          <w:tcPr>
            <w:tcW w:w="1320" w:type="dxa"/>
            <w:vAlign w:val="bottom"/>
          </w:tcPr>
          <w:p>
            <w:pPr>
              <w:jc w:val="right"/>
              <w:ind w:right="332"/>
              <w:spacing w:after="0"/>
              <w:rPr>
                <w:sz w:val="20"/>
                <w:szCs w:val="20"/>
                <w:color w:val="auto"/>
              </w:rPr>
            </w:pPr>
            <w:r>
              <w:rPr>
                <w:rFonts w:ascii="Arial" w:cs="Arial" w:eastAsia="Arial" w:hAnsi="Arial"/>
                <w:sz w:val="16"/>
                <w:szCs w:val="16"/>
                <w:b w:val="1"/>
                <w:bCs w:val="1"/>
                <w:color w:val="auto"/>
              </w:rPr>
              <w:t>Target</w:t>
            </w:r>
          </w:p>
        </w:tc>
        <w:tc>
          <w:tcPr>
            <w:tcW w:w="120" w:type="dxa"/>
            <w:vAlign w:val="bottom"/>
            <w:gridSpan w:val="2"/>
          </w:tcPr>
          <w:p>
            <w:pPr>
              <w:spacing w:after="0"/>
              <w:rPr>
                <w:sz w:val="18"/>
                <w:szCs w:val="18"/>
                <w:color w:val="auto"/>
              </w:rPr>
            </w:pPr>
          </w:p>
        </w:tc>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340" w:type="dxa"/>
            <w:vAlign w:val="bottom"/>
          </w:tcPr>
          <w:p>
            <w:pPr>
              <w:jc w:val="right"/>
              <w:ind w:right="352"/>
              <w:spacing w:after="0"/>
              <w:rPr>
                <w:sz w:val="20"/>
                <w:szCs w:val="20"/>
                <w:color w:val="auto"/>
              </w:rPr>
            </w:pPr>
            <w:r>
              <w:rPr>
                <w:rFonts w:ascii="Arial" w:cs="Arial" w:eastAsia="Arial" w:hAnsi="Arial"/>
                <w:sz w:val="16"/>
                <w:szCs w:val="16"/>
                <w:b w:val="1"/>
                <w:bCs w:val="1"/>
                <w:color w:val="auto"/>
              </w:rPr>
              <w:t>Target</w:t>
            </w:r>
          </w:p>
        </w:tc>
        <w:tc>
          <w:tcPr>
            <w:tcW w:w="120" w:type="dxa"/>
            <w:vAlign w:val="bottom"/>
          </w:tcPr>
          <w:p>
            <w:pPr>
              <w:spacing w:after="0"/>
              <w:rPr>
                <w:sz w:val="18"/>
                <w:szCs w:val="18"/>
                <w:color w:val="auto"/>
              </w:rPr>
            </w:pPr>
          </w:p>
        </w:tc>
        <w:tc>
          <w:tcPr>
            <w:tcW w:w="116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Diversified growth</w:t>
            </w:r>
            <w:r>
              <w:rPr>
                <w:rFonts w:ascii="Arial" w:cs="Arial" w:eastAsia="Arial" w:hAnsi="Arial"/>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Cash and other</w:t>
            </w: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3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3"/>
          <w:szCs w:val="13"/>
          <w:color w:val="auto"/>
        </w:rPr>
        <w:t>Diversified growth funds invest in a broad range of asset classes including equities, investment grade and high yield bonds, commodities, property, private equity, infrastructure and currencies.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level under the fair value hierarchy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that the Company's pension plan assets are measured, on a recurring basis as of December 31, 2020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2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 assets subject to leveling</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Investment funds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Plan assets measured at net asset value</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funds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Diversified growth</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53" w:lineRule="exact"/>
        <w:rPr>
          <w:sz w:val="20"/>
          <w:szCs w:val="20"/>
          <w:color w:val="auto"/>
        </w:rPr>
      </w:pPr>
    </w:p>
    <w:p>
      <w:pPr>
        <w:ind w:firstLine="8"/>
        <w:spacing w:after="0" w:line="239" w:lineRule="auto"/>
        <w:tabs>
          <w:tab w:leader="none" w:pos="154"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following years (dollars in thousands):</w:t>
      </w:r>
    </w:p>
    <w:p>
      <w:pPr>
        <w:spacing w:after="0" w:line="203" w:lineRule="exact"/>
        <w:rPr>
          <w:sz w:val="20"/>
          <w:szCs w:val="20"/>
          <w:color w:val="auto"/>
        </w:rPr>
      </w:pPr>
    </w:p>
    <w:tbl>
      <w:tblPr>
        <w:tblLayout w:type="fixed"/>
        <w:tblInd w:w="30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Arial" w:cs="Arial" w:eastAsia="Arial" w:hAnsi="Arial"/>
                <w:sz w:val="16"/>
                <w:szCs w:val="16"/>
                <w:b w:val="1"/>
                <w:bCs w:val="1"/>
                <w:color w:val="auto"/>
              </w:rPr>
              <w:t>Pension</w:t>
            </w:r>
          </w:p>
        </w:tc>
      </w:tr>
      <w:tr>
        <w:trPr>
          <w:trHeight w:val="213"/>
        </w:trPr>
        <w:tc>
          <w:tcPr>
            <w:tcW w:w="3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Benefit</w:t>
            </w: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Years 2026-2030</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the following long-term equity incentive plans (collectively, the "Plans"):</w:t>
      </w:r>
    </w:p>
    <w:p>
      <w:pPr>
        <w:spacing w:after="0" w:line="271"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Names</w:t>
            </w:r>
          </w:p>
        </w:tc>
        <w:tc>
          <w:tcPr>
            <w:tcW w:w="100" w:type="dxa"/>
            <w:vAlign w:val="bottom"/>
            <w:vMerge w:val="restart"/>
          </w:tcPr>
          <w:p>
            <w:pPr>
              <w:spacing w:after="0"/>
              <w:rPr>
                <w:sz w:val="16"/>
                <w:szCs w:val="16"/>
                <w:color w:val="auto"/>
              </w:rPr>
            </w:pPr>
          </w:p>
        </w:tc>
        <w:tc>
          <w:tcPr>
            <w:tcW w:w="1660" w:type="dxa"/>
            <w:vAlign w:val="bottom"/>
          </w:tcPr>
          <w:p>
            <w:pPr>
              <w:jc w:val="right"/>
              <w:ind w:right="35"/>
              <w:spacing w:after="0"/>
              <w:rPr>
                <w:sz w:val="20"/>
                <w:szCs w:val="20"/>
                <w:color w:val="auto"/>
              </w:rPr>
            </w:pPr>
            <w:r>
              <w:rPr>
                <w:rFonts w:ascii="Arial" w:cs="Arial" w:eastAsia="Arial" w:hAnsi="Arial"/>
                <w:sz w:val="16"/>
                <w:szCs w:val="16"/>
                <w:b w:val="1"/>
                <w:bCs w:val="1"/>
                <w:color w:val="auto"/>
                <w:w w:val="96"/>
              </w:rPr>
              <w:t>Shares Approved for</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Issuance</w:t>
            </w:r>
          </w:p>
        </w:tc>
        <w:tc>
          <w:tcPr>
            <w:tcW w:w="0" w:type="dxa"/>
            <w:vAlign w:val="bottom"/>
          </w:tcPr>
          <w:p>
            <w:pPr>
              <w:spacing w:after="0"/>
              <w:rPr>
                <w:sz w:val="1"/>
                <w:szCs w:val="1"/>
                <w:color w:val="auto"/>
              </w:rPr>
            </w:pPr>
          </w:p>
        </w:tc>
      </w:tr>
      <w:tr>
        <w:trPr>
          <w:trHeight w:val="361"/>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TriMas Corporation 2017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TriMas Corporation Director Retainer Share Election Program</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previously maintained the 2011 Omnibus Incentive Compensation Plan, which was replaced by the TriMas Corporation 2017 Equity and Incentive Compensation Plan in 2017, such that, while existing grants remain outstanding until exercised, vested or canceled, no new shares may be issued under the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stock options during 2020, 2019 and 2018. Information related to stock options as of and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4"/>
                <w:szCs w:val="14"/>
                <w:color w:val="auto"/>
              </w:rPr>
            </w:pPr>
          </w:p>
        </w:tc>
        <w:tc>
          <w:tcPr>
            <w:tcW w:w="1360" w:type="dxa"/>
            <w:vAlign w:val="bottom"/>
            <w:vMerge w:val="restart"/>
          </w:tcPr>
          <w:p>
            <w:pPr>
              <w:jc w:val="center"/>
              <w:ind w:right="96"/>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 Price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20"/>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150,000 stock options outstanding were exercisable under the Company's long-term equity incentive plans and there was no unrecognized compensation cost related to stock options. No stock options vested during 2020 and 50,000 stock options vested during each of 2019 and 2018.</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no stock-based compensation expense related to stock options during 2020 and approximately $0.1 million and $0.2 million of stock-based compensation expense related to stock options during 2019 and 2018, respectively. The stock-based compensation expense is included in selling, general and administrative expenses in the accompanying consolidated statement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2020, 2019, and 2018:</w:t>
      </w:r>
    </w:p>
    <w:p>
      <w:pPr>
        <w:spacing w:after="0" w:line="158"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granted 190,650, 139,575, and 141,203 RSUs, respectively, to certain employees, which are subject only to a service condition and vest ratably over three years so long as the employee remains with the Company;</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granted 30,590, 25,872 and 25,830 RSUs, respectively, to its non-employee independent directors, which vest one year from date of grant so long as the director and/or Company does not terminate their service prior to the vesting date;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3,673, 4,494 and 7,263 RSUs, respectively, related to director fee deferrals as certain of the Company's directors elected to defer all or a portion of their directors fees and to receive the amount in Company common stock at a future date.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RSUs during 2020:</w:t>
      </w:r>
    </w:p>
    <w:p>
      <w:pPr>
        <w:spacing w:after="0" w:line="144" w:lineRule="exact"/>
        <w:rPr>
          <w:sz w:val="20"/>
          <w:szCs w:val="20"/>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31,816 RSUs to certain employees, which are subject only to a service condition and fully vest at the end of three years so long as the employee remains with the Company;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2,558 RSUs to certain employees, which are subject only to a service condition and vest one year from the date of grant so long as the employee remains with the Company.</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2020, the Company awarded 113,146 performance-based RSUs to certain key employees which vest three years from the grant date as long as the employee remains with the Company. These awards are earned 50% based upon the Company's achievement of an earnings per share compound annual growth rate ("EPS CAGR") metric over a period beginning January 1, 2020 and ending December 31, 2022.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0.56% and annualized volatility of 26.2%. Depending on the performance achieved for these two metrics, the amount of shares earned, if any, can vary for each metric from 0% of the target award to a maximum of 200% of the target award. The Company awarded 95,882 and 104,532 of similar performance-based RSUs in 2019 and 2018, respectively. For similar performance-based RSUs awarded in 2017, the Company attained 127.4% of the target on a weighted average basis, resulting in an increase of 27,567 shares during 2020.</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Company awarded 87,034 performance-based RSUs to certain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 free rate of 0.85% and annualized volatility of 25.2%.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as of and for the year ended December 31, 2020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Unvested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1"/>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4"/>
                <w:szCs w:val="14"/>
                <w:color w:val="auto"/>
              </w:rPr>
            </w:pPr>
          </w:p>
        </w:tc>
        <w:tc>
          <w:tcPr>
            <w:tcW w:w="1360" w:type="dxa"/>
            <w:vAlign w:val="bottom"/>
            <w:vMerge w:val="restart"/>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Restricted</w:t>
            </w:r>
          </w:p>
        </w:tc>
        <w:tc>
          <w:tcPr>
            <w:tcW w:w="240" w:type="dxa"/>
            <w:vAlign w:val="bottom"/>
          </w:tcPr>
          <w:p>
            <w:pPr>
              <w:spacing w:after="0"/>
              <w:rPr>
                <w:sz w:val="14"/>
                <w:szCs w:val="14"/>
                <w:color w:val="auto"/>
              </w:rPr>
            </w:pPr>
          </w:p>
        </w:tc>
        <w:tc>
          <w:tcPr>
            <w:tcW w:w="140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5"/>
              </w:rPr>
              <w:t>Grant Date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Fair Value</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Life (Years)</w:t>
            </w:r>
          </w:p>
        </w:tc>
        <w:tc>
          <w:tcPr>
            <w:tcW w:w="180" w:type="dxa"/>
            <w:vAlign w:val="bottom"/>
          </w:tcPr>
          <w:p>
            <w:pPr>
              <w:spacing w:after="0"/>
              <w:rPr>
                <w:sz w:val="18"/>
                <w:szCs w:val="18"/>
                <w:color w:val="auto"/>
              </w:rPr>
            </w:pPr>
          </w:p>
        </w:tc>
        <w:tc>
          <w:tcPr>
            <w:tcW w:w="136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2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487,034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24,859,937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was approximately $8.2 million of unrecognized compensation cost related to unvested restricted shares that is expected to be recorded over a weighted average period of 1.9 years.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stock-based compensation expense related to restricted shares of approximately $8.2 million, $5.7 million and $6.9 million in 2020, 2019 and 2018, respectively. The stock-based compensation expense is included in selling, general and administrative expenses in the accompanying statement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is divided by the weighted average number of common shares outstanding during the year to calculate basic earnings per share. For the year ended December 31, 2020, no restricted shares or stock options were included in the computation of net income (loss) per share because to do so would be anti-dilutive. The following table summarizes the dilutive effect of RSUs and options to purchase common stock:</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Arial" w:cs="Arial" w:eastAsia="Arial" w:hAnsi="Arial"/>
                <w:sz w:val="16"/>
                <w:szCs w:val="16"/>
                <w:b w:val="1"/>
                <w:bCs w:val="1"/>
                <w:color w:val="auto"/>
                <w:w w:val="97"/>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43,581,232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45,303,659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45,824,555</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224,946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242,204</w:t>
            </w:r>
          </w:p>
        </w:tc>
      </w:tr>
      <w:tr>
        <w:trPr>
          <w:trHeight w:val="229"/>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w:t>
            </w:r>
          </w:p>
        </w:tc>
        <w:tc>
          <w:tcPr>
            <w:tcW w:w="14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66,549</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103,705</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43,581,232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45,595,154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46,170,464</w:t>
            </w:r>
          </w:p>
        </w:tc>
      </w:tr>
      <w:tr>
        <w:trPr>
          <w:trHeight w:val="21"/>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During 2020, 2019 and 2018, the Company purchased 1,582,049, 1,230,050 and 442,632 shares of its outstanding common stock for approximately $39.4 million, $36.7 million and $12.1 million, respectively. As of December 31, 2020, the Company has approximately $161.7 million remaining under the repurchase authorization.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Other Comprehensive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2020 are summarized as follows, net of tax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180" w:hanging="172"/>
        <w:spacing w:after="0" w:line="278" w:lineRule="auto"/>
        <w:tabs>
          <w:tab w:leader="none" w:pos="145"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Defined benefit plans, net of income tax of $0.4 million. See Note 18, "</w:t>
      </w:r>
      <w:r>
        <w:rPr>
          <w:rFonts w:ascii="Arial" w:cs="Arial" w:eastAsia="Arial" w:hAnsi="Arial"/>
          <w:sz w:val="12"/>
          <w:szCs w:val="12"/>
          <w:i w:val="1"/>
          <w:iCs w:val="1"/>
          <w:color w:val="auto"/>
        </w:rPr>
        <w:t>Employee Benefit Plans</w:t>
      </w:r>
      <w:r>
        <w:rPr>
          <w:rFonts w:ascii="Arial" w:cs="Arial" w:eastAsia="Arial" w:hAnsi="Arial"/>
          <w:sz w:val="12"/>
          <w:szCs w:val="12"/>
          <w:color w:val="auto"/>
        </w:rPr>
        <w:t>," for additional details. Derivative instruments, net of income tax of $2.5 million. See Note 14, "</w:t>
      </w:r>
      <w:r>
        <w:rPr>
          <w:rFonts w:ascii="Arial" w:cs="Arial" w:eastAsia="Arial" w:hAnsi="Arial"/>
          <w:sz w:val="12"/>
          <w:szCs w:val="12"/>
          <w:i w:val="1"/>
          <w:iCs w:val="1"/>
          <w:color w:val="auto"/>
        </w:rPr>
        <w:t>Derivative Instruments</w:t>
      </w:r>
      <w:r>
        <w:rPr>
          <w:rFonts w:ascii="Arial" w:cs="Arial" w:eastAsia="Arial" w:hAnsi="Arial"/>
          <w:sz w:val="12"/>
          <w:szCs w:val="12"/>
          <w:color w:val="auto"/>
        </w:rPr>
        <w:t>," for further details.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Defined benefit plans, net of income tax of $0.2 million. See Note 18,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2019 are summarized as follows, net of tax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23"/>
        </w:trPr>
        <w:tc>
          <w:tcPr>
            <w:tcW w:w="5960" w:type="dxa"/>
            <w:vAlign w:val="bottom"/>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stranded tax effects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180" w:hanging="172"/>
        <w:spacing w:after="0" w:line="224" w:lineRule="auto"/>
        <w:tabs>
          <w:tab w:leader="none" w:pos="162"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Defined benefit plans, net of income tax of $0.5 million. See Note 18,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expense of $1.0 million. See Note 14,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2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 xml:space="preserve">Defined benefit plans, net of income tax of $0.1 million. See Note 18, </w:t>
      </w:r>
      <w:r>
        <w:rPr>
          <w:rFonts w:ascii="Arial" w:cs="Arial" w:eastAsia="Arial" w:hAnsi="Arial"/>
          <w:sz w:val="12"/>
          <w:szCs w:val="12"/>
          <w:i w:val="1"/>
          <w:iCs w:val="1"/>
          <w:color w:val="auto"/>
        </w:rPr>
        <w:t>"Employee Benefit Plans,"</w:t>
      </w:r>
      <w:r>
        <w:rPr>
          <w:rFonts w:ascii="Arial" w:cs="Arial" w:eastAsia="Arial" w:hAnsi="Arial"/>
          <w:sz w:val="12"/>
          <w:szCs w:val="12"/>
          <w:color w:val="auto"/>
        </w:rPr>
        <w:t xml:space="preserve"> for additional details.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3"/>
          <w:szCs w:val="23"/>
          <w:color w:val="auto"/>
          <w:vertAlign w:val="superscript"/>
        </w:rPr>
        <w:t>®</w:t>
      </w:r>
      <w:r>
        <w:rPr>
          <w:rFonts w:ascii="Arial" w:cs="Arial" w:eastAsia="Arial" w:hAnsi="Arial"/>
          <w:sz w:val="18"/>
          <w:szCs w:val="18"/>
          <w:color w:val="auto"/>
        </w:rPr>
        <w:t>, Taplast, Affaba &amp; Ferrari, Stolz, and Rapak</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brands, develops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manufactures a broad array of dispensing products (such as foaming pumps, lotion and hand soap pumps, sanitizer pumps, beverage dispensers, perfume sprayers, nasal sprayers and trigger sprayers), polymeric and steel caps and closures (such as food lids, flip-top closures, child resistance caps, beverage closures, drum and pail closures, flexible spouts, and agricultural closures), polymeric jar products, and fully integrated dispensers for fill-ready bag-in-box applications, all for a variety of consumer products submarkets including, but not limited to, beauty and personal care, food and beverage, home care, and pharmaceutical and nutraceutical, as well as the industrial market.</w:t>
      </w:r>
    </w:p>
    <w:p>
      <w:pPr>
        <w:spacing w:after="0" w:line="11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7"/>
          <w:szCs w:val="17"/>
          <w:color w:val="auto"/>
        </w:rPr>
        <w:t>, Allfast Fastening Systems</w:t>
      </w:r>
      <w:r>
        <w:rPr>
          <w:rFonts w:ascii="Arial" w:cs="Arial" w:eastAsia="Arial" w:hAnsi="Arial"/>
          <w:sz w:val="22"/>
          <w:szCs w:val="22"/>
          <w:color w:val="auto"/>
          <w:vertAlign w:val="superscript"/>
        </w:rPr>
        <w:t>®</w:t>
      </w:r>
      <w:r>
        <w:rPr>
          <w:rFonts w:ascii="Arial" w:cs="Arial" w:eastAsia="Arial" w:hAnsi="Arial"/>
          <w:sz w:val="17"/>
          <w:szCs w:val="17"/>
          <w:color w:val="auto"/>
        </w:rPr>
        <w:t>, Mac Fasteners</w:t>
      </w:r>
      <w:r>
        <w:rPr>
          <w:rFonts w:ascii="Arial" w:cs="Arial" w:eastAsia="Arial" w:hAnsi="Arial"/>
          <w:sz w:val="22"/>
          <w:szCs w:val="22"/>
          <w:color w:val="auto"/>
          <w:vertAlign w:val="superscript"/>
        </w:rPr>
        <w:t>™</w:t>
      </w:r>
      <w:r>
        <w:rPr>
          <w:rFonts w:ascii="Arial" w:cs="Arial" w:eastAsia="Arial" w:hAnsi="Arial"/>
          <w:sz w:val="17"/>
          <w:szCs w:val="17"/>
          <w:color w:val="auto"/>
        </w:rPr>
        <w:t>, RSA</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Products and Martinic Engineering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brands, develops, qualifies and manufactures highly-engineered, precision fasteners, tubular products and assemblies for fluid conveyance, and machined products and assemblies to serve the aerospace and defense market.</w:t>
      </w:r>
    </w:p>
    <w:p>
      <w:pPr>
        <w:spacing w:after="0" w:line="13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Segment activity is as follows (dollars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488,340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392,340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368,200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27,290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108,810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392,140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82,610</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95,260</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 from continuing operations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1,005,150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95,370</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53" w:lineRule="exact"/>
        <w:rPr>
          <w:sz w:val="20"/>
          <w:szCs w:val="20"/>
          <w:color w:val="auto"/>
        </w:rPr>
      </w:pPr>
    </w:p>
    <w:p>
      <w:pPr>
        <w:ind w:firstLine="8"/>
        <w:spacing w:after="0" w:line="239" w:lineRule="auto"/>
        <w:tabs>
          <w:tab w:leader="none" w:pos="149"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Corporate capital expenditures for the year ended December 31, 2018 are primarily related to purchases of machinery and equipment formerly held under operating leases. These purchased assets were subsequently transferred from Corporate to the segment utilizing the assets.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6"/>
                <w:szCs w:val="16"/>
                <w:b w:val="1"/>
                <w:bCs w:val="1"/>
                <w:color w:val="auto"/>
                <w:w w:val="92"/>
              </w:rPr>
              <w:t>Net</w:t>
            </w:r>
          </w:p>
        </w:tc>
        <w:tc>
          <w:tcPr>
            <w:tcW w:w="13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Long-lived Assets</w:t>
            </w:r>
          </w:p>
        </w:tc>
        <w:tc>
          <w:tcPr>
            <w:tcW w:w="280" w:type="dxa"/>
            <w:vAlign w:val="bottom"/>
          </w:tcPr>
          <w:p>
            <w:pPr>
              <w:spacing w:after="0"/>
              <w:rPr>
                <w:sz w:val="13"/>
                <w:szCs w:val="13"/>
                <w:color w:val="auto"/>
              </w:rPr>
            </w:pP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3"/>
                <w:szCs w:val="13"/>
                <w:color w:val="auto"/>
              </w:rPr>
            </w:pPr>
          </w:p>
        </w:tc>
        <w:tc>
          <w:tcPr>
            <w:tcW w:w="106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Long-lived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8" w:lineRule="exact"/>
              <w:rPr>
                <w:sz w:val="20"/>
                <w:szCs w:val="20"/>
                <w:color w:val="auto"/>
              </w:rPr>
            </w:pPr>
            <w:r>
              <w:rPr>
                <w:rFonts w:ascii="Arial" w:cs="Arial" w:eastAsia="Arial" w:hAnsi="Arial"/>
                <w:sz w:val="16"/>
                <w:szCs w:val="16"/>
                <w:b w:val="1"/>
                <w:bCs w:val="1"/>
                <w:color w:val="auto"/>
                <w:w w:val="92"/>
              </w:rPr>
              <w:t>Net</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8"/>
              </w:rPr>
              <w:t>Long-lived Assets</w:t>
            </w: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5"/>
              </w:rPr>
              <w:t>Sales</w:t>
            </w:r>
          </w:p>
        </w:tc>
        <w:tc>
          <w:tcPr>
            <w:tcW w:w="1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Sales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1"/>
              </w:rPr>
              <w:t>Sales</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2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116,350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225,120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87,420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54,920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Asia 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550,990</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656,490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export sales from the U.S. approximated $70.0 million, $74.1 million and $69.9 million in 2020, 2019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income (loss) before income taxes and income tax expense (benefit), each by tax jurisdiction, consists of the following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(134,630)</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64,670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6400" w:type="dxa"/>
            <w:vAlign w:val="bottom"/>
          </w:tcPr>
          <w:p>
            <w:pPr>
              <w:ind w:left="320"/>
              <w:spacing w:after="0"/>
              <w:rPr>
                <w:sz w:val="20"/>
                <w:szCs w:val="20"/>
                <w:color w:val="auto"/>
              </w:rPr>
            </w:pPr>
            <w:r>
              <w:rPr>
                <w:rFonts w:ascii="Arial" w:cs="Arial" w:eastAsia="Arial" w:hAnsi="Arial"/>
                <w:sz w:val="18"/>
                <w:szCs w:val="18"/>
                <w:color w:val="auto"/>
              </w:rPr>
              <w:t>Total income (loss) before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92,360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income tax expense: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r>
      <w:tr>
        <w:trPr>
          <w:trHeight w:val="223"/>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deferred income tax expense (benefit)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taxes are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6"/>
                <w:szCs w:val="16"/>
                <w:b w:val="1"/>
                <w:bCs w:val="1"/>
                <w:color w:val="auto"/>
                <w:w w:val="90"/>
              </w:rPr>
              <w:t>December 31, 2019</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liabilities and other long-term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12,210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Tax loss and credit carryforwards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Gross deferred tax asset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33,410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(20,650)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(13,250)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foreign affiliates, including withholding tax</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deferred tax liability</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income tax expense (benefit) computed at the U.S. federal statutory rate to income tax expense (benefit) allocated to income (loss) before income taxes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7"/>
        </w:trPr>
        <w:tc>
          <w:tcPr>
            <w:tcW w:w="6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U.S. federal statutory rate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U.S. federal statutory rate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(21,570)</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19,390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State and local taxes, net of federal tax benefit</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2,730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Differences in statutory foreign tax rates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Change in recognized tax benefits</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(560)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 impairment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Nontaxable income</w:t>
            </w: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(940)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manufacturing incentives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(1,740)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change in valuation allowance</w:t>
            </w:r>
          </w:p>
        </w:tc>
        <w:tc>
          <w:tcPr>
            <w:tcW w:w="38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280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Reform Act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(600)</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(22,950)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18,650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the Company undertook certain tax-planning actions with respect to intercompany debt restructuring within the group. These actions resulted in the recognition of an approximate $6.4 million deferred tax benefit related to an interest limitation carryforward.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recorded deferred tax assets on $43.4 million of various state operating loss carryforwards and $61.6 million of various foreign operating loss carryforwards. The majority of the state tax loss carryforwards expire between 2026 and 2032 and the majority of the foreign losses have indefinite carryforward periods.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2017, the Tax Cuts and Jobs Act ("Tax Reform Act") was signed into law, and, among the provisions, reduced the Federal statutory corporate income tax rate from 35% to 21% effective January 1, 2018, and implemented a territorial tax system, imposing a one-time tax on the deemed repatriation of undistributed earnings of non-U.S. subsidiaries ("Transition Tax"). The Transition Tax is payable over eight years beginning in 2019.</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provisional expenses in 2017 related to the Transition Tax and finalized the measurement of the provisional expenses in 2018. In 2018, the Company recognized an approximate $1.1 million income tax benefit in connection with finalizing the revaluation of its net deferred tax assets following the filing of the Company's 2017 corporate income tax return, and recognized an approximate $0.7 million income tax expense related to finalizing the Transition Tax, resulting in a $0.4 million net reduction in 2018 to the $12.7 million provisional tax expense recorded in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approximately $1.6 million and $2.3 million of unrecognized tax benefits ("UTBs") as of December 31, 2020 and 2019, respectively. If the UTBs were recognized, the impact to the Company's effective tax rate would be to reduce reported income tax expense for the years ended December 31, 2020 and 2019 by approximately $1.4 million and $1.9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UTBs for the years ended December 31, 2020 and 2019 is as follows (dollars in thousands):</w:t>
      </w:r>
    </w:p>
    <w:p>
      <w:pPr>
        <w:spacing w:after="0" w:line="258"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Unrecognized</w:t>
            </w:r>
          </w:p>
        </w:tc>
      </w:tr>
      <w:tr>
        <w:trPr>
          <w:trHeight w:val="213"/>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Tax Benefits</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ind w:left="22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22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UTBs summarized above, the Company has recorded approximately $0.8 million and $1.4 million in potential interest and penalties associated with uncertain tax positions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state and local, and certain non-U.S. income tax examinations for tax years 2013 through 2020. In addition, there are currently several state and foreign income tax examinations in process. The Company does not believe that the results of these examinations will have a significant impact on the Company's tax position or its effective tax rate.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2020,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2020, the Company's disclosure controls and procedures were effective to provide reasonable assurance that they would meet their objectives.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completed the acquisition of Affaba &amp; Ferrari Srl ("Affaba &amp; Ferrari") in December 2020 and have not yet included Affaba &amp; Ferrari in our assessment of the effectiveness of our internal control over financial reporting.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Affaba &amp; Ferrari. For fiscal 2020, Affaba &amp; Ferrari accounted for approximately $0.7 million of our total net sales and as of December 31, 2020 had total assets of approximately $141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order to ensure that the Company's internal control over financial reporting is effective, management regularly assesses such controls and did so most recently for its financial reporting as of December 31, 2020. Management's assessment of internal control over financial reporting as of December 31, 2020 excludes internal control over financial reporting related to Affaba &amp; Ferrari (acquired in December 2020), which accounted for approximately $0.7 million of our total net sales and as of December 31, 2020 had total assets of approximately $141 million.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2020.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Deloitte &amp; Touche LLP, an independent registered public accounting firm, who audited the Company's consolidated financial statements, has also audited the effectiveness of the Company's internal control over financial reporting as of December 31, 2020, as stated in their report below.</w:t>
      </w:r>
    </w:p>
    <w:p>
      <w:pPr>
        <w:spacing w:after="0" w:line="61" w:lineRule="exact"/>
        <w:rPr>
          <w:sz w:val="20"/>
          <w:szCs w:val="20"/>
          <w:color w:val="auto"/>
        </w:rPr>
      </w:pPr>
    </w:p>
    <w:p>
      <w:pPr>
        <w:ind w:right="5060"/>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TriMas Corporation </w:t>
      </w:r>
      <w:r>
        <w:rPr>
          <w:rFonts w:ascii="Arial" w:cs="Arial" w:eastAsia="Arial" w:hAnsi="Arial"/>
          <w:sz w:val="18"/>
          <w:szCs w:val="18"/>
          <w:b w:val="1"/>
          <w:bCs w:val="1"/>
          <w:color w:val="auto"/>
        </w:rPr>
        <w:t>Opinion on Internal Control over Financial Reporting</w:t>
      </w:r>
    </w:p>
    <w:p>
      <w:pPr>
        <w:spacing w:after="0" w:line="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TriMas Corporation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2020, of the Company and our report dated February 25, 2021, expressed an unqualified opinion on those financial statements and financial statement schedule.</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described in Management’s Annual Report on Internal Control over Financial Reporting, management excluded from its assessment the internal control over financial reporting at Affaba &amp; Ferrari Srl (“Affaba &amp; Ferrari”), which was acquired in December 2020, whose financial statements accounted for approximately $141 million of total assets and $0.7 million of total net sales of the consolidated financial statements amounts as of and for the year ended December 31, 2020. Accordingly, our audit did not include the internal control over financial reporting at Affaba &amp; Ferrari.</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disclosure controls and procedures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2020 that have materially affected, or are reasonably likely to materially affect, the Company's internal control over financial reporting.</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TriMas has proactively taken steps to focus its business portfolio, and as such has also undertaken initiatives to streamline its overall infrastructure approach. In connection with actions taken over the past year, the Company is re-aligning its legal department. On February 24, 2021, the Company and Joshua A. Sherbin, the Company’s Senior Vice President, General Counsel and Chief Compliance Officer, agreed that Mr. Sherbin will cease acting in his officer capacities effective March 5, 2021. Mr. Sherbin will remain employed with the Company through May 11, 2021, the scheduled day of TriMas’ Annual Shareholders meeting, to offer transitional support to TriMas and its legal department as necessary.</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Mr. Sherbin is a participant under the Company’s Executive Severance/Change of Control Policy, effective as of March 4, 2019 (the “Severance Policy”). The Company and Mr. Sherbin are expected to enter into a separation agreement (the “Agreement”) to document the terms of the compensation and benefits Mr. Sherbin will be entitled to receive under the Severance Policy and otherwise in connection with the termination of his employment. Upon Mr. Sherbin’s termination of employment on May 11, 2021, he will be entitled to receive the following existing benefits under the Severance Policy: cash severance equal to one year of his base salary plus target annual cash incentive; one year of health care premium reimbursement; $25,000 in lieu of outplacement services; and payment for his annual vacation allotment. In addition, under the Agreement, Mr. Sherbin will receive $260,260 in lieu of continued pro-rata participation in the 2021 annual incentive program and his $25,000 annual flexible cash allowance less amounts previously paid during 2021. Under the Agreement, Mr. Sherbin will also receive, instead of just pro-rated vesting in his outstanding time-based restricted stock units (“RSUs”) and performance stock units (“PSUs”), accelerated vesting at target in 19,011 PSUs and accelerated vesting in 9,979 RSUs. All benefits under the Agreement will be subject to applicable tax withholding, and Mr. Sherbin will adhere to certain customary non-competition and customer and employee non-solicitation obligations set forth in the Severance Policy for a period of 12 months. Further, the payments and benefits described in the Agreement are generally contingent upon Mr. Sherbin executing a customary release of claims in connection with his termination of employment on May 11, 2021.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our executive officers is included in Part I of this Form 10-K under the heading “</w:t>
      </w:r>
      <w:r>
        <w:rPr>
          <w:rFonts w:ascii="Arial" w:cs="Arial" w:eastAsia="Arial" w:hAnsi="Arial"/>
          <w:sz w:val="17"/>
          <w:szCs w:val="17"/>
          <w:i w:val="1"/>
          <w:iCs w:val="1"/>
          <w:color w:val="auto"/>
        </w:rPr>
        <w:t>Information about our Executive Officers.</w:t>
      </w:r>
      <w:r>
        <w:rPr>
          <w:rFonts w:ascii="Arial" w:cs="Arial" w:eastAsia="Arial" w:hAnsi="Arial"/>
          <w:sz w:val="17"/>
          <w:szCs w:val="17"/>
          <w:color w:val="auto"/>
        </w:rPr>
        <w:t>”</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2021 Annual Meeting of Shareholders.</w:t>
      </w:r>
    </w:p>
    <w:p>
      <w:pPr>
        <w:spacing w:after="0" w:line="1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2021 Annual Meeting of Shareholders.</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2021 Annual Meeting of Shareholders.</w:t>
      </w:r>
    </w:p>
    <w:p>
      <w:pPr>
        <w:spacing w:after="0" w:line="1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2021 Annual Meeting of Shareholders.</w:t>
      </w:r>
    </w:p>
    <w:p>
      <w:pPr>
        <w:spacing w:after="0" w:line="1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2021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58"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Documents</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Statements included in Item 8 hereof, as required at December 31, 2020 and December 31, 2019, and for the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December 31, 2019 and December 31, 2018, consist of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 Schedule of the Company appended hereto, as required for the periods ended December 31, 2020, December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consists of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otherwise included in the financial statements or the notes thereto.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2.2(w)</w:t>
            </w:r>
          </w:p>
        </w:tc>
        <w:tc>
          <w:tcPr>
            <w:tcW w:w="9140" w:type="dxa"/>
            <w:vAlign w:val="bottom"/>
            <w:gridSpan w:val="19"/>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Asset and Stock Purchase Agreement, dated as of November 1, 2019, by and between TriMas Company LLC and LGC US</w:t>
              </w:r>
            </w:hyperlink>
          </w:p>
        </w:tc>
      </w:tr>
      <w:tr>
        <w:trPr>
          <w:trHeight w:val="155"/>
        </w:trPr>
        <w:tc>
          <w:tcPr>
            <w:tcW w:w="15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Holdings, LLC and LGC US Finco, LLC.**</w:t>
              </w:r>
            </w:hyperlink>
          </w:p>
        </w:tc>
        <w:tc>
          <w:tcPr>
            <w:tcW w:w="568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3.1(d)</w:t>
            </w:r>
          </w:p>
        </w:tc>
        <w:tc>
          <w:tcPr>
            <w:tcW w:w="9140" w:type="dxa"/>
            <w:vAlign w:val="bottom"/>
            <w:gridSpan w:val="19"/>
          </w:tcPr>
          <w:p>
            <w:pPr>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Fourth Amended and Restated Certificate of Incorporation of TriMas Corporation.</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3.2(i)</w:t>
            </w:r>
          </w:p>
        </w:tc>
        <w:tc>
          <w:tcPr>
            <w:tcW w:w="9140" w:type="dxa"/>
            <w:vAlign w:val="bottom"/>
            <w:gridSpan w:val="19"/>
          </w:tcPr>
          <w:p>
            <w:pPr>
              <w:spacing w:after="0" w:line="207" w:lineRule="exact"/>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Third Amended and Restated By</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laws of TriMas Corporation.</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4.1(u)</w:t>
            </w:r>
          </w:p>
        </w:tc>
        <w:tc>
          <w:tcPr>
            <w:tcW w:w="9140" w:type="dxa"/>
            <w:vAlign w:val="bottom"/>
            <w:gridSpan w:val="19"/>
          </w:tcPr>
          <w:p>
            <w:pPr>
              <w:spacing w:after="0" w:line="190"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Indenture, dated as of September 20, 2017, among TriMas Corporation, the Guarantors named therein and Wells Fargo Bank,</w:t>
              </w:r>
            </w:hyperlink>
          </w:p>
        </w:tc>
      </w:tr>
      <w:tr>
        <w:trPr>
          <w:trHeight w:val="155"/>
        </w:trPr>
        <w:tc>
          <w:tcPr>
            <w:tcW w:w="1540" w:type="dxa"/>
            <w:vAlign w:val="bottom"/>
          </w:tcPr>
          <w:p>
            <w:pPr>
              <w:spacing w:after="0"/>
              <w:rPr>
                <w:sz w:val="13"/>
                <w:szCs w:val="13"/>
                <w:color w:val="auto"/>
              </w:rPr>
            </w:pPr>
          </w:p>
        </w:tc>
        <w:tc>
          <w:tcPr>
            <w:tcW w:w="9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National Association, as Trustee (including the Form of Note).</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4.2(y)</w:t>
            </w:r>
          </w:p>
        </w:tc>
        <w:tc>
          <w:tcPr>
            <w:tcW w:w="4500" w:type="dxa"/>
            <w:vAlign w:val="bottom"/>
            <w:tcBorders>
              <w:top w:val="single" w:sz="8" w:color="0000FF"/>
            </w:tcBorders>
            <w:gridSpan w:val="4"/>
          </w:tcPr>
          <w:p>
            <w:pPr>
              <w:spacing w:after="0"/>
              <w:rPr>
                <w:rFonts w:ascii="Arial" w:cs="Arial" w:eastAsia="Arial" w:hAnsi="Arial"/>
                <w:sz w:val="18"/>
                <w:szCs w:val="18"/>
                <w:color w:val="0000FF"/>
              </w:rPr>
            </w:pPr>
            <w:hyperlink r:id="rId114">
              <w:r>
                <w:rPr>
                  <w:rFonts w:ascii="Arial" w:cs="Arial" w:eastAsia="Arial" w:hAnsi="Arial"/>
                  <w:sz w:val="18"/>
                  <w:szCs w:val="18"/>
                  <w:u w:val="single" w:color="auto"/>
                  <w:color w:val="0000FF"/>
                </w:rPr>
                <w:t>Description of Securities of TriMas Corporation</w:t>
              </w:r>
              <w:r>
                <w:rPr>
                  <w:rFonts w:ascii="Arial" w:cs="Arial" w:eastAsia="Arial" w:hAnsi="Arial"/>
                  <w:sz w:val="18"/>
                  <w:szCs w:val="18"/>
                  <w:color w:val="0000FF"/>
                </w:rPr>
                <w:t>.</w:t>
              </w:r>
            </w:hyperlink>
          </w:p>
        </w:tc>
        <w:tc>
          <w:tcPr>
            <w:tcW w:w="4640" w:type="dxa"/>
            <w:vAlign w:val="bottom"/>
            <w:gridSpan w:val="15"/>
          </w:tcPr>
          <w:p>
            <w:pPr>
              <w:spacing w:after="0"/>
              <w:rPr>
                <w:sz w:val="21"/>
                <w:szCs w:val="21"/>
                <w:color w:val="auto"/>
              </w:rPr>
            </w:pPr>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10.5(m)</w:t>
            </w:r>
          </w:p>
        </w:tc>
        <w:tc>
          <w:tcPr>
            <w:tcW w:w="9140" w:type="dxa"/>
            <w:vAlign w:val="bottom"/>
            <w:gridSpan w:val="19"/>
          </w:tcPr>
          <w:p>
            <w:pPr>
              <w:spacing w:after="0" w:line="190"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Credit Agreement, dated October 16, 2013, by and among TriMas Corporation, TriMas Company LLC and JPMorgan Chase</w:t>
              </w:r>
            </w:hyperlink>
          </w:p>
        </w:tc>
      </w:tr>
      <w:tr>
        <w:trPr>
          <w:trHeight w:val="195"/>
        </w:trPr>
        <w:tc>
          <w:tcPr>
            <w:tcW w:w="1540" w:type="dxa"/>
            <w:vAlign w:val="bottom"/>
          </w:tcPr>
          <w:p>
            <w:pPr>
              <w:spacing w:after="0"/>
              <w:rPr>
                <w:sz w:val="16"/>
                <w:szCs w:val="16"/>
                <w:color w:val="auto"/>
              </w:rPr>
            </w:pPr>
          </w:p>
        </w:tc>
        <w:tc>
          <w:tcPr>
            <w:tcW w:w="898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bank, N.A., as Administrative Agent and Collateral Agent, and the various lenders from time to time thereto.</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10.6(o)</w:t>
            </w:r>
          </w:p>
        </w:tc>
        <w:tc>
          <w:tcPr>
            <w:tcW w:w="9140" w:type="dxa"/>
            <w:vAlign w:val="bottom"/>
            <w:gridSpan w:val="19"/>
          </w:tcPr>
          <w:p>
            <w:pPr>
              <w:spacing w:after="0" w:line="190"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Incremental Facility Agreement and Amendment dated as of October 17, 2014, among TriMas Company LLC, the other Loan</w:t>
              </w:r>
            </w:hyperlink>
          </w:p>
        </w:tc>
      </w:tr>
      <w:tr>
        <w:trPr>
          <w:trHeight w:val="155"/>
        </w:trPr>
        <w:tc>
          <w:tcPr>
            <w:tcW w:w="1540" w:type="dxa"/>
            <w:vAlign w:val="bottom"/>
          </w:tcPr>
          <w:p>
            <w:pPr>
              <w:spacing w:after="0"/>
              <w:rPr>
                <w:sz w:val="13"/>
                <w:szCs w:val="13"/>
                <w:color w:val="auto"/>
              </w:rPr>
            </w:pPr>
          </w:p>
        </w:tc>
        <w:tc>
          <w:tcPr>
            <w:tcW w:w="908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116">
              <w:r>
                <w:rPr>
                  <w:rFonts w:ascii="Arial" w:cs="Arial" w:eastAsia="Arial" w:hAnsi="Arial"/>
                  <w:sz w:val="18"/>
                  <w:szCs w:val="18"/>
                  <w:color w:val="0000FF"/>
                  <w:w w:val="90"/>
                </w:rPr>
                <w:t>Parties party thereto, JPMorgan Chase Bank, N.A., as administrative agent, the Incremental Tranche A Term Lenders and the</w:t>
              </w:r>
            </w:hyperlink>
          </w:p>
        </w:tc>
        <w:tc>
          <w:tcPr>
            <w:tcW w:w="6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20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other Lenders party thereto.</w:t>
              </w:r>
            </w:hyperlink>
          </w:p>
        </w:tc>
        <w:tc>
          <w:tcPr>
            <w:tcW w:w="7020" w:type="dxa"/>
            <w:vAlign w:val="bottom"/>
            <w:tcBorders>
              <w:top w:val="single" w:sz="8" w:color="0000FF"/>
            </w:tcBorders>
            <w:gridSpan w:val="15"/>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10.7(p)</w:t>
            </w:r>
          </w:p>
        </w:tc>
        <w:tc>
          <w:tcPr>
            <w:tcW w:w="9140" w:type="dxa"/>
            <w:vAlign w:val="bottom"/>
            <w:gridSpan w:val="19"/>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Replacement Facility Amendment, dated as of June 30, 2015, among TriMas Company LLC, the other Loan Parties party</w:t>
              </w:r>
            </w:hyperlink>
          </w:p>
        </w:tc>
      </w:tr>
      <w:tr>
        <w:trPr>
          <w:trHeight w:val="155"/>
        </w:trPr>
        <w:tc>
          <w:tcPr>
            <w:tcW w:w="1540" w:type="dxa"/>
            <w:vAlign w:val="bottom"/>
          </w:tcPr>
          <w:p>
            <w:pPr>
              <w:spacing w:after="0"/>
              <w:rPr>
                <w:sz w:val="13"/>
                <w:szCs w:val="13"/>
                <w:color w:val="auto"/>
              </w:rPr>
            </w:pPr>
          </w:p>
        </w:tc>
        <w:tc>
          <w:tcPr>
            <w:tcW w:w="87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thereto, JPMorgan Chase Bank, N.A., as administrative agent, and the Lenders party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10.8(s)</w:t>
            </w:r>
          </w:p>
        </w:tc>
        <w:tc>
          <w:tcPr>
            <w:tcW w:w="9140" w:type="dxa"/>
            <w:vAlign w:val="bottom"/>
            <w:gridSpan w:val="19"/>
          </w:tcPr>
          <w:p>
            <w:pPr>
              <w:spacing w:after="0"/>
              <w:rPr>
                <w:rFonts w:ascii="Arial" w:cs="Arial" w:eastAsia="Arial" w:hAnsi="Arial"/>
                <w:sz w:val="18"/>
                <w:szCs w:val="18"/>
                <w:color w:val="0000FF"/>
                <w:w w:val="95"/>
              </w:rPr>
            </w:pPr>
            <w:hyperlink r:id="rId118">
              <w:r>
                <w:rPr>
                  <w:rFonts w:ascii="Arial" w:cs="Arial" w:eastAsia="Arial" w:hAnsi="Arial"/>
                  <w:sz w:val="18"/>
                  <w:szCs w:val="18"/>
                  <w:color w:val="0000FF"/>
                  <w:w w:val="95"/>
                </w:rPr>
                <w:t>Foreign Subsidiary Borrowing Agreement and Amendment dated as of January 10, 2017, among TriMas Company LLC,</w:t>
              </w:r>
            </w:hyperlink>
          </w:p>
        </w:tc>
      </w:tr>
      <w:tr>
        <w:trPr>
          <w:trHeight w:val="155"/>
        </w:trPr>
        <w:tc>
          <w:tcPr>
            <w:tcW w:w="154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TriMas Corporation, TriMas Corporation Limited, JPMorgan Chase Bank, N.A., as administrative agent for the Lenders</w:t>
              </w:r>
            </w:hyperlink>
          </w:p>
        </w:tc>
        <w:tc>
          <w:tcPr>
            <w:tcW w:w="200" w:type="dxa"/>
            <w:vAlign w:val="bottom"/>
            <w:tcBorders>
              <w:bottom w:val="single" w:sz="8" w:color="0000FF"/>
            </w:tcBorders>
            <w:gridSpan w:val="5"/>
          </w:tcPr>
          <w:p>
            <w:pPr>
              <w:spacing w:after="0" w:line="156" w:lineRule="exact"/>
              <w:rPr>
                <w:rFonts w:ascii="Arial" w:cs="Arial" w:eastAsia="Arial" w:hAnsi="Arial"/>
                <w:sz w:val="18"/>
                <w:szCs w:val="18"/>
                <w:color w:val="0000FF"/>
                <w:w w:val="71"/>
              </w:rPr>
            </w:pPr>
            <w:hyperlink r:id="rId118">
              <w:r>
                <w:rPr>
                  <w:rFonts w:ascii="Arial" w:cs="Arial" w:eastAsia="Arial" w:hAnsi="Arial"/>
                  <w:sz w:val="18"/>
                  <w:szCs w:val="18"/>
                  <w:color w:val="0000FF"/>
                  <w:w w:val="71"/>
                </w:rPr>
                <w:t>(as</w:t>
              </w:r>
            </w:hyperlink>
          </w:p>
        </w:tc>
        <w:tc>
          <w:tcPr>
            <w:tcW w:w="240" w:type="dxa"/>
            <w:vAlign w:val="bottom"/>
            <w:gridSpan w:val="6"/>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14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defined therein) and as Fronting Lender, JPMorgan Chase Bank, N.A., Bank of America, N.A. and Wells Fargo Bank, National</w:t>
              </w:r>
            </w:hyperlink>
          </w:p>
        </w:tc>
      </w:tr>
      <w:tr>
        <w:trPr>
          <w:trHeight w:val="195"/>
        </w:trPr>
        <w:tc>
          <w:tcPr>
            <w:tcW w:w="1540" w:type="dxa"/>
            <w:vAlign w:val="bottom"/>
          </w:tcPr>
          <w:p>
            <w:pPr>
              <w:spacing w:after="0"/>
              <w:rPr>
                <w:sz w:val="16"/>
                <w:szCs w:val="16"/>
                <w:color w:val="auto"/>
              </w:rPr>
            </w:pPr>
          </w:p>
        </w:tc>
        <w:tc>
          <w:tcPr>
            <w:tcW w:w="9140" w:type="dxa"/>
            <w:vAlign w:val="bottom"/>
            <w:gridSpan w:val="19"/>
          </w:tcPr>
          <w:p>
            <w:pPr>
              <w:spacing w:after="0" w:line="195" w:lineRule="exact"/>
              <w:rPr>
                <w:rFonts w:ascii="Arial" w:cs="Arial" w:eastAsia="Arial" w:hAnsi="Arial"/>
                <w:sz w:val="18"/>
                <w:szCs w:val="18"/>
                <w:u w:val="single" w:color="auto"/>
                <w:color w:val="0000FF"/>
                <w:w w:val="91"/>
              </w:rPr>
            </w:pPr>
            <w:hyperlink r:id="rId118">
              <w:r>
                <w:rPr>
                  <w:rFonts w:ascii="Arial" w:cs="Arial" w:eastAsia="Arial" w:hAnsi="Arial"/>
                  <w:sz w:val="18"/>
                  <w:szCs w:val="18"/>
                  <w:u w:val="single" w:color="auto"/>
                  <w:color w:val="0000FF"/>
                  <w:w w:val="91"/>
                </w:rPr>
                <w:t>Association, J.P. Morgan Europe Limited, in its capacity as Foreign Currency Agent, and the Revolving Lenders party hereto.</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10.9(s)</w:t>
            </w:r>
          </w:p>
        </w:tc>
        <w:tc>
          <w:tcPr>
            <w:tcW w:w="9140" w:type="dxa"/>
            <w:vAlign w:val="bottom"/>
            <w:gridSpan w:val="19"/>
          </w:tcPr>
          <w:p>
            <w:pPr>
              <w:spacing w:after="0" w:line="190"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Amendment, dated as of March 8, 2017 to the Credit Agreement, dated as of October 16, 2013 (as amended, amended and</w:t>
              </w:r>
            </w:hyperlink>
          </w:p>
        </w:tc>
      </w:tr>
      <w:tr>
        <w:trPr>
          <w:trHeight w:val="155"/>
        </w:trPr>
        <w:tc>
          <w:tcPr>
            <w:tcW w:w="1540" w:type="dxa"/>
            <w:vAlign w:val="bottom"/>
          </w:tcPr>
          <w:p>
            <w:pPr>
              <w:spacing w:after="0"/>
              <w:rPr>
                <w:sz w:val="13"/>
                <w:szCs w:val="13"/>
                <w:color w:val="auto"/>
              </w:rPr>
            </w:pPr>
          </w:p>
        </w:tc>
        <w:tc>
          <w:tcPr>
            <w:tcW w:w="88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restated, supplemented or otherwise modified from time to time), among TriMas Corporation, TriMas Company LLC, the</w:t>
              </w:r>
            </w:hyperlink>
          </w:p>
        </w:tc>
        <w:tc>
          <w:tcPr>
            <w:tcW w:w="20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8760" w:type="dxa"/>
            <w:vAlign w:val="bottom"/>
            <w:tcBorders>
              <w:top w:val="single" w:sz="8" w:color="0000FF"/>
            </w:tcBorders>
            <w:gridSpan w:val="10"/>
          </w:tcPr>
          <w:p>
            <w:pPr>
              <w:spacing w:after="0" w:line="156" w:lineRule="exact"/>
              <w:rPr>
                <w:rFonts w:ascii="Arial" w:cs="Arial" w:eastAsia="Arial" w:hAnsi="Arial"/>
                <w:sz w:val="18"/>
                <w:szCs w:val="18"/>
                <w:color w:val="0000FF"/>
                <w:w w:val="96"/>
              </w:rPr>
            </w:pPr>
            <w:hyperlink r:id="rId119">
              <w:r>
                <w:rPr>
                  <w:rFonts w:ascii="Arial" w:cs="Arial" w:eastAsia="Arial" w:hAnsi="Arial"/>
                  <w:sz w:val="18"/>
                  <w:szCs w:val="18"/>
                  <w:color w:val="0000FF"/>
                  <w:w w:val="96"/>
                </w:rPr>
                <w:t>subsidiary borrowers from time to time parties thereto, the Lenders party thereto, JPMorgan Chase Bank, N.A., as</w:t>
              </w:r>
            </w:hyperlink>
          </w:p>
        </w:tc>
        <w:tc>
          <w:tcPr>
            <w:tcW w:w="240" w:type="dxa"/>
            <w:vAlign w:val="bottom"/>
            <w:gridSpan w:val="5"/>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19">
              <w:r>
                <w:rPr>
                  <w:rFonts w:ascii="Arial" w:cs="Arial" w:eastAsia="Arial" w:hAnsi="Arial"/>
                  <w:sz w:val="18"/>
                  <w:szCs w:val="18"/>
                  <w:color w:val="0000FF"/>
                  <w:w w:val="88"/>
                </w:rPr>
                <w:t>administrative agent, and the other agents party thereto.</w:t>
              </w:r>
            </w:hyperlink>
          </w:p>
        </w:tc>
        <w:tc>
          <w:tcPr>
            <w:tcW w:w="4200" w:type="dxa"/>
            <w:vAlign w:val="bottom"/>
            <w:tcBorders>
              <w:top w:val="single" w:sz="8" w:color="0000FF"/>
            </w:tcBorders>
            <w:gridSpan w:val="4"/>
          </w:tcPr>
          <w:p>
            <w:pPr>
              <w:spacing w:after="0"/>
              <w:rPr>
                <w:sz w:val="13"/>
                <w:szCs w:val="13"/>
                <w:color w:val="auto"/>
              </w:rPr>
            </w:pPr>
          </w:p>
        </w:tc>
        <w:tc>
          <w:tcPr>
            <w:tcW w:w="800" w:type="dxa"/>
            <w:vAlign w:val="bottom"/>
            <w:gridSpan w:val="8"/>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8"/>
                <w:szCs w:val="18"/>
                <w:color w:val="auto"/>
              </w:rPr>
              <w:t>10.10(u)</w:t>
            </w:r>
          </w:p>
        </w:tc>
        <w:tc>
          <w:tcPr>
            <w:tcW w:w="9140" w:type="dxa"/>
            <w:vAlign w:val="bottom"/>
            <w:gridSpan w:val="19"/>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Replacement Facility Amendment, dated as September 20, 2017, among TriMas Company LLC, the other Loan Parties party</w:t>
              </w:r>
            </w:hyperlink>
          </w:p>
        </w:tc>
      </w:tr>
      <w:tr>
        <w:trPr>
          <w:trHeight w:val="156"/>
        </w:trPr>
        <w:tc>
          <w:tcPr>
            <w:tcW w:w="1540" w:type="dxa"/>
            <w:vAlign w:val="bottom"/>
          </w:tcPr>
          <w:p>
            <w:pPr>
              <w:spacing w:after="0"/>
              <w:rPr>
                <w:sz w:val="13"/>
                <w:szCs w:val="13"/>
                <w:color w:val="auto"/>
              </w:rPr>
            </w:pPr>
          </w:p>
        </w:tc>
        <w:tc>
          <w:tcPr>
            <w:tcW w:w="9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thereto, JPMorgan Chase Bank, N.A., as administrative agent, and the Lenders party thereto.**</w:t>
              </w:r>
            </w:hyperlink>
          </w:p>
        </w:tc>
        <w:tc>
          <w:tcPr>
            <w:tcW w:w="140" w:type="dxa"/>
            <w:vAlign w:val="bottom"/>
            <w:gridSpan w:val="4"/>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6840" w:type="dxa"/>
            <w:vAlign w:val="bottom"/>
            <w:gridSpan w:val="6"/>
            <w:shd w:val="clear" w:color="auto" w:fill="0000FF"/>
          </w:tcPr>
          <w:p>
            <w:pPr>
              <w:spacing w:after="0" w:line="20" w:lineRule="exact"/>
              <w:rPr>
                <w:sz w:val="1"/>
                <w:szCs w:val="1"/>
                <w:color w:val="auto"/>
              </w:rPr>
            </w:pPr>
          </w:p>
        </w:tc>
        <w:tc>
          <w:tcPr>
            <w:tcW w:w="2300" w:type="dxa"/>
            <w:vAlign w:val="bottom"/>
            <w:gridSpan w:val="13"/>
          </w:tcPr>
          <w:p>
            <w:pPr>
              <w:spacing w:after="0" w:line="20" w:lineRule="exact"/>
              <w:rPr>
                <w:sz w:val="1"/>
                <w:szCs w:val="1"/>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10.12(f)</w:t>
            </w:r>
          </w:p>
        </w:tc>
        <w:tc>
          <w:tcPr>
            <w:tcW w:w="9140" w:type="dxa"/>
            <w:vAlign w:val="bottom"/>
            <w:gridSpan w:val="19"/>
          </w:tcPr>
          <w:p>
            <w:pPr>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TriMas Corporation Long Term Equity Incentive Plan Non-Qualified Stock Option Agreement.*</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10.13(g)</w:t>
            </w:r>
          </w:p>
        </w:tc>
        <w:tc>
          <w:tcPr>
            <w:tcW w:w="9140" w:type="dxa"/>
            <w:vAlign w:val="bottom"/>
            <w:gridSpan w:val="19"/>
          </w:tcPr>
          <w:p>
            <w:pPr>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Flexible Cash Allowance Policy.*</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10.14(j)</w:t>
            </w:r>
          </w:p>
        </w:tc>
        <w:tc>
          <w:tcPr>
            <w:tcW w:w="9140" w:type="dxa"/>
            <w:vAlign w:val="bottom"/>
            <w:gridSpan w:val="19"/>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2011 TriMas Corporation Omnibus Incentive Compensation Plan.*</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10.15(k)</w:t>
            </w:r>
          </w:p>
        </w:tc>
        <w:tc>
          <w:tcPr>
            <w:tcW w:w="9200" w:type="dxa"/>
            <w:vAlign w:val="bottom"/>
            <w:gridSpan w:val="10"/>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Amendment No. 1 to the TriMas Corporation 2011 Omnibus Incentive Compensation Plan.*</w:t>
              </w:r>
            </w:hyperlink>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10.16(t)</w:t>
            </w:r>
          </w:p>
        </w:tc>
        <w:tc>
          <w:tcPr>
            <w:tcW w:w="9200" w:type="dxa"/>
            <w:vAlign w:val="bottom"/>
            <w:gridSpan w:val="10"/>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TriMas Corporation 2017 Equity and Incentive Compensation Plan.*</w:t>
              </w:r>
            </w:hyperlink>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10.17(l)</w:t>
            </w:r>
          </w:p>
        </w:tc>
        <w:tc>
          <w:tcPr>
            <w:tcW w:w="9200" w:type="dxa"/>
            <w:vAlign w:val="bottom"/>
            <w:gridSpan w:val="10"/>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Executive Severance / Change of Control Policy.*</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10.24(r)</w:t>
            </w:r>
          </w:p>
        </w:tc>
        <w:tc>
          <w:tcPr>
            <w:tcW w:w="9200" w:type="dxa"/>
            <w:vAlign w:val="bottom"/>
            <w:gridSpan w:val="10"/>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Non-Qualified Stock Option Agreement under the 2011 Omnibus Incentive Compensation Plan.*</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10.27(v)</w:t>
            </w:r>
          </w:p>
        </w:tc>
        <w:tc>
          <w:tcPr>
            <w:tcW w:w="9200" w:type="dxa"/>
            <w:vAlign w:val="bottom"/>
            <w:gridSpan w:val="10"/>
          </w:tcPr>
          <w:p>
            <w:pPr>
              <w:spacing w:after="0" w:line="190" w:lineRule="exact"/>
              <w:rPr>
                <w:rFonts w:ascii="Arial" w:cs="Arial" w:eastAsia="Arial" w:hAnsi="Arial"/>
                <w:sz w:val="18"/>
                <w:szCs w:val="18"/>
                <w:color w:val="0000FF"/>
              </w:rPr>
            </w:pPr>
            <w:hyperlink r:id="rId129">
              <w:r>
                <w:rPr>
                  <w:rFonts w:ascii="Arial" w:cs="Arial" w:eastAsia="Arial" w:hAnsi="Arial"/>
                  <w:sz w:val="18"/>
                  <w:szCs w:val="18"/>
                  <w:color w:val="0000FF"/>
                </w:rPr>
                <w:t>Form of Performance Stock Units Agreement (Three-Year-Vest) - 2018 LTI - under the 2017 Equity and Incentive</w:t>
              </w:r>
            </w:hyperlink>
          </w:p>
        </w:tc>
      </w:tr>
      <w:tr>
        <w:trPr>
          <w:trHeight w:val="155"/>
        </w:trPr>
        <w:tc>
          <w:tcPr>
            <w:tcW w:w="154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Compensation Plan.*</w:t>
              </w:r>
            </w:hyperlink>
          </w:p>
        </w:tc>
        <w:tc>
          <w:tcPr>
            <w:tcW w:w="666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10.28(v)</w:t>
            </w:r>
          </w:p>
        </w:tc>
        <w:tc>
          <w:tcPr>
            <w:tcW w:w="9200" w:type="dxa"/>
            <w:vAlign w:val="bottom"/>
            <w:gridSpan w:val="10"/>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Form of Restricted Stock Units Agreement (Three-Year Vest) - 2018 LTI - under the 2017 Equity and Incentive Compensation</w:t>
              </w:r>
            </w:hyperlink>
          </w:p>
        </w:tc>
      </w:tr>
      <w:tr>
        <w:trPr>
          <w:trHeight w:val="156"/>
        </w:trPr>
        <w:tc>
          <w:tcPr>
            <w:tcW w:w="1540" w:type="dxa"/>
            <w:vAlign w:val="bottom"/>
          </w:tcPr>
          <w:p>
            <w:pPr>
              <w:spacing w:after="0"/>
              <w:rPr>
                <w:sz w:val="13"/>
                <w:szCs w:val="13"/>
                <w:color w:val="auto"/>
              </w:rPr>
            </w:pPr>
          </w:p>
        </w:tc>
        <w:tc>
          <w:tcPr>
            <w:tcW w:w="9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Plan.*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8"/>
                <w:szCs w:val="18"/>
                <w:color w:val="auto"/>
              </w:rPr>
              <w:t>10.29(v)</w:t>
            </w:r>
          </w:p>
        </w:tc>
        <w:tc>
          <w:tcPr>
            <w:tcW w:w="9200" w:type="dxa"/>
            <w:vAlign w:val="bottom"/>
            <w:gridSpan w:val="10"/>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Form of Restricted Stock Units Agreement (Board Of Directors) (One-Year Vest) - 2018 LTI - under the 2017 Equity and</w:t>
              </w:r>
            </w:hyperlink>
          </w:p>
        </w:tc>
      </w:tr>
      <w:tr>
        <w:trPr>
          <w:trHeight w:val="155"/>
        </w:trPr>
        <w:tc>
          <w:tcPr>
            <w:tcW w:w="1540" w:type="dxa"/>
            <w:vAlign w:val="bottom"/>
          </w:tcPr>
          <w:p>
            <w:pPr>
              <w:spacing w:after="0"/>
              <w:rPr>
                <w:sz w:val="13"/>
                <w:szCs w:val="13"/>
                <w:color w:val="auto"/>
              </w:rPr>
            </w:pPr>
          </w:p>
        </w:tc>
        <w:tc>
          <w:tcPr>
            <w:tcW w:w="87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Incentive Compensation Plan.*</w:t>
              </w:r>
            </w:hyperlink>
          </w:p>
        </w:tc>
        <w:tc>
          <w:tcPr>
            <w:tcW w:w="4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10.30(n)</w:t>
            </w:r>
          </w:p>
        </w:tc>
        <w:tc>
          <w:tcPr>
            <w:tcW w:w="9200" w:type="dxa"/>
            <w:vAlign w:val="bottom"/>
            <w:gridSpan w:val="10"/>
          </w:tcPr>
          <w:p>
            <w:pPr>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2013 Form of Indemnification Agreement.*</w:t>
              </w:r>
            </w:hyperlink>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10.33(r)</w:t>
            </w:r>
          </w:p>
        </w:tc>
        <w:tc>
          <w:tcPr>
            <w:tcW w:w="9200" w:type="dxa"/>
            <w:vAlign w:val="bottom"/>
            <w:gridSpan w:val="10"/>
          </w:tcPr>
          <w:p>
            <w:pPr>
              <w:spacing w:after="0"/>
              <w:rPr>
                <w:rFonts w:ascii="Arial" w:cs="Arial" w:eastAsia="Arial" w:hAnsi="Arial"/>
                <w:sz w:val="18"/>
                <w:szCs w:val="18"/>
                <w:color w:val="0000FF"/>
              </w:rPr>
            </w:pPr>
            <w:hyperlink r:id="rId133">
              <w:r>
                <w:rPr>
                  <w:rFonts w:ascii="Arial" w:cs="Arial" w:eastAsia="Arial" w:hAnsi="Arial"/>
                  <w:sz w:val="18"/>
                  <w:szCs w:val="18"/>
                  <w:u w:val="single" w:color="auto"/>
                  <w:color w:val="0000FF"/>
                </w:rPr>
                <w:t>Offer Letter between TriMas Corporation and Thomas A. Amato dated July 23, 2016</w:t>
              </w:r>
              <w:r>
                <w:rPr>
                  <w:rFonts w:ascii="Arial" w:cs="Arial" w:eastAsia="Arial" w:hAnsi="Arial"/>
                  <w:sz w:val="18"/>
                  <w:szCs w:val="18"/>
                  <w:color w:val="0000FF"/>
                </w:rPr>
                <w:t>.</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10.34(x)</w:t>
            </w:r>
          </w:p>
        </w:tc>
        <w:tc>
          <w:tcPr>
            <w:tcW w:w="9200" w:type="dxa"/>
            <w:vAlign w:val="bottom"/>
            <w:gridSpan w:val="10"/>
          </w:tcPr>
          <w:p>
            <w:pPr>
              <w:spacing w:after="0" w:line="190" w:lineRule="exact"/>
              <w:rPr>
                <w:rFonts w:ascii="Arial" w:cs="Arial" w:eastAsia="Arial" w:hAnsi="Arial"/>
                <w:sz w:val="18"/>
                <w:szCs w:val="18"/>
                <w:color w:val="0000FF"/>
                <w:w w:val="96"/>
              </w:rPr>
            </w:pPr>
            <w:hyperlink r:id="rId134">
              <w:r>
                <w:rPr>
                  <w:rFonts w:ascii="Arial" w:cs="Arial" w:eastAsia="Arial" w:hAnsi="Arial"/>
                  <w:sz w:val="18"/>
                  <w:szCs w:val="18"/>
                  <w:color w:val="0000FF"/>
                  <w:w w:val="96"/>
                </w:rPr>
                <w:t>Form of Restricted Stock Units Agreement (Board of Directors) (One-Year Vest) - 2019 LTI - under the 2017 Equity and</w:t>
              </w:r>
            </w:hyperlink>
          </w:p>
        </w:tc>
      </w:tr>
      <w:tr>
        <w:trPr>
          <w:trHeight w:val="156"/>
        </w:trPr>
        <w:tc>
          <w:tcPr>
            <w:tcW w:w="1540" w:type="dxa"/>
            <w:vAlign w:val="bottom"/>
          </w:tcPr>
          <w:p>
            <w:pPr>
              <w:spacing w:after="0"/>
              <w:rPr>
                <w:sz w:val="13"/>
                <w:szCs w:val="13"/>
                <w:color w:val="auto"/>
              </w:rPr>
            </w:pPr>
          </w:p>
        </w:tc>
        <w:tc>
          <w:tcPr>
            <w:tcW w:w="86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Incentive Compensation Plan.*</w:t>
              </w:r>
            </w:hyperlink>
          </w:p>
        </w:tc>
        <w:tc>
          <w:tcPr>
            <w:tcW w:w="5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10.35(x)</w:t>
            </w:r>
          </w:p>
        </w:tc>
        <w:tc>
          <w:tcPr>
            <w:tcW w:w="9200" w:type="dxa"/>
            <w:vAlign w:val="bottom"/>
            <w:gridSpan w:val="10"/>
          </w:tcPr>
          <w:p>
            <w:pPr>
              <w:spacing w:after="0"/>
              <w:rPr>
                <w:rFonts w:ascii="Arial" w:cs="Arial" w:eastAsia="Arial" w:hAnsi="Arial"/>
                <w:sz w:val="18"/>
                <w:szCs w:val="18"/>
                <w:u w:val="single" w:color="auto"/>
                <w:color w:val="0000FF"/>
                <w:w w:val="99"/>
              </w:rPr>
            </w:pPr>
            <w:hyperlink r:id="rId135">
              <w:r>
                <w:rPr>
                  <w:rFonts w:ascii="Arial" w:cs="Arial" w:eastAsia="Arial" w:hAnsi="Arial"/>
                  <w:sz w:val="18"/>
                  <w:szCs w:val="18"/>
                  <w:u w:val="single" w:color="auto"/>
                  <w:color w:val="0000FF"/>
                  <w:w w:val="99"/>
                </w:rPr>
                <w:t>Form of Performance Stock Units Agreement - 2019 LTI - under the 2017 Equity and Incentive Compensation Plan.*</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10.36(x)</w:t>
            </w:r>
          </w:p>
        </w:tc>
        <w:tc>
          <w:tcPr>
            <w:tcW w:w="9200" w:type="dxa"/>
            <w:vAlign w:val="bottom"/>
            <w:gridSpan w:val="10"/>
          </w:tcPr>
          <w:p>
            <w:pPr>
              <w:spacing w:after="0" w:line="190"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Form of Restricted Stock Units Agreement (Three-Year Vest) - 2019 LTI - under the 2017 Equity and Incentive Compensation</w:t>
              </w:r>
            </w:hyperlink>
          </w:p>
        </w:tc>
      </w:tr>
      <w:tr>
        <w:trPr>
          <w:trHeight w:val="156"/>
        </w:trPr>
        <w:tc>
          <w:tcPr>
            <w:tcW w:w="1540" w:type="dxa"/>
            <w:vAlign w:val="bottom"/>
          </w:tcPr>
          <w:p>
            <w:pPr>
              <w:spacing w:after="0"/>
              <w:rPr>
                <w:sz w:val="13"/>
                <w:szCs w:val="13"/>
                <w:color w:val="auto"/>
              </w:rPr>
            </w:pPr>
          </w:p>
        </w:tc>
        <w:tc>
          <w:tcPr>
            <w:tcW w:w="9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Plan.*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10.37(y)</w:t>
            </w:r>
          </w:p>
        </w:tc>
        <w:tc>
          <w:tcPr>
            <w:tcW w:w="9200" w:type="dxa"/>
            <w:vAlign w:val="bottom"/>
            <w:gridSpan w:val="10"/>
          </w:tcPr>
          <w:p>
            <w:pPr>
              <w:spacing w:after="0"/>
              <w:rPr>
                <w:rFonts w:ascii="Arial" w:cs="Arial" w:eastAsia="Arial" w:hAnsi="Arial"/>
                <w:sz w:val="18"/>
                <w:szCs w:val="18"/>
                <w:u w:val="single" w:color="auto"/>
                <w:color w:val="0000FF"/>
                <w:w w:val="92"/>
              </w:rPr>
            </w:pPr>
            <w:hyperlink r:id="rId137">
              <w:r>
                <w:rPr>
                  <w:rFonts w:ascii="Arial" w:cs="Arial" w:eastAsia="Arial" w:hAnsi="Arial"/>
                  <w:sz w:val="18"/>
                  <w:szCs w:val="18"/>
                  <w:u w:val="single" w:color="auto"/>
                  <w:color w:val="0000FF"/>
                  <w:w w:val="92"/>
                </w:rPr>
                <w:t>Form of Special Performance Stock Units Agreement - 2019 LTI - under the 2017 Equity and Incentive Compensation Plan.*</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10.38(z)</w:t>
            </w:r>
          </w:p>
        </w:tc>
        <w:tc>
          <w:tcPr>
            <w:tcW w:w="9200" w:type="dxa"/>
            <w:vAlign w:val="bottom"/>
            <w:gridSpan w:val="10"/>
          </w:tcPr>
          <w:p>
            <w:pPr>
              <w:spacing w:after="0"/>
              <w:rPr>
                <w:rFonts w:ascii="Arial" w:cs="Arial" w:eastAsia="Arial" w:hAnsi="Arial"/>
                <w:sz w:val="18"/>
                <w:szCs w:val="18"/>
                <w:u w:val="single" w:color="auto"/>
                <w:color w:val="0000FF"/>
                <w:w w:val="99"/>
              </w:rPr>
            </w:pPr>
            <w:hyperlink r:id="rId138">
              <w:r>
                <w:rPr>
                  <w:rFonts w:ascii="Arial" w:cs="Arial" w:eastAsia="Arial" w:hAnsi="Arial"/>
                  <w:sz w:val="18"/>
                  <w:szCs w:val="18"/>
                  <w:u w:val="single" w:color="auto"/>
                  <w:color w:val="0000FF"/>
                  <w:w w:val="99"/>
                </w:rPr>
                <w:t>Form of Performance Stock Units Agreement - 2020 LTI - under the 2017 Equity and Incentive Compensation Plan.*</w:t>
              </w:r>
            </w:hyperlink>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10.39(z)</w:t>
            </w:r>
          </w:p>
        </w:tc>
        <w:tc>
          <w:tcPr>
            <w:tcW w:w="9200" w:type="dxa"/>
            <w:vAlign w:val="bottom"/>
            <w:gridSpan w:val="10"/>
          </w:tcPr>
          <w:p>
            <w:pPr>
              <w:spacing w:after="0" w:line="190"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Form of Restricted Stock Units Agreement - (Three Year Vest) - 2020 LTI - under the 2017 Equity and Incentive Compensation</w:t>
              </w:r>
            </w:hyperlink>
          </w:p>
        </w:tc>
      </w:tr>
      <w:tr>
        <w:trPr>
          <w:trHeight w:val="156"/>
        </w:trPr>
        <w:tc>
          <w:tcPr>
            <w:tcW w:w="1540" w:type="dxa"/>
            <w:vAlign w:val="bottom"/>
          </w:tcPr>
          <w:p>
            <w:pPr>
              <w:spacing w:after="0"/>
              <w:rPr>
                <w:sz w:val="13"/>
                <w:szCs w:val="13"/>
                <w:color w:val="auto"/>
              </w:rPr>
            </w:pPr>
          </w:p>
        </w:tc>
        <w:tc>
          <w:tcPr>
            <w:tcW w:w="91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8"/>
                <w:szCs w:val="18"/>
                <w:color w:val="auto"/>
              </w:rPr>
              <w:t>10.40(z)</w:t>
            </w:r>
          </w:p>
        </w:tc>
        <w:tc>
          <w:tcPr>
            <w:tcW w:w="9200" w:type="dxa"/>
            <w:vAlign w:val="bottom"/>
            <w:gridSpan w:val="10"/>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Restricted Stock Units Agreement - (Board of Directors) - 2020 LTI - under the 2017 Equity and Incentive</w:t>
              </w:r>
            </w:hyperlink>
          </w:p>
        </w:tc>
      </w:tr>
      <w:tr>
        <w:trPr>
          <w:trHeight w:val="156"/>
        </w:trPr>
        <w:tc>
          <w:tcPr>
            <w:tcW w:w="154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Compensation Plan.*</w:t>
              </w:r>
            </w:hyperlink>
          </w:p>
        </w:tc>
        <w:tc>
          <w:tcPr>
            <w:tcW w:w="6760" w:type="dxa"/>
            <w:vAlign w:val="bottom"/>
            <w:tcBorders>
              <w:top w:val="single" w:sz="8" w:color="0000FF"/>
            </w:tcBorders>
            <w:gridSpan w:val="3"/>
          </w:tcPr>
          <w:p>
            <w:pPr>
              <w:spacing w:after="0"/>
              <w:rPr>
                <w:sz w:val="13"/>
                <w:szCs w:val="13"/>
                <w:color w:val="auto"/>
              </w:rPr>
            </w:pPr>
          </w:p>
        </w:tc>
        <w:tc>
          <w:tcPr>
            <w:tcW w:w="900" w:type="dxa"/>
            <w:vAlign w:val="bottom"/>
            <w:gridSpan w:val="5"/>
          </w:tcPr>
          <w:p>
            <w:pPr>
              <w:spacing w:after="0"/>
              <w:rPr>
                <w:sz w:val="13"/>
                <w:szCs w:val="13"/>
                <w:color w:val="auto"/>
              </w:rPr>
            </w:pPr>
          </w:p>
        </w:tc>
      </w:tr>
      <w:tr>
        <w:trPr>
          <w:trHeight w:val="249"/>
        </w:trPr>
        <w:tc>
          <w:tcPr>
            <w:tcW w:w="1540" w:type="dxa"/>
            <w:vAlign w:val="bottom"/>
          </w:tcPr>
          <w:p>
            <w:pPr>
              <w:spacing w:after="0"/>
              <w:rPr>
                <w:sz w:val="20"/>
                <w:szCs w:val="20"/>
                <w:color w:val="auto"/>
              </w:rPr>
            </w:pPr>
            <w:r>
              <w:rPr>
                <w:rFonts w:ascii="Arial" w:cs="Arial" w:eastAsia="Arial" w:hAnsi="Arial"/>
                <w:sz w:val="18"/>
                <w:szCs w:val="18"/>
                <w:color w:val="auto"/>
              </w:rPr>
              <w:t>21.1</w:t>
            </w:r>
          </w:p>
        </w:tc>
        <w:tc>
          <w:tcPr>
            <w:tcW w:w="9200" w:type="dxa"/>
            <w:vAlign w:val="bottom"/>
            <w:gridSpan w:val="10"/>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TriMas Corporation Subsidiary List.</w:t>
              </w:r>
            </w:hyperlink>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23.1</w:t>
            </w:r>
          </w:p>
        </w:tc>
        <w:tc>
          <w:tcPr>
            <w:tcW w:w="9200" w:type="dxa"/>
            <w:vAlign w:val="bottom"/>
            <w:gridSpan w:val="10"/>
          </w:tcPr>
          <w:p>
            <w:pPr>
              <w:spacing w:after="0"/>
              <w:rPr>
                <w:rFonts w:ascii="Arial" w:cs="Arial" w:eastAsia="Arial" w:hAnsi="Arial"/>
                <w:sz w:val="18"/>
                <w:szCs w:val="18"/>
                <w:color w:val="0000FF"/>
              </w:rPr>
            </w:pPr>
            <w:hyperlink w:anchor="page102">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31.1</w:t>
            </w:r>
          </w:p>
        </w:tc>
        <w:tc>
          <w:tcPr>
            <w:tcW w:w="9200" w:type="dxa"/>
            <w:vAlign w:val="bottom"/>
            <w:gridSpan w:val="10"/>
          </w:tcPr>
          <w:p>
            <w:pPr>
              <w:spacing w:after="0" w:line="207" w:lineRule="exact"/>
              <w:rPr>
                <w:rFonts w:ascii="Arial" w:cs="Arial" w:eastAsia="Arial" w:hAnsi="Arial"/>
                <w:sz w:val="18"/>
                <w:szCs w:val="18"/>
                <w:u w:val="single" w:color="auto"/>
                <w:color w:val="0000FF"/>
                <w:w w:val="95"/>
              </w:rPr>
            </w:pPr>
            <w:hyperlink w:anchor="page103">
              <w:r>
                <w:rPr>
                  <w:rFonts w:ascii="Arial" w:cs="Arial" w:eastAsia="Arial" w:hAnsi="Arial"/>
                  <w:sz w:val="18"/>
                  <w:szCs w:val="18"/>
                  <w:u w:val="single" w:color="auto"/>
                  <w:color w:val="0000FF"/>
                  <w:w w:val="95"/>
                </w:rPr>
                <w:t>Certification pursuant to 18 U.S.C. Section 1350, as adopted pursuant to Section 302 of the Sarbanes</w:t>
              </w:r>
              <w:r>
                <w:rPr>
                  <w:rFonts w:ascii="MS PGothic" w:cs="MS PGothic" w:eastAsia="MS PGothic" w:hAnsi="MS PGothic"/>
                  <w:sz w:val="18"/>
                  <w:szCs w:val="18"/>
                  <w:u w:val="single" w:color="auto"/>
                  <w:color w:val="0000FF"/>
                  <w:w w:val="95"/>
                </w:rPr>
                <w:t>‑</w:t>
              </w:r>
              <w:r>
                <w:rPr>
                  <w:rFonts w:ascii="Arial" w:cs="Arial" w:eastAsia="Arial" w:hAnsi="Arial"/>
                  <w:sz w:val="18"/>
                  <w:szCs w:val="18"/>
                  <w:u w:val="single" w:color="auto"/>
                  <w:color w:val="0000FF"/>
                  <w:w w:val="95"/>
                </w:rPr>
                <w:t>Oxley Act of 2002.</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31.2</w:t>
            </w:r>
          </w:p>
        </w:tc>
        <w:tc>
          <w:tcPr>
            <w:tcW w:w="9200" w:type="dxa"/>
            <w:vAlign w:val="bottom"/>
            <w:gridSpan w:val="10"/>
          </w:tcPr>
          <w:p>
            <w:pPr>
              <w:spacing w:after="0" w:line="207" w:lineRule="exact"/>
              <w:rPr>
                <w:rFonts w:ascii="Arial" w:cs="Arial" w:eastAsia="Arial" w:hAnsi="Arial"/>
                <w:sz w:val="18"/>
                <w:szCs w:val="18"/>
                <w:u w:val="single" w:color="auto"/>
                <w:color w:val="0000FF"/>
                <w:w w:val="95"/>
              </w:rPr>
            </w:pPr>
            <w:hyperlink w:anchor="page104">
              <w:r>
                <w:rPr>
                  <w:rFonts w:ascii="Arial" w:cs="Arial" w:eastAsia="Arial" w:hAnsi="Arial"/>
                  <w:sz w:val="18"/>
                  <w:szCs w:val="18"/>
                  <w:u w:val="single" w:color="auto"/>
                  <w:color w:val="0000FF"/>
                  <w:w w:val="95"/>
                </w:rPr>
                <w:t>Certification pursuant to 18 U.S.C. Section 1350, as adopted pursuant to Section 302 of the Sarbanes</w:t>
              </w:r>
              <w:r>
                <w:rPr>
                  <w:rFonts w:ascii="MS PGothic" w:cs="MS PGothic" w:eastAsia="MS PGothic" w:hAnsi="MS PGothic"/>
                  <w:sz w:val="18"/>
                  <w:szCs w:val="18"/>
                  <w:u w:val="single" w:color="auto"/>
                  <w:color w:val="0000FF"/>
                  <w:w w:val="95"/>
                </w:rPr>
                <w:t>‑</w:t>
              </w:r>
              <w:r>
                <w:rPr>
                  <w:rFonts w:ascii="Arial" w:cs="Arial" w:eastAsia="Arial" w:hAnsi="Arial"/>
                  <w:sz w:val="18"/>
                  <w:szCs w:val="18"/>
                  <w:u w:val="single" w:color="auto"/>
                  <w:color w:val="0000FF"/>
                  <w:w w:val="95"/>
                </w:rPr>
                <w:t>Oxley Act of 2002.</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32.1</w:t>
            </w:r>
          </w:p>
        </w:tc>
        <w:tc>
          <w:tcPr>
            <w:tcW w:w="9200" w:type="dxa"/>
            <w:vAlign w:val="bottom"/>
            <w:gridSpan w:val="10"/>
          </w:tcPr>
          <w:p>
            <w:pPr>
              <w:spacing w:after="0" w:line="207" w:lineRule="exact"/>
              <w:rPr>
                <w:rFonts w:ascii="Arial" w:cs="Arial" w:eastAsia="Arial" w:hAnsi="Arial"/>
                <w:sz w:val="18"/>
                <w:szCs w:val="18"/>
                <w:u w:val="single" w:color="auto"/>
                <w:color w:val="0000FF"/>
                <w:w w:val="95"/>
              </w:rPr>
            </w:pPr>
            <w:hyperlink w:anchor="page105">
              <w:r>
                <w:rPr>
                  <w:rFonts w:ascii="Arial" w:cs="Arial" w:eastAsia="Arial" w:hAnsi="Arial"/>
                  <w:sz w:val="18"/>
                  <w:szCs w:val="18"/>
                  <w:u w:val="single" w:color="auto"/>
                  <w:color w:val="0000FF"/>
                  <w:w w:val="95"/>
                </w:rPr>
                <w:t>Certification pursuant to 18 U.S.C. Section 1350, as adopted pursuant to Section 906 of the Sarbanes</w:t>
              </w:r>
              <w:r>
                <w:rPr>
                  <w:rFonts w:ascii="MS PGothic" w:cs="MS PGothic" w:eastAsia="MS PGothic" w:hAnsi="MS PGothic"/>
                  <w:sz w:val="18"/>
                  <w:szCs w:val="18"/>
                  <w:u w:val="single" w:color="auto"/>
                  <w:color w:val="0000FF"/>
                  <w:w w:val="95"/>
                </w:rPr>
                <w:t>‑</w:t>
              </w:r>
              <w:r>
                <w:rPr>
                  <w:rFonts w:ascii="Arial" w:cs="Arial" w:eastAsia="Arial" w:hAnsi="Arial"/>
                  <w:sz w:val="18"/>
                  <w:szCs w:val="18"/>
                  <w:u w:val="single" w:color="auto"/>
                  <w:color w:val="0000FF"/>
                  <w:w w:val="95"/>
                </w:rPr>
                <w:t>Oxley Act of 2002.</w:t>
              </w:r>
            </w:hyperlink>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32.2</w:t>
            </w:r>
          </w:p>
        </w:tc>
        <w:tc>
          <w:tcPr>
            <w:tcW w:w="9200" w:type="dxa"/>
            <w:vAlign w:val="bottom"/>
            <w:gridSpan w:val="10"/>
          </w:tcPr>
          <w:p>
            <w:pPr>
              <w:spacing w:after="0" w:line="207" w:lineRule="exact"/>
              <w:rPr>
                <w:rFonts w:ascii="Arial" w:cs="Arial" w:eastAsia="Arial" w:hAnsi="Arial"/>
                <w:sz w:val="18"/>
                <w:szCs w:val="18"/>
                <w:u w:val="single" w:color="auto"/>
                <w:color w:val="0000FF"/>
                <w:w w:val="95"/>
              </w:rPr>
            </w:pPr>
            <w:hyperlink w:anchor="page106">
              <w:r>
                <w:rPr>
                  <w:rFonts w:ascii="Arial" w:cs="Arial" w:eastAsia="Arial" w:hAnsi="Arial"/>
                  <w:sz w:val="18"/>
                  <w:szCs w:val="18"/>
                  <w:u w:val="single" w:color="auto"/>
                  <w:color w:val="0000FF"/>
                  <w:w w:val="95"/>
                </w:rPr>
                <w:t>Certification pursuant to 18 U.S.C. Section 1350, as adopted pursuant to Section 906 of the Sarbanes</w:t>
              </w:r>
              <w:r>
                <w:rPr>
                  <w:rFonts w:ascii="MS PGothic" w:cs="MS PGothic" w:eastAsia="MS PGothic" w:hAnsi="MS PGothic"/>
                  <w:sz w:val="18"/>
                  <w:szCs w:val="18"/>
                  <w:u w:val="single" w:color="auto"/>
                  <w:color w:val="0000FF"/>
                  <w:w w:val="95"/>
                </w:rPr>
                <w:t>‑</w:t>
              </w:r>
              <w:r>
                <w:rPr>
                  <w:rFonts w:ascii="Arial" w:cs="Arial" w:eastAsia="Arial" w:hAnsi="Arial"/>
                  <w:sz w:val="18"/>
                  <w:szCs w:val="18"/>
                  <w:u w:val="single" w:color="auto"/>
                  <w:color w:val="0000FF"/>
                  <w:w w:val="95"/>
                </w:rPr>
                <w:t>Oxley Act of 2002.</w:t>
              </w:r>
            </w:hyperlink>
          </w:p>
        </w:tc>
      </w:tr>
    </w:tbl>
    <w:p>
      <w:pPr>
        <w:ind w:left="1760" w:right="300" w:hanging="1532"/>
        <w:spacing w:after="0" w:line="216" w:lineRule="auto"/>
        <w:tabs>
          <w:tab w:leader="none" w:pos="1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materials from TriMas Corporation's Annual Report on Form 10-K for the fiscal year ended December 31, 2020, formatted in Inline XBRL (eXtensible Business Reporting Language): (i) the Consolidated Balance Sheet, (ii) the Consolidated Statement of Operations, (iii) the Consolidated Statement of Comprehensive Income, (iv) the Consolidated Statement of Cash Flows, (v) the Consolidated Statement of Shareholders' Equity, (vi) Notes to Consolidated Financial Statements, and (vii) document and entity information.</w:t>
      </w:r>
    </w:p>
    <w:p>
      <w:pPr>
        <w:ind w:left="220"/>
        <w:spacing w:after="0"/>
        <w:tabs>
          <w:tab w:leader="none" w:pos="1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an exhibit pursuant to Item 15(b) of Form 10-K.</w:t>
      </w:r>
    </w:p>
    <w:p>
      <w:pPr>
        <w:spacing w:after="0" w:line="252" w:lineRule="exact"/>
        <w:rPr>
          <w:sz w:val="20"/>
          <w:szCs w:val="20"/>
          <w:color w:val="auto"/>
        </w:rPr>
      </w:pPr>
    </w:p>
    <w:p>
      <w:pPr>
        <w:ind w:firstLine="8"/>
        <w:spacing w:after="0" w:line="277" w:lineRule="auto"/>
        <w:tabs>
          <w:tab w:leader="none" w:pos="2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24" w:lineRule="exact"/>
        <w:rPr>
          <w:sz w:val="20"/>
          <w:szCs w:val="20"/>
          <w:color w:val="auto"/>
        </w:rPr>
      </w:pPr>
    </w:p>
    <w:p>
      <w:pPr>
        <w:ind w:left="1400" w:right="700" w:hanging="881"/>
        <w:spacing w:after="0" w:line="235"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ind w:left="1400" w:hanging="881"/>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6, 2009 (File No. 001-10716).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0" w:hanging="881"/>
        <w:spacing w:after="0"/>
        <w:tabs>
          <w:tab w:leader="none" w:pos="1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December 10, 2009 (File No. 001-10716).</w:t>
      </w:r>
    </w:p>
    <w:p>
      <w:pPr>
        <w:spacing w:after="0" w:line="46" w:lineRule="exact"/>
        <w:rPr>
          <w:sz w:val="20"/>
          <w:szCs w:val="20"/>
          <w:color w:val="auto"/>
        </w:rPr>
      </w:pPr>
    </w:p>
    <w:p>
      <w:pPr>
        <w:ind w:left="1400" w:hanging="881"/>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December 18, 2015 (File No. 001-10716).</w:t>
      </w:r>
    </w:p>
    <w:p>
      <w:pPr>
        <w:spacing w:after="0" w:line="45" w:lineRule="exact"/>
        <w:rPr>
          <w:rFonts w:ascii="Arial" w:cs="Arial" w:eastAsia="Arial" w:hAnsi="Arial"/>
          <w:sz w:val="16"/>
          <w:szCs w:val="16"/>
          <w:color w:val="auto"/>
        </w:rPr>
      </w:pPr>
    </w:p>
    <w:p>
      <w:pPr>
        <w:ind w:left="1400" w:hanging="881"/>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April 4, 2011 (File No. 001-10716).</w:t>
      </w:r>
    </w:p>
    <w:p>
      <w:pPr>
        <w:spacing w:after="0" w:line="34" w:lineRule="exact"/>
        <w:rPr>
          <w:rFonts w:ascii="Arial" w:cs="Arial" w:eastAsia="Arial" w:hAnsi="Arial"/>
          <w:sz w:val="17"/>
          <w:szCs w:val="17"/>
          <w:color w:val="auto"/>
        </w:rPr>
      </w:pPr>
    </w:p>
    <w:p>
      <w:pPr>
        <w:ind w:left="1400" w:hanging="881"/>
        <w:spacing w:after="0" w:line="234"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Appendix A filed with our Definitive Proxy Statement on Schedule 14A filed on April 5, 2013 (File No. 001-10716).</w:t>
      </w:r>
    </w:p>
    <w:p>
      <w:pPr>
        <w:spacing w:after="0" w:line="1" w:lineRule="exact"/>
        <w:rPr>
          <w:rFonts w:ascii="Arial" w:cs="Arial" w:eastAsia="Arial" w:hAnsi="Arial"/>
          <w:sz w:val="18"/>
          <w:szCs w:val="18"/>
          <w:color w:val="auto"/>
        </w:rPr>
      </w:pPr>
    </w:p>
    <w:p>
      <w:pPr>
        <w:ind w:left="1400" w:hanging="881"/>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March 7, 2019 (File No. 001-10716).</w:t>
      </w:r>
    </w:p>
    <w:p>
      <w:pPr>
        <w:spacing w:after="0" w:line="34" w:lineRule="exact"/>
        <w:rPr>
          <w:rFonts w:ascii="Arial" w:cs="Arial" w:eastAsia="Arial" w:hAnsi="Arial"/>
          <w:sz w:val="17"/>
          <w:szCs w:val="17"/>
          <w:color w:val="auto"/>
        </w:rPr>
      </w:pPr>
    </w:p>
    <w:p>
      <w:pPr>
        <w:ind w:left="1400" w:hanging="881"/>
        <w:spacing w:after="0"/>
        <w:tabs>
          <w:tab w:leader="none" w:pos="1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October 21, 2013 (File No. 001-10716).</w:t>
      </w:r>
    </w:p>
    <w:p>
      <w:pPr>
        <w:spacing w:after="0" w:line="34" w:lineRule="exact"/>
        <w:rPr>
          <w:rFonts w:ascii="Arial" w:cs="Arial" w:eastAsia="Arial" w:hAnsi="Arial"/>
          <w:sz w:val="17"/>
          <w:szCs w:val="17"/>
          <w:color w:val="auto"/>
        </w:rPr>
      </w:pPr>
    </w:p>
    <w:p>
      <w:pPr>
        <w:ind w:left="1400" w:hanging="881"/>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November 13, 2013 (File No. 001-10716).</w:t>
      </w:r>
    </w:p>
    <w:p>
      <w:pPr>
        <w:spacing w:after="0" w:line="45" w:lineRule="exact"/>
        <w:rPr>
          <w:rFonts w:ascii="Arial" w:cs="Arial" w:eastAsia="Arial" w:hAnsi="Arial"/>
          <w:sz w:val="16"/>
          <w:szCs w:val="16"/>
          <w:color w:val="auto"/>
        </w:rPr>
      </w:pPr>
    </w:p>
    <w:p>
      <w:pPr>
        <w:ind w:left="1400" w:right="220" w:hanging="881"/>
        <w:spacing w:after="0" w:line="234"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October 20, 2014 (File No. 001-10716).</w:t>
      </w:r>
    </w:p>
    <w:p>
      <w:pPr>
        <w:spacing w:after="0" w:line="1" w:lineRule="exact"/>
        <w:rPr>
          <w:rFonts w:ascii="Arial" w:cs="Arial" w:eastAsia="Arial" w:hAnsi="Arial"/>
          <w:sz w:val="18"/>
          <w:szCs w:val="18"/>
          <w:color w:val="auto"/>
        </w:rPr>
      </w:pPr>
    </w:p>
    <w:p>
      <w:pPr>
        <w:ind w:left="1400" w:hanging="881"/>
        <w:spacing w:after="0"/>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Current Report on Form 8-K filed on July 6, 2015 (File No. 001-10716).</w:t>
      </w:r>
    </w:p>
    <w:p>
      <w:pPr>
        <w:spacing w:after="0" w:line="46" w:lineRule="exact"/>
        <w:rPr>
          <w:sz w:val="20"/>
          <w:szCs w:val="20"/>
          <w:color w:val="auto"/>
        </w:rPr>
      </w:pPr>
    </w:p>
    <w:p>
      <w:pPr>
        <w:ind w:left="140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October 27, 2016 (File No. 001-10716).</w:t>
      </w:r>
    </w:p>
    <w:p>
      <w:pPr>
        <w:spacing w:after="0" w:line="1" w:lineRule="exact"/>
        <w:rPr>
          <w:rFonts w:ascii="Arial" w:cs="Arial" w:eastAsia="Arial" w:hAnsi="Arial"/>
          <w:sz w:val="18"/>
          <w:szCs w:val="18"/>
          <w:color w:val="auto"/>
        </w:rPr>
      </w:pPr>
    </w:p>
    <w:p>
      <w:pPr>
        <w:ind w:left="1400" w:right="20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27, 2017 (File No. 001-10716).</w:t>
      </w:r>
    </w:p>
    <w:p>
      <w:pPr>
        <w:spacing w:after="0" w:line="1" w:lineRule="exact"/>
        <w:rPr>
          <w:rFonts w:ascii="Arial" w:cs="Arial" w:eastAsia="Arial" w:hAnsi="Arial"/>
          <w:sz w:val="18"/>
          <w:szCs w:val="18"/>
          <w:color w:val="auto"/>
        </w:rPr>
      </w:pPr>
    </w:p>
    <w:p>
      <w:pPr>
        <w:ind w:left="1400" w:right="28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27, 2017 (File No. 001-10716).</w:t>
      </w:r>
    </w:p>
    <w:p>
      <w:pPr>
        <w:spacing w:after="0" w:line="1" w:lineRule="exact"/>
        <w:rPr>
          <w:rFonts w:ascii="Arial" w:cs="Arial" w:eastAsia="Arial" w:hAnsi="Arial"/>
          <w:sz w:val="18"/>
          <w:szCs w:val="18"/>
          <w:color w:val="auto"/>
        </w:rPr>
      </w:pPr>
    </w:p>
    <w:p>
      <w:pPr>
        <w:ind w:left="1400" w:right="4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September 20, 2017 (File No. 001-10716).</w:t>
      </w:r>
    </w:p>
    <w:p>
      <w:pPr>
        <w:spacing w:after="0" w:line="1" w:lineRule="exact"/>
        <w:rPr>
          <w:rFonts w:ascii="Arial" w:cs="Arial" w:eastAsia="Arial" w:hAnsi="Arial"/>
          <w:sz w:val="18"/>
          <w:szCs w:val="18"/>
          <w:color w:val="auto"/>
        </w:rPr>
      </w:pPr>
    </w:p>
    <w:p>
      <w:pPr>
        <w:ind w:left="1400" w:right="14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2018 (File No. 001-10716).</w:t>
      </w:r>
    </w:p>
    <w:p>
      <w:pPr>
        <w:spacing w:after="0" w:line="1" w:lineRule="exact"/>
        <w:rPr>
          <w:rFonts w:ascii="Arial" w:cs="Arial" w:eastAsia="Arial" w:hAnsi="Arial"/>
          <w:sz w:val="18"/>
          <w:szCs w:val="18"/>
          <w:color w:val="auto"/>
        </w:rPr>
      </w:pPr>
    </w:p>
    <w:p>
      <w:pPr>
        <w:ind w:left="1400" w:hanging="881"/>
        <w:spacing w:after="0"/>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December 20, 2019 (File No. 001-10716).</w:t>
      </w:r>
    </w:p>
    <w:p>
      <w:pPr>
        <w:spacing w:after="0" w:line="45" w:lineRule="exact"/>
        <w:rPr>
          <w:rFonts w:ascii="Arial" w:cs="Arial" w:eastAsia="Arial" w:hAnsi="Arial"/>
          <w:sz w:val="16"/>
          <w:szCs w:val="16"/>
          <w:color w:val="auto"/>
        </w:rPr>
      </w:pPr>
    </w:p>
    <w:p>
      <w:pPr>
        <w:ind w:left="1400" w:right="28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30, 2019 (File No. 001-10716).</w:t>
      </w:r>
    </w:p>
    <w:p>
      <w:pPr>
        <w:spacing w:after="0" w:line="1" w:lineRule="exact"/>
        <w:rPr>
          <w:rFonts w:ascii="Arial" w:cs="Arial" w:eastAsia="Arial" w:hAnsi="Arial"/>
          <w:sz w:val="18"/>
          <w:szCs w:val="18"/>
          <w:color w:val="auto"/>
        </w:rPr>
      </w:pPr>
    </w:p>
    <w:p>
      <w:pPr>
        <w:ind w:left="1400" w:right="8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Annual Report on Form 10-K filed on February 27, 2020 (File No. 001-10716).</w:t>
      </w:r>
    </w:p>
    <w:p>
      <w:pPr>
        <w:spacing w:after="0" w:line="1" w:lineRule="exact"/>
        <w:rPr>
          <w:rFonts w:ascii="Arial" w:cs="Arial" w:eastAsia="Arial" w:hAnsi="Arial"/>
          <w:sz w:val="18"/>
          <w:szCs w:val="18"/>
          <w:color w:val="auto"/>
        </w:rPr>
      </w:pPr>
    </w:p>
    <w:p>
      <w:pPr>
        <w:ind w:left="1400" w:right="200" w:hanging="881"/>
        <w:spacing w:after="0" w:line="23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30, 2020 (File No. 001-10716).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TRIMAS CORPORATION</w:t>
      </w:r>
    </w:p>
    <w:p>
      <w:pPr>
        <w:ind w:left="3200"/>
        <w:spacing w:after="0"/>
        <w:rPr>
          <w:sz w:val="20"/>
          <w:szCs w:val="20"/>
          <w:color w:val="auto"/>
        </w:rPr>
      </w:pPr>
      <w:r>
        <w:rPr>
          <w:rFonts w:ascii="Arial" w:cs="Arial" w:eastAsia="Arial" w:hAnsi="Arial"/>
          <w:sz w:val="18"/>
          <w:szCs w:val="18"/>
          <w:color w:val="auto"/>
        </w:rPr>
        <w:t>(Registrant)</w:t>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660" w:type="dxa"/>
            <w:vAlign w:val="bottom"/>
          </w:tcPr>
          <w:p>
            <w:pPr>
              <w:ind w:left="2940"/>
              <w:spacing w:after="0"/>
              <w:rPr>
                <w:sz w:val="20"/>
                <w:szCs w:val="20"/>
                <w:color w:val="auto"/>
              </w:rPr>
            </w:pPr>
            <w:r>
              <w:rPr>
                <w:rFonts w:ascii="Arial" w:cs="Arial" w:eastAsia="Arial" w:hAnsi="Arial"/>
                <w:sz w:val="18"/>
                <w:szCs w:val="18"/>
                <w:color w:val="auto"/>
              </w:rPr>
              <w:t>BY:</w:t>
            </w:r>
          </w:p>
        </w:tc>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A. AMATO</w:t>
            </w:r>
          </w:p>
        </w:tc>
      </w:tr>
      <w:tr>
        <w:trPr>
          <w:trHeight w:val="169"/>
        </w:trPr>
        <w:tc>
          <w:tcPr>
            <w:tcW w:w="3660" w:type="dxa"/>
            <w:vAlign w:val="bottom"/>
          </w:tcPr>
          <w:p>
            <w:pPr>
              <w:spacing w:after="0" w:line="169" w:lineRule="exact"/>
              <w:rPr>
                <w:sz w:val="20"/>
                <w:szCs w:val="20"/>
                <w:color w:val="auto"/>
              </w:rPr>
            </w:pPr>
            <w:r>
              <w:rPr>
                <w:rFonts w:ascii="Arial" w:cs="Arial" w:eastAsia="Arial" w:hAnsi="Arial"/>
                <w:sz w:val="18"/>
                <w:szCs w:val="18"/>
                <w:color w:val="auto"/>
              </w:rPr>
              <w:t>DATE:</w:t>
            </w:r>
          </w:p>
        </w:tc>
        <w:tc>
          <w:tcPr>
            <w:tcW w:w="7320" w:type="dxa"/>
            <w:vAlign w:val="bottom"/>
          </w:tcPr>
          <w:p>
            <w:pPr>
              <w:ind w:left="20"/>
              <w:spacing w:after="0" w:line="169" w:lineRule="exact"/>
              <w:rPr>
                <w:sz w:val="20"/>
                <w:szCs w:val="20"/>
                <w:color w:val="auto"/>
              </w:rPr>
            </w:pPr>
            <w:r>
              <w:rPr>
                <w:rFonts w:ascii="Arial" w:cs="Arial" w:eastAsia="Arial" w:hAnsi="Arial"/>
                <w:sz w:val="18"/>
                <w:szCs w:val="18"/>
                <w:color w:val="auto"/>
              </w:rPr>
              <w:t>Name: Thomas A. Amato</w:t>
            </w:r>
          </w:p>
        </w:tc>
      </w:tr>
      <w:tr>
        <w:trPr>
          <w:trHeight w:val="230"/>
        </w:trPr>
        <w:tc>
          <w:tcPr>
            <w:tcW w:w="3660" w:type="dxa"/>
            <w:vAlign w:val="bottom"/>
          </w:tcPr>
          <w:p>
            <w:pPr>
              <w:ind w:left="1060"/>
              <w:spacing w:after="0"/>
              <w:rPr>
                <w:sz w:val="20"/>
                <w:szCs w:val="20"/>
                <w:color w:val="auto"/>
              </w:rPr>
            </w:pPr>
            <w:r>
              <w:rPr>
                <w:rFonts w:ascii="Arial" w:cs="Arial" w:eastAsia="Arial" w:hAnsi="Arial"/>
                <w:sz w:val="18"/>
                <w:szCs w:val="18"/>
                <w:color w:val="auto"/>
              </w:rPr>
              <w:t>February 25, 2021</w:t>
            </w:r>
          </w:p>
        </w:tc>
        <w:tc>
          <w:tcPr>
            <w:tcW w:w="7320" w:type="dxa"/>
            <w:vAlign w:val="bottom"/>
          </w:tcPr>
          <w:p>
            <w:pPr>
              <w:ind w:left="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900" w:type="dxa"/>
            <w:vAlign w:val="bottom"/>
            <w:gridSpan w:val="2"/>
          </w:tcPr>
          <w:p>
            <w:pPr>
              <w:jc w:val="center"/>
              <w:ind w:right="1500"/>
              <w:spacing w:after="0"/>
              <w:rPr>
                <w:sz w:val="20"/>
                <w:szCs w:val="20"/>
                <w:color w:val="auto"/>
              </w:rPr>
            </w:pPr>
            <w:r>
              <w:rPr>
                <w:rFonts w:ascii="Arial" w:cs="Arial" w:eastAsia="Arial" w:hAnsi="Arial"/>
                <w:sz w:val="16"/>
                <w:szCs w:val="16"/>
                <w:b w:val="1"/>
                <w:bCs w:val="1"/>
                <w:color w:val="auto"/>
                <w:w w:val="91"/>
              </w:rPr>
              <w:t>Name</w:t>
            </w:r>
          </w:p>
        </w:tc>
        <w:tc>
          <w:tcPr>
            <w:tcW w:w="286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6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THOMAS A. AMATO</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Thomas A. Amato</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ROBERT J. ZALUPSKI</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0"/>
              </w:rPr>
              <w:t>Robert J. Zalupski</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PAUL A. SWART</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w w:val="98"/>
              </w:rPr>
              <w:t>Vice President Business Planning, Controller and Chief Accounting Officer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Paul A. Swart</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SAMUEL VALENTI III</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3"/>
              </w:rPr>
              <w:t>Samuel Valenti III</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HOLLY M. BOEHNE</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3"/>
              </w:rPr>
              <w:t>Holly M. Boehne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TERESA M. FINLEY</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0"/>
              </w:rPr>
              <w:t>Teresa M. Finley</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JEFFREY M. GREENE</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Jeffrey M. Greene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HERBERT K. PARKER</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Herbert K. Parker</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NICK L. STANAGE</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Nick L. Stanage</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99"/>
        </w:trPr>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DANIEL P. TREDWELL</w:t>
            </w:r>
          </w:p>
        </w:tc>
        <w:tc>
          <w:tcPr>
            <w:tcW w:w="60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3400" w:type="dxa"/>
            <w:vAlign w:val="bottom"/>
            <w:gridSpan w:val="3"/>
          </w:tcPr>
          <w:p>
            <w:pPr>
              <w:jc w:val="center"/>
              <w:spacing w:after="0"/>
              <w:rPr>
                <w:sz w:val="20"/>
                <w:szCs w:val="20"/>
                <w:color w:val="auto"/>
              </w:rPr>
            </w:pPr>
            <w:r>
              <w:rPr>
                <w:rFonts w:ascii="Arial" w:cs="Arial" w:eastAsia="Arial" w:hAnsi="Arial"/>
                <w:sz w:val="18"/>
                <w:szCs w:val="18"/>
                <w:color w:val="auto"/>
                <w:w w:val="91"/>
              </w:rPr>
              <w:t>Daniel P. Tredwell</w:t>
            </w:r>
          </w:p>
        </w:tc>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ITEM 15(a)(2)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FORM 10-K VALUATION AND QUALIFYING ACCOUNTS FOR THE YEARS ENDED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 2019 AND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99"/>
              </w:rPr>
              <w:t>BALANCE</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rPr>
              <w:t>CHARGED</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15"/>
              <w:spacing w:after="0" w:line="161" w:lineRule="exact"/>
              <w:rPr>
                <w:sz w:val="20"/>
                <w:szCs w:val="20"/>
                <w:color w:val="auto"/>
              </w:rPr>
            </w:pPr>
            <w:r>
              <w:rPr>
                <w:rFonts w:ascii="Arial" w:cs="Arial" w:eastAsia="Arial" w:hAnsi="Arial"/>
                <w:sz w:val="16"/>
                <w:szCs w:val="16"/>
                <w:b w:val="1"/>
                <w:bCs w:val="1"/>
                <w:color w:val="auto"/>
              </w:rPr>
              <w:t>CHARGED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99"/>
              </w:rPr>
              <w:t>BALANCE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0"/>
              <w:spacing w:after="0" w:line="162" w:lineRule="exact"/>
              <w:rPr>
                <w:sz w:val="20"/>
                <w:szCs w:val="20"/>
                <w:color w:val="auto"/>
              </w:rPr>
            </w:pPr>
            <w:r>
              <w:rPr>
                <w:rFonts w:ascii="Arial" w:cs="Arial" w:eastAsia="Arial" w:hAnsi="Arial"/>
                <w:sz w:val="16"/>
                <w:szCs w:val="16"/>
                <w:b w:val="1"/>
                <w:bCs w:val="1"/>
                <w:color w:val="auto"/>
              </w:rPr>
              <w:t>AT</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TO</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(CREDITED)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BEGINNING</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COSTS AND</w:t>
            </w:r>
          </w:p>
        </w:tc>
        <w:tc>
          <w:tcPr>
            <w:tcW w:w="200" w:type="dxa"/>
            <w:vAlign w:val="bottom"/>
          </w:tcPr>
          <w:p>
            <w:pPr>
              <w:spacing w:after="0"/>
              <w:rPr>
                <w:sz w:val="14"/>
                <w:szCs w:val="14"/>
                <w:color w:val="auto"/>
              </w:rPr>
            </w:pPr>
          </w:p>
        </w:tc>
        <w:tc>
          <w:tcPr>
            <w:tcW w:w="14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TO OTHER</w:t>
            </w: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(A)</w:t>
            </w:r>
          </w:p>
        </w:tc>
        <w:tc>
          <w:tcPr>
            <w:tcW w:w="160" w:type="dxa"/>
            <w:vAlign w:val="bottom"/>
          </w:tcPr>
          <w:p>
            <w:pPr>
              <w:spacing w:after="0"/>
              <w:rPr>
                <w:sz w:val="14"/>
                <w:szCs w:val="14"/>
                <w:color w:val="auto"/>
              </w:rPr>
            </w:pPr>
          </w:p>
        </w:tc>
        <w:tc>
          <w:tcPr>
            <w:tcW w:w="114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7"/>
              </w:rPr>
              <w:t>AT END</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OF PERIOD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EXPENSES</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ACCOUNTS</w:t>
            </w:r>
          </w:p>
        </w:tc>
        <w:tc>
          <w:tcPr>
            <w:tcW w:w="1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5"/>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Allowance for doubtful accounts deducted</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from accounts receivable in the balance sheet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4"/>
              </w:rPr>
              <w:t>2,060,000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2,120,000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2,790,000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tcPr>
          <w:p>
            <w:pPr>
              <w:ind w:left="20"/>
              <w:spacing w:after="0" w:line="203" w:lineRule="exact"/>
              <w:rPr>
                <w:sz w:val="20"/>
                <w:szCs w:val="20"/>
                <w:color w:val="auto"/>
              </w:rPr>
            </w:pPr>
            <w:r>
              <w:rPr>
                <w:rFonts w:ascii="Arial" w:cs="Arial" w:eastAsia="Arial" w:hAnsi="Arial"/>
                <w:sz w:val="18"/>
                <w:szCs w:val="18"/>
                <w:color w:val="auto"/>
              </w:rPr>
              <w:t>Year ended December 31, 2018</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w w:val="94"/>
              </w:rPr>
              <w:t>3,370,000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1,440,000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2,790,000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9"/>
          <w:szCs w:val="9"/>
          <w:color w:val="auto"/>
        </w:rPr>
      </w:pPr>
      <w:r>
        <w:rPr>
          <w:rFonts w:ascii="Arial" w:cs="Arial" w:eastAsia="Arial" w:hAnsi="Arial"/>
          <w:sz w:val="14"/>
          <w:szCs w:val="14"/>
          <w:color w:val="auto"/>
        </w:rPr>
        <w:t>Deductions, representing uncollectible accounts written-off, less recoveries of amounts reserved in prior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320" w:top="125" w:right="3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Corporation Significant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Subsidiary List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Rieke Corporation (Indiana corporation)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Certain companies may also use trade names or other assumed names in the conduct of their business.</w:t>
      </w:r>
    </w:p>
    <w:p>
      <w:pPr>
        <w:spacing w:after="0" w:line="24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As defined in Rule 1-02(w) of Regulation S-X, and other more significant operating companies as determined by management</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333-179761, 333-190665, 333-190666, and 333-218867 on Form S-8 of our reports dated February 25, 2021,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644"/>
        <w:spacing w:after="0" w:line="308" w:lineRule="auto"/>
        <w:tabs>
          <w:tab w:leader="none" w:pos="129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14605</wp:posOffset>
            </wp:positionV>
            <wp:extent cx="18516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Thomas A. Amato</w:t>
      </w:r>
    </w:p>
    <w:p>
      <w:pPr>
        <w:ind w:left="32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hanging="644"/>
        <w:spacing w:after="0" w:line="308" w:lineRule="auto"/>
        <w:tabs>
          <w:tab w:leader="none" w:pos="129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14605</wp:posOffset>
            </wp:positionV>
            <wp:extent cx="18516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Robert J. Zalupski</w:t>
      </w:r>
    </w:p>
    <w:p>
      <w:pPr>
        <w:ind w:left="32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of TriMas Corporation (the "Company") on Form 10-K for the period ended December 31, 2020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1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140" w:firstLine="332"/>
        <w:spacing w:after="0" w:line="461"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2021</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1945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Thomas A. Amato</w:t>
      </w:r>
    </w:p>
    <w:p>
      <w:pPr>
        <w:ind w:left="60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TriMas Corporation (the "Company") on Form 10-K for the period ended December 31, 2020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140" w:firstLine="332"/>
        <w:spacing w:after="0" w:line="461"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25, 2021</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1945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Robert J. Zalupski</w:t>
      </w:r>
    </w:p>
    <w:p>
      <w:pPr>
        <w:ind w:left="60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0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4"/>
    </w:lvl>
  </w:abstractNum>
  <w:abstractNum w:abstractNumId="38">
    <w:nsid w:val="1D4ED43B"/>
    <w:multiLevelType w:val="hybridMultilevel"/>
    <w:lvl w:ilvl="0">
      <w:lvlJc w:val="left"/>
      <w:lvlText w:val="(%1)"/>
      <w:numFmt w:val="lowerLetter"/>
      <w:start w:val="6"/>
    </w:lvl>
  </w:abstractNum>
  <w:abstractNum w:abstractNumId="39">
    <w:nsid w:val="725A06FB"/>
    <w:multiLevelType w:val="hybridMultilevel"/>
    <w:lvl w:ilvl="0">
      <w:lvlJc w:val="left"/>
      <w:lvlText w:val="(%1)"/>
      <w:numFmt w:val="lowerLetter"/>
      <w:start w:val="7"/>
    </w:lvl>
  </w:abstractNum>
  <w:abstractNum w:abstractNumId="40">
    <w:nsid w:val="2CD89A32"/>
    <w:multiLevelType w:val="hybridMultilevel"/>
    <w:lvl w:ilvl="0">
      <w:lvlJc w:val="left"/>
      <w:lvlText w:val="(%1)"/>
      <w:numFmt w:val="lowerLetter"/>
      <w:start w:val="9"/>
    </w:lvl>
  </w:abstractNum>
  <w:abstractNum w:abstractNumId="41">
    <w:nsid w:val="57E4CCAF"/>
    <w:multiLevelType w:val="hybridMultilevel"/>
    <w:lvl w:ilvl="0">
      <w:lvlJc w:val="left"/>
      <w:lvlText w:val="(%1)"/>
      <w:numFmt w:val="lowerLetter"/>
      <w:start w:val="18"/>
    </w:lvl>
  </w:abstractNum>
  <w:abstractNum w:abstractNumId="42">
    <w:nsid w:val="7A6D8D3C"/>
    <w:multiLevelType w:val="hybridMultilevel"/>
    <w:lvl w:ilvl="0">
      <w:lvlJc w:val="left"/>
      <w:lvlText w:val="(%1)"/>
      <w:numFmt w:val="upp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4"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10" Type="http://schemas.openxmlformats.org/officeDocument/2006/relationships/hyperlink" Target="http://www.sec.gov/Archives/edgar/data/842633/000084263319000118/trs2019assetandstockpu.htm" TargetMode="External"/><Relationship Id="rId111" Type="http://schemas.openxmlformats.org/officeDocument/2006/relationships/hyperlink" Target="http://www.sec.gov/Archives/edgar/data/842633/000110465907058776/a07-19157_1ex3d1.htm" TargetMode="External"/><Relationship Id="rId112" Type="http://schemas.openxmlformats.org/officeDocument/2006/relationships/hyperlink" Target="http://www.sec.gov/Archives/edgar/data/842633/000084263315000161/thirdamendedandrestatedbyl.htm" TargetMode="External"/><Relationship Id="rId113" Type="http://schemas.openxmlformats.org/officeDocument/2006/relationships/hyperlink" Target="http://www.sec.gov/Archives/edgar/data/842633/000119312517289439/d431929dex41.htm" TargetMode="External"/><Relationship Id="rId114" Type="http://schemas.openxmlformats.org/officeDocument/2006/relationships/hyperlink" Target="http://www.sec.gov/Archives/edgar/data/842633/000084263320000014/trs-123119xexh42.htm" TargetMode="External"/><Relationship Id="rId115" Type="http://schemas.openxmlformats.org/officeDocument/2006/relationships/hyperlink" Target="http://www.sec.gov/Archives/edgar/data/842633/000119312513405477/d614258dex101.htm" TargetMode="External"/><Relationship Id="rId116" Type="http://schemas.openxmlformats.org/officeDocument/2006/relationships/hyperlink" Target="http://www.sec.gov/Archives/edgar/data/842633/000119312514376398/d804320dex101.htm" TargetMode="External"/><Relationship Id="rId117" Type="http://schemas.openxmlformats.org/officeDocument/2006/relationships/hyperlink" Target="http://www.sec.gov/Archives/edgar/data/842633/000119312515245544/d17730dex105.htm" TargetMode="External"/><Relationship Id="rId118" Type="http://schemas.openxmlformats.org/officeDocument/2006/relationships/hyperlink" Target="http://www.sec.gov/Archives/edgar/data/842633/000084263317000059/trs_03312017xexh104.htm" TargetMode="External"/><Relationship Id="rId119" Type="http://schemas.openxmlformats.org/officeDocument/2006/relationships/hyperlink" Target="http://www.sec.gov/Archives/edgar/data/842633/000084263317000059/trs_03312017xexh105.htm" TargetMode="External"/><Relationship Id="rId120" Type="http://schemas.openxmlformats.org/officeDocument/2006/relationships/hyperlink" Target="http://www.sec.gov/Archives/edgar/data/842633/000119312517289439/d431929dex101.htm" TargetMode="External"/><Relationship Id="rId121" Type="http://schemas.openxmlformats.org/officeDocument/2006/relationships/hyperlink" Target="http://www.sec.gov/Archives/edgar/data/842633/000110465909015133/a09-7188_1ex10d1.htm" TargetMode="External"/><Relationship Id="rId122" Type="http://schemas.openxmlformats.org/officeDocument/2006/relationships/hyperlink" Target="http://www.sec.gov/Archives/edgar/data/842633/000110465909069548/a09-35212_1ex10d2.htm" TargetMode="External"/><Relationship Id="rId123" Type="http://schemas.openxmlformats.org/officeDocument/2006/relationships/hyperlink" Target="http://www.sec.gov/Archives/edgar/data/842633/000110465911018517/a11-9647_2ex99d1.htm" TargetMode="External"/><Relationship Id="rId125" Type="http://schemas.openxmlformats.org/officeDocument/2006/relationships/hyperlink" Target="http://www.sec.gov/Archives/edgar/data/842633/000084263313000091/trs-2013proxy.htm" TargetMode="External"/><Relationship Id="rId126" Type="http://schemas.openxmlformats.org/officeDocument/2006/relationships/hyperlink" Target="http://www.sec.gov/Archives/edgar/data/842633/000084263317000084/trs_06302017xexh101.htm" TargetMode="External"/><Relationship Id="rId127" Type="http://schemas.openxmlformats.org/officeDocument/2006/relationships/hyperlink" Target="http://www.sec.gov/Archives/edgar/data/842633/000084263319000025/trimasexecutiveseverance-c.htm" TargetMode="External"/><Relationship Id="rId128" Type="http://schemas.openxmlformats.org/officeDocument/2006/relationships/hyperlink" Target="http://www.sec.gov/Archives/edgar/data/842633/000084263316000271/trs_09302016xexh103.htm" TargetMode="External"/><Relationship Id="rId129" Type="http://schemas.openxmlformats.org/officeDocument/2006/relationships/hyperlink" Target="http://www.sec.gov/Archives/edgar/data/842633/000084263318000066/trs_06302018xexh101.htm" TargetMode="External"/><Relationship Id="rId130" Type="http://schemas.openxmlformats.org/officeDocument/2006/relationships/hyperlink" Target="http://www.sec.gov/Archives/edgar/data/842633/000084263318000066/trs_06302018xexh102.htm" TargetMode="External"/><Relationship Id="rId131" Type="http://schemas.openxmlformats.org/officeDocument/2006/relationships/hyperlink" Target="http://www.sec.gov/Archives/edgar/data/842633/000084263318000066/trs_06302018xexh103.htm" TargetMode="External"/><Relationship Id="rId132" Type="http://schemas.openxmlformats.org/officeDocument/2006/relationships/hyperlink" Target="http://www.sec.gov/Archives/edgar/data/842633/000084263313000204/a101_formofindemnification.htm" TargetMode="External"/><Relationship Id="rId133" Type="http://schemas.openxmlformats.org/officeDocument/2006/relationships/hyperlink" Target="http://www.sec.gov/Archives/edgar/data/842633/000084263316000271/trs_09302016xexh102.htm" TargetMode="External"/><Relationship Id="rId134" Type="http://schemas.openxmlformats.org/officeDocument/2006/relationships/hyperlink" Target="http://www.sec.gov/Archives/edgar/data/842633/000084263319000083/trs06302019exh103.htm" TargetMode="External"/><Relationship Id="rId135" Type="http://schemas.openxmlformats.org/officeDocument/2006/relationships/hyperlink" Target="http://www.sec.gov/Archives/edgar/data/842633/000084263319000083/trs06302019exh101.htm" TargetMode="External"/><Relationship Id="rId136" Type="http://schemas.openxmlformats.org/officeDocument/2006/relationships/hyperlink" Target="http://www.sec.gov/Archives/edgar/data/842633/000084263319000083/trs06302019exh102.htm" TargetMode="External"/><Relationship Id="rId137" Type="http://schemas.openxmlformats.org/officeDocument/2006/relationships/hyperlink" Target="http://www.sec.gov/Archives/edgar/data/842633/000084263320000014/trs-123119xexh1037.htm" TargetMode="External"/><Relationship Id="rId138" Type="http://schemas.openxmlformats.org/officeDocument/2006/relationships/hyperlink" Target="http://www.sec.gov/Archives/edgar/data/842633/000084263320000058/trs03312020exh101.htm" TargetMode="External"/><Relationship Id="rId139" Type="http://schemas.openxmlformats.org/officeDocument/2006/relationships/hyperlink" Target="http://www.sec.gov/Archives/edgar/data/842633/000084263320000058/trs03312020exh102.htm" TargetMode="External"/><Relationship Id="rId140" Type="http://schemas.openxmlformats.org/officeDocument/2006/relationships/hyperlink" Target="https://www.sec.gov/Archives/edgar/data/842633/000084263320000058/trs03312020exh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2021-02-25T10:53:58Z</dcterms:created>
  <dcterms:modified xsi:type="dcterms:W3CDTF">2021-02-25T10:53:58Z</dcterms:modified>
</cp:coreProperties>
</file>