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Washington D.C. 20549</w:t>
      </w:r>
    </w:p>
    <w:p>
      <w:pPr>
        <w:pStyle w:val="TextBody"/>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__________________________________________________________________________________________________</w:t>
      </w:r>
    </w:p>
    <w:p>
      <w:pPr>
        <w:pStyle w:val="TextBody"/>
        <w:spacing w:lineRule="auto" w:line="288" w:before="0" w:after="0"/>
        <w:jc w:val="center"/>
        <w:rPr/>
      </w:pPr>
      <w:r>
        <w:rPr>
          <w:rFonts w:ascii="Times New Roman;sans-serif" w:hAnsi="Times New Roman;sans-serif"/>
          <w:b/>
          <w:color w:val="000000"/>
          <w:sz w:val="24"/>
        </w:rPr>
        <w:t>Form 10-K</w:t>
      </w:r>
      <w:r>
        <w:rPr>
          <w:color w:val="000000"/>
        </w:rPr>
        <w:t xml:space="preserve"> </w:t>
      </w:r>
    </w:p>
    <w:tbl>
      <w:tblPr>
        <w:tblW w:w="10205" w:type="dxa"/>
        <w:jc w:val="center"/>
        <w:tblInd w:w="0" w:type="dxa"/>
        <w:tblCellMar>
          <w:top w:w="28" w:type="dxa"/>
          <w:left w:w="28" w:type="dxa"/>
          <w:bottom w:w="28" w:type="dxa"/>
          <w:right w:w="28" w:type="dxa"/>
        </w:tblCellMar>
      </w:tblPr>
      <w:tblGrid>
        <w:gridCol w:w="348"/>
        <w:gridCol w:w="305"/>
        <w:gridCol w:w="309"/>
        <w:gridCol w:w="109"/>
        <w:gridCol w:w="109"/>
        <w:gridCol w:w="109"/>
        <w:gridCol w:w="1405"/>
        <w:gridCol w:w="1386"/>
        <w:gridCol w:w="1386"/>
        <w:gridCol w:w="1386"/>
        <w:gridCol w:w="1386"/>
        <w:gridCol w:w="1967"/>
      </w:tblGrid>
      <w:tr>
        <w:trPr/>
        <w:tc>
          <w:tcPr>
            <w:tcW w:w="34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1967" w:type="dxa"/>
            <w:tcBorders/>
            <w:shd w:fill="auto" w:val="clear"/>
            <w:vAlign w:val="center"/>
          </w:tcPr>
          <w:p>
            <w:pPr>
              <w:pStyle w:val="TableContents"/>
              <w:spacing w:before="0" w:after="283"/>
              <w:rPr>
                <w:sz w:val="4"/>
                <w:szCs w:val="4"/>
              </w:rPr>
            </w:pPr>
            <w:r>
              <w:rPr>
                <w:sz w:val="4"/>
                <w:szCs w:val="4"/>
              </w:rPr>
            </w:r>
          </w:p>
        </w:tc>
      </w:tr>
      <w:tr>
        <w:trPr/>
        <w:tc>
          <w:tcPr>
            <w:tcW w:w="9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(Mark One)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1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ANNUAL REPORT PURSUANT TO SECTION 13 OR 15(d) OF THE SECURITIES EXCHANGE ACT OF 1934</w:t>
            </w:r>
          </w:p>
        </w:tc>
      </w:tr>
      <w:tr>
        <w:trPr/>
        <w:tc>
          <w:tcPr>
            <w:tcW w:w="5466" w:type="dxa"/>
            <w:gridSpan w:val="9"/>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For the fiscal year ended</w:t>
            </w:r>
          </w:p>
        </w:tc>
        <w:tc>
          <w:tcPr>
            <w:tcW w:w="4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w:t>
            </w:r>
          </w:p>
        </w:tc>
      </w:tr>
      <w:tr>
        <w:trPr/>
        <w:tc>
          <w:tcPr>
            <w:tcW w:w="9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1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to                            </w:t>
            </w:r>
          </w:p>
        </w:tc>
      </w:tr>
    </w:tbl>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Commission file number 001-10716 </w:t>
      </w:r>
    </w:p>
    <w:p>
      <w:pPr>
        <w:pStyle w:val="TextBody"/>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__________________________________________________________________________________________________</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TRIMAS CORPORATION </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6341" w:type="dxa"/>
        <w:jc w:val="left"/>
        <w:tblInd w:w="0" w:type="dxa"/>
        <w:tblCellMar>
          <w:top w:w="28" w:type="dxa"/>
          <w:left w:w="28" w:type="dxa"/>
          <w:bottom w:w="28" w:type="dxa"/>
          <w:right w:w="28" w:type="dxa"/>
        </w:tblCellMar>
      </w:tblPr>
      <w:tblGrid>
        <w:gridCol w:w="1239"/>
        <w:gridCol w:w="1093"/>
        <w:gridCol w:w="1102"/>
        <w:gridCol w:w="109"/>
        <w:gridCol w:w="109"/>
        <w:gridCol w:w="109"/>
        <w:gridCol w:w="752"/>
        <w:gridCol w:w="752"/>
        <w:gridCol w:w="1076"/>
      </w:tblGrid>
      <w:tr>
        <w:trPr/>
        <w:tc>
          <w:tcPr>
            <w:tcW w:w="1239"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38-2687639</w:t>
            </w:r>
          </w:p>
        </w:tc>
      </w:tr>
      <w:tr>
        <w:trPr/>
        <w:tc>
          <w:tcPr>
            <w:tcW w:w="34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w:t>
              <w:br/>
              <w:t>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spacing w:lineRule="auto" w:line="288" w:before="160" w:after="283"/>
        <w:jc w:val="center"/>
        <w:rPr>
          <w:rFonts w:ascii="Times New Roman;sans-serif" w:hAnsi="Times New Roman;sans-serif"/>
          <w:b/>
          <w:color w:val="000000"/>
          <w:sz w:val="16"/>
        </w:rPr>
      </w:pPr>
      <w:r>
        <w:rPr>
          <w:rFonts w:ascii="Times New Roman;sans-serif" w:hAnsi="Times New Roman;sans-serif"/>
          <w:b/>
          <w:color w:val="000000"/>
          <w:sz w:val="16"/>
        </w:rPr>
        <w:t xml:space="preserve">38505 Woodward Avenue, Suite 200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Bloomfield Hills, Michigan 48304 </w:t>
      </w:r>
    </w:p>
    <w:p>
      <w:pPr>
        <w:pStyle w:val="TextBody"/>
        <w:spacing w:lineRule="auto" w:line="288" w:before="0" w:after="16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Including Zip Code)</w:t>
      </w:r>
    </w:p>
    <w:p>
      <w:pPr>
        <w:pStyle w:val="TextBody"/>
        <w:spacing w:lineRule="auto" w:line="288" w:before="160" w:after="283"/>
        <w:jc w:val="center"/>
        <w:rPr>
          <w:rFonts w:ascii="Times New Roman;sans-serif" w:hAnsi="Times New Roman;sans-serif"/>
          <w:b/>
          <w:color w:val="000000"/>
          <w:sz w:val="16"/>
        </w:rPr>
      </w:pPr>
      <w:r>
        <w:rPr>
          <w:rFonts w:ascii="Times New Roman;sans-serif" w:hAnsi="Times New Roman;sans-serif"/>
          <w:b/>
          <w:color w:val="000000"/>
          <w:sz w:val="16"/>
        </w:rPr>
        <w:t xml:space="preserve">(248) 631-5450 </w:t>
      </w:r>
    </w:p>
    <w:p>
      <w:pPr>
        <w:pStyle w:val="TextBody"/>
        <w:spacing w:lineRule="auto" w:line="288" w:before="0" w:after="16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303" w:type="dxa"/>
        <w:jc w:val="center"/>
        <w:tblInd w:w="0" w:type="dxa"/>
        <w:tblCellMar>
          <w:top w:w="28" w:type="dxa"/>
          <w:left w:w="28" w:type="dxa"/>
          <w:bottom w:w="28" w:type="dxa"/>
          <w:right w:w="28" w:type="dxa"/>
        </w:tblCellMar>
      </w:tblPr>
      <w:tblGrid>
        <w:gridCol w:w="850"/>
        <w:gridCol w:w="750"/>
        <w:gridCol w:w="755"/>
        <w:gridCol w:w="474"/>
        <w:gridCol w:w="474"/>
        <w:gridCol w:w="476"/>
        <w:gridCol w:w="1031"/>
        <w:gridCol w:w="1031"/>
        <w:gridCol w:w="1462"/>
      </w:tblGrid>
      <w:tr>
        <w:trPr/>
        <w:tc>
          <w:tcPr>
            <w:tcW w:w="850"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1462"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5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$0.01 par value</w:t>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TRS</w:t>
            </w:r>
          </w:p>
        </w:tc>
        <w:tc>
          <w:tcPr>
            <w:tcW w:w="35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spacing w:lineRule="auto" w:line="288" w:before="0" w:after="60"/>
        <w:jc w:val="center"/>
        <w:rPr>
          <w:color w:val="000000"/>
        </w:rPr>
      </w:pPr>
      <w:r>
        <w:rPr>
          <w:color w:val="000000"/>
        </w:rPr>
        <w:t>         </w:t>
      </w:r>
      <w:r>
        <w:rPr>
          <w:rFonts w:ascii="Times New Roman;sans-serif" w:hAnsi="Times New Roman;sans-serif"/>
          <w:b w:val="false"/>
          <w:color w:val="000000"/>
          <w:sz w:val="16"/>
        </w:rPr>
        <w:t>Securities registered pursuant to Section 12(g) of the Act: None</w:t>
      </w:r>
    </w:p>
    <w:p>
      <w:pPr>
        <w:pStyle w:val="TextBody"/>
        <w:spacing w:lineRule="auto" w:line="288" w:before="0" w:after="60"/>
        <w:jc w:val="both"/>
        <w:rPr/>
      </w:pPr>
      <w:r>
        <w:rPr>
          <w:rFonts w:ascii="Times New Roman;sans-serif" w:hAnsi="Times New Roman;sans-serif"/>
          <w:b w:val="false"/>
          <w:color w:val="000000"/>
          <w:sz w:val="16"/>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6"/>
        </w:rPr>
        <w:t>No </w:t>
      </w:r>
      <w:r>
        <w:rPr>
          <w:color w:val="000000"/>
        </w:rPr>
        <w:t>☐</w:t>
      </w:r>
    </w:p>
    <w:p>
      <w:pPr>
        <w:pStyle w:val="TextBody"/>
        <w:spacing w:lineRule="auto" w:line="288" w:before="0" w:after="60"/>
        <w:jc w:val="both"/>
        <w:rPr/>
      </w:pPr>
      <w:r>
        <w:rPr>
          <w:rFonts w:ascii="Times New Roman;sans-serif" w:hAnsi="Times New Roman;sans-serif"/>
          <w:b w:val="false"/>
          <w:color w:val="000000"/>
          <w:sz w:val="16"/>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16"/>
        </w:rPr>
        <w:t>No </w:t>
      </w:r>
      <w:r>
        <w:rPr>
          <w:color w:val="000000"/>
        </w:rPr>
        <w:t>☒</w:t>
      </w:r>
    </w:p>
    <w:p>
      <w:pPr>
        <w:pStyle w:val="TextBody"/>
        <w:spacing w:lineRule="auto" w:line="288" w:before="0" w:after="60"/>
        <w:jc w:val="both"/>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spacing w:lineRule="auto" w:line="288" w:before="0" w:after="60"/>
        <w:jc w:val="both"/>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6"/>
        </w:rPr>
        <w:t>No </w:t>
      </w:r>
      <w:r>
        <w:rPr>
          <w:color w:val="000000"/>
        </w:rPr>
        <w:t>☐</w:t>
      </w:r>
    </w:p>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tbl>
      <w:tblPr>
        <w:tblW w:w="8827" w:type="dxa"/>
        <w:jc w:val="center"/>
        <w:tblInd w:w="0" w:type="dxa"/>
        <w:tblCellMar>
          <w:top w:w="28" w:type="dxa"/>
          <w:left w:w="28" w:type="dxa"/>
          <w:bottom w:w="28" w:type="dxa"/>
          <w:right w:w="28" w:type="dxa"/>
        </w:tblCellMar>
      </w:tblPr>
      <w:tblGrid>
        <w:gridCol w:w="603"/>
        <w:gridCol w:w="530"/>
        <w:gridCol w:w="532"/>
        <w:gridCol w:w="109"/>
        <w:gridCol w:w="109"/>
        <w:gridCol w:w="109"/>
        <w:gridCol w:w="109"/>
        <w:gridCol w:w="109"/>
        <w:gridCol w:w="109"/>
        <w:gridCol w:w="414"/>
        <w:gridCol w:w="414"/>
        <w:gridCol w:w="416"/>
        <w:gridCol w:w="109"/>
        <w:gridCol w:w="109"/>
        <w:gridCol w:w="109"/>
        <w:gridCol w:w="109"/>
        <w:gridCol w:w="109"/>
        <w:gridCol w:w="109"/>
        <w:gridCol w:w="519"/>
        <w:gridCol w:w="519"/>
        <w:gridCol w:w="521"/>
        <w:gridCol w:w="109"/>
        <w:gridCol w:w="109"/>
        <w:gridCol w:w="109"/>
        <w:gridCol w:w="109"/>
        <w:gridCol w:w="109"/>
        <w:gridCol w:w="109"/>
        <w:gridCol w:w="674"/>
        <w:gridCol w:w="674"/>
        <w:gridCol w:w="677"/>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100" w:after="100"/>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100" w:after="100"/>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100" w:after="100"/>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100" w:after="100"/>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100" w:after="100"/>
              <w:jc w:val="left"/>
              <w:rPr>
                <w:color w:val="000000"/>
              </w:rPr>
            </w:pPr>
            <w:r>
              <w:rPr>
                <w:color w:val="000000"/>
              </w:rPr>
              <w:t>☐</w:t>
            </w:r>
          </w:p>
        </w:tc>
      </w:tr>
    </w:tbl>
    <w:p>
      <w:pPr>
        <w:pStyle w:val="TextBody"/>
        <w:spacing w:lineRule="auto" w:line="288" w:before="0" w:after="60"/>
        <w:jc w:val="both"/>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0" w:after="60"/>
        <w:jc w:val="both"/>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spacing w:lineRule="auto" w:line="288" w:before="0" w:after="60"/>
        <w:jc w:val="both"/>
        <w:rPr/>
      </w:pPr>
      <w:r>
        <w:rPr>
          <w:rFonts w:ascii="Times New Roman;sans-serif" w:hAnsi="Times New Roman;sans-serif"/>
          <w:b w:val="false"/>
          <w:color w:val="000000"/>
          <w:sz w:val="16"/>
        </w:rPr>
        <w:t>Indicate by check mark whether the registrant is a shell company (as defined in Rule 12b-2 of the Act). Yes </w:t>
      </w:r>
      <w:r>
        <w:rPr>
          <w:color w:val="000000"/>
        </w:rPr>
        <w:t>☐    </w:t>
      </w:r>
      <w:r>
        <w:rPr>
          <w:rFonts w:ascii="Times New Roman;sans-serif" w:hAnsi="Times New Roman;sans-serif"/>
          <w:b w:val="false"/>
          <w:color w:val="000000"/>
          <w:sz w:val="16"/>
        </w:rPr>
        <w:t>No </w:t>
      </w:r>
      <w:r>
        <w:rPr>
          <w:color w:val="000000"/>
        </w:rPr>
        <w:t>☒</w:t>
      </w:r>
    </w:p>
    <w:p>
      <w:pPr>
        <w:pStyle w:val="TextBody"/>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voting common equity held by non-affiliates of the Registrant as of June 30, 2021 was approximately $1.3 billion, based upon the closing sales price of the Registrant's common stock, $0.01 par value, reported for such date on the NASDAQ Global Select Market. For purposes of this calculation only, directors, executive officers and the principal controlling shareholder or entities controlled by such controlling shareholder are deemed to be affiliates of the Registrant.</w:t>
      </w:r>
    </w:p>
    <w:p>
      <w:pPr>
        <w:pStyle w:val="TextBody"/>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As of February 22, 2022, the number of outstanding shares of the Registrant's common stock, $0.01 par value, was 42,835,700 shares.</w:t>
      </w:r>
    </w:p>
    <w:p>
      <w:pPr>
        <w:pStyle w:val="TextBody"/>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Portions of the Registrant's Proxy Statement for the 2022 Annual Meeting of Stockholders are incorporated herein by reference in Part III of this Annual Report on Form 10-K to the extent stated herein.</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38760"/>
                <wp:effectExtent l="0" t="0" r="0" b="0"/>
                <wp:wrapNone/>
                <wp:docPr id="1" name="Frame1"/>
                <a:graphic xmlns:a="http://schemas.openxmlformats.org/drawingml/2006/main">
                  <a:graphicData uri="http://schemas.microsoft.com/office/word/2010/wordprocessingShape">
                    <wps:wsp>
                      <wps:cNvSpPr txBox="1"/>
                      <wps:spPr>
                        <a:xfrm>
                          <a:off x="0" y="0"/>
                          <a:ext cx="6480175" cy="238760"/>
                        </a:xfrm>
                        <a:prstGeom prst="rect"/>
                      </wps:spPr>
                      <wps:txbx>
                        <w:txbxContent>
                          <w:p>
                            <w:pPr>
                              <w:pStyle w:val="TextBody"/>
                              <w:spacing w:before="10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00" w:after="283"/>
                        <w:jc w:val="center"/>
                        <w:rPr/>
                      </w:pPr>
                      <w:r>
                        <w:rPr/>
                      </w:r>
                    </w:p>
                  </w:txbxContent>
                </v:textbox>
              </v:rect>
            </w:pict>
          </mc:Fallback>
        </mc:AlternateContent>
      </w:r>
    </w:p>
    <w:p>
      <w:pPr>
        <w:pStyle w:val="TextBody"/>
        <w:spacing w:before="0" w:after="0"/>
        <w:rPr/>
      </w:pPr>
      <w:r>
        <w:rPr/>
      </w:r>
    </w:p>
    <w:p>
      <w:pPr>
        <w:pStyle w:val="TextBody"/>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TRIMAS CORPORATION INDEX</w:t>
      </w:r>
    </w:p>
    <w:tbl>
      <w:tblPr>
        <w:tblW w:w="10205" w:type="dxa"/>
        <w:jc w:val="left"/>
        <w:tblInd w:w="0" w:type="dxa"/>
        <w:tblCellMar>
          <w:top w:w="28" w:type="dxa"/>
          <w:left w:w="28" w:type="dxa"/>
          <w:bottom w:w="28" w:type="dxa"/>
          <w:right w:w="28" w:type="dxa"/>
        </w:tblCellMar>
      </w:tblPr>
      <w:tblGrid>
        <w:gridCol w:w="846"/>
        <w:gridCol w:w="743"/>
        <w:gridCol w:w="747"/>
        <w:gridCol w:w="2426"/>
        <w:gridCol w:w="2349"/>
        <w:gridCol w:w="2347"/>
        <w:gridCol w:w="216"/>
        <w:gridCol w:w="216"/>
        <w:gridCol w:w="315"/>
      </w:tblGrid>
      <w:tr>
        <w:trPr/>
        <w:tc>
          <w:tcPr>
            <w:tcW w:w="846"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2426" w:type="dxa"/>
            <w:tcBorders/>
            <w:shd w:fill="auto" w:val="clear"/>
            <w:vAlign w:val="center"/>
          </w:tcPr>
          <w:p>
            <w:pPr>
              <w:pStyle w:val="TableContents"/>
              <w:spacing w:before="0" w:after="283"/>
              <w:rPr>
                <w:sz w:val="4"/>
                <w:szCs w:val="4"/>
              </w:rPr>
            </w:pPr>
            <w:r>
              <w:rPr>
                <w:sz w:val="4"/>
                <w:szCs w:val="4"/>
              </w:rPr>
            </w:r>
          </w:p>
        </w:tc>
        <w:tc>
          <w:tcPr>
            <w:tcW w:w="2349" w:type="dxa"/>
            <w:tcBorders/>
            <w:shd w:fill="auto" w:val="clear"/>
            <w:vAlign w:val="center"/>
          </w:tcPr>
          <w:p>
            <w:pPr>
              <w:pStyle w:val="TableContents"/>
              <w:spacing w:before="0" w:after="283"/>
              <w:rPr>
                <w:sz w:val="4"/>
                <w:szCs w:val="4"/>
              </w:rPr>
            </w:pPr>
            <w:r>
              <w:rPr>
                <w:sz w:val="4"/>
                <w:szCs w:val="4"/>
              </w:rPr>
            </w:r>
          </w:p>
        </w:tc>
        <w:tc>
          <w:tcPr>
            <w:tcW w:w="2347"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1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 No.</w:t>
            </w:r>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10">
              <w:r>
                <w:rPr>
                  <w:rStyle w:val="InternetLink"/>
                  <w:rFonts w:ascii="Times New Roman;sans-serif" w:hAnsi="Times New Roman;sans-serif"/>
                  <w:b w:val="false"/>
                  <w:color w:val="0000FF"/>
                  <w:sz w:val="20"/>
                  <w:u w:val="single"/>
                </w:rPr>
                <w:t>Forward-Looking Statements</w:t>
              </w:r>
            </w:hyperlink>
          </w:p>
        </w:tc>
        <w:tc>
          <w:tcPr>
            <w:tcW w:w="71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right"/>
              <w:rPr/>
            </w:pPr>
            <w:hyperlink w:anchor="i61ac8143c0db448e8ad1cb56d2ef45f9_10">
              <w:r>
                <w:rPr>
                  <w:rStyle w:val="InternetLink"/>
                  <w:rFonts w:ascii="Times New Roman;sans-serif" w:hAnsi="Times New Roman;sans-serif"/>
                  <w:b w:val="false"/>
                  <w:color w:val="0000FF"/>
                  <w:sz w:val="20"/>
                  <w:u w:val="single"/>
                </w:rPr>
                <w:t>3</w:t>
              </w:r>
            </w:hyperlink>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13">
              <w:r>
                <w:rPr>
                  <w:rStyle w:val="InternetLink"/>
                  <w:rFonts w:ascii="Times New Roman;sans-serif" w:hAnsi="Times New Roman;sans-serif"/>
                  <w:b w:val="false"/>
                  <w:color w:val="0000FF"/>
                  <w:sz w:val="20"/>
                  <w:u w:val="single"/>
                </w:rPr>
                <w:t>Trademarks and Service Marks</w:t>
              </w:r>
            </w:hyperlink>
          </w:p>
        </w:tc>
        <w:tc>
          <w:tcPr>
            <w:tcW w:w="71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1ac8143c0db448e8ad1cb56d2ef45f9_13">
              <w:r>
                <w:rPr>
                  <w:rStyle w:val="InternetLink"/>
                  <w:rFonts w:ascii="Times New Roman;sans-serif" w:hAnsi="Times New Roman;sans-serif"/>
                  <w:b w:val="false"/>
                  <w:color w:val="0000FF"/>
                  <w:sz w:val="20"/>
                  <w:u w:val="single"/>
                </w:rPr>
                <w:t>3</w:t>
              </w:r>
            </w:hyperlink>
          </w:p>
        </w:tc>
      </w:tr>
      <w:tr>
        <w:trPr/>
        <w:tc>
          <w:tcPr>
            <w:tcW w:w="2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16">
              <w:r>
                <w:rPr>
                  <w:rStyle w:val="InternetLink"/>
                  <w:rFonts w:ascii="Times New Roman;sans-serif" w:hAnsi="Times New Roman;sans-serif"/>
                  <w:b w:val="false"/>
                  <w:color w:val="0000FF"/>
                  <w:sz w:val="20"/>
                  <w:u w:val="single"/>
                </w:rPr>
                <w:t>PART I.</w:t>
              </w:r>
            </w:hyperlink>
          </w:p>
        </w:tc>
        <w:tc>
          <w:tcPr>
            <w:tcW w:w="71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19">
              <w:r>
                <w:rPr>
                  <w:rStyle w:val="InternetLink"/>
                  <w:rFonts w:ascii="Times New Roman;sans-serif" w:hAnsi="Times New Roman;sans-serif"/>
                  <w:b w:val="false"/>
                  <w:color w:val="0000FF"/>
                  <w:sz w:val="20"/>
                  <w:u w:val="single"/>
                </w:rPr>
                <w:t>Item 1.</w:t>
              </w:r>
            </w:hyperlink>
          </w:p>
        </w:tc>
        <w:tc>
          <w:tcPr>
            <w:tcW w:w="71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19">
              <w:r>
                <w:rPr>
                  <w:rStyle w:val="InternetLink"/>
                  <w:rFonts w:ascii="Times New Roman;sans-serif" w:hAnsi="Times New Roman;sans-serif"/>
                  <w:b w:val="false"/>
                  <w:color w:val="0000FF"/>
                  <w:sz w:val="20"/>
                  <w:u w:val="single"/>
                </w:rPr>
                <w:t>Business</w:t>
              </w:r>
            </w:hyperlink>
          </w:p>
        </w:tc>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1ac8143c0db448e8ad1cb56d2ef45f9_19">
              <w:r>
                <w:rPr>
                  <w:rStyle w:val="InternetLink"/>
                  <w:rFonts w:ascii="Times New Roman;sans-serif" w:hAnsi="Times New Roman;sans-serif"/>
                  <w:b w:val="false"/>
                  <w:color w:val="0000FF"/>
                  <w:sz w:val="20"/>
                  <w:u w:val="single"/>
                </w:rPr>
                <w:t>4</w:t>
              </w:r>
            </w:hyperlink>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2">
              <w:r>
                <w:rPr>
                  <w:rStyle w:val="InternetLink"/>
                  <w:rFonts w:ascii="Times New Roman;sans-serif" w:hAnsi="Times New Roman;sans-serif"/>
                  <w:b w:val="false"/>
                  <w:color w:val="0000FF"/>
                  <w:sz w:val="20"/>
                  <w:u w:val="single"/>
                </w:rPr>
                <w:t>Item 1A.</w:t>
              </w:r>
            </w:hyperlink>
          </w:p>
        </w:tc>
        <w:tc>
          <w:tcPr>
            <w:tcW w:w="71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2">
              <w:r>
                <w:rPr>
                  <w:rStyle w:val="InternetLink"/>
                  <w:rFonts w:ascii="Times New Roman;sans-serif" w:hAnsi="Times New Roman;sans-serif"/>
                  <w:b w:val="false"/>
                  <w:color w:val="0000FF"/>
                  <w:sz w:val="20"/>
                  <w:u w:val="single"/>
                </w:rPr>
                <w:t>Risk Factors</w:t>
              </w:r>
            </w:hyperlink>
          </w:p>
        </w:tc>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1ac8143c0db448e8ad1cb56d2ef45f9_22">
              <w:r>
                <w:rPr>
                  <w:rStyle w:val="InternetLink"/>
                  <w:rFonts w:ascii="Times New Roman;sans-serif" w:hAnsi="Times New Roman;sans-serif"/>
                  <w:b w:val="false"/>
                  <w:color w:val="0000FF"/>
                  <w:sz w:val="20"/>
                  <w:u w:val="single"/>
                </w:rPr>
                <w:t>15</w:t>
              </w:r>
            </w:hyperlink>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5">
              <w:r>
                <w:rPr>
                  <w:rStyle w:val="InternetLink"/>
                  <w:rFonts w:ascii="Times New Roman;sans-serif" w:hAnsi="Times New Roman;sans-serif"/>
                  <w:b w:val="false"/>
                  <w:color w:val="0000FF"/>
                  <w:sz w:val="20"/>
                  <w:u w:val="single"/>
                </w:rPr>
                <w:t>Item 1B.</w:t>
              </w:r>
            </w:hyperlink>
          </w:p>
        </w:tc>
        <w:tc>
          <w:tcPr>
            <w:tcW w:w="71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5">
              <w:r>
                <w:rPr>
                  <w:rStyle w:val="InternetLink"/>
                  <w:rFonts w:ascii="Times New Roman;sans-serif" w:hAnsi="Times New Roman;sans-serif"/>
                  <w:b w:val="false"/>
                  <w:color w:val="0000FF"/>
                  <w:sz w:val="20"/>
                  <w:u w:val="single"/>
                </w:rPr>
                <w:t>Unresolved Staff Comments</w:t>
              </w:r>
            </w:hyperlink>
          </w:p>
        </w:tc>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1ac8143c0db448e8ad1cb56d2ef45f9_25">
              <w:r>
                <w:rPr>
                  <w:rStyle w:val="InternetLink"/>
                  <w:rFonts w:ascii="Times New Roman;sans-serif" w:hAnsi="Times New Roman;sans-serif"/>
                  <w:b w:val="false"/>
                  <w:color w:val="0000FF"/>
                  <w:sz w:val="20"/>
                  <w:u w:val="single"/>
                </w:rPr>
                <w:t>24</w:t>
              </w:r>
            </w:hyperlink>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8">
              <w:r>
                <w:rPr>
                  <w:rStyle w:val="InternetLink"/>
                  <w:rFonts w:ascii="Times New Roman;sans-serif" w:hAnsi="Times New Roman;sans-serif"/>
                  <w:b w:val="false"/>
                  <w:color w:val="0000FF"/>
                  <w:sz w:val="20"/>
                  <w:u w:val="single"/>
                </w:rPr>
                <w:t>Item 2.</w:t>
              </w:r>
            </w:hyperlink>
          </w:p>
        </w:tc>
        <w:tc>
          <w:tcPr>
            <w:tcW w:w="71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8">
              <w:r>
                <w:rPr>
                  <w:rStyle w:val="InternetLink"/>
                  <w:rFonts w:ascii="Times New Roman;sans-serif" w:hAnsi="Times New Roman;sans-serif"/>
                  <w:b w:val="false"/>
                  <w:color w:val="0000FF"/>
                  <w:sz w:val="20"/>
                  <w:u w:val="single"/>
                </w:rPr>
                <w:t>Properties</w:t>
              </w:r>
            </w:hyperlink>
          </w:p>
        </w:tc>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1ac8143c0db448e8ad1cb56d2ef45f9_28">
              <w:r>
                <w:rPr>
                  <w:rStyle w:val="InternetLink"/>
                  <w:rFonts w:ascii="Times New Roman;sans-serif" w:hAnsi="Times New Roman;sans-serif"/>
                  <w:b w:val="false"/>
                  <w:color w:val="0000FF"/>
                  <w:sz w:val="20"/>
                  <w:u w:val="single"/>
                </w:rPr>
                <w:t>24</w:t>
              </w:r>
            </w:hyperlink>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31">
              <w:r>
                <w:rPr>
                  <w:rStyle w:val="InternetLink"/>
                  <w:rFonts w:ascii="Times New Roman;sans-serif" w:hAnsi="Times New Roman;sans-serif"/>
                  <w:b w:val="false"/>
                  <w:color w:val="0000FF"/>
                  <w:sz w:val="20"/>
                  <w:u w:val="single"/>
                </w:rPr>
                <w:t>Item 3.</w:t>
              </w:r>
            </w:hyperlink>
          </w:p>
        </w:tc>
        <w:tc>
          <w:tcPr>
            <w:tcW w:w="71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31">
              <w:r>
                <w:rPr>
                  <w:rStyle w:val="InternetLink"/>
                  <w:rFonts w:ascii="Times New Roman;sans-serif" w:hAnsi="Times New Roman;sans-serif"/>
                  <w:b w:val="false"/>
                  <w:color w:val="0000FF"/>
                  <w:sz w:val="20"/>
                  <w:u w:val="single"/>
                </w:rPr>
                <w:t>Legal Proceedings</w:t>
              </w:r>
            </w:hyperlink>
          </w:p>
        </w:tc>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1ac8143c0db448e8ad1cb56d2ef45f9_31">
              <w:r>
                <w:rPr>
                  <w:rStyle w:val="InternetLink"/>
                  <w:rFonts w:ascii="Times New Roman;sans-serif" w:hAnsi="Times New Roman;sans-serif"/>
                  <w:b w:val="false"/>
                  <w:color w:val="0000FF"/>
                  <w:sz w:val="20"/>
                  <w:u w:val="single"/>
                </w:rPr>
                <w:t>25</w:t>
              </w:r>
            </w:hyperlink>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34">
              <w:r>
                <w:rPr>
                  <w:rStyle w:val="InternetLink"/>
                  <w:rFonts w:ascii="Times New Roman;sans-serif" w:hAnsi="Times New Roman;sans-serif"/>
                  <w:b w:val="false"/>
                  <w:color w:val="0000FF"/>
                  <w:sz w:val="20"/>
                  <w:u w:val="single"/>
                </w:rPr>
                <w:t>Item 4.</w:t>
              </w:r>
            </w:hyperlink>
          </w:p>
        </w:tc>
        <w:tc>
          <w:tcPr>
            <w:tcW w:w="71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34">
              <w:r>
                <w:rPr>
                  <w:rStyle w:val="InternetLink"/>
                  <w:rFonts w:ascii="Times New Roman;sans-serif" w:hAnsi="Times New Roman;sans-serif"/>
                  <w:b w:val="false"/>
                  <w:color w:val="0000FF"/>
                  <w:sz w:val="20"/>
                  <w:u w:val="single"/>
                </w:rPr>
                <w:t>Mine Safety Disclosures</w:t>
              </w:r>
            </w:hyperlink>
          </w:p>
        </w:tc>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1ac8143c0db448e8ad1cb56d2ef45f9_34">
              <w:r>
                <w:rPr>
                  <w:rStyle w:val="InternetLink"/>
                  <w:rFonts w:ascii="Times New Roman;sans-serif" w:hAnsi="Times New Roman;sans-serif"/>
                  <w:b w:val="false"/>
                  <w:color w:val="0000FF"/>
                  <w:sz w:val="20"/>
                  <w:u w:val="single"/>
                </w:rPr>
                <w:t>25</w:t>
              </w:r>
            </w:hyperlink>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37">
              <w:r>
                <w:rPr>
                  <w:rStyle w:val="InternetLink"/>
                  <w:rFonts w:ascii="Times New Roman;sans-serif" w:hAnsi="Times New Roman;sans-serif"/>
                  <w:b w:val="false"/>
                  <w:color w:val="0000FF"/>
                  <w:sz w:val="20"/>
                  <w:u w:val="single"/>
                </w:rPr>
                <w:t>Supplementary Item.</w:t>
              </w:r>
            </w:hyperlink>
          </w:p>
        </w:tc>
        <w:tc>
          <w:tcPr>
            <w:tcW w:w="7122" w:type="dxa"/>
            <w:gridSpan w:val="3"/>
            <w:tcBorders/>
            <w:shd w:fill="auto" w:val="clear"/>
            <w:tcMar>
              <w:top w:w="0" w:type="dxa"/>
              <w:left w:w="0" w:type="dxa"/>
              <w:bottom w:w="0" w:type="dxa"/>
              <w:right w:w="0" w:type="dxa"/>
            </w:tcMar>
            <w:vAlign w:val="center"/>
          </w:tcPr>
          <w:p>
            <w:pPr>
              <w:pStyle w:val="TableContents"/>
              <w:spacing w:lineRule="auto" w:line="240" w:before="0" w:after="160"/>
              <w:jc w:val="both"/>
              <w:rPr/>
            </w:pPr>
            <w:hyperlink w:anchor="i61ac8143c0db448e8ad1cb56d2ef45f9_37">
              <w:r>
                <w:rPr>
                  <w:rStyle w:val="InternetLink"/>
                  <w:rFonts w:ascii="Times New Roman;sans-serif" w:hAnsi="Times New Roman;sans-serif"/>
                  <w:b w:val="false"/>
                  <w:color w:val="0000FF"/>
                  <w:sz w:val="20"/>
                  <w:u w:val="single"/>
                </w:rPr>
                <w:t>Information about our Executive Officers</w:t>
              </w:r>
            </w:hyperlink>
          </w:p>
        </w:tc>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1ac8143c0db448e8ad1cb56d2ef45f9_37">
              <w:r>
                <w:rPr>
                  <w:rStyle w:val="InternetLink"/>
                  <w:rFonts w:ascii="Times New Roman;sans-serif" w:hAnsi="Times New Roman;sans-serif"/>
                  <w:b w:val="false"/>
                  <w:color w:val="0000FF"/>
                  <w:sz w:val="20"/>
                  <w:u w:val="single"/>
                </w:rPr>
                <w:t>25</w:t>
              </w:r>
            </w:hyperlink>
          </w:p>
        </w:tc>
      </w:tr>
      <w:tr>
        <w:trPr/>
        <w:tc>
          <w:tcPr>
            <w:tcW w:w="2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40">
              <w:r>
                <w:rPr>
                  <w:rStyle w:val="InternetLink"/>
                  <w:rFonts w:ascii="Times New Roman;sans-serif" w:hAnsi="Times New Roman;sans-serif"/>
                  <w:b w:val="false"/>
                  <w:color w:val="0000FF"/>
                  <w:sz w:val="20"/>
                  <w:u w:val="single"/>
                </w:rPr>
                <w:t>PART II.</w:t>
              </w:r>
            </w:hyperlink>
          </w:p>
        </w:tc>
        <w:tc>
          <w:tcPr>
            <w:tcW w:w="71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43">
              <w:r>
                <w:rPr>
                  <w:rStyle w:val="InternetLink"/>
                  <w:rFonts w:ascii="Times New Roman;sans-serif" w:hAnsi="Times New Roman;sans-serif"/>
                  <w:b w:val="false"/>
                  <w:color w:val="0000FF"/>
                  <w:sz w:val="20"/>
                  <w:u w:val="single"/>
                </w:rPr>
                <w:t>Item 5.</w:t>
              </w:r>
            </w:hyperlink>
          </w:p>
        </w:tc>
        <w:tc>
          <w:tcPr>
            <w:tcW w:w="71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43">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1ac8143c0db448e8ad1cb56d2ef45f9_43">
              <w:r>
                <w:rPr>
                  <w:rStyle w:val="InternetLink"/>
                  <w:rFonts w:ascii="Times New Roman;sans-serif" w:hAnsi="Times New Roman;sans-serif"/>
                  <w:b w:val="false"/>
                  <w:color w:val="0000FF"/>
                  <w:sz w:val="20"/>
                  <w:u w:val="single"/>
                </w:rPr>
                <w:t>26</w:t>
              </w:r>
            </w:hyperlink>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46">
              <w:r>
                <w:rPr>
                  <w:rStyle w:val="InternetLink"/>
                  <w:rFonts w:ascii="Times New Roman;sans-serif" w:hAnsi="Times New Roman;sans-serif"/>
                  <w:b w:val="false"/>
                  <w:color w:val="0000FF"/>
                  <w:sz w:val="20"/>
                  <w:u w:val="single"/>
                </w:rPr>
                <w:t>Item 6.</w:t>
              </w:r>
            </w:hyperlink>
          </w:p>
        </w:tc>
        <w:tc>
          <w:tcPr>
            <w:tcW w:w="71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46">
              <w:r>
                <w:rPr>
                  <w:rStyle w:val="InternetLink"/>
                  <w:rFonts w:ascii="Times New Roman;sans-serif" w:hAnsi="Times New Roman;sans-serif"/>
                  <w:b w:val="false"/>
                  <w:color w:val="0000FF"/>
                  <w:sz w:val="20"/>
                  <w:u w:val="single"/>
                </w:rPr>
                <w:t>Selected Financial Data</w:t>
              </w:r>
            </w:hyperlink>
          </w:p>
        </w:tc>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1ac8143c0db448e8ad1cb56d2ef45f9_46">
              <w:r>
                <w:rPr>
                  <w:rStyle w:val="InternetLink"/>
                  <w:rFonts w:ascii="Times New Roman;sans-serif" w:hAnsi="Times New Roman;sans-serif"/>
                  <w:b w:val="false"/>
                  <w:color w:val="0000FF"/>
                  <w:sz w:val="20"/>
                  <w:u w:val="single"/>
                </w:rPr>
                <w:t>27</w:t>
              </w:r>
            </w:hyperlink>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49">
              <w:r>
                <w:rPr>
                  <w:rStyle w:val="InternetLink"/>
                  <w:rFonts w:ascii="Times New Roman;sans-serif" w:hAnsi="Times New Roman;sans-serif"/>
                  <w:b w:val="false"/>
                  <w:color w:val="0000FF"/>
                  <w:sz w:val="20"/>
                  <w:u w:val="single"/>
                </w:rPr>
                <w:t>Item 7.</w:t>
              </w:r>
            </w:hyperlink>
          </w:p>
        </w:tc>
        <w:tc>
          <w:tcPr>
            <w:tcW w:w="71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4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1ac8143c0db448e8ad1cb56d2ef45f9_49">
              <w:r>
                <w:rPr>
                  <w:rStyle w:val="InternetLink"/>
                  <w:rFonts w:ascii="Times New Roman;sans-serif" w:hAnsi="Times New Roman;sans-serif"/>
                  <w:b w:val="false"/>
                  <w:color w:val="0000FF"/>
                  <w:sz w:val="20"/>
                  <w:u w:val="single"/>
                </w:rPr>
                <w:t>28</w:t>
              </w:r>
            </w:hyperlink>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127">
              <w:r>
                <w:rPr>
                  <w:rStyle w:val="InternetLink"/>
                  <w:rFonts w:ascii="Times New Roman;sans-serif" w:hAnsi="Times New Roman;sans-serif"/>
                  <w:b w:val="false"/>
                  <w:color w:val="0000FF"/>
                  <w:sz w:val="20"/>
                  <w:u w:val="single"/>
                </w:rPr>
                <w:t>Item 7A.</w:t>
              </w:r>
            </w:hyperlink>
          </w:p>
        </w:tc>
        <w:tc>
          <w:tcPr>
            <w:tcW w:w="71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127">
              <w:r>
                <w:rPr>
                  <w:rStyle w:val="InternetLink"/>
                  <w:rFonts w:ascii="Times New Roman;sans-serif" w:hAnsi="Times New Roman;sans-serif"/>
                  <w:b w:val="false"/>
                  <w:color w:val="0000FF"/>
                  <w:sz w:val="20"/>
                  <w:u w:val="single"/>
                </w:rPr>
                <w:t>Quantitative and Qualitative Disclosures About Market Risk</w:t>
              </w:r>
            </w:hyperlink>
          </w:p>
        </w:tc>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1ac8143c0db448e8ad1cb56d2ef45f9_127">
              <w:r>
                <w:rPr>
                  <w:rStyle w:val="InternetLink"/>
                  <w:rFonts w:ascii="Times New Roman;sans-serif" w:hAnsi="Times New Roman;sans-serif"/>
                  <w:b w:val="false"/>
                  <w:color w:val="0000FF"/>
                  <w:sz w:val="20"/>
                  <w:u w:val="single"/>
                </w:rPr>
                <w:t>44</w:t>
              </w:r>
            </w:hyperlink>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130">
              <w:r>
                <w:rPr>
                  <w:rStyle w:val="InternetLink"/>
                  <w:rFonts w:ascii="Times New Roman;sans-serif" w:hAnsi="Times New Roman;sans-serif"/>
                  <w:b w:val="false"/>
                  <w:color w:val="0000FF"/>
                  <w:sz w:val="20"/>
                  <w:u w:val="single"/>
                </w:rPr>
                <w:t>Item 8.</w:t>
              </w:r>
            </w:hyperlink>
          </w:p>
        </w:tc>
        <w:tc>
          <w:tcPr>
            <w:tcW w:w="71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130">
              <w:r>
                <w:rPr>
                  <w:rStyle w:val="InternetLink"/>
                  <w:rFonts w:ascii="Times New Roman;sans-serif" w:hAnsi="Times New Roman;sans-serif"/>
                  <w:b w:val="false"/>
                  <w:color w:val="0000FF"/>
                  <w:sz w:val="20"/>
                  <w:u w:val="single"/>
                </w:rPr>
                <w:t>Financial Statements and Supplementary Data</w:t>
              </w:r>
            </w:hyperlink>
          </w:p>
        </w:tc>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1ac8143c0db448e8ad1cb56d2ef45f9_130">
              <w:r>
                <w:rPr>
                  <w:rStyle w:val="InternetLink"/>
                  <w:rFonts w:ascii="Times New Roman;sans-serif" w:hAnsi="Times New Roman;sans-serif"/>
                  <w:b w:val="false"/>
                  <w:color w:val="0000FF"/>
                  <w:sz w:val="20"/>
                  <w:u w:val="single"/>
                </w:rPr>
                <w:t>45</w:t>
              </w:r>
            </w:hyperlink>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56">
              <w:r>
                <w:rPr>
                  <w:rStyle w:val="InternetLink"/>
                  <w:rFonts w:ascii="Times New Roman;sans-serif" w:hAnsi="Times New Roman;sans-serif"/>
                  <w:b w:val="false"/>
                  <w:color w:val="0000FF"/>
                  <w:sz w:val="20"/>
                  <w:u w:val="single"/>
                </w:rPr>
                <w:t>Item 9.</w:t>
              </w:r>
            </w:hyperlink>
          </w:p>
        </w:tc>
        <w:tc>
          <w:tcPr>
            <w:tcW w:w="71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56">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1ac8143c0db448e8ad1cb56d2ef45f9_256">
              <w:r>
                <w:rPr>
                  <w:rStyle w:val="InternetLink"/>
                  <w:rFonts w:ascii="Times New Roman;sans-serif" w:hAnsi="Times New Roman;sans-serif"/>
                  <w:b w:val="false"/>
                  <w:color w:val="0000FF"/>
                  <w:sz w:val="20"/>
                  <w:u w:val="single"/>
                </w:rPr>
                <w:t>84</w:t>
              </w:r>
            </w:hyperlink>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59">
              <w:r>
                <w:rPr>
                  <w:rStyle w:val="InternetLink"/>
                  <w:rFonts w:ascii="Times New Roman;sans-serif" w:hAnsi="Times New Roman;sans-serif"/>
                  <w:b w:val="false"/>
                  <w:color w:val="0000FF"/>
                  <w:sz w:val="20"/>
                  <w:u w:val="single"/>
                </w:rPr>
                <w:t>Item 9A.</w:t>
              </w:r>
            </w:hyperlink>
          </w:p>
        </w:tc>
        <w:tc>
          <w:tcPr>
            <w:tcW w:w="71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59">
              <w:r>
                <w:rPr>
                  <w:rStyle w:val="InternetLink"/>
                  <w:rFonts w:ascii="Times New Roman;sans-serif" w:hAnsi="Times New Roman;sans-serif"/>
                  <w:b w:val="false"/>
                  <w:color w:val="0000FF"/>
                  <w:sz w:val="20"/>
                  <w:u w:val="single"/>
                </w:rPr>
                <w:t>Controls and Procedures</w:t>
              </w:r>
            </w:hyperlink>
          </w:p>
        </w:tc>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1ac8143c0db448e8ad1cb56d2ef45f9_259">
              <w:r>
                <w:rPr>
                  <w:rStyle w:val="InternetLink"/>
                  <w:rFonts w:ascii="Times New Roman;sans-serif" w:hAnsi="Times New Roman;sans-serif"/>
                  <w:b w:val="false"/>
                  <w:color w:val="0000FF"/>
                  <w:sz w:val="20"/>
                  <w:u w:val="single"/>
                </w:rPr>
                <w:t>84</w:t>
              </w:r>
            </w:hyperlink>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62">
              <w:r>
                <w:rPr>
                  <w:rStyle w:val="InternetLink"/>
                  <w:rFonts w:ascii="Times New Roman;sans-serif" w:hAnsi="Times New Roman;sans-serif"/>
                  <w:b w:val="false"/>
                  <w:color w:val="0000FF"/>
                  <w:sz w:val="20"/>
                  <w:u w:val="single"/>
                </w:rPr>
                <w:t>Item 9B.</w:t>
              </w:r>
            </w:hyperlink>
          </w:p>
        </w:tc>
        <w:tc>
          <w:tcPr>
            <w:tcW w:w="71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62">
              <w:r>
                <w:rPr>
                  <w:rStyle w:val="InternetLink"/>
                  <w:rFonts w:ascii="Times New Roman;sans-serif" w:hAnsi="Times New Roman;sans-serif"/>
                  <w:b w:val="false"/>
                  <w:color w:val="0000FF"/>
                  <w:sz w:val="20"/>
                  <w:u w:val="single"/>
                </w:rPr>
                <w:t>Other Information</w:t>
              </w:r>
            </w:hyperlink>
          </w:p>
        </w:tc>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1ac8143c0db448e8ad1cb56d2ef45f9_262">
              <w:r>
                <w:rPr>
                  <w:rStyle w:val="InternetLink"/>
                  <w:rFonts w:ascii="Times New Roman;sans-serif" w:hAnsi="Times New Roman;sans-serif"/>
                  <w:b w:val="false"/>
                  <w:color w:val="0000FF"/>
                  <w:sz w:val="20"/>
                  <w:u w:val="single"/>
                </w:rPr>
                <w:t>86</w:t>
              </w:r>
            </w:hyperlink>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517">
              <w:r>
                <w:rPr>
                  <w:rStyle w:val="InternetLink"/>
                  <w:rFonts w:ascii="Times New Roman;sans-serif" w:hAnsi="Times New Roman;sans-serif"/>
                  <w:b w:val="false"/>
                  <w:color w:val="0000FF"/>
                  <w:sz w:val="20"/>
                  <w:u w:val="single"/>
                </w:rPr>
                <w:t>Item 9C.</w:t>
              </w:r>
            </w:hyperlink>
          </w:p>
        </w:tc>
        <w:tc>
          <w:tcPr>
            <w:tcW w:w="71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517">
              <w:r>
                <w:rPr>
                  <w:rStyle w:val="InternetLink"/>
                  <w:rFonts w:ascii="Times New Roman;sans-serif" w:hAnsi="Times New Roman;sans-serif"/>
                  <w:b w:val="false"/>
                  <w:color w:val="0000FF"/>
                  <w:sz w:val="20"/>
                  <w:u w:val="single"/>
                </w:rPr>
                <w:t>Disclosure Regarding Foreign Jurisdictions that Prevent Inspections</w:t>
              </w:r>
            </w:hyperlink>
          </w:p>
        </w:tc>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1ac8143c0db448e8ad1cb56d2ef45f9_2517">
              <w:r>
                <w:rPr>
                  <w:rStyle w:val="InternetLink"/>
                  <w:rFonts w:ascii="Times New Roman;sans-serif" w:hAnsi="Times New Roman;sans-serif"/>
                  <w:b w:val="false"/>
                  <w:color w:val="0000FF"/>
                  <w:sz w:val="20"/>
                  <w:u w:val="single"/>
                </w:rPr>
                <w:t>86</w:t>
              </w:r>
            </w:hyperlink>
          </w:p>
        </w:tc>
      </w:tr>
      <w:tr>
        <w:trPr/>
        <w:tc>
          <w:tcPr>
            <w:tcW w:w="2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65">
              <w:r>
                <w:rPr>
                  <w:rStyle w:val="InternetLink"/>
                  <w:rFonts w:ascii="Times New Roman;sans-serif" w:hAnsi="Times New Roman;sans-serif"/>
                  <w:b w:val="false"/>
                  <w:color w:val="0000FF"/>
                  <w:sz w:val="20"/>
                  <w:u w:val="single"/>
                </w:rPr>
                <w:t>PART III.</w:t>
              </w:r>
            </w:hyperlink>
          </w:p>
        </w:tc>
        <w:tc>
          <w:tcPr>
            <w:tcW w:w="71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68">
              <w:r>
                <w:rPr>
                  <w:rStyle w:val="InternetLink"/>
                  <w:rFonts w:ascii="Times New Roman;sans-serif" w:hAnsi="Times New Roman;sans-serif"/>
                  <w:b w:val="false"/>
                  <w:color w:val="0000FF"/>
                  <w:sz w:val="20"/>
                  <w:u w:val="single"/>
                </w:rPr>
                <w:t>Item 10.</w:t>
              </w:r>
            </w:hyperlink>
          </w:p>
        </w:tc>
        <w:tc>
          <w:tcPr>
            <w:tcW w:w="71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68">
              <w:r>
                <w:rPr>
                  <w:rStyle w:val="InternetLink"/>
                  <w:rFonts w:ascii="Times New Roman;sans-serif" w:hAnsi="Times New Roman;sans-serif"/>
                  <w:b w:val="false"/>
                  <w:color w:val="0000FF"/>
                  <w:sz w:val="20"/>
                  <w:u w:val="single"/>
                </w:rPr>
                <w:t>Directors, Executive Officers and Corporate Governance</w:t>
              </w:r>
            </w:hyperlink>
          </w:p>
        </w:tc>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1ac8143c0db448e8ad1cb56d2ef45f9_268">
              <w:r>
                <w:rPr>
                  <w:rStyle w:val="InternetLink"/>
                  <w:rFonts w:ascii="Times New Roman;sans-serif" w:hAnsi="Times New Roman;sans-serif"/>
                  <w:b w:val="false"/>
                  <w:color w:val="0000FF"/>
                  <w:sz w:val="20"/>
                  <w:u w:val="single"/>
                </w:rPr>
                <w:t>87</w:t>
              </w:r>
            </w:hyperlink>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71">
              <w:r>
                <w:rPr>
                  <w:rStyle w:val="InternetLink"/>
                  <w:rFonts w:ascii="Times New Roman;sans-serif" w:hAnsi="Times New Roman;sans-serif"/>
                  <w:b w:val="false"/>
                  <w:color w:val="0000FF"/>
                  <w:sz w:val="20"/>
                  <w:u w:val="single"/>
                </w:rPr>
                <w:t>Item 11.</w:t>
              </w:r>
            </w:hyperlink>
          </w:p>
        </w:tc>
        <w:tc>
          <w:tcPr>
            <w:tcW w:w="71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71">
              <w:r>
                <w:rPr>
                  <w:rStyle w:val="InternetLink"/>
                  <w:rFonts w:ascii="Times New Roman;sans-serif" w:hAnsi="Times New Roman;sans-serif"/>
                  <w:b w:val="false"/>
                  <w:color w:val="0000FF"/>
                  <w:sz w:val="20"/>
                  <w:u w:val="single"/>
                </w:rPr>
                <w:t>Executive Compensation</w:t>
              </w:r>
            </w:hyperlink>
          </w:p>
        </w:tc>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1ac8143c0db448e8ad1cb56d2ef45f9_271">
              <w:r>
                <w:rPr>
                  <w:rStyle w:val="InternetLink"/>
                  <w:rFonts w:ascii="Times New Roman;sans-serif" w:hAnsi="Times New Roman;sans-serif"/>
                  <w:b w:val="false"/>
                  <w:color w:val="0000FF"/>
                  <w:sz w:val="20"/>
                  <w:u w:val="single"/>
                </w:rPr>
                <w:t>87</w:t>
              </w:r>
            </w:hyperlink>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74">
              <w:r>
                <w:rPr>
                  <w:rStyle w:val="InternetLink"/>
                  <w:rFonts w:ascii="Times New Roman;sans-serif" w:hAnsi="Times New Roman;sans-serif"/>
                  <w:b w:val="false"/>
                  <w:color w:val="0000FF"/>
                  <w:sz w:val="20"/>
                  <w:u w:val="single"/>
                </w:rPr>
                <w:t>Item 12.</w:t>
              </w:r>
            </w:hyperlink>
          </w:p>
        </w:tc>
        <w:tc>
          <w:tcPr>
            <w:tcW w:w="71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74">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1ac8143c0db448e8ad1cb56d2ef45f9_274">
              <w:r>
                <w:rPr>
                  <w:rStyle w:val="InternetLink"/>
                  <w:rFonts w:ascii="Times New Roman;sans-serif" w:hAnsi="Times New Roman;sans-serif"/>
                  <w:b w:val="false"/>
                  <w:color w:val="0000FF"/>
                  <w:sz w:val="20"/>
                  <w:u w:val="single"/>
                </w:rPr>
                <w:t>87</w:t>
              </w:r>
            </w:hyperlink>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77">
              <w:r>
                <w:rPr>
                  <w:rStyle w:val="InternetLink"/>
                  <w:rFonts w:ascii="Times New Roman;sans-serif" w:hAnsi="Times New Roman;sans-serif"/>
                  <w:b w:val="false"/>
                  <w:color w:val="0000FF"/>
                  <w:sz w:val="20"/>
                  <w:u w:val="single"/>
                </w:rPr>
                <w:t>Item 13.</w:t>
              </w:r>
            </w:hyperlink>
          </w:p>
        </w:tc>
        <w:tc>
          <w:tcPr>
            <w:tcW w:w="71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77">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1ac8143c0db448e8ad1cb56d2ef45f9_277">
              <w:r>
                <w:rPr>
                  <w:rStyle w:val="InternetLink"/>
                  <w:rFonts w:ascii="Times New Roman;sans-serif" w:hAnsi="Times New Roman;sans-serif"/>
                  <w:b w:val="false"/>
                  <w:color w:val="0000FF"/>
                  <w:sz w:val="20"/>
                  <w:u w:val="single"/>
                </w:rPr>
                <w:t>87</w:t>
              </w:r>
            </w:hyperlink>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80">
              <w:r>
                <w:rPr>
                  <w:rStyle w:val="InternetLink"/>
                  <w:rFonts w:ascii="Times New Roman;sans-serif" w:hAnsi="Times New Roman;sans-serif"/>
                  <w:b w:val="false"/>
                  <w:color w:val="0000FF"/>
                  <w:sz w:val="20"/>
                  <w:u w:val="single"/>
                </w:rPr>
                <w:t>Item 14.</w:t>
              </w:r>
            </w:hyperlink>
          </w:p>
        </w:tc>
        <w:tc>
          <w:tcPr>
            <w:tcW w:w="71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80">
              <w:r>
                <w:rPr>
                  <w:rStyle w:val="InternetLink"/>
                  <w:rFonts w:ascii="Times New Roman;sans-serif" w:hAnsi="Times New Roman;sans-serif"/>
                  <w:b w:val="false"/>
                  <w:color w:val="0000FF"/>
                  <w:sz w:val="20"/>
                  <w:u w:val="single"/>
                </w:rPr>
                <w:t>Principal Accountant Fees and Services</w:t>
              </w:r>
            </w:hyperlink>
          </w:p>
        </w:tc>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1ac8143c0db448e8ad1cb56d2ef45f9_280">
              <w:r>
                <w:rPr>
                  <w:rStyle w:val="InternetLink"/>
                  <w:rFonts w:ascii="Times New Roman;sans-serif" w:hAnsi="Times New Roman;sans-serif"/>
                  <w:b w:val="false"/>
                  <w:color w:val="0000FF"/>
                  <w:sz w:val="20"/>
                  <w:u w:val="single"/>
                </w:rPr>
                <w:t>87</w:t>
              </w:r>
            </w:hyperlink>
          </w:p>
        </w:tc>
      </w:tr>
      <w:tr>
        <w:trPr/>
        <w:tc>
          <w:tcPr>
            <w:tcW w:w="2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83">
              <w:r>
                <w:rPr>
                  <w:rStyle w:val="InternetLink"/>
                  <w:rFonts w:ascii="Times New Roman;sans-serif" w:hAnsi="Times New Roman;sans-serif"/>
                  <w:b w:val="false"/>
                  <w:color w:val="0000FF"/>
                  <w:sz w:val="20"/>
                  <w:u w:val="single"/>
                </w:rPr>
                <w:t>PART IV.</w:t>
              </w:r>
            </w:hyperlink>
          </w:p>
        </w:tc>
        <w:tc>
          <w:tcPr>
            <w:tcW w:w="71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86">
              <w:r>
                <w:rPr>
                  <w:rStyle w:val="InternetLink"/>
                  <w:rFonts w:ascii="Times New Roman;sans-serif" w:hAnsi="Times New Roman;sans-serif"/>
                  <w:b w:val="false"/>
                  <w:color w:val="0000FF"/>
                  <w:sz w:val="20"/>
                  <w:u w:val="single"/>
                </w:rPr>
                <w:t>Item 15.</w:t>
              </w:r>
            </w:hyperlink>
          </w:p>
        </w:tc>
        <w:tc>
          <w:tcPr>
            <w:tcW w:w="71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86">
              <w:r>
                <w:rPr>
                  <w:rStyle w:val="InternetLink"/>
                  <w:rFonts w:ascii="Times New Roman;sans-serif" w:hAnsi="Times New Roman;sans-serif"/>
                  <w:b w:val="false"/>
                  <w:color w:val="0000FF"/>
                  <w:sz w:val="20"/>
                  <w:u w:val="single"/>
                </w:rPr>
                <w:t>Exhibits and Financial Statement Schedules</w:t>
              </w:r>
            </w:hyperlink>
          </w:p>
        </w:tc>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1ac8143c0db448e8ad1cb56d2ef45f9_286">
              <w:r>
                <w:rPr>
                  <w:rStyle w:val="InternetLink"/>
                  <w:rFonts w:ascii="Times New Roman;sans-serif" w:hAnsi="Times New Roman;sans-serif"/>
                  <w:b w:val="false"/>
                  <w:color w:val="0000FF"/>
                  <w:sz w:val="20"/>
                  <w:u w:val="single"/>
                </w:rPr>
                <w:t>88</w:t>
              </w:r>
            </w:hyperlink>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89">
              <w:r>
                <w:rPr>
                  <w:rStyle w:val="InternetLink"/>
                  <w:rFonts w:ascii="Times New Roman;sans-serif" w:hAnsi="Times New Roman;sans-serif"/>
                  <w:b w:val="false"/>
                  <w:color w:val="0000FF"/>
                  <w:sz w:val="20"/>
                  <w:u w:val="single"/>
                </w:rPr>
                <w:t>Item 16.</w:t>
              </w:r>
            </w:hyperlink>
          </w:p>
        </w:tc>
        <w:tc>
          <w:tcPr>
            <w:tcW w:w="71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89">
              <w:r>
                <w:rPr>
                  <w:rStyle w:val="InternetLink"/>
                  <w:rFonts w:ascii="Times New Roman;sans-serif" w:hAnsi="Times New Roman;sans-serif"/>
                  <w:b w:val="false"/>
                  <w:color w:val="0000FF"/>
                  <w:sz w:val="20"/>
                  <w:u w:val="single"/>
                </w:rPr>
                <w:t>Form 10-K Summary</w:t>
              </w:r>
            </w:hyperlink>
          </w:p>
        </w:tc>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1ac8143c0db448e8ad1cb56d2ef45f9_289">
              <w:r>
                <w:rPr>
                  <w:rStyle w:val="InternetLink"/>
                  <w:rFonts w:ascii="Times New Roman;sans-serif" w:hAnsi="Times New Roman;sans-serif"/>
                  <w:b w:val="false"/>
                  <w:color w:val="0000FF"/>
                  <w:sz w:val="20"/>
                  <w:u w:val="single"/>
                </w:rPr>
                <w:t>90</w:t>
              </w:r>
            </w:hyperlink>
          </w:p>
        </w:tc>
      </w:tr>
      <w:tr>
        <w:trPr/>
        <w:tc>
          <w:tcPr>
            <w:tcW w:w="2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1ac8143c0db448e8ad1cb56d2ef45f9_292">
              <w:r>
                <w:rPr>
                  <w:rStyle w:val="InternetLink"/>
                  <w:rFonts w:ascii="Times New Roman;sans-serif" w:hAnsi="Times New Roman;sans-serif"/>
                  <w:b w:val="false"/>
                  <w:color w:val="0000FF"/>
                  <w:sz w:val="20"/>
                  <w:u w:val="single"/>
                </w:rPr>
                <w:t>Signatures</w:t>
              </w:r>
            </w:hyperlink>
          </w:p>
        </w:tc>
        <w:tc>
          <w:tcPr>
            <w:tcW w:w="71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1ac8143c0db448e8ad1cb56d2ef45f9_292">
              <w:r>
                <w:rPr>
                  <w:rStyle w:val="InternetLink"/>
                  <w:rFonts w:ascii="Times New Roman;sans-serif" w:hAnsi="Times New Roman;sans-serif"/>
                  <w:b w:val="false"/>
                  <w:color w:val="0000FF"/>
                  <w:sz w:val="20"/>
                  <w:u w:val="single"/>
                </w:rPr>
                <w:t>91</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pStyle w:val="TextBody"/>
        <w:spacing w:lineRule="auto" w:line="288" w:before="160" w:after="160"/>
        <w:jc w:val="both"/>
        <w:rPr/>
      </w:pPr>
      <w:r>
        <w:rPr>
          <w:rFonts w:ascii="Times New Roman;sans-serif" w:hAnsi="Times New Roman;sans-serif"/>
          <w:b w:val="false"/>
          <w:color w:val="000000"/>
          <w:sz w:val="20"/>
        </w:rPr>
        <w:t>These forward-looking statements are subject to numerous assumptions, risks and uncertainties which could materially affect our business, financial condition or future results including, but not limited to: the severity and duration of the ongoing coronavirus (“COVID-19”) pandemic on our operations, customers and suppliers, as well as related actions taken by governmental authorities and other third parties in response, each of which is uncertain, rapidly changing and difficult to predict; general economic and currency conditions; inflationary pressures on our supply chain, including raw material and energy costs, and customers; interest rate volatility; risks and uncertainties associated with intangible assets, including goodwill or other intangible asset impairment charges; competitive factors; future trends; our ability to realize our business strategies; our ability to identify attractive acquisition candidates, successfully integrate acquired operations or realize the intended benefits of such acquisitions; information technology and other cyber-related risks; the performance of our subcontractors and suppliers; supply constraints, including the availability and cost of raw materials; market demand; intellectual property factors; litigation; government and regulatory actions, including, without limitation, climate change legislation and other environmental regulations, as well as the impact of tariffs, quotas and surcharges; our leverage; liabilities imposed by our debt instruments; labor disputes and shortages; changes to fiscal and tax policies; contingent liabilities relating to acquisition activities; the disruption of operations from catastrophic or extraordinary events, including natural disasters and public health crises; the amount and timing of future dividends and/or share repurchases, which remain subject to Board approval and depend on market and other conditions; our future prospects; and other risks that are discussed in Part I, Item 1A,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xml:space="preserve">." The risks described in this report are not the only risks facing our Company. Additional risks and uncertainties not currently known to us or that we currently deemed to be immaterial also may materially adversely affect our business, financial position and results of operations or cash flows.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 </w:t>
      </w:r>
    </w:p>
    <w:p>
      <w:pPr>
        <w:pStyle w:val="TextBody"/>
        <w:spacing w:lineRule="auto" w:line="288" w:before="160" w:after="160"/>
        <w:jc w:val="both"/>
        <w:rPr/>
      </w:pPr>
      <w:r>
        <w:rPr>
          <w:rFonts w:ascii="Times New Roman;sans-serif" w:hAnsi="Times New Roman;sans-serif"/>
          <w:b w:val="false"/>
          <w:color w:val="000000"/>
          <w:sz w:val="20"/>
        </w:rPr>
        <w:t>We disclose important factors that could cause our actual results to differ materially from our expectations implied by our forward-looking statements under Part II, Item 7, "</w:t>
      </w:r>
      <w:r>
        <w:rPr>
          <w:rFonts w:ascii="Times New Roman;sans-serif" w:hAnsi="Times New Roman;sans-serif"/>
          <w:b w:val="false"/>
          <w:i/>
          <w:color w:val="000000"/>
          <w:sz w:val="20"/>
        </w:rPr>
        <w:t>Management's Discussion and Analysis of Financial Condition and Results of Operations</w:t>
      </w:r>
      <w:r>
        <w:rPr>
          <w:rFonts w:ascii="Times New Roman;sans-serif" w:hAnsi="Times New Roman;sans-serif"/>
          <w:b w:val="false"/>
          <w:color w:val="000000"/>
          <w:sz w:val="20"/>
        </w:rPr>
        <w:t>,"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Trademarks and Service Marks</w:t>
      </w:r>
    </w:p>
    <w:p>
      <w:pPr>
        <w:pStyle w:val="TextBody"/>
        <w:spacing w:lineRule="auto" w:line="288" w:before="160" w:after="160"/>
        <w:jc w:val="both"/>
        <w:rPr/>
      </w:pPr>
      <w:r>
        <w:rPr>
          <w:rFonts w:ascii="Times New Roman;sans-serif" w:hAnsi="Times New Roman;sans-serif"/>
          <w:b w:val="false"/>
          <w:color w:val="000000"/>
          <w:sz w:val="20"/>
        </w:rPr>
        <w:t xml:space="preserve">We own or have rights to trademarks, service marks or trade names that we use in connection with the operation of our business. Solely for convenience, some of the copyrights, trademarks, service marks and trade names referred to in this Annual Report on Form 10-K are listed without the </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 symbols, but we will assert, to the fullest extent under applicable law, our rights to our copyrights, trademarks, service marks, trade names and domain names. The trademarks, service marks and trade names of other companies appearing in this Annual Report on Form 10-K are, to our knowledge, the property of their respective owners.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160"/>
        <w:jc w:val="center"/>
        <w:rPr/>
      </w:pPr>
      <w:r>
        <w:rPr/>
      </w:r>
    </w:p>
    <w:p>
      <w:pPr>
        <w:pStyle w:val="TextBody"/>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spacing w:lineRule="auto" w:line="268" w:before="16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TriMas designs, develops and manufactures a diverse set of products primarily for the consumer products, aerospace and industrial markets through its TriMas Packaging, TriMas Aerospace and Specialty Products groups. We believe our businesses share important and distinguishing characteristics, including: well-recognized brand names in the focused markets we serve; innovative product technologies and features; customer approved processes and qualified products; strong cash flow conversion and long-term growth opportunities. Headquartered in Bloomfield Hills, Michigan, TriMas has approximately 3,500 employees who serve our customers from 38 manufacturing and support locations in twelve countries.</w:t>
      </w:r>
    </w:p>
    <w:p>
      <w:pPr>
        <w:pStyle w:val="TextBody"/>
        <w:spacing w:lineRule="auto" w:line="288" w:before="160" w:after="283"/>
        <w:jc w:val="both"/>
        <w:rPr/>
      </w:pPr>
      <w:r>
        <w:rPr>
          <w:rFonts w:ascii="Times New Roman;sans-serif" w:hAnsi="Times New Roman;sans-serif"/>
          <w:b w:val="false"/>
          <w:color w:val="000000"/>
          <w:sz w:val="20"/>
          <w:highlight w:val="white"/>
        </w:rPr>
        <w:t>During 2021, our net sales were $857.1 million, operating profit was $95.1 million, and net ca</w:t>
      </w:r>
      <w:r>
        <w:rPr>
          <w:rFonts w:ascii="Times New Roman;sans-serif" w:hAnsi="Times New Roman;sans-serif"/>
          <w:b w:val="false"/>
          <w:color w:val="000000"/>
          <w:sz w:val="20"/>
        </w:rPr>
        <w:t xml:space="preserve">sh provided by operating activities was $134.2 million. Approximately 70% of our 2021 net sales were generated from sales into North America. </w:t>
      </w: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 xml:space="preserve">Our Competitive Strengths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TriMas reports its operating activities in three segments: Packaging, Aerospace and Specialty Products. Our management team believes TriMas is uniquely positioned because of a number of competitive strengths, including: </w:t>
      </w:r>
    </w:p>
    <w:p>
      <w:pPr>
        <w:pStyle w:val="TextBody"/>
        <w:spacing w:lineRule="auto" w:line="288" w:before="160" w:after="160"/>
        <w:ind w:left="0" w:right="0" w:hanging="360"/>
        <w:jc w:val="both"/>
        <w:rPr/>
      </w:pPr>
      <w:r>
        <w:rPr>
          <w:color w:val="000000"/>
        </w:rPr>
        <w:t>•</w:t>
      </w:r>
      <w:r>
        <w:rPr>
          <w:rFonts w:ascii="Times New Roman;sans-serif" w:hAnsi="Times New Roman;sans-serif"/>
          <w:b w:val="false"/>
          <w:i/>
          <w:color w:val="000000"/>
          <w:sz w:val="20"/>
        </w:rPr>
        <w:t>Well-Recognized and Established Brands.</w:t>
      </w:r>
      <w:r>
        <w:rPr>
          <w:color w:val="000000"/>
        </w:rPr>
        <w:t xml:space="preserve"> </w:t>
      </w:r>
      <w:r>
        <w:rPr>
          <w:rFonts w:ascii="Times New Roman;sans-serif" w:hAnsi="Times New Roman;sans-serif"/>
          <w:b w:val="false"/>
          <w:color w:val="000000"/>
          <w:sz w:val="20"/>
        </w:rPr>
        <w:t>Our main brands include Rieke®, Affaba &amp; Ferrari™, Taplast™, Rapak</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Omega Plastics (reported in Packaging); TriMas Aerospace™, Monogram Aerospace Fasteners™, Allfast Fastening Systems</w:t>
      </w:r>
      <w:r>
        <w:rPr>
          <w:rFonts w:ascii="Times New Roman;sans-serif" w:hAnsi="Times New Roman;sans-serif"/>
          <w:b w:val="false"/>
          <w:color w:val="000000"/>
          <w:sz w:val="13"/>
        </w:rPr>
        <w:t>®</w:t>
      </w:r>
      <w:r>
        <w:rPr>
          <w:rFonts w:ascii="Times New Roman;sans-serif" w:hAnsi="Times New Roman;sans-serif"/>
          <w:b w:val="false"/>
          <w:color w:val="000000"/>
          <w:sz w:val="20"/>
        </w:rPr>
        <w:t>, Mac Fasteners™, RSA Engineered Products, Martinic Engineering™ and TFI Aerospace (reported in Aerospace); and Norris Cylinder™ and Arrow</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Engine Company (reported in Specialty Products). We believe each of our go-to-market brands are well-recognized and firmly established in the focused markets we serve. We believe our brands represent high standards and a commitment to quality and service that our customers rely on, and in many cases certify or audit, when they make their sourcing decisions. </w:t>
      </w:r>
    </w:p>
    <w:p>
      <w:pPr>
        <w:pStyle w:val="TextBody"/>
        <w:spacing w:lineRule="auto" w:line="288" w:before="160" w:after="160"/>
        <w:ind w:left="0" w:right="0" w:hanging="360"/>
        <w:jc w:val="both"/>
        <w:rPr/>
      </w:pPr>
      <w:r>
        <w:rPr>
          <w:color w:val="000000"/>
        </w:rPr>
        <w:t>•</w:t>
      </w:r>
      <w:r>
        <w:rPr>
          <w:rFonts w:ascii="Times New Roman;sans-serif" w:hAnsi="Times New Roman;sans-serif"/>
          <w:b w:val="false"/>
          <w:i/>
          <w:color w:val="000000"/>
          <w:sz w:val="20"/>
        </w:rPr>
        <w:t>Innovative and Proprietary Manufacturing and Product Technologies.</w:t>
      </w:r>
      <w:r>
        <w:rPr>
          <w:color w:val="000000"/>
        </w:rPr>
        <w:t xml:space="preserve"> </w:t>
      </w:r>
      <w:r>
        <w:rPr>
          <w:rFonts w:ascii="Times New Roman;sans-serif" w:hAnsi="Times New Roman;sans-serif"/>
          <w:b w:val="false"/>
          <w:color w:val="000000"/>
          <w:sz w:val="20"/>
        </w:rPr>
        <w:t xml:space="preserve">We believe each of our businesses is well-positioned through years of refined manufacturing know-how, innovative product development, application engineering and solutions design. We believe our manufacturing footprint and operational competencies would be difficult and costly to replicate, providing us an advantage. We continue to place a priority on investing in innovation to protect and enhance our product designs, brand names, and manufacturing processes and competencies. </w:t>
      </w:r>
    </w:p>
    <w:p>
      <w:pPr>
        <w:pStyle w:val="TextBody"/>
        <w:spacing w:lineRule="auto" w:line="288" w:before="160" w:after="160"/>
        <w:ind w:left="0" w:right="0" w:hanging="360"/>
        <w:jc w:val="both"/>
        <w:rPr/>
      </w:pPr>
      <w:r>
        <w:rPr>
          <w:color w:val="000000"/>
        </w:rPr>
        <w:t>•</w:t>
      </w:r>
      <w:r>
        <w:rPr>
          <w:rFonts w:ascii="Times New Roman;sans-serif" w:hAnsi="Times New Roman;sans-serif"/>
          <w:b w:val="false"/>
          <w:i/>
          <w:color w:val="000000"/>
          <w:sz w:val="20"/>
        </w:rPr>
        <w:t xml:space="preserve">Customer-Focused Solutions and Long-Term Customer Relationships. </w:t>
      </w:r>
      <w:r>
        <w:rPr>
          <w:rFonts w:ascii="Times New Roman;sans-serif" w:hAnsi="Times New Roman;sans-serif"/>
          <w:b w:val="false"/>
          <w:color w:val="000000"/>
          <w:sz w:val="20"/>
        </w:rPr>
        <w:t xml:space="preserve">We work collaboratively with our customers to design new product applications that help satisfy rapidly changing preferences in the marketplace. As a recognized leader in many of our markets, customers partner with us during the design, product development and production life cycle. These ongoing relationships, often developed over decades, coupled with our expertise in innovation and application engineering, position us to win new and replacement business with our customers when they launch new products or programs. </w:t>
      </w:r>
    </w:p>
    <w:p>
      <w:pPr>
        <w:pStyle w:val="TextBody"/>
        <w:spacing w:lineRule="auto" w:line="288" w:before="160" w:after="160"/>
        <w:ind w:left="0" w:right="0" w:hanging="360"/>
        <w:jc w:val="both"/>
        <w:rPr/>
      </w:pPr>
      <w:r>
        <w:rPr>
          <w:color w:val="000000"/>
        </w:rPr>
        <w:t>•</w:t>
      </w:r>
      <w:r>
        <w:rPr>
          <w:rFonts w:ascii="Times New Roman;sans-serif" w:hAnsi="Times New Roman;sans-serif"/>
          <w:b w:val="false"/>
          <w:i/>
          <w:color w:val="000000"/>
          <w:sz w:val="20"/>
        </w:rPr>
        <w:t xml:space="preserve">Experienced Management Team. </w:t>
      </w:r>
      <w:r>
        <w:rPr>
          <w:rFonts w:ascii="Times New Roman;sans-serif" w:hAnsi="Times New Roman;sans-serif"/>
          <w:b w:val="false"/>
          <w:color w:val="000000"/>
          <w:sz w:val="20"/>
        </w:rPr>
        <w:t xml:space="preserve">Given the range of product and process technologies within each of our businesses, TriMas' success is a function of our experienced management team. In each of our businesses, including businesses we have acquired, we have members of our leadership team that have served the vast majority of their careers, and have extensive and often times unique experience, in the industries we operate. The TriMas management team is focused and committed to continuously improving Company performance and growing shareholder value. Management compensation is tied to financial results through short-term incentive plans, long-term equity incentive programs and Company-established stock ownership guidelines. </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Our Strategy</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Guided by our experienced management team, we are focused on the following components that comprise our core strategy: </w:t>
      </w:r>
    </w:p>
    <w:p>
      <w:pPr>
        <w:pStyle w:val="TextBody"/>
        <w:spacing w:lineRule="auto" w:line="288" w:before="160" w:after="160"/>
        <w:ind w:left="0" w:right="0" w:hanging="360"/>
        <w:jc w:val="both"/>
        <w:rPr/>
      </w:pPr>
      <w:r>
        <w:rPr>
          <w:color w:val="000000"/>
        </w:rPr>
        <w:t>•</w:t>
      </w:r>
      <w:r>
        <w:rPr>
          <w:rFonts w:ascii="Times New Roman;sans-serif" w:hAnsi="Times New Roman;sans-serif"/>
          <w:b w:val="false"/>
          <w:i/>
          <w:color w:val="000000"/>
          <w:sz w:val="20"/>
          <w:highlight w:val="white"/>
        </w:rPr>
        <w:t>Leverage the TriMas Business Model.</w:t>
      </w:r>
      <w:r>
        <w:rPr>
          <w:color w:val="000000"/>
          <w:highlight w:val="white"/>
        </w:rPr>
        <w:t xml:space="preserve"> </w:t>
      </w:r>
      <w:r>
        <w:rPr>
          <w:rFonts w:ascii="Times New Roman;sans-serif" w:hAnsi="Times New Roman;sans-serif"/>
          <w:b w:val="false"/>
          <w:color w:val="000000"/>
          <w:sz w:val="20"/>
          <w:highlight w:val="white"/>
        </w:rPr>
        <w:t xml:space="preserve">The TriMas Business Model ("TBM") serves as the platform to manage our diverse set of businesses under a common set of standards focused on driving long-term exceptional performance. Through the TBM, we set near- and long-term performance objectives and goals, and utilize a reliable communication and escalation process that provides for flexibility and adjustments if market expectations change. </w:t>
      </w:r>
      <w:r>
        <w:rPr>
          <w:rFonts w:ascii="Times New Roman;sans-serif" w:hAnsi="Times New Roman;sans-serif"/>
          <w:b w:val="false"/>
          <w:color w:val="000000"/>
          <w:sz w:val="20"/>
        </w:rPr>
        <w:t>A key tenet of the TBM is our commitment to operational excellence and continuous improvement. We leverage the Kaizen methodology, which is predicated on engaging our employees to identify cost effective ways to improve all aspects of our businesses, throughout our manufacturing operations and support services. We believe our operating performance will continue to benefit from the use of Kaizen as a means to drive our decision-making and investment processes. In addition to continuous improvement and goal setting, the TBM is also focused on environmental, health and safety, talent development, and flawless new product and process launches.</w:t>
      </w:r>
    </w:p>
    <w:p>
      <w:pPr>
        <w:pStyle w:val="TextBody"/>
        <w:spacing w:lineRule="auto" w:line="288" w:before="160" w:after="160"/>
        <w:ind w:left="0" w:right="0" w:hanging="360"/>
        <w:jc w:val="both"/>
        <w:rPr/>
      </w:pPr>
      <w:r>
        <w:rPr>
          <w:color w:val="000000"/>
        </w:rPr>
        <w:t>•</w:t>
      </w:r>
      <w:r>
        <w:rPr>
          <w:rFonts w:ascii="Times New Roman;sans-serif" w:hAnsi="Times New Roman;sans-serif"/>
          <w:b w:val="false"/>
          <w:i/>
          <w:color w:val="000000"/>
          <w:sz w:val="20"/>
          <w:highlight w:val="white"/>
        </w:rPr>
        <w:t>Accelerate Growth through Innovation.</w:t>
      </w:r>
      <w:r>
        <w:rPr>
          <w:color w:val="000000"/>
          <w:highlight w:val="white"/>
        </w:rPr>
        <w:t xml:space="preserve"> </w:t>
      </w:r>
      <w:r>
        <w:rPr>
          <w:rFonts w:ascii="Times New Roman;sans-serif" w:hAnsi="Times New Roman;sans-serif"/>
          <w:b w:val="false"/>
          <w:color w:val="000000"/>
          <w:sz w:val="20"/>
        </w:rPr>
        <w:t xml:space="preserve">We continue to invest in organic growth in our most compelling market segments with the highest </w:t>
      </w:r>
      <w:r>
        <w:rPr>
          <w:rFonts w:ascii="Times New Roman;sans-serif" w:hAnsi="Times New Roman;sans-serif"/>
          <w:b w:val="false"/>
          <w:color w:val="000000"/>
          <w:sz w:val="20"/>
          <w:highlight w:val="white"/>
        </w:rPr>
        <w:t>long-term</w:t>
      </w:r>
      <w:r>
        <w:rPr>
          <w:color w:val="000000"/>
        </w:rPr>
        <w:t xml:space="preserve"> </w:t>
      </w:r>
      <w:r>
        <w:rPr>
          <w:rFonts w:ascii="Times New Roman;sans-serif" w:hAnsi="Times New Roman;sans-serif"/>
          <w:b w:val="false"/>
          <w:color w:val="000000"/>
          <w:sz w:val="20"/>
        </w:rPr>
        <w:t>return potential. We intend to leverage our brands, expand our product offerings to current and new customers, and introduce innovative products to meet our customers' needs and help solve their challenges. We operate under a disciplined approach to defend and expand our product offerings, and grow our business over the longer term. In addition to product innovation, we also value process innovation and believe we can solidify our customer relationships using new innovative processes and manufacturing "know-how" to improve our quality, speed to develop and commercialize, sustainability and overall competitiveness, increasing customer satisfaction, as well as our performance.</w:t>
      </w:r>
    </w:p>
    <w:p>
      <w:pPr>
        <w:pStyle w:val="TextBody"/>
        <w:spacing w:lineRule="auto" w:line="288" w:before="160" w:after="160"/>
        <w:ind w:left="0" w:right="0" w:hanging="360"/>
        <w:jc w:val="both"/>
        <w:rPr/>
      </w:pPr>
      <w:r>
        <w:rPr>
          <w:color w:val="000000"/>
        </w:rPr>
        <w:t>•</w:t>
      </w:r>
      <w:r>
        <w:rPr>
          <w:rFonts w:ascii="Times New Roman;sans-serif" w:hAnsi="Times New Roman;sans-serif"/>
          <w:b w:val="false"/>
          <w:i/>
          <w:color w:val="000000"/>
          <w:sz w:val="20"/>
          <w:highlight w:val="white"/>
        </w:rPr>
        <w:t xml:space="preserve">Augment Growth with Strategic Acquisitions. </w:t>
      </w:r>
      <w:r>
        <w:rPr>
          <w:rFonts w:ascii="Times New Roman;sans-serif" w:hAnsi="Times New Roman;sans-serif"/>
          <w:b w:val="false"/>
          <w:color w:val="000000"/>
          <w:sz w:val="20"/>
          <w:highlight w:val="white"/>
        </w:rPr>
        <w:t xml:space="preserve">We believe TriMas, through its relatively low debt profile and its strong free cash flow, is uniquely positioned to enhance organic growth with strategic acquisitions. Our acquisition priority is to build out the Packaging platform, continuing our initiative to increase TriMas’ weight in packaging-related end markets, which comprise more than 60% of consolidated net sales in 2021, as well as explore opportunities to further expand our Aerospace platform. We typically seek to acquire adjacent product lines that expand our existing product offerings, gain access to new customers and end markets, expand our geographic footprint and/or capitalize on scale and cost efficiencies. </w:t>
      </w:r>
    </w:p>
    <w:p>
      <w:pPr>
        <w:pStyle w:val="TextBody"/>
        <w:spacing w:lineRule="auto" w:line="288" w:before="160" w:after="160"/>
        <w:ind w:left="0" w:right="0" w:hanging="360"/>
        <w:jc w:val="both"/>
        <w:rPr/>
      </w:pPr>
      <w:r>
        <w:rPr>
          <w:color w:val="000000"/>
          <w:highlight w:val="white"/>
        </w:rPr>
        <w:t>•</w:t>
      </w:r>
      <w:r>
        <w:rPr>
          <w:rFonts w:ascii="Times New Roman;sans-serif" w:hAnsi="Times New Roman;sans-serif"/>
          <w:b w:val="false"/>
          <w:i/>
          <w:color w:val="000000"/>
          <w:sz w:val="20"/>
          <w:highlight w:val="white"/>
        </w:rPr>
        <w:t>Drive Enhanced Cash Conversion.</w:t>
      </w:r>
      <w:r>
        <w:rPr>
          <w:color w:val="000000"/>
          <w:highlight w:val="white"/>
        </w:rPr>
        <w:t xml:space="preserve"> </w:t>
      </w:r>
      <w:r>
        <w:rPr>
          <w:rFonts w:ascii="Times New Roman;sans-serif" w:hAnsi="Times New Roman;sans-serif"/>
          <w:b w:val="false"/>
          <w:color w:val="000000"/>
          <w:sz w:val="20"/>
        </w:rPr>
        <w:t>We leverage the TBM to drive management’s decision-making processes to achieve our growth and profitability targets, as well as drive our businesses toward achieving market-leading returns and cash flow conversion. We believe establishing well-defined strategies, executing against annual goals and long-range targets, operating in a data-driven, fact-based environment, and awarding our team on annual cash flow generation will allow us to expand our free cash flow and create shareholder value. We plan to use this cash for reinvestment in our businesses, strategic acquisitions and other capital allocation actions, such as share buybacks and dividends, which we initiated in 2021.</w:t>
      </w:r>
    </w:p>
    <w:p>
      <w:pPr>
        <w:pStyle w:val="TextBody"/>
        <w:spacing w:lineRule="auto" w:line="288" w:before="160" w:after="160"/>
        <w:ind w:left="0" w:right="0" w:hanging="360"/>
        <w:jc w:val="both"/>
        <w:rPr/>
      </w:pPr>
      <w:r>
        <w:rPr>
          <w:color w:val="000000"/>
          <w:highlight w:val="white"/>
        </w:rPr>
        <w:t>•</w:t>
      </w:r>
      <w:r>
        <w:rPr>
          <w:rFonts w:ascii="Times New Roman;sans-serif" w:hAnsi="Times New Roman;sans-serif"/>
          <w:b w:val="false"/>
          <w:i/>
          <w:color w:val="000000"/>
          <w:sz w:val="20"/>
          <w:highlight w:val="white"/>
        </w:rPr>
        <w:t>Engage our People.</w:t>
      </w:r>
      <w:r>
        <w:rPr>
          <w:color w:val="000000"/>
          <w:highlight w:val="white"/>
        </w:rPr>
        <w:t xml:space="preserve"> </w:t>
      </w:r>
      <w:r>
        <w:rPr>
          <w:rFonts w:ascii="Times New Roman;sans-serif" w:hAnsi="Times New Roman;sans-serif"/>
          <w:b w:val="false"/>
          <w:color w:val="000000"/>
          <w:sz w:val="20"/>
        </w:rPr>
        <w:t>We believe our talented and dedicated global team is the foundation of our success. We strive to be a great employer through our demonstrated commitment to employee safety, diversity, equity and inclusion, talent development and workplace culture. We embrace the tools of Kaizen and foster a culture of employee engagement to drive performance improvements, operational excellence and a sustainable future.</w:t>
      </w:r>
    </w:p>
    <w:p>
      <w:pPr>
        <w:pStyle w:val="TextBody"/>
        <w:spacing w:lineRule="auto" w:line="288" w:before="160" w:after="160"/>
        <w:ind w:left="0" w:right="0" w:hanging="360"/>
        <w:jc w:val="both"/>
        <w:rPr/>
      </w:pPr>
      <w:r>
        <w:rPr>
          <w:color w:val="000000"/>
          <w:highlight w:val="white"/>
        </w:rPr>
        <w:t>•</w:t>
      </w:r>
      <w:r>
        <w:rPr>
          <w:rFonts w:ascii="Times New Roman;sans-serif" w:hAnsi="Times New Roman;sans-serif"/>
          <w:b w:val="false"/>
          <w:i/>
          <w:color w:val="000000"/>
          <w:sz w:val="20"/>
          <w:highlight w:val="white"/>
        </w:rPr>
        <w:t>Focus on Sustainability in Everything We Do.</w:t>
      </w:r>
      <w:r>
        <w:rPr>
          <w:color w:val="000000"/>
          <w:highlight w:val="white"/>
        </w:rPr>
        <w:t xml:space="preserve"> </w:t>
      </w:r>
      <w:r>
        <w:rPr>
          <w:rFonts w:ascii="Times New Roman;sans-serif" w:hAnsi="Times New Roman;sans-serif"/>
          <w:b w:val="false"/>
          <w:color w:val="000000"/>
          <w:sz w:val="20"/>
          <w:highlight w:val="white"/>
        </w:rPr>
        <w:t>We view sustainability and Environmental, Social and Governance ("ESG") practices as important components of our culture and rooted in our core values representing who we are as a company. We proactively seek new ways to make progress in each of the four key areas of our sustainability strategy: Governance &amp; Ethics, People, Environment and Products.</w:t>
      </w:r>
      <w:r>
        <w:rPr>
          <w:color w:val="000000"/>
        </w:rPr>
        <w:t xml:space="preserve"> </w:t>
      </w:r>
      <w:r>
        <w:rPr>
          <w:rFonts w:ascii="Times New Roman;sans-serif" w:hAnsi="Times New Roman;sans-serif"/>
          <w:b w:val="false"/>
          <w:color w:val="000000"/>
          <w:sz w:val="20"/>
        </w:rPr>
        <w:t xml:space="preserve">We believe that sustainability is broader than caring for the environment, and encompasses care for our employees, as well as the communities where we live and work. It means continuously enhancing our products and our processes to make the world a better place. We strive to incorporate the concept of sustainability into our decision-making model, and continue to increase the importance of sustainability in everything we do. </w:t>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Our Businesses</w:t>
      </w:r>
    </w:p>
    <w:p>
      <w:pPr>
        <w:pStyle w:val="TextBody"/>
        <w:spacing w:lineRule="auto" w:line="288" w:before="160" w:after="160"/>
        <w:jc w:val="both"/>
        <w:rPr/>
      </w:pPr>
      <w:r>
        <w:rPr>
          <w:rFonts w:ascii="Times New Roman;sans-serif" w:hAnsi="Times New Roman;sans-serif"/>
          <w:b w:val="false"/>
          <w:color w:val="000000"/>
          <w:sz w:val="20"/>
        </w:rPr>
        <w:t>We report the results of our operations in three segments, which had net sales and operating profit for the year ended December 31, 2021 as follows: Packaging (net sales: $533.3 million; operating profit: $96.5 million), Aerospace (net sales: $183.3 million; operating profit: $13.3 million) and Specialty Products (net sales: $140.5 million; operating profit: $22.6 million). For information pertaining to the net sales and operating profit attributed to our segments, refer to Note 22, "</w:t>
      </w:r>
      <w:r>
        <w:rPr>
          <w:rFonts w:ascii="Times New Roman;sans-serif" w:hAnsi="Times New Roman;sans-serif"/>
          <w:b w:val="false"/>
          <w:i/>
          <w:color w:val="000000"/>
          <w:sz w:val="20"/>
        </w:rPr>
        <w:t>Segment Information</w:t>
      </w:r>
      <w:r>
        <w:rPr>
          <w:rFonts w:ascii="Times New Roman;sans-serif" w:hAnsi="Times New Roman;sans-serif"/>
          <w:b w:val="false"/>
          <w:color w:val="000000"/>
          <w:sz w:val="20"/>
        </w:rPr>
        <w:t>," included in Item 8, "</w:t>
      </w:r>
      <w:r>
        <w:rPr>
          <w:rFonts w:ascii="Times New Roman;sans-serif" w:hAnsi="Times New Roman;sans-serif"/>
          <w:b w:val="false"/>
          <w:i/>
          <w:color w:val="000000"/>
          <w:sz w:val="20"/>
        </w:rPr>
        <w:t>Financial Statements and Supplementary Data</w:t>
      </w:r>
      <w:r>
        <w:rPr>
          <w:rFonts w:ascii="Times New Roman;sans-serif" w:hAnsi="Times New Roman;sans-serif"/>
          <w:b w:val="false"/>
          <w:color w:val="000000"/>
          <w:sz w:val="20"/>
        </w:rPr>
        <w:t>," within this Form 10-K.</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Each of our segments is described in more detail on the following pages.</w:t>
      </w:r>
    </w:p>
    <w:p>
      <w:pPr>
        <w:pStyle w:val="TextBody"/>
        <w:spacing w:lineRule="auto" w:line="288" w:before="160" w:after="160"/>
        <w:rPr>
          <w:rFonts w:ascii="Times New Roman;sans-serif" w:hAnsi="Times New Roman;sans-serif"/>
          <w:b/>
          <w:i/>
          <w:color w:val="000000"/>
          <w:sz w:val="20"/>
        </w:rPr>
      </w:pPr>
      <w:r>
        <w:rPr>
          <w:rFonts w:ascii="Times New Roman;sans-serif" w:hAnsi="Times New Roman;sans-serif"/>
          <w:b/>
          <w:i/>
          <w:color w:val="000000"/>
          <w:sz w:val="20"/>
        </w:rPr>
        <w:t>Packaging (62% of 2021 net sales)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TriMas' Packaging segment consists of TriMas Packaging, which includes the Rieke, Affaba &amp; Ferrari, Taplast, Rapak and Omega Plastics brands. We believe TriMas Packaging is a leading designer, developer and manufacturer of specialty, highly-engineered polymeric and steel closure and dispensing systems for a range of end markets, including consumer packaging and industrial markets. We manufacture high-performance, value-added products that are designed to enhance our customers’ ability to store, transport, process and dispense various products. </w:t>
      </w:r>
    </w:p>
    <w:p>
      <w:pPr>
        <w:pStyle w:val="TextBody"/>
        <w:spacing w:lineRule="auto" w:line="288" w:before="160" w:after="1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TriMas Packaging designs and manufactures dispensing products (including foaming pumps, lotion and hand soap pumps, sanitizer pumps, beverage dispensers, perfume sprayers, nasal sprayers and trigger sprayers), polymeric and steel caps and closures (including food lids, flip-top closures, child resistance caps, drum and pail closures and flexible spouts), polymeric jar products, and fully integrated dispensers for fill-ready, flexible bag-in-box applications, for a variety of consumer product markets including, but not limited to, beauty and personal care, home care, food and beverage, medical, pharmaceutical and nutraceutical, as well as industrial markets.</w:t>
      </w:r>
    </w:p>
    <w:p>
      <w:pPr>
        <w:pStyle w:val="TextBody"/>
        <w:spacing w:lineRule="auto" w:line="288" w:before="160" w:after="1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December 2021, we acquired Omega Plastics, a manufacturer of custom injection molded components and devices for drug delivery, diagnostic and orthopedic medical applications, as well as various injection molded products for industrial products. Omega Plastics adds rapid prototyping and advanced in-house tool making capabilities to enhance our speed-to-market advantage for innovative new product designs, as well as an ISO13485-certified injection molding facility and an ISO Class 8 clean room.</w:t>
      </w:r>
    </w:p>
    <w:p>
      <w:pPr>
        <w:pStyle w:val="TextBody"/>
        <w:spacing w:lineRule="auto" w:line="288" w:before="0" w:after="0"/>
        <w:jc w:val="both"/>
        <w:rPr/>
      </w:pPr>
      <w:r>
        <w:rPr>
          <w:rFonts w:ascii="Times New Roman;sans-serif" w:hAnsi="Times New Roman;sans-serif"/>
          <w:b w:val="false"/>
          <w:color w:val="000000"/>
          <w:sz w:val="20"/>
          <w:highlight w:val="white"/>
        </w:rPr>
        <w:t>In April 2020, we acquired the</w:t>
      </w:r>
      <w:r>
        <w:rPr>
          <w:color w:val="000000"/>
        </w:rPr>
        <w:t xml:space="preserve"> </w:t>
      </w:r>
      <w:r>
        <w:rPr>
          <w:rFonts w:ascii="Times New Roman;sans-serif" w:hAnsi="Times New Roman;sans-serif"/>
          <w:b w:val="false"/>
          <w:color w:val="000000"/>
          <w:sz w:val="20"/>
        </w:rPr>
        <w:t>Rapak brand of flexible bag-in-box product lines and assets used in dairy, soda, smoothie and wine applications. In December 2020, we acquired Affaba &amp; Ferrari Srl, a highly-automated manufacturer of aseptic closures for energetic, juice and dairy drinks, as well as industrial closures and flex spouts, in December.</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TriMas Packaging has the capability of manufacturing the majority of our products in North America, Europe or Asia, which allows us to evaluate manufacturing location decisions based on customer needs, timing, cost and capacity.</w:t>
      </w:r>
    </w:p>
    <w:p>
      <w:pPr>
        <w:pStyle w:val="TextBody"/>
        <w:spacing w:lineRule="auto" w:line="288" w:before="160" w:after="160"/>
        <w:jc w:val="both"/>
        <w:rPr/>
      </w:pPr>
      <w:r>
        <w:rPr>
          <w:rFonts w:ascii="Times New Roman;sans-serif" w:hAnsi="Times New Roman;sans-serif"/>
          <w:b w:val="false"/>
          <w:i/>
          <w:color w:val="000000"/>
          <w:sz w:val="20"/>
        </w:rPr>
        <w:t>Competitive Strengths</w:t>
      </w:r>
      <w:r>
        <w:rPr>
          <w:color w:val="000000"/>
        </w:rPr>
        <w:t xml:space="preserve">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TriMas Packaging benefits from the following competitive strengths in coordination with operating under TriMas' overarching strategy: </w:t>
      </w:r>
    </w:p>
    <w:p>
      <w:pPr>
        <w:pStyle w:val="TextBody"/>
        <w:spacing w:lineRule="auto" w:line="288" w:before="160" w:after="160"/>
        <w:ind w:left="0" w:right="0" w:hanging="360"/>
        <w:jc w:val="both"/>
        <w:rPr/>
      </w:pPr>
      <w:r>
        <w:rPr>
          <w:color w:val="000000"/>
        </w:rPr>
        <w:t>•</w:t>
      </w:r>
      <w:r>
        <w:rPr>
          <w:rFonts w:ascii="Times New Roman;sans-serif" w:hAnsi="Times New Roman;sans-serif"/>
          <w:b w:val="false"/>
          <w:i/>
          <w:color w:val="000000"/>
          <w:sz w:val="20"/>
        </w:rPr>
        <w:t>Strong Product Innovation</w:t>
      </w:r>
      <w:r>
        <w:rPr>
          <w:rFonts w:ascii="Times New Roman;sans-serif" w:hAnsi="Times New Roman;sans-serif"/>
          <w:b w:val="false"/>
          <w:color w:val="000000"/>
          <w:sz w:val="20"/>
        </w:rPr>
        <w:t>. Through a multi-layered approach to product and process innovation starting with subject matter experts, our TriMas Packaging team is focused on driving innovation across a broad range of solutions for our customers. Our New Product Development teams are also supported by our Engineering Resource Center ("ERC"), located in India, to enhance our technical innovation and development. TriMas Packaging has a consistent pipeline of new products ready for launch and continues to innovate to make products more sustainable and environmentally friendly. For example, TriMas Packaging's product development programs have provided innovative and proprietary product solution</w:t>
      </w:r>
      <w:r>
        <w:rPr>
          <w:rFonts w:ascii="Times New Roman;sans-serif" w:hAnsi="Times New Roman;sans-serif"/>
          <w:b w:val="false"/>
          <w:color w:val="000000"/>
          <w:sz w:val="20"/>
          <w:highlight w:val="white"/>
        </w:rPr>
        <w:t>s, such as the patented single-polymer Mono</w:t>
      </w:r>
      <w:r>
        <w:rPr>
          <w:rFonts w:ascii="Times New Roman;sans-serif" w:hAnsi="Times New Roman;sans-serif"/>
          <w:b w:val="false"/>
          <w:color w:val="000000"/>
          <w:sz w:val="10"/>
          <w:highlight w:val="white"/>
        </w:rPr>
        <w:t>TM</w:t>
      </w:r>
      <w:r>
        <w:rPr>
          <w:rFonts w:ascii="Times New Roman;sans-serif" w:hAnsi="Times New Roman;sans-serif"/>
          <w:b w:val="false"/>
          <w:color w:val="000000"/>
          <w:sz w:val="20"/>
          <w:highlight w:val="white"/>
        </w:rPr>
        <w:t>-2e pump, which features six parts, all made from one material, making it 100% recyclable. We are also developing additional dispensing products made from a single-material without compromising quality, aesthetics, performance or formula compatibility, under the Singolo</w:t>
      </w:r>
      <w:r>
        <w:rPr>
          <w:rFonts w:ascii="Times New Roman;sans-serif" w:hAnsi="Times New Roman;sans-serif"/>
          <w:b w:val="false"/>
          <w:color w:val="000000"/>
          <w:sz w:val="10"/>
          <w:highlight w:val="white"/>
        </w:rPr>
        <w:t>TM</w:t>
      </w:r>
      <w:r>
        <w:rPr>
          <w:color w:val="000000"/>
        </w:rPr>
        <w:t xml:space="preserve"> </w:t>
      </w:r>
      <w:r>
        <w:rPr>
          <w:rFonts w:ascii="Times New Roman;sans-serif" w:hAnsi="Times New Roman;sans-serif"/>
          <w:b w:val="false"/>
          <w:color w:val="000000"/>
          <w:sz w:val="20"/>
          <w:highlight w:val="white"/>
        </w:rPr>
        <w:t>brand. In addition, TriMas Packaging partnered with Amazon to develop a range of products designed to meet the requirements of the high-growth e-commerce retail channel, including a proprietary dispenser locking mechanism to protect the integrity of package</w:t>
      </w:r>
      <w:r>
        <w:rPr>
          <w:rFonts w:ascii="Times New Roman;sans-serif" w:hAnsi="Times New Roman;sans-serif"/>
          <w:b w:val="false"/>
          <w:color w:val="000000"/>
          <w:sz w:val="20"/>
        </w:rPr>
        <w:t>s and prevent liquids from leaking during shipment, meeting consumers' demands and ISTA 6 standards as required by Amazon. TriMas Packaging's emphasis on highly-engineered solutions and product development has yielded numerous issued and enforceable patents, with many other patent applications pending. For example, 44 patents were filed and 64 patents were issued in 2021, related to both new and existing patent families.</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ind w:left="0" w:right="0" w:hanging="360"/>
        <w:jc w:val="both"/>
        <w:rPr/>
      </w:pPr>
      <w:r>
        <w:rPr>
          <w:color w:val="000000"/>
        </w:rPr>
        <w:t>•</w:t>
      </w:r>
      <w:r>
        <w:rPr>
          <w:rFonts w:ascii="Times New Roman;sans-serif" w:hAnsi="Times New Roman;sans-serif"/>
          <w:b w:val="false"/>
          <w:i/>
          <w:color w:val="000000"/>
          <w:sz w:val="20"/>
        </w:rPr>
        <w:t>Customized Solutions that Enhance Customer Relationships</w:t>
      </w:r>
      <w:r>
        <w:rPr>
          <w:rFonts w:ascii="Times New Roman;sans-serif" w:hAnsi="Times New Roman;sans-serif"/>
          <w:b w:val="false"/>
          <w:color w:val="000000"/>
          <w:sz w:val="20"/>
        </w:rPr>
        <w:t xml:space="preserve">. A significant portion of our products have customized designs that are developed and engineered to address customer-specific technical, marketing and sustainability needs, helping to distinguish our customers’ products from those of their competitors. For example, the customization of specialty plastic caps, closures and dispensers including branding, unique colors, collar sizes, lining and venting results in substantial customer loyalty. The substantial investment in flexible manufacturing cells allows us to offer both short lead-times for high volume products and customization for more moderate volume orders, which provides significant advantages to our consumer packaged goods customer base. In addition, we provide customized dispensing solutions including unique pump designs, precision metering, unique colors and special collar sizes to fit the customer’s containers. TriMas Packaging collaborates with customers to develop innovative products that are more eco-friendly and easier to recycle. We have also been successful in promoting the sale of complementary products in an effort to achieve preferred supplier status with several customers. </w:t>
      </w:r>
    </w:p>
    <w:p>
      <w:pPr>
        <w:pStyle w:val="TextBody"/>
        <w:spacing w:lineRule="auto" w:line="268" w:before="0" w:after="0"/>
        <w:ind w:left="0" w:right="0" w:hanging="360"/>
        <w:jc w:val="both"/>
        <w:rPr/>
      </w:pPr>
      <w:r>
        <w:rPr>
          <w:color w:val="000000"/>
        </w:rPr>
        <w:t>•</w:t>
      </w:r>
      <w:r>
        <w:rPr>
          <w:rFonts w:ascii="Times New Roman;sans-serif" w:hAnsi="Times New Roman;sans-serif"/>
          <w:b w:val="false"/>
          <w:i/>
          <w:color w:val="000000"/>
          <w:sz w:val="20"/>
        </w:rPr>
        <w:t xml:space="preserve">Global Manufacturing Footprint. </w:t>
      </w:r>
      <w:r>
        <w:rPr>
          <w:rFonts w:ascii="Times New Roman;sans-serif" w:hAnsi="Times New Roman;sans-serif"/>
          <w:b w:val="false"/>
          <w:color w:val="000000"/>
          <w:sz w:val="20"/>
        </w:rPr>
        <w:t xml:space="preserve">TriMas Packaging maintains a global network of sales, manufacturing and distribution sites, to serve our global customer base. Our customers, including larger consumer products customers, often desire supply capability and a manufacturing footprint close to their end markets which results in more efficient supply chains, reduced carbon footprint and better sustainability. In light of recent market forces that impact logistics, we are expanding our North American manufacturing presence by launching a new, highly automated facility in New Albany, Ohio, which will be operational in 2022. This new facility </w:t>
      </w:r>
      <w:r>
        <w:rPr>
          <w:rFonts w:ascii="Arial;sans-serif" w:hAnsi="Arial;sans-serif"/>
          <w:b w:val="false"/>
          <w:color w:val="000000"/>
          <w:sz w:val="20"/>
        </w:rPr>
        <w:t>w</w:t>
      </w:r>
      <w:r>
        <w:rPr>
          <w:rFonts w:ascii="Times New Roman;sans-serif" w:hAnsi="Times New Roman;sans-serif"/>
          <w:b w:val="false"/>
          <w:color w:val="000000"/>
          <w:sz w:val="20"/>
        </w:rPr>
        <w:t xml:space="preserve">ill enable TriMas Packaging to shift production of a variety of products currently produced outside of the United States and provide significant incremental capacity for new business growth closer to our customers in North America as needed. To serve our customers in Asia, we have design and manufacturing capacity and offer highly engineered dispensing solutions through locations in China, India and Vietnam, and have increased our Asian market sales coverage. Additionally, TriMas Packaging opened a facility in San Miguel de Allende, Mexico, during 2017, to provide incremental manufacturing capacity to support our growth in North America. We have also increased our sales coverage in Europe and Asia. Our acquisitions of Affaba &amp; Ferrari in 2020, and Plastic Srl and Taplast in 2019, provide us with additional sales, design and manufacturing capacity in Europe, with additional manufacturing facilities in Italy and Slovakia. In addition, we are starting to expand into South America, opening our first warehouse in Brazil for planned commercial activity beginning in 2022. We believe TriMas Packaging's flexible footprint provides us with multiple alternatives for production to best meet customer requirements and helps mitigate the impacts of potential trade disruption. The majority of TriMas Packaging's manufacturing facilities around the world have advanced injection molding machines required to manufacture precision engineered dispensing and closure components, as well as automated, high-speed assembly equipment for multi-component products. </w:t>
      </w:r>
    </w:p>
    <w:p>
      <w:pPr>
        <w:pStyle w:val="TextBody"/>
        <w:spacing w:lineRule="auto" w:line="288" w:before="160" w:after="1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Marketing, Customers and Distribution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TriMas Packaging accesses its markets through direct sales to end-use customers, as well as through leading distributors, where it has enjoyed favorable, long-standing relationships. We employ commercial teams in North America, Europe and Asia, organized by product line and combined with a Global Strategic Accounts sales team, led by a chief commercial officer. We also at times use third-party agents and distributors in key geographic markets, including Europe, South America and Asia, as well as agents and distributors primarily to sell to container manufacturers and to users or fillers of containers.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TriMas Packaging's end customers include, but are not limited to, consumer packaged goods, beauty and cosmetic, personal care, medical, pharmaceutical, nutraceutical, food and beverage, industrial, agricultural, chemical, and cleaning and sanitary supply companies. We also provide products into applications used by warehouse clubs, e-retailers and fast food retailers. We may provide products directly to the end customer, but the end customers may also specify that our products be provided to fillers or packagers. In addition, we also provide products to major container manufacturers, and maintain a customer service center that provides technical support, as well as other technical assistance to customers.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TriMas Packaging has manufacturing and support facilities in the United States, Mexico, the United Kingdom, Germany, Italy, Slovakia, China, India and Vietnam.</w:t>
      </w:r>
    </w:p>
    <w:p>
      <w:pPr>
        <w:pStyle w:val="TextBody"/>
        <w:spacing w:lineRule="auto" w:line="288" w:before="160" w:after="1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Competition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TriMas Packaging has a broad range of products in closure, dispensing and flexible packaging systems, and therefore has various competitors in each of our product offerings. We do not believe that there is a single competitor that matches our entire product offering. Depending on the product and customers served, our competitors include Aptar, Bericap, Berry Global, Greif, Mold-Rite, Phoenix Closures, Silgan, Technocraft and other smaller private companies located in Asia.</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rPr>
          <w:rFonts w:ascii="Times New Roman;sans-serif" w:hAnsi="Times New Roman;sans-serif"/>
          <w:b/>
          <w:i/>
          <w:color w:val="000000"/>
          <w:sz w:val="20"/>
        </w:rPr>
      </w:pPr>
      <w:r>
        <w:rPr>
          <w:rFonts w:ascii="Times New Roman;sans-serif" w:hAnsi="Times New Roman;sans-serif"/>
          <w:b/>
          <w:i/>
          <w:color w:val="000000"/>
          <w:sz w:val="20"/>
        </w:rPr>
        <w:t>Aerospace (22% of 2021 net sales)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Aerospace segment is comprised of TriMas Aerospace, which includes the Monogram Aerospace Fasteners, Allfast Fastening Systems, Mac Fasteners, RSA Engineered Products, Martinic Engineering and TFI Aerospace brands. We believe TriMas Aerospace is a leading designer and manufacturer of a diverse range of products, including, but not limited to, highly-engineered fasteners, collars, blind bolts, rivets, ducting and connectors for air management systems, and other highly-engineered machined parts and components, for use in focused markets within the aerospace industry. In general, these products are customer-specific and are manufactured utilizing customer-qualified and proprietary processes. The products also satisfy rigorous customer approvals or meet unique aerospace industry standards, and as such, we believe there are a limited set of competitors.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products for commercial, business jet, and military and defense aerospace applications and platforms with sales to original equipment manufacturers ("OEMs"), supply chain distributors, MRO/aftermarket providers and tier one suppliers. Our customer-specified and/or qualified products are used in production of significant long-term aircraft programs, including several Boeing and Airbus commercial jetliner programs. </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brands are well established and recognized in their markets. Each of our brands are long-term, certified suppliers of aerospace OEMs or Tier 1 suppliers, and have been serving the aerospace industry for decades. Our TriMas Aerospace go-to-market fastener brands include Monogram Aerospace Fasteners (“Monogram”), Allfast Fastening Systems (“Allfast”), Mac Fasteners and TFI Aerospace (“TFI”), and our engineered product brands include RSA Engineered Products ("RSA") and Martinic Engineering ("Martinic"). </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TriMas Aerospace's product offering includes a broad line of fastener products, including permanent threaded blind bolts, solid and blind rivets, standard screws and bolts manufactured to meet NAS, MS, AN and AS standards, collars, temporary fasteners and other specialty fasteners. TriMas Aerospace also manufactures and assembles complex, highly-engineered and proprietary ducting, connectors and related products for air management systems, and other complex machine-to-print parts for aerospace applications, including auxiliary power units, as well as electrical, hydraulic and pneumatic systems. In December 2021, we acquired TFI, a</w:t>
      </w:r>
      <w:r>
        <w:rPr>
          <w:color w:val="000000"/>
        </w:rPr>
        <w:t xml:space="preserve"> </w:t>
      </w:r>
      <w:r>
        <w:rPr>
          <w:rFonts w:ascii="Times New Roman;sans-serif" w:hAnsi="Times New Roman;sans-serif"/>
          <w:b w:val="false"/>
          <w:color w:val="000000"/>
          <w:sz w:val="20"/>
        </w:rPr>
        <w:t>manufacturer and supplier of specialty fasteners used in a variety of applications, predominantly for the aerospace end market.</w:t>
      </w:r>
    </w:p>
    <w:p>
      <w:pPr>
        <w:pStyle w:val="TextBody"/>
        <w:spacing w:lineRule="auto" w:line="288" w:before="160" w:after="1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Competitive Strengths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TriMas Aerospace benefits from the following competitive strengths in coordination with operating under TriMas' overarching strategy: </w:t>
      </w:r>
    </w:p>
    <w:p>
      <w:pPr>
        <w:pStyle w:val="TextBody"/>
        <w:spacing w:lineRule="auto" w:line="288" w:before="160" w:after="160"/>
        <w:ind w:left="0" w:right="0" w:hanging="360"/>
        <w:jc w:val="both"/>
        <w:rPr/>
      </w:pPr>
      <w:r>
        <w:rPr>
          <w:color w:val="000000"/>
        </w:rPr>
        <w:t>•</w:t>
      </w:r>
      <w:r>
        <w:rPr>
          <w:rFonts w:ascii="Times New Roman;sans-serif" w:hAnsi="Times New Roman;sans-serif"/>
          <w:b w:val="false"/>
          <w:i/>
          <w:color w:val="000000"/>
          <w:sz w:val="20"/>
        </w:rPr>
        <w:t>Broad Product Portfolio of Established Brands</w:t>
      </w:r>
      <w:r>
        <w:rPr>
          <w:rFonts w:ascii="Times New Roman;sans-serif" w:hAnsi="Times New Roman;sans-serif"/>
          <w:b w:val="false"/>
          <w:color w:val="000000"/>
          <w:sz w:val="20"/>
        </w:rPr>
        <w:t xml:space="preserve">. We believe that TriMas Aerospace is a leading designer, developer and manufacturer of broad range of engineered fasteners for the aerospace industry, as well as other complex machined components such as those used in air ducting systems. The combination of the Monogram, Allfast, Mac Fasteners and TFI brands enables TriMas Aerospace to offer a wide range of fastener products which address a broad scope of customer requirements, providing scale to customers who continue to rationalize their supply base. In several of the product categories, including rotary-actuated blind bolts and blind and solid rivets, TriMas Aerospace has a meaningful market share with well-known and established brands. The combined product sets of the Monogram, Allfast, Mac Fasteners and TFI brands uniquely position us to benefit from platform-wide supply opportunities. In addition, RSA has extensive experience in providing air ducting, connectors and flexible joints used in hot engine bleed air, anti-icing and environmental control system applications. Martinic has a reputation, with more than 40 years of experience, of specializing in the high complexity machining of castings, forgings and bar stock for leading tier-one commercial and defense aerospace OEMs.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ind w:left="0" w:right="0" w:hanging="360"/>
        <w:jc w:val="both"/>
        <w:rPr/>
      </w:pPr>
      <w:r>
        <w:rPr>
          <w:color w:val="000000"/>
        </w:rPr>
        <w:t>•</w:t>
      </w:r>
      <w:r>
        <w:rPr>
          <w:rFonts w:ascii="Times New Roman;sans-serif" w:hAnsi="Times New Roman;sans-serif"/>
          <w:b w:val="false"/>
          <w:i/>
          <w:color w:val="000000"/>
          <w:sz w:val="20"/>
        </w:rPr>
        <w:t xml:space="preserve">Product Innovation. </w:t>
      </w:r>
      <w:r>
        <w:rPr>
          <w:rFonts w:ascii="Times New Roman;sans-serif" w:hAnsi="Times New Roman;sans-serif"/>
          <w:b w:val="false"/>
          <w:color w:val="000000"/>
          <w:sz w:val="20"/>
        </w:rPr>
        <w:t>We believe that TriMas Aerospace’s engineering, research and development capability and new product focus are competitive advantages. For many years, TriMas Aerospace’s product development programs have provided innovative and proprietary product solutions. The close working relationship between our sales and engineering teams and our customers’ engineering teams is key to developing future products desired and required by our customers. Our innovation teams add value by working directly with our customers to address assembly and manufacturing process challenges to increase productivity, quality, speed and efficiency, while reducing overall installed cost. TriMas Aerospace has developed new fastener products that offer a flush break upon installation and is developing and testing other fastener designs which offer improved clamping characteristics on composite structures, improved aerodynamics and enhanced installed aesthetics. One of our recent product innovations is the Composi-Lok4</w:t>
      </w:r>
      <w:r>
        <w:rPr>
          <w:rFonts w:ascii="Times New Roman;sans-serif" w:hAnsi="Times New Roman;sans-serif"/>
          <w:b w:val="false"/>
          <w:color w:val="000000"/>
          <w:sz w:val="10"/>
        </w:rPr>
        <w:t>®</w:t>
      </w:r>
      <w:r>
        <w:rPr>
          <w:color w:val="000000"/>
        </w:rPr>
        <w:t xml:space="preserve"> </w:t>
      </w:r>
      <w:r>
        <w:rPr>
          <w:rFonts w:ascii="Times New Roman;sans-serif" w:hAnsi="Times New Roman;sans-serif"/>
          <w:b w:val="false"/>
          <w:color w:val="000000"/>
          <w:sz w:val="20"/>
        </w:rPr>
        <w:t xml:space="preserve">fastener evolution, providing significant installed weight savings, helping to improve fuel efficiency. TriMas Aerospace has also designed the next generation temporary fastener with a significant increase in clamping force called Fastack® SC (Super Clamp). TriMas Aerospace has also expanded its fastener offerings to include other fastening product applications on current aircraft, including the expansion of its suite of collar families used in traditional two-sided assembly. We believe our customer-focused approach to provide cost-effective technical solutions will drive the development of new products and create new opportunities for growth. </w:t>
      </w:r>
    </w:p>
    <w:p>
      <w:pPr>
        <w:pStyle w:val="TextBody"/>
        <w:spacing w:lineRule="auto" w:line="288" w:before="160" w:after="160"/>
        <w:ind w:left="0" w:right="0" w:hanging="360"/>
        <w:jc w:val="both"/>
        <w:rPr/>
      </w:pPr>
      <w:r>
        <w:rPr>
          <w:color w:val="000000"/>
        </w:rPr>
        <w:t>•</w:t>
      </w:r>
      <w:r>
        <w:rPr>
          <w:rFonts w:ascii="Times New Roman;sans-serif" w:hAnsi="Times New Roman;sans-serif"/>
          <w:b w:val="false"/>
          <w:i/>
          <w:color w:val="000000"/>
          <w:sz w:val="20"/>
        </w:rPr>
        <w:t xml:space="preserve">Leading Manufacturing Capabilities and Processes. </w:t>
      </w:r>
      <w:r>
        <w:rPr>
          <w:rFonts w:ascii="Times New Roman;sans-serif" w:hAnsi="Times New Roman;sans-serif"/>
          <w:b w:val="false"/>
          <w:color w:val="000000"/>
          <w:sz w:val="20"/>
        </w:rPr>
        <w:t xml:space="preserve">We believe that TriMas Aerospace is a leading manufacturer of precision-engineered components for the aerospace industry. Given industry regulatory requirements, as well as customer requirements, these products are required to be manufactured within tight tolerances and specifications, often out of hard-to-work-with and exotic materials including titanium, Inconel and specialty steels. TriMas Aerospace is also capable of advanced precision computer numerical controlled ("CNC") milling, high performance CNC turning and assembly, working in a variety of metals including super alloys, stainless steel, aircraft steel alloys, carbon steel alloys and aluminum alloys. Many of TriMas Aerospace’s products, facilities and manufacturing processes are required to be qualified and/or certified. Key certifications in TriMas Aerospace include: AS9100:2009 Revision D; ISO9001:2008; TSO; and NADCAP for non-destructive testing, heat treatment, wet processes and materials testing. While proprietary products and patents are important, having proprietary manufacturing processes and capabilities makes TriMas Aerospace’s products difficult to replicate. The aerospace industry has strict requirements for quality and delivery, making process innovation and continuous improvement vital to TriMas Aerospace's success. We believe TriMas Aerospace’s manufacturing processes, capabilities and quality focus create a competitive strength for the business. </w:t>
      </w:r>
    </w:p>
    <w:p>
      <w:pPr>
        <w:pStyle w:val="TextBody"/>
        <w:spacing w:lineRule="auto" w:line="288" w:before="160" w:after="1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Marketing, Customers and Distribution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TriMas Aerospace serves both OEM and aftermarket customers on a wide variety of platforms. Given the focused nature of many of our products, TriMas Aerospace relies upon a global sales and technical team that is knowledgeable of both OEM customers and the established network of independent distributors. Although the markets for fasteners are highly competitive, we provide products and services primarily for specialized applications, and compete principally on technology, quality and service. TriMas Aerospace works directly with aircraft manufacturers to develop and test new products and improve existing products. TriMas Aerospace’s primary customers include OEMs, supply chain distributors, tier one suppliers and the United States government.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TriMas Aerospace's manufacturing facilities are located in the United States and Canada. In addition to TriMas Aerospace's facilities in California, we are also ramping up a new facility in Mesa, Arizona. Given the nature of the components TriMas Aerospace manufactures, it can ship products efficiently to Europe, South America and Asia. </w:t>
      </w:r>
    </w:p>
    <w:p>
      <w:pPr>
        <w:pStyle w:val="TextBody"/>
        <w:spacing w:lineRule="auto" w:line="288" w:before="160" w:after="1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Competition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Depending on the product and customers served, our primary competitors include Ateliers de la Haute Garonne, Cherry Aerospace - Precision Castparts Corp., Howmet Aerospace, LISI Aerospace and Senior Aerospace, as well as a variety of aerospace and general industrial machined component manufacturers. We believe that we are a leader in the blind bolt market with significant market share in all blind fastener product categories in which we compete. </w:t>
      </w:r>
    </w:p>
    <w:p>
      <w:pPr>
        <w:pStyle w:val="TextBody"/>
        <w:spacing w:before="160" w:after="160"/>
        <w:rPr/>
      </w:pPr>
      <w:r>
        <w:rPr/>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rPr>
          <w:rFonts w:ascii="Times New Roman;sans-serif" w:hAnsi="Times New Roman;sans-serif"/>
          <w:b/>
          <w:i/>
          <w:color w:val="000000"/>
          <w:sz w:val="20"/>
        </w:rPr>
      </w:pPr>
      <w:r>
        <w:rPr>
          <w:rFonts w:ascii="Times New Roman;sans-serif" w:hAnsi="Times New Roman;sans-serif"/>
          <w:b/>
          <w:i/>
          <w:color w:val="000000"/>
          <w:sz w:val="20"/>
        </w:rPr>
        <w:t>Specialty Products (16% of 2021 net sales)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Specialty Products segment is comprised of our Norris Cylinder and Arrow Engine Company businesses. We believe these businesses are well established and recognized in the end markets they serve.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TriMas' Norris Cylinder business is a leading designer, manufacturer and distributor of highly-engineered steel cylinders for use in industrial, heating, ventilation and air conditioning ("HVAC"), construction, health care and defense end markets. We believe that Norris Cylinder is a leading provider of a complete line of large, intermediate and small size, high and low-pressure steel cylinders for the transportation, storage and dispensing of compressed gases. Norris Cylinder’s large high-pressure seamless gas cylinders are used principally for shipping, storing and dispensing oxygen, nitrogen, argon, helium and other compressed gases. In addition, Norris Cylinder offers a complete line of steel cylinders used to contain and dispense acetylene gas for the welding and cutting industries. Norris Cylinder's products meet the rigorous standards required by the Department of Transportation ("DOT") or International Standards Organization ("ISO"), which certifies a cylinder's adequacy to perform in specific applications.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Arrow Engine is a provider of natural gas powered wellhead engines, compressors and replacement parts, all engineered for use in oil and natural gas production and other industrial and commercial markets. As Arrow's engines can operate from the natural gas produced at the wellhead, we believe Arrow is uniquely positioned to provide its products for remote pump jack installations. Arrow Engine distributes its products through a worldwide distribution network, primarily focused in the United States and Canada. Arrow Engine manufactures its own engine line and also offers a wide variety of spare parts for various industrial engines not manufactured by Arrow Engine. </w:t>
      </w:r>
    </w:p>
    <w:p>
      <w:pPr>
        <w:pStyle w:val="TextBody"/>
        <w:spacing w:lineRule="auto" w:line="288" w:before="160" w:after="1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Competitive Strengths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Specialty Products segment benefits from the following competitive strengths in coordination with operating under TriMas' overarching strategy: </w:t>
      </w:r>
    </w:p>
    <w:p>
      <w:pPr>
        <w:pStyle w:val="TextBody"/>
        <w:spacing w:lineRule="auto" w:line="276" w:before="0" w:after="0"/>
        <w:ind w:left="0" w:right="0" w:hanging="360"/>
        <w:jc w:val="both"/>
        <w:rPr/>
      </w:pPr>
      <w:r>
        <w:rPr>
          <w:color w:val="000000"/>
        </w:rPr>
        <w:t>•</w:t>
      </w:r>
      <w:r>
        <w:rPr>
          <w:rFonts w:ascii="Times New Roman;sans-serif" w:hAnsi="Times New Roman;sans-serif"/>
          <w:b w:val="false"/>
          <w:i/>
          <w:color w:val="000000"/>
          <w:sz w:val="20"/>
        </w:rPr>
        <w:t>Leading Market Positions and Strong Brand Names</w:t>
      </w:r>
      <w:r>
        <w:rPr>
          <w:rFonts w:ascii="Times New Roman;sans-serif" w:hAnsi="Times New Roman;sans-serif"/>
          <w:b w:val="false"/>
          <w:color w:val="000000"/>
          <w:sz w:val="20"/>
        </w:rPr>
        <w:t xml:space="preserve">. With more than 70 years of experience, Norris Cylinder is one of the worlds' largest manufacturers of high- and low-pressure steel cylinders, and the only manufacturer in the United States. In 2021, Norris Cylinder became an official “Made in the USA” designated manufacturer, which we believe allows Norris to locally address customers' needs, while maintaining more control over lead times and quality. We believe that Norris has a reputation for high-quality cylinders used in a variety of applications, including industrial gas, welding and cutting, government, medical, laboratories, food and beverage technology, breathing air, fire protection and aviation. We believe that Arrow Engine also has also a leading market position in the niche it serves. </w:t>
      </w:r>
    </w:p>
    <w:p>
      <w:pPr>
        <w:pStyle w:val="TextBody"/>
        <w:spacing w:lineRule="auto" w:line="288" w:before="160" w:after="160"/>
        <w:ind w:left="0" w:right="0" w:hanging="360"/>
        <w:jc w:val="both"/>
        <w:rPr/>
      </w:pPr>
      <w:r>
        <w:rPr>
          <w:color w:val="000000"/>
        </w:rPr>
        <w:t>•</w:t>
      </w:r>
      <w:r>
        <w:rPr>
          <w:rFonts w:ascii="Times New Roman;sans-serif" w:hAnsi="Times New Roman;sans-serif"/>
          <w:b w:val="false"/>
          <w:i/>
          <w:color w:val="000000"/>
          <w:sz w:val="20"/>
        </w:rPr>
        <w:t>Comprehensive Product Offering</w:t>
      </w:r>
      <w:r>
        <w:rPr>
          <w:rFonts w:ascii="Times New Roman;sans-serif" w:hAnsi="Times New Roman;sans-serif"/>
          <w:b w:val="false"/>
          <w:color w:val="000000"/>
          <w:sz w:val="20"/>
        </w:rPr>
        <w:t>. We believe that both Norris Cylinder and Arrow Engine offer a comprehensive product offering that meets their customers' needs. Norris Cylinder offers a complete line of large, intermediate and small size, high and low-pressure steel cylinders to its customers across a variety of end markets. Arrow Engine also provides a comprehensive product offering, including engines, compressors, chemical pumps, generator sets, electronics and replacement parts to a variety of oilfield and industrial markets. During 2021, utilizing the tools of Kaizen, Arrow Engine developed and launched a new reduced emission EPA-certified A54-E engine platform for stationary and off-road mobile applications.</w:t>
      </w:r>
    </w:p>
    <w:p>
      <w:pPr>
        <w:pStyle w:val="TextBody"/>
        <w:spacing w:lineRule="auto" w:line="288" w:before="160" w:after="160"/>
        <w:ind w:left="0" w:right="0" w:hanging="360"/>
        <w:jc w:val="both"/>
        <w:rPr/>
      </w:pPr>
      <w:r>
        <w:rPr>
          <w:color w:val="000000"/>
        </w:rPr>
        <w:t>•</w:t>
      </w:r>
      <w:r>
        <w:rPr>
          <w:rFonts w:ascii="Times New Roman;sans-serif" w:hAnsi="Times New Roman;sans-serif"/>
          <w:b w:val="false"/>
          <w:i/>
          <w:color w:val="000000"/>
          <w:sz w:val="20"/>
        </w:rPr>
        <w:t>Established and Extensive Distribution Channels</w:t>
      </w:r>
      <w:r>
        <w:rPr>
          <w:rFonts w:ascii="Times New Roman;sans-serif" w:hAnsi="Times New Roman;sans-serif"/>
          <w:b w:val="false"/>
          <w:color w:val="000000"/>
          <w:sz w:val="20"/>
        </w:rPr>
        <w:t>. Our Specialty Products businesses have long-standing customer relationships and distributes directly to major companies, as well as distributing to domestic buying groups, OEMs, medium and small independent companies, and independent distributors. Our long-standing supply positions in this well-established network has allowed our Specialty Products businesses to successfully navigate some of the most robust, as well as harshest, economic cycles.</w:t>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0"/>
        </w:rPr>
        <w:t>Difficult and Costly to Replicate Manufacturing Base.</w:t>
      </w:r>
      <w:r>
        <w:rPr>
          <w:color w:val="000000"/>
        </w:rPr>
        <w:t xml:space="preserve"> </w:t>
      </w:r>
      <w:r>
        <w:rPr>
          <w:rFonts w:ascii="Times New Roman;sans-serif" w:hAnsi="Times New Roman;sans-serif"/>
          <w:b w:val="false"/>
          <w:color w:val="000000"/>
          <w:sz w:val="20"/>
        </w:rPr>
        <w:t>Our Norris Cylinder business has locations in Longview, Texas, and Huntsville, Alabama, which have numerous forging and metalworking pieces of equipment and processes. While there are other manufacturers of steel cylinders globally, the installation of manufacturing processes and adding new capacity tends to be a lengthy process and a costly investment to implement. As such, in periods of rising demand, as we have experienced in 2021, Norris Cylinder's installed capacity and manufacturing presence in the United States provides an advantage when compared to non-U.S. suppliers dealing with logistic constraints.</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Marketing, Customers and Distribution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customers of our Specialty Products segment predominantly operate in the industrial end markets, and to a lesser extent, the upstream oil and gas end markets. Given the focused nature of many of our products, we rely upon a combination of a direct sales force and an established network of distributors with familiarity of the end-users. Norris Cylinder, for example, sells directly to customers and through distributors. Our primary customers include industrial gas producers and distributors, welding equipment distributors, and equipment manufacturers.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Norris Cylinder and Arrow Engine manufacturing facilities are located in the United States. </w:t>
      </w:r>
    </w:p>
    <w:p>
      <w:pPr>
        <w:pStyle w:val="TextBody"/>
        <w:spacing w:lineRule="auto" w:line="288" w:before="160" w:after="1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Competition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Norris Cylinder competes against Worthington, Beijing Tianhai Industry Co., Faber and Vitkovice Cylinders, but is the only steel cylinder manufacturer in the United States. In May 2012, the U.S. International Trade Commission made a unanimous final determination that Norris Cylinder had been materially injured by imports of DOT high-pressure steel cylinders that were being subsidized by the Government of China, as well as being dumped in the U.S. market by producers in China. As a result, trade duties were imposed on the subject imports for a five-year period to create a fairer competitive environment in the United States. The duty was extended and increased for an additional five-year period in 2017. Arrow Engine tends to compete against natural gas powered, lower horsepower, multi-cylinder engines from manufacturers such as Caterpillar, Chevy, Cummins and Ford industrial engines and electric motors. </w:t>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TriMas' Acquisition Strategy</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TriMas views the pursuit of strategic acquisitions as core to augmenting its growth and achieving its overarching corporate strategy. We believe TriMas is uniquely positioned to leverage its relatively low debt profile and its strong free cash flow profile to identify and complete bolt-on acquisitions annually as part of its capital allocation philosophy. TriMas’ acquisition priority is to build out our Packaging platform, continuing our initiative to increase TriMas’ weight in packaging-related end markets, which currently comprises nearly 65% of consolidated net sales, as well as explore unique opportunities to build out our Aerospace platform. We typically seek to acquire adjacent product lines that expand our existing product offerings, gain access to new customers and end markets, expand our geographic footprint and/or capitalize on scale and cost efficiencies. Since the beginning of 2019, TriMas has completed seven acquisitions and one divestiture.</w:t>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Materials and Supply Arrangements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largest raw material purchases are for resins (such as polypropylene and polyethylene), steel, aluminum and other oil and metal-based purchased components. Raw materials and other supplies used in our operations are normally available from a variety of competing suppliers. In addition to raw materials, we purchase a variety of components and finished products from sources in lower-cost countries.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Polypropylene and polyethylene are generally commodity resins with multiple suppliers capable of providing product globally. Steel is purchased primarily from steel mills and service centers. Changing global dynamics for steel production and supply will continue to present a challenge to our business.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experienced volatility in costs and availability of our raw material purchases and have worked with our suppliers to manage costs and disruptions in supply. We also utilize pricing programs to pass increased steel, resin and other raw material costs to customers. Although we may experience delays in our ability to implement price increases, we have been generally able to recover such increased costs.</w:t>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we employed approximately 3,500 people, of which approximately 52% were located outside the United States. We have one facility, located in Commerce, California where our hourly employees operate under a collective bargaining agreement, and which represents approximately 14% of our U.S. employees. We have four facilities outside of the United States where our employees are affiliated with state-controlled or trade unions, which covers approximately 47% of our non-U.S. employees.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employee relations throughout our organization are good and we are not aware of any present active union organizing activities at any of our facilities. We cannot predict the impact of any further unionization of our workplace. Our labor agreement with the United Automobile, Aerospace and Agricultural Implement Workers of America at our TriMas Aerospace facility in Commerce, California expired in August 2021, at which time we entered into a new three-year collective bargaining agreement.</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76"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TriMas focuses on a number of human capital resources objectives in managing its business, including our commitment to health and safety, employee engagement, diversity, equity &amp; inclusion, and talent development. These human capital resources objectives, taken together, may be material to understanding our business under certain circumstances. These objectives are reinforced by our Code of Conduct, our global policies, including our Global Human Rights Policy and our Diversity, Equity &amp; Inclusion Statement, and our commitment to sustainability as evidenced by our Sustainability Reports. </w:t>
      </w:r>
    </w:p>
    <w:p>
      <w:pPr>
        <w:pStyle w:val="TextBody"/>
        <w:spacing w:lineRule="auto" w:line="276"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Commitment to Safety</w:t>
      </w:r>
    </w:p>
    <w:p>
      <w:pPr>
        <w:pStyle w:val="TextBody"/>
        <w:spacing w:lineRule="auto" w:line="276"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One of our primary objectives under the TBM is the health and safety of our employees and anyone who conducts business on our behalf. The commitment to safety starts at the top levels of our organization. We believe a safe and secure workplace is fundamental to our success. TriMas is committed to providing a safe and healthy workplace, and complying with applicable safety and health laws, regulations and internal requirements. We are also committed to engaging our employees to continually improve health and safety by acting upon opportunities to reduce risk and improve our safety and health performance, and offer training programs on a regular basis. TriMas maintains comprehensive safety programs focused on identifying hazards and eliminating risks that can lead to work-place injuries. </w:t>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Employee Engagement</w:t>
      </w:r>
    </w:p>
    <w:p>
      <w:pPr>
        <w:pStyle w:val="TextBody"/>
        <w:spacing w:lineRule="auto" w:line="276"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At TriMas, a commitment to continuous improvement is one of our core values and imperative to our long-term success. We embrace the tools of Kaizen and work to foster a culture of employee engagement to drive performance improvements and operational excellence. We believe that employee feedback is important which is why, in 2021, we administered an employee engagement survey globally. We will continue to work on our engagement as a company, with managers actively facilitating engagement discussions with their teams and developing action plans to ensure progress and continuous improvement.</w:t>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Diversity, Equity and Inclusion</w:t>
      </w:r>
    </w:p>
    <w:p>
      <w:pPr>
        <w:pStyle w:val="TextBody"/>
        <w:spacing w:lineRule="auto" w:line="276"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are at our best when we bring together unique perspectives, experiences and ideas, and actively build diverse teams and inclusive work environments across our global locations. We believe that tapping into our employees’ diverse backgrounds and experiences ensures we make better decisions and supports stronger operating performance. Our goal is to foster working environments that are fair, equitable and safe, where rights are respected and everyone can achieve their full potential. Our policies and practices strive to assure equal employment and advancement opportunities for all qualified people. We also work to maintain appropriate standards of conduct in the workplace and to be sensitive to the concerns of our diverse group of employees. We strive to maintain workplaces that are free from discrimination or harassment on the basis of race, ethnicity, color, national origin, religion, age, gender, gender identity and expression, genetic information, sexual orientation, protected veteran status, disability or any other characteristic protected by applicable laws.</w:t>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Talent Development</w:t>
      </w:r>
    </w:p>
    <w:p>
      <w:pPr>
        <w:pStyle w:val="TextBody"/>
        <w:spacing w:lineRule="auto" w:line="276"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a talented, engaged and dynamic workforce is vital to our success. We seek to hire, develop and retain individuals who embrace and thrive in our culture. Our culture is grounded in our values: Integrity, Customer-focused, Teamwork, Results-driven and Continuous Improvement. Our businesses strive to build robust talent pipelines through targeted recruitment initiatives across our global footprint. Our programs are intended to ensure seamless onboarding for our new employees. We identify and nurture talent through a culture that is designed to enable employees to succeed and grow into leadership positions. We believe that our diverse businesses and structure provide many opportunities for employees to follow their own path and advance their careers.</w:t>
      </w:r>
    </w:p>
    <w:p>
      <w:pPr>
        <w:pStyle w:val="TextBody"/>
        <w:spacing w:lineRule="auto" w:line="276"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support a culture of continuous development, and we provide employees with the opportunity to receive frequent performance feedback. On a regular basis throughout the year, employees have goal alignment, performance and career development discussions with their managers (via annual goal setting, mid-year and year-end performance and talent reviews). At these times, employees receive candid feedback on their performance against set objectives. These reviews evaluate each employee’s strengths, skills and areas for opportunity, which are important for career development.</w:t>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TriMas does not experience significant seasonal fluctuation, other than our fourth quarter, which has tended to be the lowest net sales quarter of the year given holiday shutdowns by certain of our customers and other customers deferring capital spending to the following year.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Government Regulations</w:t>
      </w:r>
    </w:p>
    <w:p>
      <w:pPr>
        <w:pStyle w:val="TextBody"/>
        <w:spacing w:lineRule="auto" w:line="276"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Environmental Matters</w:t>
      </w:r>
    </w:p>
    <w:p>
      <w:pPr>
        <w:pStyle w:val="TextBody"/>
        <w:spacing w:lineRule="auto" w:line="276"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increasingly stringent environmental laws and regulations, including those relating to air emissions, wastewater discharges, and chemical and hazardous waste management and disposal. Some of these environmental laws hold owners or operators of land or businesses liable for their own and for previous owners' or operators' releases of hazardous or toxic substances or wastes. Other environmental laws and regulations require obtaining and complying with environmental permits. To date, costs of complying with environmental, health and safety requirements have not been material. However, the nature of our operations and our long history of industrial activities at certain of our current or former facilities, as well as those acquired, could potentially result in material environmental liabilities. </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Current environmental laws and regulations have not had a material impact on our business, capital expenditures or financial position. However, we must comply with existing and pending climate change legislation, regulation and international treaties or accords. Future events, including those relating to climate change or greenhouse gas regulation could require us to incur expenses related to the modification or curtailment of operations, installation of pollution control equipment or investigation and cleanup of contaminated sites. In addition to environmental laws and regulations, our operations are governed by variety of laws and regulations, including those relating to workplace safety and worker health, principally the Occupational Safety and Health Act and regulations thereunder. We believe that we are in material compliance with these laws and regulations and do not believe that future compliance with such laws and regulations will have a material adverse effect on our business, financial condition, results of operations and cash flows.</w:t>
      </w:r>
    </w:p>
    <w:p>
      <w:pPr>
        <w:pStyle w:val="TextBody"/>
        <w:spacing w:lineRule="auto" w:line="276"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Trade Policies and Regulations</w:t>
      </w:r>
    </w:p>
    <w:p>
      <w:pPr>
        <w:pStyle w:val="TextBody"/>
        <w:spacing w:lineRule="auto" w:line="276"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Free trade laws and regulations provide certain duties and tariffs on qualifying imports and exports, subject to compliance with the applicable classification and other requirements. In the past few years, we have experienced higher input costs as a direct result of tariffs imposed on certain raw materials and components imported from China. In certain cases, we have passed-through these incremental costs to the customer, while in some cases we have not changed pricing to retain or expand volume, and in other cases we continue to work to install capacity in facilities where there currently is no tariff. In addition, certain of our U.S. suppliers raised prices for components in response to an overall increase in demand for domestic sources. </w:t>
      </w:r>
    </w:p>
    <w:p>
      <w:pPr>
        <w:pStyle w:val="TextBody"/>
        <w:spacing w:lineRule="auto" w:line="276"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are in material compliance with free trade laws and regulations. While there may be an impact to our financial condition as a result of changes in the amount of duties or tariffs levied on products we sell, we do not believe that costs to remain in compliance with such laws and regulations will have a material adverse effect on our business, financial condition, results of operations and cash flows.</w:t>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Intangible Assets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identified intangible assets, consisting of customer relationships, trademarks and trade names, and technology, are recorded at approximately $196.7 million at December 31, 2021, net of accumulated amortization. The valuation of each of the identified intangibles was performed using broadly accepted valuation methodologies and techniques.</w:t>
      </w:r>
    </w:p>
    <w:p>
      <w:pPr>
        <w:pStyle w:val="TextBody"/>
        <w:spacing w:lineRule="auto" w:line="288" w:before="160" w:after="160"/>
        <w:jc w:val="both"/>
        <w:rPr/>
      </w:pPr>
      <w:r>
        <w:rPr>
          <w:rFonts w:ascii="Times New Roman;sans-serif" w:hAnsi="Times New Roman;sans-serif"/>
          <w:b w:val="false"/>
          <w:i/>
          <w:color w:val="000000"/>
          <w:sz w:val="20"/>
        </w:rPr>
        <w:t xml:space="preserve">Customer Relationships. </w:t>
      </w:r>
      <w:r>
        <w:rPr>
          <w:rFonts w:ascii="Times New Roman;sans-serif" w:hAnsi="Times New Roman;sans-serif"/>
          <w:b w:val="false"/>
          <w:color w:val="000000"/>
          <w:sz w:val="20"/>
        </w:rPr>
        <w:t>We have developed and maintained stable, long-term selling relationships with customer groups for specific branded products and/or focused market product offerings within each of our businesses. Useful lives assigned to customer relationship intangibles range from five to 25 years and have been estimated using historic customer retention and turnover data. Other factors considered in evaluating estimated useful lives include the diverse nature of focused markets and products of which we have significant share, how customers in these markets make purchases and these customers' position in the supply chain. We also monitor and evaluate the impact of other evolving risks including the threat of lower cost competitors and evolving technology.</w:t>
      </w:r>
    </w:p>
    <w:p>
      <w:pPr>
        <w:pStyle w:val="TextBody"/>
        <w:spacing w:lineRule="auto" w:line="288" w:before="160" w:after="160"/>
        <w:jc w:val="both"/>
        <w:rPr/>
      </w:pPr>
      <w:r>
        <w:rPr>
          <w:rFonts w:ascii="Times New Roman;sans-serif" w:hAnsi="Times New Roman;sans-serif"/>
          <w:b w:val="false"/>
          <w:i/>
          <w:color w:val="000000"/>
          <w:sz w:val="20"/>
        </w:rPr>
        <w:t>Trademarks and Trade Names.</w:t>
      </w:r>
      <w:r>
        <w:rPr>
          <w:color w:val="000000"/>
        </w:rPr>
        <w:t> </w:t>
      </w:r>
      <w:r>
        <w:rPr>
          <w:rFonts w:ascii="Times New Roman;sans-serif" w:hAnsi="Times New Roman;sans-serif"/>
          <w:b w:val="false"/>
          <w:color w:val="000000"/>
          <w:sz w:val="20"/>
        </w:rPr>
        <w:t>Each of our businesses designs and manufactures products for focused markets under various trade names and trademarks (see prior discussion by reportable segment). Our trademark/trade name intangibles are well-established and considered long-lived assets that require maintenance through advertising and promotion expenditures. Because it is our practice and intent to maintain and to continue to support, develop and market these trademarks/trade names for the foreseeable future, we consider our rights in these trademarks/trade names to have an indefinite life, except as otherwise dictated by applicable law.</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jc w:val="both"/>
        <w:rPr/>
      </w:pPr>
      <w:r>
        <w:rPr>
          <w:rFonts w:ascii="Times New Roman;sans-serif" w:hAnsi="Times New Roman;sans-serif"/>
          <w:b w:val="false"/>
          <w:i/>
          <w:color w:val="000000"/>
          <w:sz w:val="20"/>
        </w:rPr>
        <w:t xml:space="preserve">Technology. </w:t>
      </w:r>
      <w:r>
        <w:rPr>
          <w:rFonts w:ascii="Times New Roman;sans-serif" w:hAnsi="Times New Roman;sans-serif"/>
          <w:b w:val="false"/>
          <w:color w:val="000000"/>
          <w:sz w:val="20"/>
        </w:rPr>
        <w:t>We hold a number of United States and foreign patents, patent applications, and proprietary product and process-oriented technologies within all three of our reportable segments. We have, and will continue to dedicate, technical resources toward the further development of our products and processes in order to maintain our competitive position in the industrial, commercial and consumer end markets that we serve. Estimated useful lives for our technology intangibles range from one to 30 years and are determined in part by any legal, regulatory or contractual provisions that limit useful life. For example, patent rights have a maximum limit of 20 years in the United States. Other factors considered include the expected use of the technology by the operating groups, the expected useful life of the product and/or product programs to which the technology relates, and the rate of technology adoption by the industry.</w:t>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International Operations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Approximately 25.3% of our net sales for the year ended December 31, 2021 were derived from sales by our businesses located outside of the United States, and approximately 37.1% of our long-lived assets as of December 31, 2021 were located outside of the United States. We operate manufacturing facilities in Canada, China, Germany, India, Italy, Mexico, Slovakia, the United Kingdom and Vietnam, in addition to our U.S. operations. In addition to the net sales derived from sales by our businesses located outside of the United States, we also generated approximately $80.6 million of export sales from the United States. </w:t>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Website Access to Company Reports </w:t>
      </w:r>
    </w:p>
    <w:p>
      <w:pPr>
        <w:pStyle w:val="TextBody"/>
        <w:spacing w:lineRule="auto" w:line="288" w:before="160" w:after="160"/>
        <w:jc w:val="both"/>
        <w:rPr/>
      </w:pPr>
      <w:r>
        <w:rPr>
          <w:rFonts w:ascii="Times New Roman;sans-serif" w:hAnsi="Times New Roman;sans-serif"/>
          <w:b w:val="false"/>
          <w:color w:val="000000"/>
          <w:sz w:val="20"/>
        </w:rPr>
        <w:t>We use our corporate website, www.trimascorp.com, as a channel for routine distribution of important information, including news releases, company presentations and links to our businesses' websites, as well as reinforcing our</w:t>
      </w:r>
      <w:r>
        <w:rPr>
          <w:color w:val="000000"/>
          <w:highlight w:val="white"/>
        </w:rPr>
        <w:t xml:space="preserve"> </w:t>
      </w:r>
      <w:r>
        <w:rPr>
          <w:rFonts w:ascii="Times New Roman;sans-serif" w:hAnsi="Times New Roman;sans-serif"/>
          <w:b w:val="false"/>
          <w:color w:val="000000"/>
          <w:sz w:val="20"/>
          <w:highlight w:val="white"/>
        </w:rPr>
        <w:t xml:space="preserve">commitment to sustainability as evidenced by our Sustainability Reports. We also provide financial information on our website and post filings as soon as reasonably practicable after they are electronically filed with, or furnished to, the Securities and Exchange Commission ("SEC"), including our annual, quarterly, and current reports on Forms 10-K, 10-Q and 8-K, our proxy statements and any amendments to those reports or statements. All such postings and filings are available under our Investors section of the website free of charge. The SEC also </w:t>
      </w:r>
      <w:r>
        <w:rPr>
          <w:rFonts w:ascii="Times New Roman;sans-serif" w:hAnsi="Times New Roman;sans-serif"/>
          <w:b w:val="false"/>
          <w:color w:val="000000"/>
          <w:sz w:val="20"/>
        </w:rPr>
        <w:t xml:space="preserve">maintains a website, www.sec.gov, that contains reports, proxy and information statements and other information regarding issuers that file electronically with the SEC. The content on any website referred to in this Annual Report on Form 10-K is not incorporated by reference into this Annual Report on Form 10-K unless expressly noted. </w:t>
      </w:r>
    </w:p>
    <w:p>
      <w:pPr>
        <w:pStyle w:val="TextBody"/>
        <w:spacing w:before="160" w:after="1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carefully consider each of the risks described below, together with information included elsewhere in this Annual Report on Form 10-K and other documents we file with the SEC. The risks and uncertainties described below are those that we have identified as material, but are not the only risks and uncertainties facing us. Although the risks are organized by headings, and each risk is discussed separately, many of the risks are interrelated. Readers should not interpret the disclosure of any risk factor to imply that the risk has not already materialized. Additional risks and uncertainties not currently known to us or that we currently believe are immaterial may also impact our business operations, financial results and liquidity.</w:t>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Risks Relating to the COVID-19 Pandemic </w:t>
      </w:r>
    </w:p>
    <w:p>
      <w:pPr>
        <w:pStyle w:val="TextBody"/>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The COVID-19 pandemic has had, and is expected to continue to have, a significant impact on the Company's operations and results.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Since late January 2020, we have been managing matters related to the global COVID-19 pandemic, including impacts to our operations and strategic supplier-partners in Asia, as well as our manufacturing operations in Europe and North America. We have experienced temporary disruptions in the operation of certain of our facilities due to elevated levels of absenteeism, which has impacted workforce staffing. In response, we were early adopters of many of the workplace guidelines published by the U.S. Centers for Disease Control and Prevention ("CDC") and implemented other precautionary measures as necessary to maintain social distancing. The COVID-19 pandemic has also affected our customers and suppliers, and we have been and will continue to collaborate with them to minimize supply chain disruptions. We have also implemented pandemic and business continuity plans, as well as other precautionary measures on behalf of our customers and employees, including supporting remote work opportunities for certain of our employees. While we believe that all of these measures have been necessary and appropriate, they have resulted in additional costs and may adversely impact our business and financial performance in the future or expose us to additional unknown risks.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COVID-19 pandemic has impacted our results of operations, and we expect it will continue to impact us in the future at varying levels. For example, sales for our dispensing and closure products used to help fight the spread of gems continue to be much stronger than before the COVID-19 pandemic, while sales in our Aerospace segment have been lower than historical levels as a result of the reduction of new commercial aircraft builds. Although it is not possible to predict the ultimate impact of COVID-19, including on our business, results of operations, financial position or cash flows, such impacts that have been or may be material and include, but are not limited to: (i) shifting customer demand for many of our products, including those used in cosmetic, personal care, pharmaceutical, home care, food and beverage, and industrial markets, as well as aerospace markets; (ii) delays and disruptions in the availability of and timely delivery of materials and components used in our operations, as well as increased costs for such materials and components; (iii) reduced availability and productivity of employees, as well as increased costs associated with our high-deductible medical insurance plan if our employees become ill; (iv) increased operational risks as a result of manufacturing facility disruptions or remote work arrangements, including the potential effects on internal controls and procedures, as well as cybersecurity risks and increased vulnerability to security breaches, information technology disruptions and other similar events; (v) increased credit risk, including increased failure by customers experiencing business disruptions to make timely payments; (vi) customer requirements to accelerate the relocation of certain of our production lines to North America, which may increase our capital investment needs and launch costs; (vii) a negative impact on liquidity position; (viii) any impairment in value of tangible or intangible assets which could be recorded as a result of weaker economic conditions; and (ix) increased costs and less ability to access amounts available under our existing credit facility or more generally, access to and the availability of capital markets.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extent of the COVID-19 pandemic's effect on our operational and financial performance will depend in large part on future developments, which cannot be predicted with confidence at this time. Future developments include the duration, scope and severity of the pandemic, the actions taken to contain or mitigate its impact, and the resumption of widespread economic activity, including air travel. The emergence of new variants of COVID-19, evolving governmental plans to institute vaccination mandates and limited availability of vaccines in various jurisdictions create uncertainty that may impact our employees and result in labor shortages and unforeseen costs. In addition, because we cannot predict the impact that COVID-19 will ultimately have, the actual impact may also exacerbate other risks discussed in this Item 1A.</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Risks Relating to Our Business</w:t>
      </w:r>
    </w:p>
    <w:p>
      <w:pPr>
        <w:pStyle w:val="TextBody"/>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Our businesses depend upon general economic conditions and we serve some customers in highly cyclical industries; as such, we may be subject to the loss of sales and margins due to an economic downturn or recession.</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performance depends, in large part, on conditions in the markets that we serve in both the U.S. and globally. Although with the sale of our Lamons business ("Lamons") in December 2019 we significantly reduced our exposure to the oil and gas end market, we still are exposed to highly cyclical end markets for industrial goods (including our remaining exposure in oil and gas), and to a lesser extent, aerospace and consumer products. When combined with ongoing customer consolidation activity and periodic inventory reduction initiatives, an uncertain macro-economic and political climate could lead to reduced demand from our customers, variations in timing of sales to our customers, increased price competition for our products, increased risk of excess and obsolete inventories, uncollectible receivables, and higher overhead costs as a percentage of revenue, all of which could impact our operating margins. If our customers are adversely affected by these factors, we may experience lower product volume orders, which could have an unfavorable impact on our revenue and operating profit. Our ability to precisely forecast the level of our customers’ orders is limited and can result in inefficiencies in scheduling our installed manufacturing capacity and result in sub-optimal business and financial results. </w:t>
      </w:r>
    </w:p>
    <w:p>
      <w:pPr>
        <w:pStyle w:val="TextBody"/>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Many of the markets we serve are highly competitive, which could limit sales volumes and reduce our operating margins.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products are sold in competitive markets. We believe that the principal points of competition in our markets are price, product quality, delivery performance, design and engineering capabilities, product development, conformity to customer specifications, customer service and effectiveness of distribution. Maintaining and improving our competitive position will require continued investment by us in manufacturing, engineering, quality standards, marketing, customer service and support of our distribution networks. We may have insufficient resources in the future to continue to make such investments and, even if we make such investments, we may not be able to maintain or improve our competitive position. We also face the risk of lower-cost manufacturers located in China, India and other regions competing in the markets for our products and we may be driven as a consequence of this competition to increase our investment overseas. Making overseas investments can be highly complicated and we may not always realize the advantages we anticipate from any such investments. Competitive pressure may limit the volume of products that we sell and reduce our operating margins.</w:t>
      </w:r>
    </w:p>
    <w:p>
      <w:pPr>
        <w:pStyle w:val="TextBody"/>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We may be unable to successfully implement our business strategies and achieve our strategic and financial objectives.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long history of acquisitions and divestitures, and we continuously evaluate strategic opportunities and other investment activities. From time to time, we may engage in one or more strategic transactions. If we do so, it may or may not meet the intended strategic or financial objective.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Strategic acquisitions may require integration expense and actions that may negatively affect our results of operations and that could not have been fully anticipated beforehand. In addition, attractive strategic transaction opportunities may not be identified or pursued in the future, financing for strategic transactions may be unavailable on satisfactory terms and we may be unable to accomplish our strategic objectives in effecting a particular strategic transaction. We may encounter various risks in pursuing such strategic transactions, including the possible inability to integrate an acquired business into our operations, increased expenses, increased debt obligations to finance such strategic transactions and unanticipated problems or liabilities.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may dispose of assets or businesses at a price or on terms that are less favorable than we had anticipated, or with the exclusion of assets that must be divested or run off separately. As we seek to sell or separate certain assets, equity interests or businesses, we may also encounter difficulty in finding buyers, managing interdependencies across multiple transactions and other Company initiatives, implementing separation plans or executing alternative exit strategies on acceptable terms, which could delay or prevent the accomplishment of our strategic and financial objectives. Moreover, the effect of dispositions over time will reduce our cash flow and earnings capacity and result in a less diversified portfolio of businesses, and we will have a greater dependency on remaining businesses for our financial results.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risks related to strategic acquisitions or dispositions may result in the disruption of our ongoing business, diversion of management’s attention, the failure of such transactions to be completed, or the failure to realize the financial and strategic benefits contemplated at the time of a transaction, some or all of which could materially and adversely affect our business strategy, financial condition and results of operations.</w:t>
      </w:r>
    </w:p>
    <w:p>
      <w:pPr>
        <w:pStyle w:val="TextBody"/>
        <w:spacing w:before="160" w:after="160"/>
        <w:jc w:val="both"/>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We have significant goodwill and intangible assets, and future impairment of our goodwill and intangible assets could have a material negative impact on our financial results.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2021, our goodwill and intangible assets were approximately $512.2 million and represented approximately 39.3% of our total assets. If we experience declines in sales and operating profit or do not meet our current and forecasted operating budget, we may be subject to goodwill and/or other intangible asset impairments in the future. While the fair value of our remaining goodwill exceeds its carrying value, significantly worse financial performance of our businesses, significantly different assumptions regarding future performance of our businesses or significant declines in our stock price could result in future impairment losses. Because of the significance of our goodwill and intangible assets, and based on the magnitude of historical impairment charges, any future impairment of these assets could have a material adverse effect on our financial results.</w:t>
      </w:r>
    </w:p>
    <w:p>
      <w:pPr>
        <w:pStyle w:val="TextBody"/>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Increases in our raw material or energy costs or the loss of critical suppliers could adversely affect our profitability and other financial results.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are sensitive to price movements in our raw materials supply base. Our largest material purchases are for resins (such as polypropylene and polyethylene), steel, aluminum and other oil and metal-based purchased components. Prices for these products, along with costs for transportation and energy, fluctuate with market conditions, and have generally increased over time. For example, during 2021, commodity costs related to certain types of resins significantly increased from prior years, and we estimate that we incurred approximately $11 million more in cost increases than we were able to recover via commercial actions. We may be unable to offset the impact with price increases on a timely basis due to outstanding commitments to our customers, competitive considerations or our customers’ resistance to accepting such price increases and our financial performance could be adversely impacted. A failure by our suppliers to continue to supply us with certain raw materials, component parts, or at all, could have a material adverse effect on us. To the extent there are energy supply disruptions or material fluctuations in energy costs, our margins could be materially adversely impacted.</w:t>
      </w:r>
    </w:p>
    <w:p>
      <w:pPr>
        <w:pStyle w:val="TextBody"/>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Our business may be exposed to risks associated with an increasingly concentrated customer base.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no individual customer accounted for 10% or more of our consolidated net sales for 2021, 2020 or 2019, our customer base has become, and may further become, increasingly concentrated as a result of our strategy to focus on grow sales with existing customers in packaging end markets, or due to customer consolidations. In 2021, our Aerospace and Specialty Products segments each had customers that comprised 10% or more of its segment revenue. As a result of these factors, changes to or reductions in the buying patterns of these larger customers may expose our business and results of operations to greater volatility. For example, prior to the outbreak of COVID-19, a large commercial aircraft manufacturer announced significant production delays and/or reductions on certain of its platforms for which we provide products, which has impacted our sales, profit and production efficiencies compared with historical levels.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mix and type of customers, and sales to any single customer, may vary significantly from quarter to quarter and from year to year, and have a significant impact on our financial condition, results of operations and cash flows. If customers do not place orders, or they substantially reduce, delay or cancel orders, we may not be able to replace the business, which may have a significant adverse impact on our results of operations and financial condition. Major customers may require that we localize manufacturing and supply capacity rather than sourcing from lower cost countries, or seek pricing, payment, intellectual property-related, or other commercial terms that are less favorable to us, which may have a negative impact on our business. The concentration of our customer base also increases our risks related to the financial condition of our customers, and the deterioration in financial condition of customers or the failure of customers to perform their obligations could have a material adverse effect on our results of operations and cash flows.</w:t>
      </w:r>
    </w:p>
    <w:p>
      <w:pPr>
        <w:pStyle w:val="TextBody"/>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We are dependent on our manufacturing facilities for the production of our highly engineered products, which subjects us to risks associated with disruptions and changing technology and manufacturing techniques that could place us at a competitive disadvantage.</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If our manufacturing facilities become unavailable either temporarily or permanently due weather, earthquakes or other natural disasters related to global climate change, or geopolitical developments or logistical complications arising from acts of war, cyber-attacks, public health crises or labor disruptions, we may be unable to shift production to other facilities or to make up for lost production. For example, our Aerospace manufacturing facilities are predominately located in southern California, an area known for earthquakes, and are thus vulnerable to damage. Any new facility would need to comply with the necessary regulatory requirements, satisfy our specialized manufacturing requirements and require specialized equipment. Even though we carry business interruption insurance policies, any business interruption losses could exceed the coverage available or be excluded from our insurance policies. Any disruption of our ability to operate our business could result in a material decrease in our revenues or significant additional costs to replace, repair or insure our assets, which could have a material adverse impact on our financial condition and results of operations.</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believe that our customers rigorously evaluate their suppliers on the basis of price competitiveness, product quality, reliability and timeliness of delivery, technical expertise and development capability, new product innovation, product design capability, manufacturing expertise, operational flexibility, customer service and overall management. Our success depends on our ability to continue to meet our customers’ changing expectations with respect to these criteria. We may be unable to install, maintain and certify equipment needed to produce products or upgrade or transition our manufacturing facilities without impacting production rates or requiring other operational efficiency measures at our facilities. We anticipate that we will remain committed to product research and development, advanced manufacturing techniques and service to remain competitive, which entails significant costs; however, we may be unable to address technological advances, implement new and more cost-effective manufacturing techniques, or introduce new or improved products, whether in existing or new markets, so as to maintain our businesses’ competitive positions or to grow our businesses as desired.</w:t>
      </w:r>
    </w:p>
    <w:p>
      <w:pPr>
        <w:pStyle w:val="TextBody"/>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A major failure of our information systems could harm our business; increased IT security threats and more sophisticated and targeted computer crime could pose a risk to our systems, networks, and products.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integrated information systems to conduct our business. While we maintain some of our critical information systems, we are also dependent on third parties to provide important services relating to, among other things, operational technology at our facilities, human resources, electronic communications and certain finance functions. We may experience operating problems with our information systems as a result of system failures, viruses, computer hackers or other causes. Any significant disruption or slowdown of our systems could cause customers to cancel orders or cause standard business processes to become inefficient or ineffective.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cyber-attacks in the past and, while none of these cyber-attacks resulted in a material disruption to our business, we may experience additional cyber-attacks in the future. Increased global IT security threats and more sophisticated and targeted computer crime pose a risk to the security of our systems and networks and the confidentiality, availability and integrity of our data and communications. While we attempt to mitigate these risks by employing a number of measures, including employee training, comprehensive monitoring of our networks and systems, and maintenance of backup and protective systems, our networks and systems remain potentially vulnerable to advanced persistent threats. Furthermore, we may have little or no oversight with respect to security measures employed by third-party service providers, which may ultimately prove to be ineffective at countering threats. Depending on their nature and scope, such threats could potentially lead to the compromising of confidential information and communications, improper use of our systems and networks, manipulation and destruction of data, defective products, production downtimes and operational disruptions, which in turn could adversely affect our reputation, competitiveness and results of operations.</w:t>
      </w:r>
    </w:p>
    <w:p>
      <w:pPr>
        <w:pStyle w:val="TextBody"/>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Our ability to deliver products that satisfy customer requirements is dependent on the performance of our subcontractors and suppliers, as well as on the availability of raw materials and other components.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other companies, including subcontractors and suppliers, to provide and produce raw materials, integrated components and sub-assemblies and production commodities included in, or used in the production of, our products. If one or more of our suppliers or subcontractors experiences delivery delays or other performance problems, we may be unable to meet commitments to our customers or incur additional costs and penalties. In some instances, we depend upon a single source of supply. During 2021, we experienced many supply chain delays and inconsistencies with our subcontractors and suppliers as a result of the ongoing COVID-19 pandemic, resulting in labor and manufacturing inefficiencies given the challenges in production scheduling. Any material service disruption from one of these suppliers, either due to circumstances beyond the supplier’s control, such as geopolitical developments or logistical complications due to weather, global climate change, earthquakes or other natural disasters, or as a result of performance problems or financial difficulties, could have a material adverse effect on our ability to meet commitments to our customers or increase our operating costs.</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 growing portion of our sales and earnings may be derived from international sources, which exposes us to certain risks which may adversely affect our financial results and impact our ability to service debt.</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operations outside of the United States. Approximately 25.3% of our net sales for the year ended December 31, 2021 were derived from sales by our subsidiaries located outside of the U.S. In addition, we may expand our international operations through internal growth or acquisitions. International operations, particularly sales to emerging markets and manufacturing in non-U.S. countries, are subject to risks that are not present within U.S. markets, which include, but are not limited to, the following:</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volatility of currency exchange between the U.S. dollar and currencies in international markets; </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changes in local government regulations and policies including, but not limited to, foreign currency exchange controls or monetary policy, governmental embargoes, repatriation of earnings, expropriation of property, duty or tariff restrictions, investment limitations and tax policies;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jc w:val="both"/>
        <w:rPr>
          <w:color w:val="000000"/>
        </w:rPr>
      </w:pPr>
      <w:r>
        <w:rPr>
          <w:color w:val="000000"/>
        </w:rPr>
        <w:t xml:space="preserve">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political and economic instability and disruptions, including labor unrest, civil strife, public health crises (including viral outbreaks such as the coronavirus), acts of war, guerrilla activities, insurrection and terrorism; </w:t>
      </w:r>
    </w:p>
    <w:p>
      <w:pPr>
        <w:pStyle w:val="TextBody"/>
        <w:spacing w:lineRule="auto" w:line="288" w:before="0" w:after="0"/>
        <w:jc w:val="both"/>
        <w:rPr>
          <w:color w:val="000000"/>
        </w:rPr>
      </w:pPr>
      <w:r>
        <w:rPr>
          <w:color w:val="000000"/>
        </w:rPr>
        <w:t xml:space="preserve">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legislation that regulates the use of chemicals; </w:t>
      </w:r>
    </w:p>
    <w:p>
      <w:pPr>
        <w:pStyle w:val="TextBody"/>
        <w:spacing w:lineRule="auto" w:line="288" w:before="0" w:after="0"/>
        <w:jc w:val="both"/>
        <w:rPr>
          <w:color w:val="000000"/>
        </w:rPr>
      </w:pPr>
      <w:r>
        <w:rPr>
          <w:color w:val="000000"/>
        </w:rPr>
        <w:t xml:space="preserve">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disadvantages of competing against companies from countries that are not subject to U.S. laws and regulations, including the Foreign Corrupt Practices Act ("FCPA"); </w:t>
      </w:r>
    </w:p>
    <w:p>
      <w:pPr>
        <w:pStyle w:val="TextBody"/>
        <w:spacing w:lineRule="auto" w:line="288" w:before="0" w:after="0"/>
        <w:jc w:val="both"/>
        <w:rPr>
          <w:color w:val="000000"/>
        </w:rPr>
      </w:pPr>
      <w:r>
        <w:rPr>
          <w:color w:val="000000"/>
        </w:rPr>
        <w:t xml:space="preserve">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compliance with international trade laws and regulations, including export control and economic sanctions, such as anti-dumping duties; </w:t>
      </w:r>
    </w:p>
    <w:p>
      <w:pPr>
        <w:pStyle w:val="TextBody"/>
        <w:spacing w:lineRule="auto" w:line="288" w:before="0" w:after="0"/>
        <w:jc w:val="both"/>
        <w:rPr>
          <w:color w:val="000000"/>
        </w:rPr>
      </w:pPr>
      <w:r>
        <w:rPr>
          <w:color w:val="000000"/>
        </w:rPr>
        <w:t xml:space="preserve">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difficulties in staffing and managing multi-national operations; </w:t>
      </w:r>
    </w:p>
    <w:p>
      <w:pPr>
        <w:pStyle w:val="TextBody"/>
        <w:spacing w:lineRule="auto" w:line="288" w:before="0" w:after="0"/>
        <w:jc w:val="both"/>
        <w:rPr>
          <w:color w:val="000000"/>
        </w:rPr>
      </w:pPr>
      <w:r>
        <w:rPr>
          <w:color w:val="000000"/>
        </w:rPr>
        <w:t xml:space="preserve">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limitations on our ability to enforce legal rights and remedies;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tax inefficiencies in repatriating cash flow from non-U.S. subsidiaries that could affect our financial results and reduce our ability to service debt;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reduced protection of intellectual property rights; and </w:t>
      </w:r>
    </w:p>
    <w:p>
      <w:pPr>
        <w:pStyle w:val="TextBody"/>
        <w:spacing w:lineRule="auto" w:line="288" w:before="0" w:after="0"/>
        <w:jc w:val="both"/>
        <w:rPr>
          <w:color w:val="000000"/>
        </w:rPr>
      </w:pPr>
      <w:r>
        <w:rPr>
          <w:color w:val="000000"/>
        </w:rPr>
        <w:t xml:space="preserve">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other risks arising out of foreign sovereignty over the areas where our operations are conducted.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could be adversely affected by violations of the FCPA and similar worldwide anti-bribery laws as well as export controls and economic sanction laws. The FCPA and similar anti-bribery laws in other jurisdictions generally prohibit companies and their intermediaries from making improper payments to non-U.S. officials for the purpose of obtaining or retaining business. </w:t>
      </w:r>
    </w:p>
    <w:p>
      <w:pPr>
        <w:pStyle w:val="TextBody"/>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Our acquisition and disposition agreements by which we have acquired or sold companies, include indemnification provisions that may not fully protect us and may result in unexpected liabilities.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agreements related to the acquisition and disposition of businesses require indemnification against certain liabilities related to the operations of the company for the previous owner. We cannot be assured that any of these indemnification provisions will fully protect us, and as a result we may incur unexpected liabilities that adversely affect our profitability and financial position.</w:t>
      </w:r>
    </w:p>
    <w:p>
      <w:pPr>
        <w:pStyle w:val="TextBody"/>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We could be negatively impacted by stakeholder and market focus on ESG matters.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an increasing focus on corporate ESG practices and disclosures over the past few years, and expectations in this area are rapidly evolving. We have announced certain areas of focus, which include health and safety, environmental matters, diversity, equity and inclusion, talent development, and innovation for sustainable products. The criteria used to evaluate ESG practices may continue to evolve, which could result in greater expectations and may cause us to undertake costly initiatives to satisfy new criteria. The increasing attention to sustainability could also result in reduced demand for certain of our products and/or reduced profits. If we are unable to respond effectively, investors may conclude that our ESG policies and/or actions are inadequate. If we are perceived to have failed to achieve our ESG initiatives or accurately disclose our progress on such matters, our reputation, business, financial condition and results of operations could be adversely impacted.</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Regulatory, Legal and Environmental Risks</w:t>
      </w:r>
    </w:p>
    <w:p>
      <w:pPr>
        <w:pStyle w:val="TextBody"/>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Significant developments from the recent and potential changes in U.S. trade policies could have a material adverse effect on us and our financial condition and results of operations.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Free trade laws and regulations provide certain duties and tariffs on qualifying imports and exports, subject to compliance with the applicable classification and other requirements. The United States government has indicated its intent to alter its approach to international trade policy and in some cases to renegotiate, or potentially terminate, certain existing bilateral or multi-lateral trade agreements and treaties with foreign countries. For example, beginning in October 2018, the U.S. government implemented additional tariffs on certain goods imported from China. These tariffs, and other governmental actions relating to international trade agreements or policies, the adoption and expansion of trade restrictions, or the occurrence of a trade war may adversely impact demand for our products, costs, customers, suppliers and/or the U.S. economy or certain sectors thereof and, as a result, adversely impact our business. These tariffs and actions may, directly or indirectly, lead to higher costs and cause us to increase prices to our customers which may reduce demand, or, if we are unable to increase prices, result in lowering our margin on products sold.  For example, in the past few years, we have experienced higher input costs as a direct result of tariffs imposed on certain raw materials and components imported from China. In certain cases, we have passed-through these incremental costs to the customer, while in some cases we have not changed pricing to retain or expand volume, and in other cases we continue to work to install capacity in facilities where there currently is no tariff. In addition, certain of our U.S. suppliers raised prices for components in response to an overall increase in demand for domestic sources.  It remains unclear what the U.S. or foreign governments will or will not do with respect to tariffs, international trade agreements and policies on a short-term or long-term basis. Additional changes in laws or policies governing the terms of foreign trade, and in particular increased trade restrictions, tariffs or taxes on imports from countries where we manufacture or purchase products could have a material adverse effect on our business and financial results.</w:t>
      </w:r>
    </w:p>
    <w:p>
      <w:pPr>
        <w:pStyle w:val="TextBody"/>
        <w:spacing w:lineRule="auto" w:line="288" w:before="160" w:after="200"/>
        <w:jc w:val="both"/>
        <w:rPr>
          <w:rFonts w:ascii="Times New Roman;sans-serif" w:hAnsi="Times New Roman;sans-serif"/>
          <w:b/>
          <w:i/>
          <w:color w:val="000000"/>
          <w:sz w:val="20"/>
        </w:rPr>
      </w:pPr>
      <w:r>
        <w:rPr>
          <w:rFonts w:ascii="Times New Roman;sans-serif" w:hAnsi="Times New Roman;sans-serif"/>
          <w:b/>
          <w:i/>
          <w:color w:val="000000"/>
          <w:sz w:val="20"/>
        </w:rPr>
        <w:t>Compliance with and changes in tax laws, including tax reform legislation in the United States, could materially and adversely impact our financial condition, results of operations and cash flows.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extensive tax liabilities, including federal, state and foreign income taxes and transactional taxes such as excise, sales and use, payroll, franchise, withholding and property taxes. Many tax liabilities are subject to periodic audits by taxing authorities, and such audits could subject us to additional tax as well as interest and penalties. New tax laws and regulations and changes in existing tax laws and regulations could result in increased expenditures by us for tax liabilities in the future and could materially and adversely impact our financial condition, results of operations and cash flows.</w:t>
      </w:r>
    </w:p>
    <w:p>
      <w:pPr>
        <w:pStyle w:val="TextBody"/>
        <w:spacing w:lineRule="auto" w:line="288" w:before="160" w:after="200"/>
        <w:jc w:val="both"/>
        <w:rPr>
          <w:rFonts w:ascii="Times New Roman;sans-serif" w:hAnsi="Times New Roman;sans-serif"/>
          <w:b/>
          <w:i/>
          <w:color w:val="000000"/>
          <w:sz w:val="20"/>
        </w:rPr>
      </w:pPr>
      <w:r>
        <w:rPr>
          <w:rFonts w:ascii="Times New Roman;sans-serif" w:hAnsi="Times New Roman;sans-serif"/>
          <w:b/>
          <w:i/>
          <w:color w:val="000000"/>
          <w:sz w:val="20"/>
        </w:rPr>
        <w:t>We may face liability associated with the use of products for which patent ownership or other intellectual property rights are claimed.</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may be subject to claims or inquiries regarding alleged unauthorized use of a third party’s intellectual property. An adverse outcome in any intellectual property litigation could subject us to significant liabilities to third parties, require us to license technology or other intellectual property rights from others, require us to comply with injunctions to cease marketing or using certain products or brands, or require us to redesign, re-engineer, or re-brand certain products or packaging, any of which could affect our business, financial condition and operating results. If we are required to seek licenses under patents or other intellectual property rights of others, we may not be able to acquire these licenses on acceptable terms, if at all. In addition, the cost of responding to an intellectual property infringement claim, in terms of legal fees and expenses and the diversion of management resources, whether or not the claim is valid, could have a material adverse effect on our business, results of operations and financial condition.</w:t>
      </w:r>
    </w:p>
    <w:p>
      <w:pPr>
        <w:pStyle w:val="TextBody"/>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We may be unable to adequately protect our intellectual property.</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While we believe that our patents, trademarks, know-how and other intellectual property have significant value, it is uncertain that this intellectual property or any intellectual property acquired or developed by us in the future, will provide a meaningful competitive advantage. Our patents or pending applications may be challenged, invalidated or circumvented by competitors or rights granted thereunder may not provide meaningful proprietary protection. Moreover, competitors may infringe on our patents or successfully avoid them through design innovation. Policing unauthorized use of our intellectual property is difficult and expensive, and we may not be able to, or have the resources to, prevent misappropriation of our proprietary rights, particularly in countries where the laws may not protect such rights as fully as in the U.S. The cost of protecting our intellectual property may be significant and have a material adverse effect on our financial condition and future results of operations.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We may incur material losses and costs as a result of product liability, recall and warranty claims brought against us.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are, from time to time, subject to a variety of claims or litigation incidental to our businesses, including demands for damages arising out of use of our products, claims relating to intellectual property matters and claims involving employment matters and commercial disputes. We currently carry insurance and maintain reserves for potential product liability claims. However, our insurance coverage may be inadequate if such claims do arise and any liability not covered by insurance could have a material adverse effect on our business. Although we have been able to obtain insurance in amounts we believe to be appropriate to cover such liability to date, our insurance premiums may increase in the future as a consequence of conditions in the insurance business generally or our situation in particular. Any such increase could result in lower operating profit or cause the need to reduce our insurance coverage. In addition, a future claim may be brought against us that could have a material adverse effect on us. Any product liability claim may also include the imposition of punitive damages, the award of which, pursuant to certain state laws, may not be covered by insurance. Our product liability insurance policies have limits that, if exceeded, may result in material costs that could have an adverse effect on our future profitability. In addition, warranty claims are generally not covered by our product liability insurance. Further, any product liability or warranty issues may adversely affect our reputation as a manufacturer of high-quality, safe products, divert management’s attention, and could have a material adverse effect on our business.</w:t>
      </w:r>
    </w:p>
    <w:p>
      <w:pPr>
        <w:pStyle w:val="TextBody"/>
        <w:spacing w:lineRule="auto" w:line="288" w:before="160" w:after="160"/>
        <w:jc w:val="both"/>
        <w:rPr/>
      </w:pPr>
      <w:r>
        <w:rPr>
          <w:rFonts w:ascii="Times New Roman;sans-serif" w:hAnsi="Times New Roman;sans-serif"/>
          <w:b w:val="false"/>
          <w:color w:val="000000"/>
          <w:sz w:val="20"/>
        </w:rPr>
        <w:t>In addition, our former Lamons business is a party to lawsuits related to asbestos contained in gaskets formerly manufactured by it or its predecessors. While we sold the Lamons business in December 2019, we retained the asbestos-related liability exposure. Some of this litigation includes claims for punitive and consequential as well as compensatory damages. We are not able to predict the outcome of these matters given that, among other things, claims may be initially made in jurisdictions without specifying the amount sought or by simply stating the minimum or maximum permissible monetary relief, and may be amended to alter the amount sought. Of the 4,754 claims pending at December 31, 2021, 27 set forth specific amounts of damages (other than those stating the statutory minimum or maximum). See Note 17,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included in Item 8, "</w:t>
      </w:r>
      <w:r>
        <w:rPr>
          <w:rFonts w:ascii="Times New Roman;sans-serif" w:hAnsi="Times New Roman;sans-serif"/>
          <w:b w:val="false"/>
          <w:i/>
          <w:color w:val="000000"/>
          <w:sz w:val="20"/>
        </w:rPr>
        <w:t>Financial Statements and Supplementary Data</w:t>
      </w:r>
      <w:r>
        <w:rPr>
          <w:rFonts w:ascii="Times New Roman;sans-serif" w:hAnsi="Times New Roman;sans-serif"/>
          <w:b w:val="false"/>
          <w:color w:val="000000"/>
          <w:sz w:val="20"/>
        </w:rPr>
        <w:t xml:space="preserve">," within this Form 10-K for additional information.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Total settlement costs (exclusive of defense costs) for all such cases, some of which were filed over 25 years ago, have been approximately $10.6 million. All relief sought in the asbestos cases is monetary in nature. To date, approximately 40% of our costs related to settlement and defense of asbestos litigation have been covered by our primary insurance. Effective February 14, 2006, we entered into a coverage-in-place agreement with our first level excess carriers regarding the coverage to be provided to us for asbestos-related claims when the primary insurance is exhausted. The coverage-in-place agreement makes asbestos defense costs and indemnity insurance coverage available to us that might otherwise be disputed by the carriers and provides a methodology for the administration of such expenses. The Company's primary insurance exhausted in November 2018, and the Company is solely responsible for defense costs and indemnity payments prior to the commencement of coverage under this agreement, the duration of which would be subject to the scope of damage awards and settlements paid. During this period, we may incur significant litigation costs in defending these matters. We also may be required to incur additional defense costs and pay damage awards or settlements or become subject to equitable remedies in the future that could adversely affect our businesses.</w:t>
      </w:r>
    </w:p>
    <w:p>
      <w:pPr>
        <w:pStyle w:val="TextBody"/>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Our business may be materially and adversely affected by compliance obligations and liabilities under environmental laws and regulations, including related to climate change.</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increasingly stringent environmental laws and regulations, including those relating to air emissions, wastewater discharges and chemical and hazardous waste management and disposal. A number of governments or governmental bodies have introduced or are contemplating introducing regulatory changes in response to climate change, including regulating greenhouse gas emissions. Some of these laws hold owners or operators of land or businesses liable for their own and for previous owners’ or operators’ releases of hazardous or toxic substances or wastes. Other environmental laws and regulations require obtaining and complying with environmental permits. To date, costs of complying with environmental, health and safety requirements have not been material. However, the nature of our operations and our long history of industrial activities at certain of our current or former facilities, as well as those acquired, could potentially result in material liabilities.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While we must comply with existing and pending climate change legislation, regulation and international treaties or accords, current laws and regulations have not had a material impact on our business, capital expenditures or financial position. Future events, including those relating to climate change or greenhouse gas regulation, could require us to incur expenses related to fund energy efficiency activities, fees or restrictions on certain activities, the modification or curtailment of operations, installation of pollution control equipment or investigation and cleanup of contaminated sites. Any adopted future regulations could also negatively impact our ability to compete with companies situated in areas not subject to such limitations, and we may not be able to recover the cost of compliance with new or more stringent laws and regulations, which could adversely impact our results of operations, cash flow or financial condition.</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Our reputation, ability to do business, and results of operations may be impaired by legal compliance risks.</w:t>
      </w:r>
    </w:p>
    <w:p>
      <w:pPr>
        <w:pStyle w:val="TextBody"/>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While we strive to maintain high standards, our internal controls and compliance systems may not always protect us from acts committed by our employees, agents, or business partners that would violate U.S. and/or non-U.S. laws or adequately protect our confidential information, including the laws governing payments to government officials, bribery, fraud, anti-kickback and false claims rules, competition, export and import compliance, money laundering, and data privacy laws, as well as the improper use of proprietary information or social media. Any such allegations, violations of law or improper actions could subject us to civil or criminal investigations in the U.S. and in other jurisdictions, could lead to substantial civil or criminal, monetary and non-monetary penalties, and related shareholder lawsuits, could lead to increased costs of compliance, could damage our reputation and could have a material effect on our financial statements.</w:t>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Risks Related to our Debt and Other Financial Obligations</w:t>
      </w:r>
    </w:p>
    <w:p>
      <w:pPr>
        <w:pStyle w:val="TextBody"/>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We have debt principal and interest payment requirements that may restrict our future operations and impair our ability to meet our obligations.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have approximately $393.8 million of outstanding long-term debt. We are subject to variable interest rates on our revolving credit facility. Such interest rates are based on the London Interbank Offered Rate ("LIBOR") plus 1.50%. We may experience increases in our interest expense as a result of general increases in interest rate levels. In addition, we could be further impacted by changes in variable interest rates. Although we have amended our credit facility to utilize the Secured Overnight Financing Rate ("SOFR") beginning in 2022, SOFR has a limited history and may perform differently from U.S. dollar LIBOR, which may affect our net interest expense and require changes to our future risk, pricing and hedging strategies. We had no amounts outstanding under our revolving credit facility as of December 31, 2021.</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degree of leverage and level of interest expense may have important consequences, including:</w:t>
      </w:r>
    </w:p>
    <w:p>
      <w:pPr>
        <w:pStyle w:val="TextBody"/>
        <w:spacing w:lineRule="auto" w:line="288" w:before="160" w:after="160"/>
        <w:ind w:left="0" w:right="0" w:hanging="360"/>
        <w:jc w:val="both"/>
        <w:rPr/>
      </w:pPr>
      <w:r>
        <w:rPr>
          <w:color w:val="000000"/>
        </w:rPr>
        <w:t>•</w:t>
      </w:r>
      <w:r>
        <w:rPr>
          <w:rFonts w:ascii="Times New Roman;sans-serif" w:hAnsi="Times New Roman;sans-serif"/>
          <w:b w:val="false"/>
          <w:color w:val="000000"/>
          <w:sz w:val="20"/>
        </w:rPr>
        <w:t xml:space="preserve">should our leverage increase, it may place us at a competitive disadvantage as compared with our less leveraged competitors and make us more vulnerable in the event of a downturn in general economic conditions or in any of our businesses; </w:t>
      </w:r>
    </w:p>
    <w:p>
      <w:pPr>
        <w:pStyle w:val="TextBody"/>
        <w:spacing w:lineRule="auto" w:line="288" w:before="160" w:after="160"/>
        <w:ind w:left="0" w:right="0" w:hanging="360"/>
        <w:jc w:val="both"/>
        <w:rPr/>
      </w:pPr>
      <w:r>
        <w:rPr>
          <w:color w:val="000000"/>
        </w:rPr>
        <w:t>•</w:t>
      </w:r>
      <w:r>
        <w:rPr>
          <w:rFonts w:ascii="Times New Roman;sans-serif" w:hAnsi="Times New Roman;sans-serif"/>
          <w:b w:val="false"/>
          <w:color w:val="000000"/>
          <w:sz w:val="20"/>
        </w:rPr>
        <w:t>our flexibility in planning for, or reacting to, changes in our businesses and the industries in which we operate may be limited;</w:t>
      </w:r>
    </w:p>
    <w:p>
      <w:pPr>
        <w:pStyle w:val="TextBody"/>
        <w:spacing w:lineRule="auto" w:line="288" w:before="160" w:after="160"/>
        <w:ind w:left="0" w:right="0" w:hanging="360"/>
        <w:jc w:val="both"/>
        <w:rPr/>
      </w:pPr>
      <w:r>
        <w:rPr>
          <w:color w:val="000000"/>
        </w:rPr>
        <w:t>•</w:t>
      </w:r>
      <w:r>
        <w:rPr>
          <w:rFonts w:ascii="Times New Roman;sans-serif" w:hAnsi="Times New Roman;sans-serif"/>
          <w:b w:val="false"/>
          <w:color w:val="000000"/>
          <w:sz w:val="20"/>
        </w:rPr>
        <w:t xml:space="preserve">a substantial portion of our cash flow from operations will be dedicated to the payment of annual interest and future principal obligations on our indebtedness, thereby reducing the funds available to us for operations, capital expenditures, acquisitions, future business opportunities or obligations to pay rent in respect of our operating leases; and </w:t>
      </w:r>
    </w:p>
    <w:p>
      <w:pPr>
        <w:pStyle w:val="TextBody"/>
        <w:spacing w:lineRule="auto" w:line="288" w:before="160" w:after="160"/>
        <w:ind w:left="0" w:right="0" w:hanging="360"/>
        <w:jc w:val="both"/>
        <w:rPr/>
      </w:pPr>
      <w:r>
        <w:rPr>
          <w:color w:val="000000"/>
        </w:rPr>
        <w:t>•</w:t>
      </w:r>
      <w:r>
        <w:rPr>
          <w:rFonts w:ascii="Times New Roman;sans-serif" w:hAnsi="Times New Roman;sans-serif"/>
          <w:b w:val="false"/>
          <w:color w:val="000000"/>
          <w:sz w:val="20"/>
        </w:rPr>
        <w:t>our operations are restricted by our debt instruments, which contain certain financial and operating covenants, and those restrictions may limit, among other things, our ability to borrow money in the future for working capital, capital expenditures, acquisitions, rent expense or other purposes.</w:t>
      </w:r>
    </w:p>
    <w:p>
      <w:pPr>
        <w:pStyle w:val="TextBody"/>
        <w:spacing w:lineRule="auto" w:line="288" w:before="160" w:after="160"/>
        <w:jc w:val="both"/>
        <w:rPr/>
      </w:pPr>
      <w:r>
        <w:rPr>
          <w:rFonts w:ascii="Times New Roman;sans-serif" w:hAnsi="Times New Roman;sans-serif"/>
          <w:b w:val="false"/>
          <w:color w:val="000000"/>
          <w:sz w:val="20"/>
        </w:rPr>
        <w:t>Our ability to service our debt and other obligations will depend on our future operating performance, which will be affected by prevailing economic conditions and financial, business and other factors, many of which are beyond our control. Our business may not generate sufficient cash flow, and future financings may not be available to provide sufficient net proceeds, to meet these obligations or to successfully execute our business strategies. See "</w:t>
      </w:r>
      <w:r>
        <w:rPr>
          <w:rFonts w:ascii="Times New Roman;sans-serif" w:hAnsi="Times New Roman;sans-serif"/>
          <w:b w:val="false"/>
          <w:i/>
          <w:color w:val="000000"/>
          <w:sz w:val="20"/>
        </w:rPr>
        <w:t>Management's Discussion and Analysis of Financial Condition and Results of Operations—Liquidity and Capital Resources.</w:t>
      </w:r>
      <w:r>
        <w:rPr>
          <w:rFonts w:ascii="Times New Roman;sans-serif" w:hAnsi="Times New Roman;sans-serif"/>
          <w:b w:val="false"/>
          <w:color w:val="000000"/>
          <w:sz w:val="20"/>
        </w:rPr>
        <w:t>"</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Restrictions in our debt instruments limit our ability to take certain actions and breaches thereof could impair our liquidity.</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revolving credit facility and the indenture governing our senior notes contain covenants that restrict our ability to:</w:t>
      </w:r>
    </w:p>
    <w:p>
      <w:pPr>
        <w:pStyle w:val="TextBody"/>
        <w:spacing w:lineRule="auto" w:line="288" w:before="160" w:after="160"/>
        <w:ind w:left="0" w:right="0" w:hanging="360"/>
        <w:rPr/>
      </w:pPr>
      <w:r>
        <w:rPr>
          <w:color w:val="000000"/>
        </w:rPr>
        <w:t>•</w:t>
      </w:r>
      <w:r>
        <w:rPr>
          <w:rFonts w:ascii="Times New Roman;sans-serif" w:hAnsi="Times New Roman;sans-serif"/>
          <w:b w:val="false"/>
          <w:color w:val="000000"/>
          <w:sz w:val="20"/>
        </w:rPr>
        <w:t>pay dividends or redeem or repurchase capital stock;</w:t>
      </w:r>
    </w:p>
    <w:p>
      <w:pPr>
        <w:pStyle w:val="TextBody"/>
        <w:spacing w:lineRule="auto" w:line="288" w:before="160" w:after="160"/>
        <w:ind w:left="0" w:right="0" w:hanging="360"/>
        <w:rPr/>
      </w:pPr>
      <w:r>
        <w:rPr>
          <w:color w:val="000000"/>
        </w:rPr>
        <w:t>•</w:t>
      </w:r>
      <w:r>
        <w:rPr>
          <w:rFonts w:ascii="Times New Roman;sans-serif" w:hAnsi="Times New Roman;sans-serif"/>
          <w:b w:val="false"/>
          <w:color w:val="000000"/>
          <w:sz w:val="20"/>
        </w:rPr>
        <w:t>incur additional indebtedness and grant liens;</w:t>
      </w:r>
    </w:p>
    <w:p>
      <w:pPr>
        <w:pStyle w:val="TextBody"/>
        <w:spacing w:lineRule="auto" w:line="288" w:before="160" w:after="160"/>
        <w:ind w:left="0" w:right="0" w:hanging="360"/>
        <w:rPr/>
      </w:pPr>
      <w:r>
        <w:rPr>
          <w:color w:val="000000"/>
        </w:rPr>
        <w:t>•</w:t>
      </w:r>
      <w:r>
        <w:rPr>
          <w:rFonts w:ascii="Times New Roman;sans-serif" w:hAnsi="Times New Roman;sans-serif"/>
          <w:b w:val="false"/>
          <w:color w:val="000000"/>
          <w:sz w:val="20"/>
        </w:rPr>
        <w:t>make acquisitions and joint venture investments; and</w:t>
      </w:r>
    </w:p>
    <w:p>
      <w:pPr>
        <w:pStyle w:val="TextBody"/>
        <w:spacing w:lineRule="auto" w:line="288" w:before="160" w:after="160"/>
        <w:ind w:left="0" w:right="0" w:hanging="360"/>
        <w:rPr/>
      </w:pPr>
      <w:r>
        <w:rPr>
          <w:color w:val="000000"/>
        </w:rPr>
        <w:t>•</w:t>
      </w:r>
      <w:r>
        <w:rPr>
          <w:rFonts w:ascii="Times New Roman;sans-serif" w:hAnsi="Times New Roman;sans-serif"/>
          <w:b w:val="false"/>
          <w:color w:val="000000"/>
          <w:sz w:val="20"/>
        </w:rPr>
        <w:t>sell assets.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debt instruments also require us to comply with financial covenants relating to, among other things, interest coverage and leverage. We may not be able to satisfy these covenants in the future or be able to pursue our strategies within the constraints of these covenants. Substantially all of the assets of our domestic subsidiaries are pledged as collateral. Borrowings under the foreign currency sub limit are secured by a pledge of the assets of the foreign subsidiary borrowers that are party to our revolving credit facility. A breach of a covenant contained in our debt instruments could result in an event of default under one or more of our debt instruments and our lease financing arrangements. Such breaches would permit the lenders to declare all amounts borrowed thereunder to be due and payable, and the commitments of such lenders to make further extensions of credit could be terminated. Each of these circumstances could materially and adversely impair our liquidity.</w:t>
      </w:r>
    </w:p>
    <w:p>
      <w:pPr>
        <w:pStyle w:val="TextBody"/>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Our borrowing costs may be impacted by our credit ratings developed by various rating agencies.</w:t>
      </w:r>
    </w:p>
    <w:p>
      <w:pPr>
        <w:pStyle w:val="TextBody"/>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Two major ratings agencies, Standard &amp; Poor’s and Moody’s, evaluate our credit profile on an ongoing basis and have each assigned ratings for our long-term debt. If our credit ratings were to decline, our ability to access certain financial markets may become limited, the perception of us in the view of our customers, suppliers and security holders may worsen and as a result, we may be adversely affected.</w:t>
      </w:r>
    </w:p>
    <w:p>
      <w:pPr>
        <w:pStyle w:val="TextBody"/>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We have significant operating lease obligations and our failure to meet those obligations could adversely affect our financial condition.</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lease many of our manufacturing and distribution branch facilities, and certain capital equipment. Our rental expense in 2021 under these operating leases was approximately $11.0 million. A failure to pay our rental obligations would constitute a default allowing the applicable landlord to pursue any remedy available to it under applicable law, which would include taking possession of our property and, in the case of real property, evicting us. These leases are categorized as operating leases and are not considered indebtedness for purposes of our debt instruments.</w:t>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Human Capital Risks</w:t>
      </w:r>
    </w:p>
    <w:p>
      <w:pPr>
        <w:pStyle w:val="TextBody"/>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We depend on the services of key individuals and relationships, the loss of which could materially harm us.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will depend, in part, on the efforts of our key leadership, including key operational, technical, commercial, manufacturing and financial personnel. Our business leadership teams have served a vast majority of their careers in, and are deeply experienced in, the industries we operate. Our future success will also depend on, among other factors, our ability to retain or attract other qualified personnel. The loss of the services of any of our key employees or the failure to retain or attract employees could have a material adverse effect on us.</w:t>
      </w:r>
    </w:p>
    <w:p>
      <w:pPr>
        <w:pStyle w:val="TextBody"/>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We may be subject to further unionization and work stoppages at our facilities or our customers may be subject to work stoppages, which could seriously impact the profitability of our business.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we have one facility, located in Commerce, California, where our hourly employees operate under a collective bargaining agreement, and which represents approximately 14% of our employees located in the United States. We have four facilities outside of the United States where our employees are affiliated with state-controlled or trade unions, which covers approximately 47% of our non-U.S. employees. Our labor agreement with the United Automobile, Aerospace and Agricultural Implement Workers of America at our TriMas Aerospace facility in Commerce, California, expired in August 2021, at which time we entered into a new three-year collective bargaining agreement. We are not aware of any present active union organizing drives at any of our other facilities. We cannot predict the impact of any further unionization of our workplace.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direct or indirect customers have unionized work forces. Strikes, work stoppages or slowdowns experienced by these customers or their suppliers could result in slowdowns or closures of assembly plants where our products are utilized. In addition, organizations responsible for shipping our customers' products may be impacted by occasional strikes or other activity. Any interruption in delivery of our customers' products may reduce demand for our products and have a material adverse effect on us. </w:t>
      </w:r>
    </w:p>
    <w:p>
      <w:pPr>
        <w:pStyle w:val="TextBody"/>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Healthcare costs for active employees may exceed projections and may negatively affect our financial results.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 range of healthcare benefits for our active employees pursuant to labor contracts and otherwise. Healthcare benefits for active employees are provided through comprehensive hospital, surgical and major medical benefit provisions or through health maintenance organizations, all of which are subject to various cost-sharing features. Some of these benefits are provided for in fixed amounts negotiated in labor contracts with the respective unions. If our costs under our benefit programs for active employees exceed our projections, our business and financial results could be materially adversely affected. Additionally, foreign competitors and many domestic competitors provide fewer benefits to their employees, and this difference in cost could adversely impact our competitive position.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manufacturing facilities range in size from approximately 10,000 square feet to approximately 255,000 square feet. Except as set forth in the table below, all of our manufacturing facilities are owned. The leases for our manufacturing facilities have terms that expire from 2022 through 2032 and are generally renewable, at our option, for various terms, provided that we are not in default under the lease agreements. Substantially all of our owned U.S. real properties are subject to liens in connection with our credit facility. TriMas' corporate executive office is located in Bloomfield Hills, Michigan, which is leased through February 2028. Our buildings have been generally well maintained, are in good operating condition and are adequate for current production requirements.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list sets forth the location of our principal owned and leased manufacturing and other facilities used in continuing operations and identifies the principal segment utilizing such facilities as of December 31, 2021:</w:t>
      </w:r>
    </w:p>
    <w:tbl>
      <w:tblPr>
        <w:tblW w:w="8363" w:type="dxa"/>
        <w:jc w:val="center"/>
        <w:tblInd w:w="0" w:type="dxa"/>
        <w:tblCellMar>
          <w:top w:w="28" w:type="dxa"/>
          <w:left w:w="28" w:type="dxa"/>
          <w:bottom w:w="28" w:type="dxa"/>
          <w:right w:w="28" w:type="dxa"/>
        </w:tblCellMar>
      </w:tblPr>
      <w:tblGrid>
        <w:gridCol w:w="235"/>
        <w:gridCol w:w="207"/>
        <w:gridCol w:w="207"/>
        <w:gridCol w:w="483"/>
        <w:gridCol w:w="483"/>
        <w:gridCol w:w="503"/>
        <w:gridCol w:w="109"/>
        <w:gridCol w:w="109"/>
        <w:gridCol w:w="109"/>
        <w:gridCol w:w="714"/>
        <w:gridCol w:w="714"/>
        <w:gridCol w:w="717"/>
        <w:gridCol w:w="109"/>
        <w:gridCol w:w="109"/>
        <w:gridCol w:w="109"/>
        <w:gridCol w:w="463"/>
        <w:gridCol w:w="463"/>
        <w:gridCol w:w="468"/>
        <w:gridCol w:w="109"/>
        <w:gridCol w:w="109"/>
        <w:gridCol w:w="109"/>
        <w:gridCol w:w="504"/>
        <w:gridCol w:w="504"/>
        <w:gridCol w:w="717"/>
      </w:tblGrid>
      <w:tr>
        <w:trPr/>
        <w:tc>
          <w:tcPr>
            <w:tcW w:w="23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Packaging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Aerospace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Specialty Products</w:t>
            </w:r>
          </w:p>
        </w:tc>
      </w:tr>
      <w:tr>
        <w:trPr/>
        <w:tc>
          <w:tcPr>
            <w:tcW w:w="211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Alabama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Huntsville</w:t>
            </w:r>
          </w:p>
        </w:tc>
      </w:tr>
      <w:tr>
        <w:trPr/>
        <w:tc>
          <w:tcPr>
            <w:tcW w:w="6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Arkansas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Atkins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Mesa</w:t>
            </w:r>
            <w:r>
              <w:rPr>
                <w:rFonts w:ascii="Times New Roman;sans-serif" w:hAnsi="Times New Roman;sans-serif"/>
                <w:b w:val="false"/>
                <w:color w:val="000000"/>
                <w:sz w:val="13"/>
              </w:rPr>
              <w:t>(1)</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Tolleson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Irwindale</w:t>
            </w:r>
            <w:r>
              <w:rPr>
                <w:rFonts w:ascii="Times New Roman;sans-serif" w:hAnsi="Times New Roman;sans-serif"/>
                <w:b w:val="false"/>
                <w:color w:val="000000"/>
                <w:sz w:val="13"/>
              </w:rPr>
              <w:t>(1)</w:t>
            </w:r>
            <w:r>
              <w:rPr>
                <w:rFonts w:ascii="Times New Roman;sans-serif" w:hAnsi="Times New Roman;sans-serif"/>
                <w:b w:val="false"/>
                <w:color w:val="000000"/>
                <w:sz w:val="20"/>
              </w:rPr>
              <w:br/>
              <w:t>Rohnert Park</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City of Industry</w:t>
            </w:r>
          </w:p>
          <w:p>
            <w:pPr>
              <w:pStyle w:val="TableContents"/>
              <w:spacing w:lineRule="auto" w:line="240" w:before="0" w:after="0"/>
              <w:jc w:val="center"/>
              <w:rPr/>
            </w:pPr>
            <w:r>
              <w:rPr>
                <w:rFonts w:ascii="Times New Roman;sans-serif" w:hAnsi="Times New Roman;sans-serif"/>
                <w:b w:val="false"/>
                <w:color w:val="000000"/>
                <w:sz w:val="20"/>
              </w:rPr>
              <w:t>Commerce</w:t>
            </w:r>
            <w:r>
              <w:rPr>
                <w:rFonts w:ascii="Times New Roman;sans-serif" w:hAnsi="Times New Roman;sans-serif"/>
                <w:b w:val="false"/>
                <w:color w:val="000000"/>
                <w:sz w:val="13"/>
              </w:rPr>
              <w:t xml:space="preserve">(1) </w:t>
            </w:r>
          </w:p>
          <w:p>
            <w:pPr>
              <w:pStyle w:val="TableContents"/>
              <w:spacing w:lineRule="auto" w:line="240" w:before="0" w:after="0"/>
              <w:jc w:val="center"/>
              <w:rPr/>
            </w:pPr>
            <w:r>
              <w:rPr>
                <w:rFonts w:ascii="Times New Roman;sans-serif" w:hAnsi="Times New Roman;sans-serif"/>
                <w:b w:val="false"/>
                <w:color w:val="000000"/>
                <w:sz w:val="20"/>
              </w:rPr>
              <w:t>Simi Valley</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rPr>
                <w:rFonts w:ascii="Times New Roman;sans-serif" w:hAnsi="Times New Roman;sans-serif"/>
                <w:b w:val="false"/>
                <w:sz w:val="20"/>
              </w:rPr>
            </w:pPr>
            <w:r>
              <w:rPr>
                <w:rFonts w:ascii="Times New Roman;sans-serif" w:hAnsi="Times New Roman;sans-serif"/>
                <w:b w:val="false"/>
                <w:sz w:val="20"/>
              </w:rPr>
            </w:r>
          </w:p>
        </w:tc>
      </w:tr>
      <w:tr>
        <w:trPr/>
        <w:tc>
          <w:tcPr>
            <w:tcW w:w="6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Woodridge</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Auburn</w:t>
              <w:br/>
              <w:t>Hamilton</w:t>
            </w:r>
            <w:r>
              <w:rPr>
                <w:rFonts w:ascii="Times New Roman;sans-serif" w:hAnsi="Times New Roman;sans-serif"/>
                <w:b w:val="false"/>
                <w:color w:val="000000"/>
                <w:sz w:val="13"/>
              </w:rPr>
              <w:t>(1)</w:t>
            </w:r>
          </w:p>
          <w:p>
            <w:pPr>
              <w:pStyle w:val="TableContents"/>
              <w:spacing w:lineRule="auto" w:line="240" w:before="0" w:after="0"/>
              <w:jc w:val="center"/>
              <w:rPr/>
            </w:pPr>
            <w:r>
              <w:rPr>
                <w:rFonts w:ascii="Times New Roman;sans-serif" w:hAnsi="Times New Roman;sans-serif"/>
                <w:b w:val="false"/>
                <w:color w:val="000000"/>
                <w:sz w:val="20"/>
              </w:rPr>
              <w:t>Indianapolis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Kansas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Ottawa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Clinton Township</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New Albany</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Oklahoma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Tulsa</w:t>
            </w:r>
          </w:p>
        </w:tc>
      </w:tr>
      <w:tr>
        <w:trPr/>
        <w:tc>
          <w:tcPr>
            <w:tcW w:w="6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Longview</w:t>
            </w:r>
          </w:p>
        </w:tc>
      </w:tr>
      <w:tr>
        <w:trPr/>
        <w:tc>
          <w:tcPr>
            <w:tcW w:w="6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8"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Orangeville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Haining City</w:t>
            </w:r>
            <w:r>
              <w:rPr>
                <w:rFonts w:ascii="Times New Roman;sans-serif" w:hAnsi="Times New Roman;sans-serif"/>
                <w:b w:val="false"/>
                <w:color w:val="000000"/>
                <w:sz w:val="13"/>
              </w:rPr>
              <w:t>(1)</w:t>
            </w:r>
          </w:p>
          <w:p>
            <w:pPr>
              <w:pStyle w:val="TableContents"/>
              <w:spacing w:lineRule="auto" w:line="240" w:before="0" w:after="0"/>
              <w:jc w:val="center"/>
              <w:rPr/>
            </w:pPr>
            <w:r>
              <w:rPr>
                <w:rFonts w:ascii="Times New Roman;sans-serif" w:hAnsi="Times New Roman;sans-serif"/>
                <w:b w:val="false"/>
                <w:color w:val="000000"/>
                <w:sz w:val="20"/>
              </w:rPr>
              <w:t>Hangzhou</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Neunkirchen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Baddi</w:t>
            </w:r>
          </w:p>
          <w:p>
            <w:pPr>
              <w:pStyle w:val="TableContents"/>
              <w:spacing w:lineRule="auto" w:line="240" w:before="0" w:after="0"/>
              <w:jc w:val="center"/>
              <w:rPr/>
            </w:pPr>
            <w:r>
              <w:rPr>
                <w:rFonts w:ascii="Times New Roman;sans-serif" w:hAnsi="Times New Roman;sans-serif"/>
                <w:b w:val="false"/>
                <w:color w:val="000000"/>
                <w:sz w:val="20"/>
              </w:rPr>
              <w:t>New Delhi</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Borgo San Giovanni</w:t>
            </w:r>
            <w:r>
              <w:rPr>
                <w:rFonts w:ascii="Times New Roman;sans-serif" w:hAnsi="Times New Roman;sans-serif"/>
                <w:b w:val="false"/>
                <w:color w:val="000000"/>
                <w:sz w:val="13"/>
              </w:rPr>
              <w:t>(1)</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Forli</w:t>
            </w:r>
          </w:p>
          <w:p>
            <w:pPr>
              <w:pStyle w:val="TableContents"/>
              <w:spacing w:lineRule="auto" w:line="240" w:before="0" w:after="0"/>
              <w:jc w:val="center"/>
              <w:rPr/>
            </w:pPr>
            <w:r>
              <w:rPr>
                <w:rFonts w:ascii="Times New Roman;sans-serif" w:hAnsi="Times New Roman;sans-serif"/>
                <w:b w:val="false"/>
                <w:color w:val="000000"/>
                <w:sz w:val="20"/>
              </w:rPr>
              <w:t>Pieve Fissiraga</w:t>
            </w:r>
            <w:r>
              <w:rPr>
                <w:rFonts w:ascii="Times New Roman;sans-serif" w:hAnsi="Times New Roman;sans-serif"/>
                <w:b w:val="false"/>
                <w:color w:val="000000"/>
                <w:sz w:val="13"/>
              </w:rPr>
              <w:t>(1)</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Povolaro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San Miguel de Allende</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Slovakia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Levice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Leicester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Vietnam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Thu Dau Mot</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60"/>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w:t>
      </w:r>
    </w:p>
    <w:p>
      <w:pPr>
        <w:pStyle w:val="TextBody"/>
        <w:spacing w:lineRule="auto" w:line="288" w:before="160" w:after="160"/>
        <w:ind w:left="0" w:right="0" w:hanging="540"/>
        <w:rPr/>
      </w:pPr>
      <w:r>
        <w:rPr>
          <w:rFonts w:ascii="Times New Roman;sans-serif" w:hAnsi="Times New Roman;sans-serif"/>
          <w:b w:val="false"/>
          <w:color w:val="000000"/>
          <w:sz w:val="12"/>
        </w:rPr>
        <w:t>(1)</w:t>
      </w:r>
      <w:r>
        <w:rPr>
          <w:rFonts w:ascii="Times New Roman;sans-serif" w:hAnsi="Times New Roman;sans-serif"/>
          <w:b w:val="false"/>
          <w:color w:val="000000"/>
          <w:sz w:val="18"/>
        </w:rPr>
        <w:t>Represents a leased facility. All such leases are operating leases.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spacing w:lineRule="auto" w:line="288" w:before="160" w:after="160"/>
        <w:jc w:val="both"/>
        <w:rPr/>
      </w:pPr>
      <w:r>
        <w:rPr>
          <w:rFonts w:ascii="Times New Roman;sans-serif" w:hAnsi="Times New Roman;sans-serif"/>
          <w:b w:val="false"/>
          <w:color w:val="000000"/>
          <w:sz w:val="20"/>
        </w:rPr>
        <w:t>See Note 17,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included in Item 8, "</w:t>
      </w:r>
      <w:r>
        <w:rPr>
          <w:rFonts w:ascii="Times New Roman;sans-serif" w:hAnsi="Times New Roman;sans-serif"/>
          <w:b w:val="false"/>
          <w:i/>
          <w:color w:val="000000"/>
          <w:sz w:val="20"/>
        </w:rPr>
        <w:t>Financial Statements and Supplementary Data</w:t>
      </w:r>
      <w:r>
        <w:rPr>
          <w:rFonts w:ascii="Times New Roman;sans-serif" w:hAnsi="Times New Roman;sans-serif"/>
          <w:b w:val="false"/>
          <w:color w:val="000000"/>
          <w:sz w:val="20"/>
        </w:rPr>
        <w:t>," within this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Supplementary Item. Information about our Executive Officers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following were executive officers of the Company:</w:t>
      </w:r>
    </w:p>
    <w:p>
      <w:pPr>
        <w:pStyle w:val="TextBody"/>
        <w:spacing w:lineRule="auto" w:line="288" w:before="160" w:after="160"/>
        <w:jc w:val="both"/>
        <w:rPr/>
      </w:pPr>
      <w:r>
        <w:rPr>
          <w:rFonts w:ascii="Times New Roman;sans-serif" w:hAnsi="Times New Roman;sans-serif"/>
          <w:b/>
          <w:color w:val="000000"/>
          <w:sz w:val="20"/>
        </w:rPr>
        <w:t xml:space="preserve">Thomas A. Amato. </w:t>
      </w:r>
      <w:r>
        <w:rPr>
          <w:rFonts w:ascii="Times New Roman;sans-serif" w:hAnsi="Times New Roman;sans-serif"/>
          <w:b w:val="false"/>
          <w:color w:val="000000"/>
          <w:sz w:val="20"/>
        </w:rPr>
        <w:t xml:space="preserve">Mr. Amato, age 58, was appointed the Company's president and chief executive officer in July 2016. Previously, he served as chief executive officer and president of Metaldyne, LLC, an international engineered products manufacturing company, from 2009 through 2015, and co-president and chief integration officer of Metaldyne Performance Group, a global manufacturing company formed in mid-2014 and taken public in the same year, from August 2014 through December 2015. Prior to 2009, he served as chairman, chief executive officer, and president of Metaldyne Corporation, a global components manufacturer, and co-chief executive officer of Asahi Tec, a publicly traded Japanese casting and forging company. Prior to this, Mr. Amato worked at MascoTech in positions of increasing responsibility, and successfully completed several acquisitions and divestitures. During this time, one of his roles was vice president of corporate development for TriMas. From 1987 to 1994, Mr. Amato worked at Imperial Chemical Industries, a large multinational chemical company, as an applications development engineer and, eventually, a group leader. Mr. Amato also serves on the Board of Directors of Ametek, a publicly traded diversified industrial manufacturing company, and is appointed as its Compensation Committee Chair. </w:t>
      </w:r>
    </w:p>
    <w:p>
      <w:pPr>
        <w:pStyle w:val="TextBody"/>
        <w:spacing w:lineRule="auto" w:line="288" w:before="160" w:after="160"/>
        <w:jc w:val="both"/>
        <w:rPr/>
      </w:pPr>
      <w:r>
        <w:rPr>
          <w:rFonts w:ascii="Times New Roman;sans-serif" w:hAnsi="Times New Roman;sans-serif"/>
          <w:b/>
          <w:color w:val="000000"/>
          <w:sz w:val="20"/>
        </w:rPr>
        <w:t>Scott A. Mell.</w:t>
      </w:r>
      <w:r>
        <w:rPr>
          <w:color w:val="000000"/>
        </w:rPr>
        <w:t xml:space="preserve"> </w:t>
      </w:r>
      <w:r>
        <w:rPr>
          <w:rFonts w:ascii="Times New Roman;sans-serif" w:hAnsi="Times New Roman;sans-serif"/>
          <w:b w:val="false"/>
          <w:color w:val="000000"/>
          <w:sz w:val="20"/>
        </w:rPr>
        <w:t>Mr. Mell, age 50, was appointed the Company’s chief financial officer in May 2021. Prior to joining the Company, Mr. Mell served as managing director of recovery and transformation services for Riveron, a national business advisory firm, from October 2018 through April 2021. In his role with Riveron, Mr. Mell led projects at TriMas to support continuous improvement efforts within TriMas’ Packaging and Aerospace segments. Mr. Mell has more than 25 years of leadership experience providing strategic, financial and operational advisory services focused on value creation and transformational change management. Prior to Riveron, Mr. Mell served as managing director at Ernst &amp; Young from October 2017 to October 2018. Mr. Mell also served as Vice President of Corporate Strategy at Motus Integrated Technologies from January 2017 to October 2017. Mr. Mell has held senior leadership positions within several global consulting firms including McKinsey &amp; Company and AlixPartners. Mr. Mell’s previous experience also includes serving in multiple C-Suite roles for both public and privately held companies in the industrial manufacturing, aerospace and energy industries.</w:t>
      </w:r>
    </w:p>
    <w:p>
      <w:pPr>
        <w:pStyle w:val="TextBody"/>
        <w:spacing w:lineRule="auto" w:line="288" w:before="160" w:after="160"/>
        <w:jc w:val="both"/>
        <w:rPr/>
      </w:pPr>
      <w:r>
        <w:rPr>
          <w:rFonts w:ascii="Times New Roman;sans-serif" w:hAnsi="Times New Roman;sans-serif"/>
          <w:b/>
          <w:color w:val="000000"/>
          <w:sz w:val="20"/>
        </w:rPr>
        <w:t xml:space="preserve">Fabio L. Matheus Salik. </w:t>
      </w:r>
      <w:r>
        <w:rPr>
          <w:rFonts w:ascii="Times New Roman;sans-serif" w:hAnsi="Times New Roman;sans-serif"/>
          <w:b w:val="false"/>
          <w:color w:val="000000"/>
          <w:sz w:val="20"/>
        </w:rPr>
        <w:t xml:space="preserve">Mr. Salik, age 53, was appointed president of TriMas Packaging in July 2020. He has more than 20 years of global management experience working for a variety of plastic packaging companies. From 2012 to 2020, he worked for Logoplaste, a Carlyle Group-owned company which is headquartered in Portugal. In his last assignment as CEO of Americas from July 2017 to May 2020, and as Chief Operating Officer from December 2016 to July 2017, Mr. Salik had full P&amp;L responsibility for more than 20 facilities, servicing blue-chip consumer packaged goods companies including P&amp;G, Nestle, L’Oreal, Dannon, Reckitt Benckiser and Henkel. Prior to his tenure at Logoplaste, he was president of Valmari, a Brazilian skincare company. He also worked for Rexam in the United States, France and Brazil, where he served in a number of roles of increasing responsibility, including positions like managing director worldwide for Rexam Make Up and managing director worldwide for Rexam Healthcare - Primary Packaging and Prescription Divisions. </w:t>
      </w:r>
    </w:p>
    <w:p>
      <w:pPr>
        <w:pStyle w:val="TextBody"/>
        <w:spacing w:lineRule="auto" w:line="288" w:before="160" w:after="160"/>
        <w:jc w:val="both"/>
        <w:rPr/>
      </w:pPr>
      <w:r>
        <w:rPr>
          <w:rFonts w:ascii="Times New Roman;sans-serif" w:hAnsi="Times New Roman;sans-serif"/>
          <w:b/>
          <w:color w:val="000000"/>
          <w:sz w:val="20"/>
        </w:rPr>
        <w:t>John P. Schaefer.</w:t>
      </w:r>
      <w:r>
        <w:rPr>
          <w:color w:val="000000"/>
        </w:rPr>
        <w:t xml:space="preserve"> </w:t>
      </w:r>
      <w:r>
        <w:rPr>
          <w:rFonts w:ascii="Times New Roman;sans-serif" w:hAnsi="Times New Roman;sans-serif"/>
          <w:b w:val="false"/>
          <w:color w:val="000000"/>
          <w:sz w:val="20"/>
        </w:rPr>
        <w:t xml:space="preserve">Mr. Schaefer, age 50, was appointed president of TriMas Aerospace in December 2016. Previously, he served in various strategic advisory capacities for private equity firms focused in the Aerospace &amp; Defense industry. From 2010 through 2015, he served in operations and general management executive roles with TransDigm Group. Prior to his leadership roles at TransDigm, he served from 2005 through 2009 as an operating executive with Meggitt PLC. Mr. Schaefer is also a 22-year veteran and retired as a Lieutenant Colonel of the United States Marine Corps. </w:t>
      </w:r>
    </w:p>
    <w:p>
      <w:pPr>
        <w:pStyle w:val="TextBody"/>
        <w:spacing w:before="0" w:after="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par value $0.01 per share, is listed for trading on the NASDAQ Global Select Market under the symbol "TRS." As of February 22, 2022, there were 160 holders of record of our common stock.</w:t>
      </w:r>
    </w:p>
    <w:p>
      <w:pPr>
        <w:pStyle w:val="TextBody"/>
        <w:spacing w:lineRule="auto" w:line="288" w:before="160" w:after="160"/>
        <w:jc w:val="both"/>
        <w:rPr/>
      </w:pPr>
      <w:r>
        <w:rPr>
          <w:rFonts w:ascii="Times New Roman;sans-serif" w:hAnsi="Times New Roman;sans-serif"/>
          <w:b w:val="false"/>
          <w:color w:val="000000"/>
          <w:sz w:val="20"/>
          <w:highlight w:val="white"/>
        </w:rPr>
        <w:t xml:space="preserve">In 2021 our </w:t>
      </w:r>
      <w:r>
        <w:rPr>
          <w:rFonts w:ascii="Times New Roman;sans-serif" w:hAnsi="Times New Roman;sans-serif"/>
          <w:b w:val="false"/>
          <w:color w:val="000000"/>
          <w:sz w:val="20"/>
        </w:rPr>
        <w:t>Board of Directors declared the first dividend since our initial public offering in 2007. We declared dividends of $0.04 per share of common stock and we paid dividends of $1.7 million for the year ended December 31, 2021. Holders of common stock are entitled to dividends at the discretion of our Board of Directors.</w:t>
      </w:r>
    </w:p>
    <w:p>
      <w:pPr>
        <w:pStyle w:val="TextBody"/>
        <w:spacing w:lineRule="auto" w:line="288" w:before="160" w:after="160"/>
        <w:jc w:val="both"/>
        <w:rPr/>
      </w:pPr>
      <w:r>
        <w:rPr>
          <w:rFonts w:ascii="Times New Roman;sans-serif" w:hAnsi="Times New Roman;sans-serif"/>
          <w:b w:val="false"/>
          <w:color w:val="000000"/>
          <w:sz w:val="20"/>
        </w:rPr>
        <w:t>See the discussion under Item 7, "</w:t>
      </w:r>
      <w:r>
        <w:rPr>
          <w:rFonts w:ascii="Times New Roman;sans-serif" w:hAnsi="Times New Roman;sans-serif"/>
          <w:b w:val="false"/>
          <w:i/>
          <w:color w:val="000000"/>
          <w:sz w:val="20"/>
        </w:rPr>
        <w:t>Management's Discussion and Analysis of Financial Condition and Results of Operations—Liquidity and Capital Resources"</w:t>
      </w:r>
      <w:r>
        <w:rPr>
          <w:color w:val="000000"/>
        </w:rPr>
        <w:t xml:space="preserve"> </w:t>
      </w:r>
      <w:r>
        <w:rPr>
          <w:rFonts w:ascii="Times New Roman;sans-serif" w:hAnsi="Times New Roman;sans-serif"/>
          <w:b w:val="false"/>
          <w:color w:val="000000"/>
          <w:sz w:val="20"/>
        </w:rPr>
        <w:t>and Note 20 to the Company's financial statements captioned "</w:t>
      </w:r>
      <w:r>
        <w:rPr>
          <w:rFonts w:ascii="Times New Roman;sans-serif" w:hAnsi="Times New Roman;sans-serif"/>
          <w:b w:val="false"/>
          <w:i/>
          <w:color w:val="000000"/>
          <w:sz w:val="20"/>
        </w:rPr>
        <w:t xml:space="preserve">Earnings per Share," </w:t>
      </w:r>
      <w:r>
        <w:rPr>
          <w:rFonts w:ascii="Times New Roman;sans-serif" w:hAnsi="Times New Roman;sans-serif"/>
          <w:b w:val="false"/>
          <w:color w:val="000000"/>
          <w:sz w:val="20"/>
        </w:rPr>
        <w:t>included in Item 8, "</w:t>
      </w:r>
      <w:r>
        <w:rPr>
          <w:rFonts w:ascii="Times New Roman;sans-serif" w:hAnsi="Times New Roman;sans-serif"/>
          <w:b w:val="false"/>
          <w:i/>
          <w:color w:val="000000"/>
          <w:sz w:val="20"/>
        </w:rPr>
        <w:t>Financial Statements and Supplementary Data</w:t>
      </w:r>
      <w:r>
        <w:rPr>
          <w:rFonts w:ascii="Times New Roman;sans-serif" w:hAnsi="Times New Roman;sans-serif"/>
          <w:b w:val="false"/>
          <w:color w:val="000000"/>
          <w:sz w:val="20"/>
        </w:rPr>
        <w:t>," within this Form 10-K.</w:t>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the cumulative total stockholder return from December 31, 2016 through December 31, 2021 for TriMas common stock, the Russell 2000 Index and the S&amp;P SmallCap 600 Capped Industrials Index. We have assumed that dividends have been reinvested and returns have been weighted-averaged based on market capitalization. The graph assumes that $100 was invested on December 31, 2016 in each of TriMas common stock, the stocks comprising the Russell 2000 Index and the stocks comprising the S&amp;P SmallCap 600 Capped Industrials Index.</w:t>
      </w:r>
    </w:p>
    <w:p>
      <w:pPr>
        <w:pStyle w:val="TextBody"/>
        <w:spacing w:before="160" w:after="160"/>
        <w:rPr/>
      </w:pPr>
      <w:r>
        <w:rPr/>
        <w:drawing>
          <wp:inline distT="0" distB="63500" distL="0" distR="0">
            <wp:extent cx="6096000" cy="4572000"/>
            <wp:effectExtent l="0" t="0" r="0" b="0"/>
            <wp:docPr id="2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 descr=""/>
                    <pic:cNvPicPr>
                      <a:picLocks noChangeAspect="1" noChangeArrowheads="1"/>
                    </pic:cNvPicPr>
                  </pic:nvPicPr>
                  <pic:blipFill>
                    <a:blip r:embed="rId2"/>
                    <a:stretch>
                      <a:fillRect/>
                    </a:stretch>
                  </pic:blipFill>
                  <pic:spPr bwMode="auto">
                    <a:xfrm>
                      <a:off x="0" y="0"/>
                      <a:ext cx="6096000" cy="4572000"/>
                    </a:xfrm>
                    <a:prstGeom prst="rect">
                      <a:avLst/>
                    </a:prstGeom>
                  </pic:spPr>
                </pic:pic>
              </a:graphicData>
            </a:graphic>
          </wp:inline>
        </w:drawing>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purchases made by the Company, or on behalf of the Company by an affiliated purchaser, of shares of the Company's common stock during the three months ended December 31, 2021.</w:t>
      </w:r>
    </w:p>
    <w:tbl>
      <w:tblPr>
        <w:tblW w:w="10205" w:type="dxa"/>
        <w:jc w:val="center"/>
        <w:tblInd w:w="0" w:type="dxa"/>
        <w:tblCellMar>
          <w:top w:w="28" w:type="dxa"/>
          <w:left w:w="28" w:type="dxa"/>
          <w:bottom w:w="28" w:type="dxa"/>
          <w:right w:w="28" w:type="dxa"/>
        </w:tblCellMar>
      </w:tblPr>
      <w:tblGrid>
        <w:gridCol w:w="629"/>
        <w:gridCol w:w="415"/>
        <w:gridCol w:w="420"/>
        <w:gridCol w:w="109"/>
        <w:gridCol w:w="109"/>
        <w:gridCol w:w="109"/>
        <w:gridCol w:w="520"/>
        <w:gridCol w:w="431"/>
        <w:gridCol w:w="433"/>
        <w:gridCol w:w="109"/>
        <w:gridCol w:w="109"/>
        <w:gridCol w:w="109"/>
        <w:gridCol w:w="274"/>
        <w:gridCol w:w="800"/>
        <w:gridCol w:w="141"/>
        <w:gridCol w:w="109"/>
        <w:gridCol w:w="109"/>
        <w:gridCol w:w="109"/>
        <w:gridCol w:w="766"/>
        <w:gridCol w:w="725"/>
        <w:gridCol w:w="727"/>
        <w:gridCol w:w="109"/>
        <w:gridCol w:w="109"/>
        <w:gridCol w:w="109"/>
        <w:gridCol w:w="355"/>
        <w:gridCol w:w="1996"/>
        <w:gridCol w:w="265"/>
      </w:tblGrid>
      <w:tr>
        <w:trPr/>
        <w:tc>
          <w:tcPr>
            <w:tcW w:w="62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99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r>
      <w:tr>
        <w:trPr/>
        <w:tc>
          <w:tcPr>
            <w:tcW w:w="14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xml:space="preserve">Total Number of Shares Purchased as Part of Publicly Announced Plans or Programs </w:t>
            </w:r>
            <w:r>
              <w:rPr>
                <w:rFonts w:ascii="Times New Roman;sans-serif" w:hAnsi="Times New Roman;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xml:space="preserve">Approximate Dollar Value of Shares that May Yet Be Purchased Under the Program </w:t>
            </w:r>
            <w:r>
              <w:rPr>
                <w:rFonts w:ascii="Times New Roman;sans-serif" w:hAnsi="Times New Roman;sans-serif"/>
                <w:b/>
                <w:color w:val="000000"/>
                <w:sz w:val="12"/>
              </w:rPr>
              <w:t>(1)</w:t>
            </w:r>
          </w:p>
        </w:tc>
      </w:tr>
      <w:tr>
        <w:trPr/>
        <w:tc>
          <w:tcPr>
            <w:tcW w:w="14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2021 to October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143,540,446 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2021 to November 30,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4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35.61 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7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142,650,103 </w:t>
            </w:r>
          </w:p>
        </w:tc>
        <w:tc>
          <w:tcPr>
            <w:tcW w:w="2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2021 to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7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142,615,349 </w:t>
            </w:r>
          </w:p>
        </w:tc>
        <w:tc>
          <w:tcPr>
            <w:tcW w:w="2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26,000 </w:t>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26,000 </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142,615,349 </w:t>
            </w:r>
          </w:p>
        </w:tc>
        <w:tc>
          <w:tcPr>
            <w:tcW w:w="2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60"/>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w:t>
      </w:r>
    </w:p>
    <w:p>
      <w:pPr>
        <w:pStyle w:val="TextBody"/>
        <w:spacing w:lineRule="auto" w:line="288" w:before="160" w:after="160"/>
        <w:ind w:left="0" w:right="0" w:hanging="360"/>
        <w:jc w:val="both"/>
        <w:rPr/>
      </w:pPr>
      <w:r>
        <w:rPr>
          <w:rFonts w:ascii="Times New Roman;sans-serif" w:hAnsi="Times New Roman;sans-serif"/>
          <w:b w:val="false"/>
          <w:color w:val="000000"/>
          <w:sz w:val="10"/>
        </w:rPr>
        <w:t>(1)     </w:t>
      </w:r>
      <w:r>
        <w:rPr>
          <w:rFonts w:ascii="Times New Roman;sans-serif" w:hAnsi="Times New Roman;sans-serif"/>
          <w:b w:val="false"/>
          <w:color w:val="000000"/>
          <w:sz w:val="16"/>
        </w:rPr>
        <w:t xml:space="preserve">In March 2020, the Company announced its Board of Directors had authorized the Company to increase the purchase of its common stock up to $250 million in the aggregate from its previous authorization of $150 million. The increased authorization includes the value of shares already purchased under the previous authorization. Pursuant to this share repurchase program, during the three months ended December 31, 2021, the Company repurchased 26,000 shares of its common stock at a cost of approximately $0.9 million. The share repurchase program is effective and has no expiration date. </w:t>
      </w:r>
    </w:p>
    <w:p>
      <w:pPr>
        <w:pStyle w:val="TextBody"/>
        <w:spacing w:before="160" w:after="160"/>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6.    Selected Financial Data</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Reserved.</w:t>
      </w:r>
    </w:p>
    <w:p>
      <w:pPr>
        <w:pStyle w:val="TextBody"/>
        <w:spacing w:before="160" w:after="160"/>
        <w:ind w:left="0" w:right="0" w:hanging="360"/>
        <w:jc w:val="both"/>
        <w:rPr/>
      </w:pPr>
      <w:r>
        <w:rPr/>
      </w:r>
    </w:p>
    <w:p>
      <w:pPr>
        <w:pStyle w:val="TextBody"/>
        <w:spacing w:before="160" w:after="160"/>
        <w:jc w:val="both"/>
        <w:rPr/>
      </w:pPr>
      <w:r>
        <w:rPr/>
      </w:r>
    </w:p>
    <w:p>
      <w:pPr>
        <w:pStyle w:val="TextBody"/>
        <w:spacing w:before="160" w:after="160"/>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statements in the discussion and analysis regarding industry outlook, our expectations regarding the performance of our business and the other non-historical statements in the discussion and analysis are forward-looking statements. These forward-looking statements are subject to numerous risks and uncertainties, including, but not limited to, the risks and uncertainties described in Item 1A "Risk Factors." Our actual results may differ materially from those contained in or implied by any forward-looking statements. You should read the following discussion together with Item 8, "Financial Statements and Supplementary Data."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spacing w:lineRule="auto" w:line="288" w:before="160" w:after="1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TriMas designs, develops and manufactures a diverse set of products primarily for the consumer products, aerospace &amp; defense and industrial markets through its TriMas Packaging, TriMas Aerospace and Specialty Products groups. Our wide range of innovative products are designed and engineered to solve application-specific challenges that our customers face. We believe our businesses share important and distinguishing characteristics, including: well-recognized and leading brand names in the focused markets we serve; innovative product technologies and features; a high-degree of customer approved processes and qualifications; established distribution networks; relatively low ongoing capital investment requirements; strong cash flow conversion and long-term growth opportunities. While the majority of our revenue is in the United States, we manufacture and supply products globally to a wide range of companies. We report our business activity in three segments: Packaging, Aerospace and Specialty Products. </w:t>
      </w:r>
    </w:p>
    <w:p>
      <w:pPr>
        <w:pStyle w:val="TextBody"/>
        <w:spacing w:lineRule="auto" w:line="288" w:before="160" w:after="160"/>
        <w:jc w:val="both"/>
        <w:rPr/>
      </w:pPr>
      <w:r>
        <w:rPr>
          <w:rFonts w:ascii="Times New Roman;sans-serif" w:hAnsi="Times New Roman;sans-serif"/>
          <w:b w:val="false"/>
          <w:i/>
          <w:color w:val="000000"/>
          <w:sz w:val="20"/>
          <w:highlight w:val="white"/>
        </w:rPr>
        <w:t>Key Factors Affecting Our Reported Results</w:t>
      </w:r>
      <w:r>
        <w:rPr>
          <w:color w:val="000000"/>
          <w:highlight w:val="white"/>
        </w:rPr>
        <w:t xml:space="preserve">   </w:t>
      </w:r>
    </w:p>
    <w:p>
      <w:pPr>
        <w:pStyle w:val="TextBody"/>
        <w:spacing w:lineRule="auto" w:line="288" w:before="160" w:after="1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businesses and results of operations depend upon general economic conditions. We serve customers in industries that are highly competitive, cyclical and that may be significantly impacted by changes in economic or geopolitical conditions.</w:t>
      </w:r>
    </w:p>
    <w:p>
      <w:pPr>
        <w:pStyle w:val="TextBody"/>
        <w:spacing w:lineRule="auto" w:line="288" w:before="160" w:after="1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March 2020, the President of the United States declared the coronavirus ("COVID-19") outbreak a national emergency, as the World Health Organization determined it was a pandemic. In response to the COVID-19 pandemic, federal, provincial, state, county and local governments and public health organizations or authorities around the world implemented a variety of measures intended to control the spread of the virus, including quarantines, "shelter-in-place" or "stay-at-home" and similar orders, travel restrictions, business curtailments and closures, social distancing, personal hygiene requirements, and other measures.</w:t>
      </w:r>
    </w:p>
    <w:p>
      <w:pPr>
        <w:pStyle w:val="TextBody"/>
        <w:spacing w:lineRule="auto" w:line="288" w:before="160" w:after="1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have been, and continue to be, focused on making sure the working environments for our employees are safe so our operations have the ability to deliver the products needed to support efforts to mitigate the COVID-19 pandemic. Nearly all of our manufacturing sites have been deemed essential operations and remained open during the COVID-19 pandemic, at varying levels of capacity and efficiency, experiencing only temporary shutdowns due to country-specific government mandates or for thorough cleaning as a result of suspected COVID-19 cases. The health of our employees, and the ability of our facilities to remain operational in the current regulated environment, will be critical to our future results of operations.</w:t>
      </w:r>
    </w:p>
    <w:p>
      <w:pPr>
        <w:pStyle w:val="TextBody"/>
        <w:spacing w:lineRule="auto" w:line="288" w:before="160" w:after="1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divisions were impacted in 2020 at differing levels and times, beginning with our Asian facilities and strategic supply network, both primarily in China, in late January, followed by our European (primarily Italy) and North American facilities in February and March. We implemented new work rules and processes, which promote social distancing and increased hygiene to ensure the safety of our employees, particularly at our production facilities. These measures, while not easily quantifiable, have increased the level of manufacturing inefficiencies due to elevated levels of absenteeism, resulting in less efficient production scheduling and, in certain cases, short-term idling of production. We expect that we will continue to operate with these protocols in place for the foreseeable future.</w:t>
      </w:r>
    </w:p>
    <w:p>
      <w:pPr>
        <w:pStyle w:val="TextBody"/>
        <w:spacing w:lineRule="auto" w:line="288" w:before="160" w:after="160"/>
        <w:jc w:val="both"/>
        <w:rPr/>
      </w:pPr>
      <w:r>
        <w:rPr>
          <w:rFonts w:ascii="Times New Roman;sans-serif" w:hAnsi="Times New Roman;sans-serif"/>
          <w:b w:val="false"/>
          <w:color w:val="000000"/>
          <w:sz w:val="20"/>
          <w:highlight w:val="white"/>
        </w:rPr>
        <w:t xml:space="preserve">Overall, 2021 net sales increased approximately </w:t>
      </w:r>
      <w:r>
        <w:rPr>
          <w:rFonts w:ascii="Times New Roman;sans-serif" w:hAnsi="Times New Roman;sans-serif"/>
          <w:b w:val="false"/>
          <w:color w:val="000000"/>
          <w:sz w:val="20"/>
        </w:rPr>
        <w:t>$87.1 million, or 11.3%,</w:t>
      </w:r>
      <w:r>
        <w:rPr>
          <w:color w:val="000000"/>
          <w:highlight w:val="white"/>
        </w:rPr>
        <w:t xml:space="preserve"> </w:t>
      </w:r>
      <w:r>
        <w:rPr>
          <w:rFonts w:ascii="Times New Roman;sans-serif" w:hAnsi="Times New Roman;sans-serif"/>
          <w:b w:val="false"/>
          <w:color w:val="000000"/>
          <w:sz w:val="20"/>
          <w:highlight w:val="white"/>
        </w:rPr>
        <w:t>compared to 2020, primarily as a result of increased industrial demand in our Specialty Products segment, acquisitions in our Packaging segment and the impact of customers' stocking orders within our Aerospace segment. These increases were partially offset by a decline in sales of our Packaging segment's dispensing and closure products that are used in applications to fight the spread of germs, which sales reached record-high levels in 2020 when there was a significant spike in demand following the onset of the COVID-19 pandemic, but now have abated to what we believe is a new, and higher, normalized level.</w:t>
      </w:r>
    </w:p>
    <w:p>
      <w:pPr>
        <w:pStyle w:val="TextBody"/>
        <w:spacing w:lineRule="auto" w:line="288" w:before="160" w:after="160"/>
        <w:jc w:val="both"/>
        <w:rPr/>
      </w:pPr>
      <w:r>
        <w:rPr>
          <w:rFonts w:ascii="Times New Roman;sans-serif" w:hAnsi="Times New Roman;sans-serif"/>
          <w:b w:val="false"/>
          <w:color w:val="000000"/>
          <w:sz w:val="20"/>
          <w:highlight w:val="white"/>
        </w:rPr>
        <w:t xml:space="preserve">The most significant drivers affecting our results of operations in 2021 compared with 2020, other than as directly impacted by demand level changes as a result of the COVID-19 pandemic, were goodwill and intangible asset impairment charges in 2020 in our Aerospace segment, our election to change our accounting policy for asbestos-related defense costs in 2020, realignment actions we undertook in response to reduced end-market demand following the outbreak of the COVID-19 pandemic, the impact of our recent acquisitions, increases in the cost of certain raw materials, the refinancing of our long term debt in 2021 and </w:t>
      </w:r>
      <w:r>
        <w:rPr>
          <w:rFonts w:ascii="Times New Roman;sans-serif" w:hAnsi="Times New Roman;sans-serif"/>
          <w:b w:val="false"/>
          <w:color w:val="000000"/>
          <w:sz w:val="20"/>
        </w:rPr>
        <w:t>the recognition of the benefit of certain tax planning strategies.</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2020, we determined there was a triggering event requiring an interim quantitative impairment assessment for goodwill and indefinite-lived intangible assets within our Aerospace segment. While third quarter 2020 operating results were below pre-pandemic projected levels, the larger driver of the triggering event was a significant reduction in the July 2020 financial projection update for the remainder of 2020 compared with prior projections, and uncertainty around the duration and magnitude of the impact of the COVID-19 pandemic on future financial results given the dependence of our Aerospace segment reporting units on future levels of air travel and new aircraft builds. We determined the carrying value of both of our Aerospace reporting units, as well as of certain trade names, exceeded the fair value, resulting in non-cash, pre-tax impairment charges of approximately $126.8 million to goodwill and $7.8 million to indefinite lived intangible assets.</w:t>
      </w:r>
    </w:p>
    <w:p>
      <w:pPr>
        <w:pStyle w:val="TextBody"/>
        <w:spacing w:lineRule="auto" w:line="288" w:before="160" w:after="160"/>
        <w:jc w:val="both"/>
        <w:rPr/>
      </w:pPr>
      <w:r>
        <w:rPr>
          <w:rFonts w:ascii="Times New Roman;sans-serif" w:hAnsi="Times New Roman;sans-serif"/>
          <w:b w:val="false"/>
          <w:color w:val="000000"/>
          <w:sz w:val="20"/>
          <w:highlight w:val="white"/>
        </w:rPr>
        <w:t>During 2020, we elected to change our accounting policy for asbestos-related defense costs from accruing for probable and reasonably estimable defense costs associated with known claims expected to settle to accruing for all future defense costs for both known and unknown claims, which we now believe can be reasonably estimated. This accounting change has been reflected as a change in accounting estimate effected by a change in accounting principle. We recorded a non-cash, pre-tax charge in second quarter 2020 for asbestos-related costs of approximately $23.4 million, which is included in selling, general and administrative expenses. In 2021, we</w:t>
      </w:r>
      <w:r>
        <w:rPr>
          <w:color w:val="000000"/>
        </w:rPr>
        <w:t xml:space="preserve"> </w:t>
      </w:r>
      <w:r>
        <w:rPr>
          <w:rFonts w:ascii="Times New Roman;sans-serif" w:hAnsi="Times New Roman;sans-serif"/>
          <w:b w:val="false"/>
          <w:color w:val="000000"/>
          <w:sz w:val="20"/>
        </w:rPr>
        <w:t xml:space="preserve">commissioned our actuary to update the asbestos study based on data as of September 30, 2021, and recorded a non-cash, pre-tax charge of $1.5 million, which is included in selling, general and administrative expenses, to increase the liability estimate.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second quarter 2020, we have been executing certain realignment actions in response to reductions in current and expected future end market demand following the onset of the COVID-19 pandemic. We recorded pre-tax facility consolidation and employee separation costs of approximately $3.5 million and $6.2 million, respectively, in 2021. In 2020, we recorded a pre-tax charge of approximately $13.8 million related to inventory reductions, primarily as a result of a strategic decision in our Arrow Engine division to streamline its product line offering. We also recorded charges of approximately $2.3 million related to certain production equipment removed from service given reduced demand levels, and employee separation costs of approximately $3.8 million.</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we completed the acquisition of Omega Plastics ("Omega"), which specializes in manufacturing custom components and devices for drug delivery, diagnostic and orthopedic medical applications, as well as components for industrial applications, for an aggregate amount of approximately $22.5 million, net of cash acquired. Omega, which is reported in the Company's Packaging segment, is located in Clinton Township, Michigan. Omega contributed approximately $0.7 million of net sales during 2021.</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we acquired TFI Aerospace ("TFI"), a manufacturer and supplier of specialty fasteners used in a variety of applications, predominately for the aerospace end market, for an aggregate amount of approximately $11.8 million, with additional contingent consideration ranging from zero to approximately $12.0 million to be paid based on 2023 and 2024 earnings per the purchase agreement. TFI, which is reported in the Company's Aerospace segment, is located near Toronto, Canada. TFI contributed approximately $0.3 million of net sales during 2021.</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2020, we completed the acquisition of Affaba &amp; Ferrari Srl ("Affaba &amp; Ferrari"), which specializes in the design, development and manufacture of precision caps and closures for food &amp; beverage and industrial product applications, for an aggregate amount of approximately $98.4 million, net of cash acquired. Affaba &amp; Ferrari, which is reported in our Packaging segment, operates out of a highly automated manufacturing facility and support office located in Borgo San Giovanni, Italy. Affaba &amp; Ferrari contributed approximately $36.3 million of incremental net sales during 2021.</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2020, we acquired the Rapak brand, including certain bag-in-box product lines and assets ("Rapak") for an aggregate amount of approximately $11.4 million. Rapak, which is reported in our Packaging segment, has two manufacturing locations in the United States. Rapak contributed approximately $5.3 million of incremental net sales resulting from the January through March 2021 sales. Rapak has been performing below break-even operating profit as demand for its products, particularly those used in quick service restaurant applications, has significantly declined from pre-acquisition levels in 2019 due to the impact of the COVID-19 pandemic.</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2020, we completed the acquisition of RSA Engineered Products ("RSA"), a provider of highly-engineered and proprietary components for air management systems used in critical flight applications, for an aggregate amount of approximately $83.7 million, net of cash acquired. RSA, located in Simi Valley, California, designs, engineers and manufactures highly-engineered components, including air ducting products, connectors and flexible joints, predominantly used in aerospace and defense engine bleed air, anti-icing and environmental control system applications. RSA contributed approximately $4.3 million of incremental net sales resulting from January and February 2021 sales.</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jc w:val="both"/>
        <w:rPr/>
      </w:pPr>
      <w:r>
        <w:rPr>
          <w:rFonts w:ascii="Times New Roman;sans-serif" w:hAnsi="Times New Roman;sans-serif"/>
          <w:b w:val="false"/>
          <w:color w:val="000000"/>
          <w:sz w:val="20"/>
          <w:highlight w:val="white"/>
        </w:rPr>
        <w:t xml:space="preserve">In first quarter 2021, we began experiencing an increase in material costs compared with 2020 levels, primarily for resin-based raw materials and components, as well as for certain types of steel. These material costs further increased throughout 2021. We have escalator/de-escalator clauses in our commercial contracts with certain of our customers, or can modify prices based on market conditions, and we have been taking actions to recover the increased cost of raw materials. However, given the lag nature of the commercial pricing mechanisms, we have and will continue to experience net earnings pressure until resin costs begin to stabilize and/or decline for several consecutive months. </w:t>
      </w:r>
      <w:r>
        <w:rPr>
          <w:rFonts w:ascii="Times New Roman;sans-serif" w:hAnsi="Times New Roman;sans-serif"/>
          <w:b w:val="false"/>
          <w:color w:val="000000"/>
          <w:sz w:val="20"/>
        </w:rPr>
        <w:t xml:space="preserve">We estimate that due to the lag in timing between incurring the cost increases and recovering via commercial actions, our operating profit was negatively impacted by approximately $11 million in 2021, compared with 2020, primarily in our Packaging segment. </w:t>
      </w:r>
    </w:p>
    <w:p>
      <w:pPr>
        <w:pStyle w:val="TextBody"/>
        <w:spacing w:lineRule="auto" w:line="288" w:before="160" w:after="160"/>
        <w:jc w:val="both"/>
        <w:rPr/>
      </w:pPr>
      <w:r>
        <w:rPr>
          <w:rFonts w:ascii="Times New Roman;sans-serif" w:hAnsi="Times New Roman;sans-serif"/>
          <w:b w:val="false"/>
          <w:color w:val="000000"/>
          <w:sz w:val="20"/>
          <w:highlight w:val="white"/>
        </w:rPr>
        <w:t xml:space="preserve">In 2021, we refinanced our long-term debt, issuing $400 million aggregate principal amount of 4.125% senior unsecured notes due April 15, 2029 ("2029 Senior Notes") at par value in a private placement under Rule 144A of the Securities Act of 1933, as amended, and amending our existing credit agreement ("Credit Agreement"), extending the maturity to March 2026. </w:t>
      </w:r>
      <w:r>
        <w:rPr>
          <w:rFonts w:ascii="Times New Roman;sans-serif" w:hAnsi="Times New Roman;sans-serif"/>
          <w:b w:val="false"/>
          <w:color w:val="000000"/>
          <w:sz w:val="20"/>
        </w:rPr>
        <w:t xml:space="preserve">We used the proceeds from the 2029 Senior Notes offering to pay fees and expenses of approximately $5.1 million related to the offering and approximately $1.1 million related to amending the Credit Agreement. The remaining cash proceeds from the 2029 Senior Notes were used for general corporate purposes, including repaying all outstanding revolving credit facility borrowings and redeeming all of our outstanding senior notes due October 2025 ("2025 Senior Notes"), paying cash for the entire $300.0 million outstanding principal amount plus $7.3 million as a redemption premium. The $5.1 million of fees and expenses related to the 2029 Senior Notes were capitalized as debt issuance costs, while the $7.3 million redemption premium as well as approximately $3.0 million of unamortized debt issuance costs associated with the 2025 Senior Notes were expensed in 2021. </w:t>
      </w:r>
    </w:p>
    <w:p>
      <w:pPr>
        <w:pStyle w:val="TextBody"/>
        <w:spacing w:lineRule="auto" w:line="288" w:before="160" w:after="1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addition, our effective tax rate for 2021 was 17.1%, compared to 22.3% for 2020. We recorded income tax expense of approximately $11.9 million in 2021, as compared to an income tax benefit of $23.0 million in 2020. During 2021, we reported domestic and foreign pre-tax income of approximately $28.4 and $40.7 million, respectively, as compared to a 2020 domestic pre-tax loss of approximately $134.6 million and foreign pre-tax income of approximately $31.9 million. The rate for 2021 includes the impact of income tax incentives in a foreign jurisdiction, the impact of certain non-deductible expenses and an increase in the statutory tax rate in another foreign jurisdiction which increased the value of certain deferred tax assets. The effective tax rate for 2020 was impacted by a decrease in profitability in the U.S. resulting from various one-time charges, including impairment of goodwill and indefinite-lived intangible assets and a change in our accounting policy for asbestos-related defense costs. During 2020, we also undertook certain tax-planning actions with respect to restructuring our intercompany debt, resulting in the recognition of a $6.4 million deferred tax benefit.</w:t>
      </w:r>
    </w:p>
    <w:p>
      <w:pPr>
        <w:pStyle w:val="TextBody"/>
        <w:spacing w:lineRule="auto" w:line="288" w:before="160" w:after="160"/>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Additional Key Risks that May Affect Our Reported Results</w:t>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expect the COVID-19 pandemic will continue to impact us in the future at varying degrees. We expect the robust customer demand, compared with pre-pandemic demand levels, for our Packaging segment's dispensing pumps and closure products used in personal care and home care applications will continue, albeit with some reduction from the surge experienced in 2020 and early 2021, as we believe there is a positive secular trend focused on consumers' desire to stop the spread of germs and improve personal hygiene. Industrial demand in North America was lower in 2020 compared to previous levels, and while demand levels significantly increased in 2021, we are uncertain how and at what level demand will be impacted as governmental, travel or other restrictions are lifted, particularly in North America, where orders for our industrial cylinders, for example, are heavily influenced by the levels of construction and HVAC activity. We expect the aerospace market to continue to experience severe dislocation going forward, as except for the significant stocking orders for certain of our products received during 2021, our sales levels would be significantly lower than historical levels. With the current travel restrictions and sentiment, particularly low for international travel, aircraft manufacturers have slowed production, and since second quarter 2020 we have experienced a significant drop in aerospace-related sales related to new commercial airplane builds compared to prior levels. We expect, except as favorably impacted by the customers' stocking orders in 2021, lower levels of sales and related production to continue for the foreseeable future.</w:t>
      </w:r>
    </w:p>
    <w:p>
      <w:pPr>
        <w:pStyle w:val="TextBody"/>
        <w:spacing w:lineRule="auto" w:line="288" w:before="160" w:after="1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have executed significant realignment actions since the onset of the COVID-19 pandemic, primarily in our Aerospace and Specialty Products segments, and also in certain Packaging product areas where demand has fallen, such as in the quick service and restaurant applications, to protect against the uncertain end market demand. We will continue to assess further actions if required. However, as a result of the COVID-19 pandemic's impact on global economic activity, and the continued potential impact to our future results of operations, as well if there is an impact to TriMas' market capitalization, we may record additional cash and non-cash charges related to incremental realignment actions, as well as for uncollectible customer account balances, excess inventory and idle production equipment.</w:t>
      </w:r>
    </w:p>
    <w:p>
      <w:pPr>
        <w:pStyle w:val="TextBody"/>
        <w:spacing w:lineRule="auto" w:line="288" w:before="160" w:after="1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Despite the potential decline in future demand levels and results of operations as a result of the COVID-19 pandemic, at present, we believe our capital structure is in a solid position. We have ample cash and available liquidity under our revolving credit facility to meet our debt service obligations, capital expenditure requirements and other short-term and long-term obligations for the foreseeable future.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extent of the COVID-19 pandemic's effect on our operational and financial performance will depend in large part on future</w:t>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developments, which cannot be predicted with confidence at this time. Future developments include the duration, scope and severity of the COVID-19 pandemic, the actions taken to contain or mitigate its impact, timing of widespread vaccine availability, and the resumption of normalized global economic activity. Due to the inherent uncertainty of the unprecedented and rapidly evolving situation, we are unable to predict with any confidence the likely impact of the COVID-19 pandemic on our future operations.</w:t>
      </w:r>
    </w:p>
    <w:p>
      <w:pPr>
        <w:pStyle w:val="TextBody"/>
        <w:spacing w:lineRule="auto" w:line="288" w:before="160" w:after="1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Beyond the unique risks presented by the COVID-19 pandemic, other critical factors affecting our ability to succeed include: our ability to create organic growth through product development, cross-selling and extending product-line offerings, and our ability to quickly and cost-effectively introduce and successfully launch new products; our ability to acquire and integrate companies or products that supplement existing product lines, add new distribution channels or customers, expand our geographic coverage or enable better absorption of overhead costs; our ability to manage our cost structure more efficiently via supply chain management, internal sourcing and/or purchasing of materials, selective outsourcing and/or purchasing of support functions, working capital management, and greater leverage of our administrative functions.</w:t>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 Given the short-cycle nature of most of our businesses, we do not consider sales order backlog to be a material factor. A growing amount of our sales is derived from international sources, which exposes us to certain risks, including currency risks.</w:t>
      </w:r>
    </w:p>
    <w:p>
      <w:pPr>
        <w:pStyle w:val="TextBody"/>
        <w:spacing w:lineRule="auto" w:line="288" w:before="160" w:after="1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are sensitive to price movements and availability of our raw materials supply. Our largest raw material purchases are for resins (such as polypropylene and polyethylene), steel, aluminum and other oil and metal-based purchased components. In addition to the factors affecting our 2021 results, there has been some volatility over the past two years as a direct and indirect result of foreign trade policy, where tariffs on certain of our commodity-based products sourced from Asia have been instituted, and certain North American suppliers have opportunistically increased their prices. We will continue to take actions to mitigate such increases, including implementing commercial pricing adjustments, resourcing to alternate suppliers and insourcing of previously sourced products to better leverage our global manufacturing footprint. Although we believe we are generally able to mitigate the impact of higher commodity costs over time, we may experience additional material costs and disruptions in supply in the future and may not be able to pass along higher costs to our customers in the form of price increases or otherwise mitigate the impacts to our operating results.</w:t>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Although we have escalator/de-escalator clauses in commercial contracts with certain of our customers, or can modify prices based on market conditions to recover higher costs, our price increases generally lag the underlying material cost increase, and we cannot be assured of full cost recovery in the open market. If input costs increase at rapid rates, as they did during 2021, our ability to recover cost increases on a timely basis, much less at all, is made more difficult by the lag nature of these contracts. </w:t>
      </w:r>
    </w:p>
    <w:p>
      <w:pPr>
        <w:pStyle w:val="TextBody"/>
        <w:spacing w:lineRule="auto" w:line="288" w:before="160" w:after="1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Arrow Engine business in our Specialty Products segment is sensitive to the demand for natural gas and crude oil in North America. For example, demand for engine, pump jack and compressor products are impacted by active oil and gas rig counts and wellhead investment activities. Separately, oil-based commodity costs are a significant driver of raw materials and purchased components used within our Packaging segment.</w:t>
      </w:r>
    </w:p>
    <w:p>
      <w:pPr>
        <w:pStyle w:val="TextBody"/>
        <w:spacing w:lineRule="auto" w:line="288" w:before="160" w:after="1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Each year, as a core tenet of the TriMas Business Model, our businesses target cost savings from Kaizen and continuous improvement initiatives in an effort to reduce, or otherwise offset, the impact of increased input and conversion costs through increased throughput and yield rates, with a goal of at least covering inflationary and market cost increases. In addition, we continuously review our operating cost structures to ensure alignment with current market demand.</w:t>
      </w:r>
    </w:p>
    <w:p>
      <w:pPr>
        <w:pStyle w:val="TextBody"/>
        <w:spacing w:lineRule="auto" w:line="288" w:before="0" w:after="0"/>
        <w:jc w:val="both"/>
        <w:rPr/>
      </w:pPr>
      <w:r>
        <w:rPr>
          <w:rFonts w:ascii="Times New Roman;sans-serif" w:hAnsi="Times New Roman;sans-serif"/>
          <w:b w:val="false"/>
          <w:color w:val="000000"/>
          <w:sz w:val="20"/>
          <w:highlight w:val="white"/>
        </w:rPr>
        <w:t xml:space="preserve">We continue to evaluate alternatives to redeploy the cash generated by our businesses, one of which includes returning capital to our shareholders. In 2020, our Board of Directors increased the authorization of share repurchases to a cumulative amount of $250 million. During 2021, we purchased </w:t>
      </w:r>
      <w:r>
        <w:rPr>
          <w:rFonts w:ascii="Times New Roman;sans-serif" w:hAnsi="Times New Roman;sans-serif"/>
          <w:b w:val="false"/>
          <w:color w:val="000000"/>
          <w:sz w:val="20"/>
        </w:rPr>
        <w:t>596,084</w:t>
      </w:r>
      <w:r>
        <w:rPr>
          <w:color w:val="000000"/>
          <w:highlight w:val="white"/>
        </w:rPr>
        <w:t xml:space="preserve"> </w:t>
      </w:r>
      <w:r>
        <w:rPr>
          <w:rFonts w:ascii="Times New Roman;sans-serif" w:hAnsi="Times New Roman;sans-serif"/>
          <w:b w:val="false"/>
          <w:color w:val="000000"/>
          <w:sz w:val="20"/>
          <w:highlight w:val="white"/>
        </w:rPr>
        <w:t xml:space="preserve">shares of our outstanding common stock for approximately </w:t>
      </w:r>
      <w:r>
        <w:rPr>
          <w:rFonts w:ascii="Times New Roman;sans-serif" w:hAnsi="Times New Roman;sans-serif"/>
          <w:b w:val="false"/>
          <w:color w:val="000000"/>
          <w:sz w:val="20"/>
        </w:rPr>
        <w:t>$19.1 million</w:t>
      </w:r>
      <w:r>
        <w:rPr>
          <w:rFonts w:ascii="Times New Roman;sans-serif" w:hAnsi="Times New Roman;sans-serif"/>
          <w:b w:val="false"/>
          <w:color w:val="000000"/>
          <w:sz w:val="20"/>
          <w:highlight w:val="white"/>
        </w:rPr>
        <w:t xml:space="preserve">. As of </w:t>
      </w:r>
      <w:r>
        <w:rPr>
          <w:rFonts w:ascii="Times New Roman;sans-serif" w:hAnsi="Times New Roman;sans-serif"/>
          <w:b w:val="false"/>
          <w:color w:val="000000"/>
          <w:sz w:val="20"/>
        </w:rPr>
        <w:t>December 31, 2021</w:t>
      </w:r>
      <w:r>
        <w:rPr>
          <w:rFonts w:ascii="Times New Roman;sans-serif" w:hAnsi="Times New Roman;sans-serif"/>
          <w:b w:val="false"/>
          <w:color w:val="000000"/>
          <w:sz w:val="20"/>
          <w:highlight w:val="white"/>
        </w:rPr>
        <w:t xml:space="preserve">, we had approximately </w:t>
      </w:r>
      <w:r>
        <w:rPr>
          <w:rFonts w:ascii="Times New Roman;sans-serif" w:hAnsi="Times New Roman;sans-serif"/>
          <w:b w:val="false"/>
          <w:color w:val="000000"/>
          <w:sz w:val="20"/>
        </w:rPr>
        <w:t>$142.6 million</w:t>
      </w:r>
      <w:r>
        <w:rPr>
          <w:color w:val="000000"/>
          <w:highlight w:val="white"/>
        </w:rPr>
        <w:t xml:space="preserve"> </w:t>
      </w:r>
      <w:r>
        <w:rPr>
          <w:rFonts w:ascii="Times New Roman;sans-serif" w:hAnsi="Times New Roman;sans-serif"/>
          <w:b w:val="false"/>
          <w:color w:val="000000"/>
          <w:sz w:val="20"/>
          <w:highlight w:val="white"/>
        </w:rPr>
        <w:t xml:space="preserve">remaining under the repurchase authorization.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 xml:space="preserve">In addition, in 2021 our </w:t>
      </w:r>
      <w:r>
        <w:rPr>
          <w:rFonts w:ascii="Times New Roman;sans-serif" w:hAnsi="Times New Roman;sans-serif"/>
          <w:b w:val="false"/>
          <w:color w:val="000000"/>
          <w:sz w:val="20"/>
        </w:rPr>
        <w:t xml:space="preserve">Board of Directors declared the first dividend since our initial public offering in 2007. We declared dividends of $0.04 per share of common stock and we paid dividends of $1.7 million for the year ended December 31, 2021. </w:t>
      </w:r>
      <w:r>
        <w:rPr>
          <w:rFonts w:ascii="Times New Roman;sans-serif" w:hAnsi="Times New Roman;sans-serif"/>
          <w:b w:val="false"/>
          <w:color w:val="000000"/>
          <w:sz w:val="20"/>
          <w:highlight w:val="white"/>
        </w:rPr>
        <w:t>We will continue to evaluate opportunities to return capital to shareholders through the purchase of our common stock as well as dividends, depending on market conditions and other factors.</w:t>
      </w:r>
    </w:p>
    <w:p>
      <w:pPr>
        <w:pStyle w:val="TextBody"/>
        <w:spacing w:before="160" w:after="16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160" w:after="1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Segment Information and Supplemental Analysis</w:t>
      </w:r>
    </w:p>
    <w:p>
      <w:pPr>
        <w:pStyle w:val="TextBody"/>
        <w:spacing w:lineRule="auto" w:line="288" w:before="160" w:after="1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financial information for our three reportable segments (dollars in thousands):</w:t>
      </w:r>
    </w:p>
    <w:tbl>
      <w:tblPr>
        <w:tblW w:w="10256" w:type="dxa"/>
        <w:jc w:val="left"/>
        <w:tblInd w:w="0" w:type="dxa"/>
        <w:tblCellMar>
          <w:top w:w="28" w:type="dxa"/>
          <w:left w:w="28" w:type="dxa"/>
          <w:bottom w:w="28" w:type="dxa"/>
          <w:right w:w="28" w:type="dxa"/>
        </w:tblCellMar>
      </w:tblPr>
      <w:tblGrid>
        <w:gridCol w:w="590"/>
        <w:gridCol w:w="492"/>
        <w:gridCol w:w="314"/>
        <w:gridCol w:w="109"/>
        <w:gridCol w:w="109"/>
        <w:gridCol w:w="109"/>
        <w:gridCol w:w="211"/>
        <w:gridCol w:w="826"/>
        <w:gridCol w:w="109"/>
        <w:gridCol w:w="109"/>
        <w:gridCol w:w="109"/>
        <w:gridCol w:w="109"/>
        <w:gridCol w:w="409"/>
        <w:gridCol w:w="207"/>
        <w:gridCol w:w="517"/>
        <w:gridCol w:w="109"/>
        <w:gridCol w:w="109"/>
        <w:gridCol w:w="109"/>
        <w:gridCol w:w="211"/>
        <w:gridCol w:w="826"/>
        <w:gridCol w:w="109"/>
        <w:gridCol w:w="109"/>
        <w:gridCol w:w="109"/>
        <w:gridCol w:w="109"/>
        <w:gridCol w:w="409"/>
        <w:gridCol w:w="207"/>
        <w:gridCol w:w="517"/>
        <w:gridCol w:w="109"/>
        <w:gridCol w:w="109"/>
        <w:gridCol w:w="109"/>
        <w:gridCol w:w="211"/>
        <w:gridCol w:w="826"/>
        <w:gridCol w:w="109"/>
        <w:gridCol w:w="109"/>
        <w:gridCol w:w="109"/>
        <w:gridCol w:w="109"/>
        <w:gridCol w:w="417"/>
        <w:gridCol w:w="199"/>
        <w:gridCol w:w="578"/>
      </w:tblGrid>
      <w:tr>
        <w:trPr/>
        <w:tc>
          <w:tcPr>
            <w:tcW w:w="590"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r>
      <w:tr>
        <w:trPr/>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3"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a Percentage of Net Sales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a Percentage of Net Sales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a Percentage of Net Sales</w:t>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Products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Products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Products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Profit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Products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Products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Products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Products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before="160" w:after="1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“Results of Operations Year Ended December 31, 2021 Compared with Year Ended December 31, 2020” section presents an analysis of our consolidated operating results displayed in the Consolidated Statement of Operations. A discussion regarding our financial condition and results of operations for the year ended December 31, 2020 compared to the year ended December 31, 2019 can be found under Item 7 in our Annual Report on Form 10-K for the fiscal year ended December 31, 2020, filed with the Securities and Exchange Commission on February 25, 2021.</w:t>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Year Ended December 31, 2021 Compared with Year Ended December 31, 2020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factors impacting us during the year ended December 31, 2021, compared with the year ended December 31, 2020 were:</w:t>
      </w:r>
    </w:p>
    <w:p>
      <w:pPr>
        <w:pStyle w:val="TextBody"/>
        <w:spacing w:lineRule="auto" w:line="288" w:before="160" w:after="160"/>
        <w:ind w:left="0" w:right="0" w:hanging="360"/>
        <w:jc w:val="both"/>
        <w:rPr/>
      </w:pPr>
      <w:r>
        <w:rPr>
          <w:color w:val="000000"/>
        </w:rPr>
        <w:t>•</w:t>
      </w:r>
      <w:r>
        <w:rPr>
          <w:rFonts w:ascii="Times New Roman;sans-serif" w:hAnsi="Times New Roman;sans-serif"/>
          <w:b w:val="false"/>
          <w:color w:val="000000"/>
          <w:sz w:val="20"/>
        </w:rPr>
        <w:t>the impact on global business activity of the COVID-19 pandemic;</w:t>
      </w:r>
    </w:p>
    <w:p>
      <w:pPr>
        <w:pStyle w:val="TextBody"/>
        <w:spacing w:lineRule="auto" w:line="288" w:before="160" w:after="160"/>
        <w:ind w:left="0" w:right="0" w:hanging="360"/>
        <w:jc w:val="both"/>
        <w:rPr/>
      </w:pPr>
      <w:r>
        <w:rPr>
          <w:color w:val="000000"/>
        </w:rPr>
        <w:t>•</w:t>
      </w:r>
      <w:r>
        <w:rPr>
          <w:rFonts w:ascii="Times New Roman;sans-serif" w:hAnsi="Times New Roman;sans-serif"/>
          <w:b w:val="false"/>
          <w:color w:val="000000"/>
          <w:sz w:val="20"/>
        </w:rPr>
        <w:t>approximately $134.6 million of goodwill and indefinite-lived intangible asset impairment charges in 2020;</w:t>
      </w:r>
    </w:p>
    <w:p>
      <w:pPr>
        <w:pStyle w:val="TextBody"/>
        <w:spacing w:lineRule="auto" w:line="288" w:before="160" w:after="160"/>
        <w:ind w:left="0" w:right="0" w:hanging="360"/>
        <w:jc w:val="both"/>
        <w:rPr/>
      </w:pPr>
      <w:r>
        <w:rPr>
          <w:color w:val="000000"/>
        </w:rPr>
        <w:t>•</w:t>
      </w:r>
      <w:r>
        <w:rPr>
          <w:rFonts w:ascii="Times New Roman;sans-serif" w:hAnsi="Times New Roman;sans-serif"/>
          <w:b w:val="false"/>
          <w:color w:val="000000"/>
          <w:sz w:val="20"/>
        </w:rPr>
        <w:t>a change in our accounting policy for asbestos-related defense costs during 2020;</w:t>
      </w:r>
    </w:p>
    <w:p>
      <w:pPr>
        <w:pStyle w:val="TextBody"/>
        <w:spacing w:lineRule="auto" w:line="288" w:before="160" w:after="160"/>
        <w:ind w:left="0" w:right="0" w:hanging="360"/>
        <w:jc w:val="both"/>
        <w:rPr/>
      </w:pPr>
      <w:r>
        <w:rPr>
          <w:color w:val="000000"/>
        </w:rPr>
        <w:t>•</w:t>
      </w:r>
      <w:r>
        <w:rPr>
          <w:rFonts w:ascii="Times New Roman;sans-serif" w:hAnsi="Times New Roman;sans-serif"/>
          <w:b w:val="false"/>
          <w:color w:val="000000"/>
          <w:sz w:val="20"/>
        </w:rPr>
        <w:t>realignment expenses in response to reduced end-market demand following the outbreak of the COVID-19 pandemic;</w:t>
      </w:r>
    </w:p>
    <w:p>
      <w:pPr>
        <w:pStyle w:val="TextBody"/>
        <w:spacing w:lineRule="auto" w:line="288" w:before="160" w:after="160"/>
        <w:ind w:left="0" w:right="0" w:hanging="360"/>
        <w:jc w:val="both"/>
        <w:rPr/>
      </w:pPr>
      <w:r>
        <w:rPr>
          <w:color w:val="000000"/>
        </w:rPr>
        <w:t>•</w:t>
      </w:r>
      <w:r>
        <w:rPr>
          <w:rFonts w:ascii="Times New Roman;sans-serif" w:hAnsi="Times New Roman;sans-serif"/>
          <w:b w:val="false"/>
          <w:color w:val="000000"/>
          <w:sz w:val="20"/>
        </w:rPr>
        <w:t>the impact of our debt refinancing activities;</w:t>
      </w:r>
    </w:p>
    <w:p>
      <w:pPr>
        <w:pStyle w:val="TextBody"/>
        <w:spacing w:lineRule="auto" w:line="288" w:before="160" w:after="160"/>
        <w:ind w:left="0" w:right="0" w:hanging="360"/>
        <w:jc w:val="both"/>
        <w:rPr/>
      </w:pPr>
      <w:r>
        <w:rPr>
          <w:color w:val="000000"/>
        </w:rPr>
        <w:t>•</w:t>
      </w:r>
      <w:r>
        <w:rPr>
          <w:rFonts w:ascii="Times New Roman;sans-serif" w:hAnsi="Times New Roman;sans-serif"/>
          <w:b w:val="false"/>
          <w:color w:val="000000"/>
          <w:sz w:val="20"/>
        </w:rPr>
        <w:t>the impact of our recent acquisitions, primarily Affaba &amp; Ferrari, in December 2020;</w:t>
      </w:r>
    </w:p>
    <w:p>
      <w:pPr>
        <w:pStyle w:val="TextBody"/>
        <w:spacing w:lineRule="auto" w:line="288" w:before="160" w:after="160"/>
        <w:ind w:left="0" w:right="0" w:hanging="360"/>
        <w:jc w:val="both"/>
        <w:rPr/>
      </w:pPr>
      <w:r>
        <w:rPr>
          <w:color w:val="000000"/>
        </w:rPr>
        <w:t>•</w:t>
      </w:r>
      <w:r>
        <w:rPr>
          <w:rFonts w:ascii="Times New Roman;sans-serif" w:hAnsi="Times New Roman;sans-serif"/>
          <w:b w:val="false"/>
          <w:color w:val="000000"/>
          <w:sz w:val="20"/>
        </w:rPr>
        <w:t>the impact of material cost increase, primarily resin-related; and</w:t>
      </w:r>
    </w:p>
    <w:p>
      <w:pPr>
        <w:pStyle w:val="TextBody"/>
        <w:spacing w:lineRule="auto" w:line="288" w:before="160" w:after="160"/>
        <w:ind w:left="0" w:right="0" w:hanging="360"/>
        <w:jc w:val="both"/>
        <w:rPr/>
      </w:pPr>
      <w:r>
        <w:rPr>
          <w:color w:val="000000"/>
        </w:rPr>
        <w:t>•</w:t>
      </w:r>
      <w:r>
        <w:rPr>
          <w:rFonts w:ascii="Times New Roman;sans-serif" w:hAnsi="Times New Roman;sans-serif"/>
          <w:b w:val="false"/>
          <w:color w:val="000000"/>
          <w:sz w:val="20"/>
        </w:rPr>
        <w:t>the impact of a reduction in our effective tax rate from 2020 to 2021.</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Overall, net sales increased approximately $87.1 million, or approximately 11.3%, to $857.1 million in 2021, as compared to $770.0 million in 2020, primarily as a result of acquisitions, which added approximately $46.9 million of sales. Organic sales, excluding the impact of currency exchange and acquisitions, increased approximately $31.5 million, primarily due to increases in sales of products used in food and beverage applications in our Packaging segment and of industrial products in both our Specialty Products and Packaging segments. These increases were partially offset by the expected decline in sales of dispensing products that help fight the spread of germs in our Packaging segment, as the demand levels decreased compared with the record-high levels in 2020. In addition, net sales increased approximately $8.7 million due currency exchange, as our reported results in U.S. dollars were favorably impacted as a result of the weakening U.S. dollar relative to foreign currencies. </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margin (gross profit as a percentage of sales) approximated 25.3% and 23.6% in 2021 and 2020, respectively. Gross profit margin increased primarily due the impact of lower realignment, contingent liability, and purchase accounting charges of approximately $13.0 million, $2.0 million, and $2.0 million, respectively, in 2021 than in 2020. These increases, plus a more favorable product sales mix and leveraging of our prior realignment actions in our Specialty Products segment were partially offset by approximately $11 million higher material costs than recovered via commercial actions (primarily for resin) in our Packaging segment and lower fixed cost absorption and labor inefficiencies within our Aerospace segment.</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profit (loss) margin (operating profit as a percentage of sales) approximated 11.1% and (11.5)% in 2021 and 2020, respectively. Operating profit (loss) increased $183.4 million, to an operating profit of approximately $95.1 million in 2021, as compared to an operating loss of approximately $88.3 million in 2020, primarily due to approximately $134.6 million of goodwill and indefinite-lived intangible asset impairment charges as well as the impact of the $2.0 million pre-acquisition contingent liability charge within our Aerospace segment, which were recorded in 2020 and did not repeat in 2021. Operating profit and margin further increased due to higher sales levels and lower realignment and purchase accounting costs in 2021 than in 2020. These increases were partially offset by higher material costs (primarily resin) in our Packaging segment and labor inefficiencies and lower fixed cost absorption within our Aerospace segment.</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approximately $0.2 million, to $14.5 million in 2021, as compared to $14.7 million in 2020, as a lower effective interest rate more than offset an increase in our weighted average borrowings.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incurred approximately $10.5 million of debt financing and related expense in 2021, of which approximately $10.3 million was related to expenses incurred associated with the redemption of our 2025 Senior Notes and approximately $0.2 million related to the write-off of previously capitalized deferred financing fees associated with our Credit Agreement.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decreased approximately $1.2 million to other expense of approximately $1.0 million in 2021, from other income of approximately $0.2 million in 2020, primarily due to a year-over-year increase in losses on transactions denominated in foreign currencies.</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income tax rate for 2021 was 17.1%, compared to 22.3% for 2020. We recorded income tax expense of approximately $11.8 million in 2021, as compared to an income tax benefit of $23.0 million in 2020. During 2021, we reported domestic and foreign pre-tax income of approximately $28.4 million and $40.7 million, respectively, as compared to a 2020 domestic pre-tax loss of approximately $134.6 million and foreign pre-tax income of approximately $31.9 million. The effective tax rate for 2021 varied from the U.S. federal statutory rate primarily as a result of income tax incentives in a foreign jurisdiction, the impact of certain non-deductible expenses and an increase in the statutory tax rate in another foreign jurisdiction which increased the value of certain deferred tax assets. Our effective tax rate for 2020 was impacted by a decrease in profitability in the U.S. resulting from various one-time charges, including impairment of goodwill and indefinite-lived intangible assets and a change in our accounting policy for asbestos-related defense costs. During 2020, we also undertook certain tax-planning actions with respect to restructuring our intercompany debt, resulting in the recognition of a $6.4 million deferred tax benefit.</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(loss) increased approximately $137.1 million to net income of approximately $57.3 million in 2021, compared to a net loss of $79.8 million in 2020. This increase was primarily a result of an increase in operating profit of approximately $183.4 million and a decrease in interest expense of $0.2 million, partially offset by debt financing and related expenses of approximately $10.5 million, an increase in tax expense of approximately $34.8 million and an increase in other expense of $1.2 million.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See below for a discussion of operating results by segment.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pPr>
      <w:r>
        <w:rPr>
          <w:rFonts w:ascii="Times New Roman;sans-serif" w:hAnsi="Times New Roman;sans-serif"/>
          <w:b/>
          <w:i/>
          <w:color w:val="000000"/>
          <w:sz w:val="20"/>
        </w:rPr>
        <w:t>Packaging.</w:t>
      </w:r>
      <w:r>
        <w:rPr>
          <w:color w:val="000000"/>
        </w:rPr>
        <w:t>  </w:t>
      </w:r>
      <w:r>
        <w:rPr>
          <w:rFonts w:ascii="Times New Roman;sans-serif" w:hAnsi="Times New Roman;sans-serif"/>
          <w:b w:val="false"/>
          <w:color w:val="000000"/>
          <w:sz w:val="20"/>
        </w:rPr>
        <w:t xml:space="preserve">Net sales increased approximately $44.9 million, or 9.2%, to $533.3 million in 2021, as compared to $488.3 million in 2020. Acquisition-related sales growth was approximately $42.3 million, comprised of $36.3 million of sales from our December 2020 acquisition of Affaba &amp; Ferrari, $5.3 million resulting from the January through March 2021 sales of our April 2020 acquisition of Rapak and $0.7 million of sales from our December 2021 acquisition of Omega. Sales of products used in food and beverage markets increased by approximately $19.1 million, primarily due to increased demand for caps and closures and flexible packaging as the hospitality sector began to rebound from prior COVID-19 pandemic-related shutdowns. Sales of products used in industrial markets increased by approximately $13.5 million, primarily as a result of higher demand for closure products in North America. Sales of dispensing products used in beauty and personal care as well as home care applications that help fight the spread of germs decreased by approximately $42.4 million, as demand has abated for these products from the peak levels in 2020 as a result of the COVID-19 pandemic. Net sales also increased by approximately $8.7 million due to currency exchange, as our reported results in U.S. dollars were favorably impacted as a result of the weakening U.S. dollar relative to foreign currencies.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Packaging's gross profit increased approximately $3.3 million to $145.8 million, or 27.3% of sales, in 2021, as compared to $142.4 million, or 29.2% of sales, in 2020, primarily due to the higher sales levels, plus approximately $3.1 million of currency exchange, as our reported results in U.S. dollars were favorably impacted as a result of the weakening U.S. dollar relative to foreign currencies. Although gross profit dollars increased, gross profit margin decreased as the impact of a more favorable product sales mix, as higher margin industrial and food and beverage products comprised a larger percentage of total sales, was offset by approximately $11 million of higher material costs (primarily resin) than were recovered via sales price increases during 2021. Gross profit margin was also unfavorably impacted by inflationary headwinds on utilities costs, higher labor costs driven by pandemic-related shortages and higher freight costs driven by increased container costs and freight lane rates. In addition, we recognized approximately $1.6 million of realignment costs during 2021 primarily related to the closure of our Union City, California manufacturing facility and consolidation into our Indianapolis, Indiana and Woodridge, Illinois facilities as compared to $1.1 million of realignment costs in 2020, primarily related to the disposal of certain equipment removed from service.</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Packaging's selling, general and administrative expenses increased approximately $1.3 million to $49.1 million, or 9.2% of sales, in 2021, as compared to $47.9 million, or 9.8% of sales, in 2020, primarily due to higher ongoing selling, general and administrative costs associated with our acquisitions, partially offset by approximately $1.2 million in charges associated with realignment actions in 2020, primarily for severance, that did not repeat in 2021.</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Packaging's operating profit increased approximately $2.5 million to $96.5 million, or 18.1% of sales, in 2021, as compared to $94.0 million, or 19.2% of sales, in 2020, primarily due to higher sales levels, a more favorable product sales mix and favorable currency exchange, which were partially offset by the impact of higher material and other manufacturing input costs, incremental realignment charges and higher selling, general and administrative expenses.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pPr>
      <w:r>
        <w:rPr>
          <w:rFonts w:ascii="Times New Roman;sans-serif" w:hAnsi="Times New Roman;sans-serif"/>
          <w:b/>
          <w:i/>
          <w:color w:val="000000"/>
          <w:sz w:val="20"/>
        </w:rPr>
        <w:t>Aerospace.</w:t>
      </w:r>
      <w:r>
        <w:rPr>
          <w:color w:val="000000"/>
        </w:rPr>
        <w:t>    </w:t>
      </w:r>
      <w:r>
        <w:rPr>
          <w:rFonts w:ascii="Times New Roman;sans-serif" w:hAnsi="Times New Roman;sans-serif"/>
          <w:b w:val="false"/>
          <w:color w:val="000000"/>
          <w:sz w:val="20"/>
        </w:rPr>
        <w:t xml:space="preserve">Net sales increased approximately $15.6 million, or 9.3%, to $183.3 million in 2021, as compared to $167.7 million in 2020. RSA, acquired in February 2020, added approximately $4.3 million of sales for January and February 2021 and TFI, acquired in December 2021, added approximately $0.3 million of sales. Sales of our fastener products increased approximately $11.2 million, as approximately $29.4 million of sales of customers' stocking orders for highly-engineered fasteners in 2021 were partially offset by lower year-over-year sales resulting from current and expected future reduced air travel due to the COVID-19 pandemic. Sales of our engineered components products declined by approximately $0.2 million.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within Aerospace increased approximately $13.0 million to $40.0 million, or 21.8% of sales, in 2021, from $27.0 million, or 16.1% of sales, in 2020, primarily due to charges recorded in 2020 that did not repeat in 2021. First, we recorded approximately $4.5 million lower realignment charges in 2021 compared with 2020, which were principally related to inventory reductions and facility consolidations in response to the COVID-19 pandemic. In addition, in 2020, we recorded a $2.0 million charge related to an updated estimate of a pre-acquisition contingent liability, as well as an approximate $2.0 million purchase accounting non-cash charge related to the step-up of RSA's inventory to fair value and subsequent amortization, each of which did not repeat in 2021. Gross profit margin was further aided by a more favorable product sales mix in 2021, as the stocking orders were primarily for highly-engineered fasteners that command above-average profit margins. All of these factors were partially offset by lower absorption of fixed costs and labor inefficiencies during 2021 driven by the COVID-19 pandemic.</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approximately $1.1 million to $26.7 million, or 14.6% of sales, in 2021, as compared to $25.6 million, or 15.2% of sales, in 2020, primarily due to the impact of higher ongoing selling, general and administrative costs associated with our acquisitions.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profit (loss) within Aerospace increased approximately $146.7 million to an operating profit of $13.3 million, or 7.2% of sales, in 2021, as compared to an operating loss of $133.4 million, or 79.6% of sales, in 2020, primarily due to approximately $134.6 million of goodwill and indefinite-lived intangible asset impairment charges during 2020. Operating profit also improved due to realignment and other charges recorded in 2020 that did not repeat in 2021, as well as through a more favorable product sales mix, partially offset by labor inefficiencies, lower absorption of fixed costs and higher selling, general and administrative expenses.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pPr>
      <w:r>
        <w:rPr>
          <w:rFonts w:ascii="Times New Roman;sans-serif" w:hAnsi="Times New Roman;sans-serif"/>
          <w:b/>
          <w:i/>
          <w:color w:val="000000"/>
          <w:sz w:val="20"/>
        </w:rPr>
        <w:t>Specialty Products.</w:t>
      </w:r>
      <w:r>
        <w:rPr>
          <w:color w:val="000000"/>
        </w:rPr>
        <w:t>    </w:t>
      </w:r>
      <w:r>
        <w:rPr>
          <w:rFonts w:ascii="Times New Roman;sans-serif" w:hAnsi="Times New Roman;sans-serif"/>
          <w:b w:val="false"/>
          <w:color w:val="000000"/>
          <w:sz w:val="20"/>
        </w:rPr>
        <w:t>Net sales increased approximately $26.6 million, or 23.4%, to $140.5 million in 2021, as compared to $113.9 million in 2020. Sales of our cylinder products increased by approximately $17.9 million due to a higher demand for steel cylinders in North America as industrial activity continues to rebound following significantly depressed demand in 2020 as result of the COVID-19 pandemic. Sales of engines, compressors and related parts used in upstream oil and gas applications increased by approximately $8.7 million primarily as a result of higher oil-field activity in North America. Our 2020 sales included approximately $0.7 million related to the liquidation of non-core inventory following our strategic decision to streamline Arrow Engine's product line offering.</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within Specialty Products increased approximately $18.8 million to $31.5 million, or 22.4% of sales, in 2021, as compared to $12.7 million, or 11.1% of sales, in 2020. During 2020, we executed certain realignment actions in response to reduced end market demand as a result of the COVID-19 pandemic, resulting in approximately $9.0 million of non-cash charges, primarily related to Arrow Engine streamlining its product line offering and liquidating its non-core inventory, which did not repeat in 2021. In addition, gross profit increased in 2021 due to higher sales levels, while margins improved due to favorable product sales mix and leveraging previous realignment actions.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within Specialty Products increased approximately $1.1 million to $9.0 million, or 6.4% of sales, in 2021, as compared to $7.9 million, or 6.9% of net sales, in 2020. Our 2021 selling, general and administrative expenses have increased primarily due to higher employment and spending levels incurred to support the increase in sales levels. We incurred selling, general and administrative realignment expenses of approximately $0.7 million in 2020 related to severance that did not repeat in 2021.</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profit within Specialty Products increased approximately $18.2 million to $22.6 million, or 16.0% of sales, in 2021, as compared to $4.4 million, or 3.8% of sales, in 2020, primarily due to the impact of 2020 realignment costs that did not repeat in 2021, as well as higher sales and related profit conversion leveraging the 2020 realignment actions without the need to add significant incremental fixed costs.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pPr>
      <w:r>
        <w:rPr>
          <w:rFonts w:ascii="Times New Roman;sans-serif" w:hAnsi="Times New Roman;sans-serif"/>
          <w:b/>
          <w:i/>
          <w:color w:val="000000"/>
          <w:sz w:val="20"/>
        </w:rPr>
        <w:t>Corporate Expenses.</w:t>
      </w:r>
      <w:r>
        <w:rPr>
          <w:color w:val="000000"/>
        </w:rPr>
        <w:t>    </w:t>
      </w:r>
      <w:r>
        <w:rPr>
          <w:rFonts w:ascii="Times New Roman;sans-serif" w:hAnsi="Times New Roman;sans-serif"/>
          <w:b w:val="false"/>
          <w:color w:val="000000"/>
          <w:sz w:val="20"/>
        </w:rPr>
        <w:t>Corporate expenses included in operating profit consist of the following (dollars in millions):</w:t>
      </w:r>
    </w:p>
    <w:tbl>
      <w:tblPr>
        <w:tblW w:w="5049" w:type="dxa"/>
        <w:jc w:val="left"/>
        <w:tblInd w:w="0" w:type="dxa"/>
        <w:tblCellMar>
          <w:top w:w="28" w:type="dxa"/>
          <w:left w:w="28" w:type="dxa"/>
          <w:bottom w:w="28" w:type="dxa"/>
          <w:right w:w="28" w:type="dxa"/>
        </w:tblCellMar>
      </w:tblPr>
      <w:tblGrid>
        <w:gridCol w:w="945"/>
        <w:gridCol w:w="830"/>
        <w:gridCol w:w="835"/>
        <w:gridCol w:w="109"/>
        <w:gridCol w:w="109"/>
        <w:gridCol w:w="109"/>
        <w:gridCol w:w="219"/>
        <w:gridCol w:w="531"/>
        <w:gridCol w:w="113"/>
        <w:gridCol w:w="113"/>
        <w:gridCol w:w="113"/>
        <w:gridCol w:w="113"/>
        <w:gridCol w:w="219"/>
        <w:gridCol w:w="531"/>
        <w:gridCol w:w="160"/>
      </w:tblGrid>
      <w:tr>
        <w:trPr/>
        <w:tc>
          <w:tcPr>
            <w:tcW w:w="94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6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(income) expenses,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Corporate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jc w:val="both"/>
        <w:rPr/>
      </w:pPr>
      <w:r>
        <w:rPr>
          <w:rFonts w:ascii="Times New Roman;sans-serif" w:hAnsi="Times New Roman;sans-serif"/>
          <w:b w:val="false"/>
          <w:color w:val="000000"/>
          <w:sz w:val="20"/>
        </w:rPr>
        <w:t xml:space="preserve">Corporate expenses included in operating profit decreased approximately $16.0 million to $37.2 million in 2021, from $53.2 million in 2020, primarily as a result of the $23.4 million non-cash charge recorded in 2020 due to the change of our accounting policy for asbestos-related defense costs. </w:t>
      </w:r>
      <w:r>
        <w:rPr>
          <w:rFonts w:ascii="Times New Roman;sans-serif" w:hAnsi="Times New Roman;sans-serif"/>
          <w:b w:val="false"/>
          <w:color w:val="000000"/>
          <w:sz w:val="20"/>
          <w:highlight w:val="white"/>
        </w:rPr>
        <w:t>In 2021, we</w:t>
      </w:r>
      <w:r>
        <w:rPr>
          <w:color w:val="000000"/>
        </w:rPr>
        <w:t xml:space="preserve"> </w:t>
      </w:r>
      <w:r>
        <w:rPr>
          <w:rFonts w:ascii="Times New Roman;sans-serif" w:hAnsi="Times New Roman;sans-serif"/>
          <w:b w:val="false"/>
          <w:color w:val="000000"/>
          <w:sz w:val="20"/>
        </w:rPr>
        <w:t>commissioned our actuary to update the asbestos study, and recorded a non-cash charge of $1.5 million to increase the liability estimate. Corporate operating expenses increased primarily as a result of realignment charges related to the corporate office legal and finance groups in 2021 as well as an increase in professional fees related to corporate development activities.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Flows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flows provided by operating activities in 2021 were approximately $134.2 million, as compared to approximately $127.4 million in 2020. Significant changes in cash flows provided by operating activities and the reasons for such changes are as follows: </w:t>
      </w:r>
    </w:p>
    <w:p>
      <w:pPr>
        <w:pStyle w:val="TextBody"/>
        <w:spacing w:lineRule="auto" w:line="288" w:before="160" w:after="160"/>
        <w:ind w:left="0" w:right="0" w:hanging="360"/>
        <w:jc w:val="both"/>
        <w:rPr/>
      </w:pPr>
      <w:r>
        <w:rPr>
          <w:color w:val="000000"/>
        </w:rPr>
        <w:t>•</w:t>
      </w:r>
      <w:r>
        <w:rPr>
          <w:rFonts w:ascii="Times New Roman;sans-serif" w:hAnsi="Times New Roman;sans-serif"/>
          <w:b w:val="false"/>
          <w:color w:val="000000"/>
          <w:sz w:val="20"/>
        </w:rPr>
        <w:t>In 2021, the Company generated approximately $139.2 million in cash flows, based on the reported net income of approximately $57.3 million and after considering the effects of non-cash items related to depreciation, amortization, loss on dispositions of assets, changes in deferred income taxes, debt financing and related expenses, stock-based compensation, change in legacy liability estimate, and other operating activities. In 2020, the Company generated approximately $105.0 million in cash flows based on the reported net loss of approximately $79.8 million and after considering the effects of similar non-cash items and the impairment of goodwill and indefinite-lived intangible assets.</w:t>
      </w:r>
    </w:p>
    <w:p>
      <w:pPr>
        <w:pStyle w:val="TextBody"/>
        <w:spacing w:lineRule="auto" w:line="288" w:before="160" w:after="160"/>
        <w:ind w:left="0" w:right="0" w:hanging="360"/>
        <w:jc w:val="both"/>
        <w:rPr/>
      </w:pPr>
      <w:r>
        <w:rPr>
          <w:color w:val="000000"/>
        </w:rPr>
        <w:t>•</w:t>
      </w:r>
      <w:r>
        <w:rPr>
          <w:rFonts w:ascii="Times New Roman;sans-serif" w:hAnsi="Times New Roman;sans-serif"/>
          <w:b w:val="false"/>
          <w:color w:val="000000"/>
          <w:sz w:val="20"/>
        </w:rPr>
        <w:t xml:space="preserve">Increases in accounts receivable resulted in a use of cash of approximately $11.2 million in 2021, while decreases in accounts receivable resulted in a source of cash of approximately $9.6 million 2020, primarily due to timing of net sales and related cash collections. Days sales outstanding of receivables remained relatively consistent in 2021 compared to 2020, and decreased by approximately four days through 2020 compared to 2019, </w:t>
      </w:r>
      <w:r>
        <w:rPr>
          <w:rFonts w:ascii="Times New Roman;sans-serif" w:hAnsi="Times New Roman;sans-serif"/>
          <w:b w:val="false"/>
          <w:color w:val="000000"/>
          <w:sz w:val="20"/>
          <w:highlight w:val="white"/>
        </w:rPr>
        <w:t xml:space="preserve">as we placed a significant focus on our credit and collections process, particularly in those businesses most impacted by the pandemic where credit risk was heightened. </w:t>
      </w:r>
    </w:p>
    <w:p>
      <w:pPr>
        <w:pStyle w:val="TextBody"/>
        <w:spacing w:lineRule="auto" w:line="288" w:before="160" w:after="160"/>
        <w:ind w:left="0" w:right="0" w:hanging="360"/>
        <w:jc w:val="both"/>
        <w:rPr/>
      </w:pPr>
      <w:r>
        <w:rPr>
          <w:color w:val="000000"/>
          <w:highlight w:val="white"/>
        </w:rPr>
        <w:t>•</w:t>
      </w:r>
      <w:r>
        <w:rPr>
          <w:rFonts w:ascii="Times New Roman;sans-serif" w:hAnsi="Times New Roman;sans-serif"/>
          <w:b w:val="false"/>
          <w:color w:val="000000"/>
          <w:sz w:val="20"/>
        </w:rPr>
        <w:t xml:space="preserve">We increased our investment in inventory by approximately $1.0 million in 2021, while decreasing our investment in inventory by approximately $4.0 million in 2020. Our days sales in inventory decreased by approximately nine days in 2021 compared with 2020 through active inventory management and selling through certain inventory items that were at elevated levels at the end of 2020 due to lower demand as a result of the COVID-19 pandemic. Our days sales in inventory decreased by approximately eight days in 2020 compared to 2019, </w:t>
      </w:r>
      <w:r>
        <w:rPr>
          <w:rFonts w:ascii="Times New Roman;sans-serif" w:hAnsi="Times New Roman;sans-serif"/>
          <w:b w:val="false"/>
          <w:color w:val="000000"/>
          <w:sz w:val="20"/>
          <w:highlight w:val="white"/>
        </w:rPr>
        <w:t>primarily as a result of the strategic decision in our Arrow Engine division to streamline its product line offering during 2020.</w:t>
      </w:r>
      <w:r>
        <w:rPr>
          <w:color w:val="000000"/>
        </w:rPr>
        <w:t xml:space="preserve"> </w:t>
      </w:r>
      <w:r>
        <w:rPr>
          <w:rFonts w:ascii="Times New Roman;sans-serif" w:hAnsi="Times New Roman;sans-serif"/>
          <w:b w:val="false"/>
          <w:color w:val="000000"/>
          <w:sz w:val="20"/>
        </w:rPr>
        <w:t xml:space="preserve">We continue to moderate inventory levels in line with sales levels. </w:t>
      </w:r>
    </w:p>
    <w:p>
      <w:pPr>
        <w:pStyle w:val="TextBody"/>
        <w:spacing w:lineRule="auto" w:line="288" w:before="160" w:after="160"/>
        <w:ind w:left="0" w:right="0" w:hanging="360"/>
        <w:jc w:val="both"/>
        <w:rPr/>
      </w:pPr>
      <w:r>
        <w:rPr>
          <w:color w:val="000000"/>
          <w:highlight w:val="white"/>
        </w:rPr>
        <w:t>•</w:t>
      </w:r>
      <w:r>
        <w:rPr>
          <w:rFonts w:ascii="Times New Roman;sans-serif" w:hAnsi="Times New Roman;sans-serif"/>
          <w:b w:val="false"/>
          <w:color w:val="000000"/>
          <w:sz w:val="20"/>
        </w:rPr>
        <w:t xml:space="preserve">Decreases in prepaid expenses and other assets resulted in a source of cash of approximately $5.0 million and $4.4 million in 2021 and 2020, respectively. </w:t>
      </w:r>
      <w:r>
        <w:rPr>
          <w:rFonts w:ascii="Times New Roman;sans-serif" w:hAnsi="Times New Roman;sans-serif"/>
          <w:b w:val="false"/>
          <w:color w:val="000000"/>
          <w:sz w:val="20"/>
          <w:highlight w:val="white"/>
        </w:rPr>
        <w:t>The changes in 2021 and 2020 are primarily as a result of the timing of payments made for income taxes and certain operating expenses.</w:t>
      </w:r>
    </w:p>
    <w:p>
      <w:pPr>
        <w:pStyle w:val="TextBody"/>
        <w:spacing w:lineRule="auto" w:line="288" w:before="160" w:after="160"/>
        <w:ind w:left="0" w:right="0" w:hanging="360"/>
        <w:jc w:val="both"/>
        <w:rPr/>
      </w:pPr>
      <w:r>
        <w:rPr>
          <w:color w:val="000000"/>
        </w:rPr>
        <w:t>•</w:t>
      </w:r>
      <w:r>
        <w:rPr>
          <w:rFonts w:ascii="Times New Roman;sans-serif" w:hAnsi="Times New Roman;sans-serif"/>
          <w:b w:val="false"/>
          <w:color w:val="000000"/>
          <w:sz w:val="20"/>
        </w:rPr>
        <w:t xml:space="preserve">Increases in accounts payable and accrued liabilities resulted in a source of cash of approximately $2.1 million and $4.5 million in 2021 and 2020, respectively. Our days accounts payable on hand increased by approximately five days in 2021 due to timing and mix of payments terms in 2021 while days payables decreased by approximately 15 days in 2020, primarily as we paid certain key Packaging vendors more quickly in 2020 to ensure our orders remained a top priority for them given our robust demand levels and minimal available capacity in the marketplace. This decrease was more than offset by our increase in accrued liabilities in 2020, primarily as a result of the timing and amount of wage-related accruals.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for investing activities was approximately $79.2 million and $232.1 million in 2021 and 2020, respectively. During 2021, we paid approximately $34.3 million, net of cash acquired, to acquire Omega and TFI. We invested approximately $45.1 million in capital expenditures as we have continued our investment in growth, capacity and productivity-related capital projects. During 2020, we paid approximately $193.5 million, net of cash acquired, to acquire RSA, Rapak and Affaba &amp; Ferrari. In 2020, we invested approximately $40.5 million in capital expenditures and received cash from the disposition of business, property and equipment of approximately $2.0 million.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was approximately $11.8 million and $6.1 million in 2021 and 2020, respectively. During 2021, we issued $400.0 million principal amount of senior notes, made net repayments of approximately $48.6 million on our revolving credit facilities, and redeemed $300.0 million principal amount of senior notes. In connection with refinancing our long-term debt, we paid approximately $13.6 million of debt financing fees and redemption premium. We also purchased approximately $19.1 million of outstanding common stock, used a net cash amount of approximately $5.2 million related to our stock compensation arrangements and paid dividends of approximately $1.7 million. During 2020, we received proceeds from borrowings, net of repayments, of approximately $48.2 million on our revolving credit facilities, purchased approximately $39.4 million of outstanding common stock and used a net cash amount of approximately $2.6 million related to our stock compensation arrangements.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Our Debt and Other Commitments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2021, we issued the 2029 Senior Notes in a private placement under Rule 144A of the Securities Act of 1933, as amended. We used the proceeds from the 2029 Senior Notes offering to pay fees and expenses of approximately $5.1 million related to the offering and pay fees and expenses of $1.1 million related to amending our Credit Agreement. In connection with the issuance, we completed the redemption of our 2025 Senior Notes, paying $300.0 million to retire the outstanding principal amount plus $7.3 million as a redemption premium. The remaining cash proceeds from the 2029 Senior Notes were used for general corporate purposes, including repaying all outstanding revolving credit facility borrowings. The $5.1 million of fees and expenses related to the 2029 Senior Notes were capitalized as debt issuance costs, while the $7.3 million redemption premium, as well as approximately $3.0 million of unamortized debt issuance costs associated with the 2025 Senior Notes were recorded as expense within debt financing and related expenses in the accompanying consolidated statement of operations.</w:t>
      </w:r>
    </w:p>
    <w:p>
      <w:pPr>
        <w:pStyle w:val="TextBody"/>
        <w:spacing w:lineRule="auto" w:line="288" w:before="160" w:after="160"/>
        <w:jc w:val="both"/>
        <w:rPr/>
      </w:pPr>
      <w:r>
        <w:rPr>
          <w:rFonts w:ascii="Times New Roman;sans-serif" w:hAnsi="Times New Roman;sans-serif"/>
          <w:b w:val="false"/>
          <w:color w:val="000000"/>
          <w:sz w:val="20"/>
        </w:rPr>
        <w:t xml:space="preserve">The 2029 Senior Notes accrue interest at a rate of 4.125% per annum, payable semi-annually in arrears on April 15 and October 15, commencing on October 15, 2021. The payment of principal and interest is jointly and severally guaranteed, on a senior unsecured basis by certain named subsidiaries of the Company. The 2029 Senior Notes are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 xml:space="preserve">in right of payment with all existing and future senior indebtedness and subordinated to all existing and future secured indebtedness to the extent of the value of the assets securing such indebtedness. In 2021, our consolidated subsidiaries that do not guarantee the Senior Notes represented approximately 28% of the total of guarantor and non-guarantor net sales, treating each as a consolidated group and excluding intercompany transactions between guarantor and non-guarantor subsidiaries. In addition, our non-guarantor subsidiaries represented approximately 42% and 50% of the total guarantor and non-guarantor assets and liabilities, respectively, as of December 31, 2021, treating the guarantor and non-guarantor subsidiaries each as a consolidated group.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April 15, 2024, we may redeem up to 40% of the principal amount of the 2029 Senior Notes at a redemption price of 104.125% of the principal amount, plus accrued and unpaid interest, if any, to the redemption date, with the net cash proceeds of one or more equity offerings provided that each such redemption occurs within 90 days of the date of closing of each such equity offering. In addition, prior to April 15, 2024, we may redeem all or part of the 2029 Senior Notes at a redemption price equal to 100% of the principal amount thereof, plus accrued and unpaid interest, if any, to the redemption date, plus a "make whole" premium.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2021, we amended our Credit Agreement in connection with the issuance of the 2029 Senior Notes to extend the maturity date. We incurred fees and expenses of approximately $1.1 million related to the amendment, all of which were capitalized as debt issuance costs. We also recorded approximately $0.2 million of non-cash expense related to the write-off of previously capitalized deferred financing fees.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key terms under the Credit Agreement as of December 31, 2021, compared to the key terms prior to the amendment (showing gross availability):</w:t>
      </w:r>
    </w:p>
    <w:tbl>
      <w:tblPr>
        <w:tblW w:w="8568" w:type="dxa"/>
        <w:jc w:val="left"/>
        <w:tblInd w:w="0" w:type="dxa"/>
        <w:tblCellMar>
          <w:top w:w="28" w:type="dxa"/>
          <w:left w:w="28" w:type="dxa"/>
          <w:bottom w:w="28" w:type="dxa"/>
          <w:right w:w="28" w:type="dxa"/>
        </w:tblCellMar>
      </w:tblPr>
      <w:tblGrid>
        <w:gridCol w:w="1210"/>
        <w:gridCol w:w="1062"/>
        <w:gridCol w:w="1072"/>
        <w:gridCol w:w="109"/>
        <w:gridCol w:w="109"/>
        <w:gridCol w:w="109"/>
        <w:gridCol w:w="384"/>
        <w:gridCol w:w="384"/>
        <w:gridCol w:w="386"/>
        <w:gridCol w:w="109"/>
        <w:gridCol w:w="109"/>
        <w:gridCol w:w="109"/>
        <w:gridCol w:w="319"/>
        <w:gridCol w:w="319"/>
        <w:gridCol w:w="321"/>
        <w:gridCol w:w="109"/>
        <w:gridCol w:w="109"/>
        <w:gridCol w:w="109"/>
        <w:gridCol w:w="624"/>
        <w:gridCol w:w="624"/>
        <w:gridCol w:w="882"/>
      </w:tblGrid>
      <w:tr>
        <w:trPr/>
        <w:tc>
          <w:tcPr>
            <w:tcW w:w="1210"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Instrument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br/>
              <w:t>($ 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w:t>
              <w:b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Interest Rate</w:t>
            </w:r>
          </w:p>
        </w:tc>
      </w:tr>
      <w:tr>
        <w:trPr/>
        <w:tc>
          <w:tcPr>
            <w:tcW w:w="33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Credit Agreement (as amended)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revolving credit facility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3/29/2026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LIBOR</w:t>
            </w: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20"/>
              </w:rPr>
              <w:t>plus 1.500%</w:t>
            </w:r>
            <w:r>
              <w:rPr>
                <w:rFonts w:ascii="Times New Roman;sans-serif" w:hAnsi="Times New Roman;sans-serif"/>
                <w:b w:val="false"/>
                <w:color w:val="000000"/>
                <w:sz w:val="13"/>
              </w:rPr>
              <w:t>(b)</w:t>
            </w:r>
          </w:p>
        </w:tc>
      </w:tr>
      <w:tr>
        <w:trPr/>
        <w:tc>
          <w:tcPr>
            <w:tcW w:w="33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Credit Agreement (prior to amending)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revolving credit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9/20/2022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LIBOR</w:t>
            </w: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20"/>
              </w:rPr>
              <w:t>plus 1.500%</w:t>
            </w:r>
            <w:r>
              <w:rPr>
                <w:rFonts w:ascii="Times New Roman;sans-serif" w:hAnsi="Times New Roman;sans-serif"/>
                <w:b w:val="false"/>
                <w:color w:val="000000"/>
                <w:sz w:val="13"/>
              </w:rPr>
              <w:t>(b)</w:t>
            </w:r>
          </w:p>
        </w:tc>
      </w:tr>
    </w:tbl>
    <w:p>
      <w:pPr>
        <w:pStyle w:val="TextBody"/>
        <w:spacing w:lineRule="auto" w:line="288" w:before="160" w:after="16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w:t>
      </w:r>
    </w:p>
    <w:p>
      <w:pPr>
        <w:pStyle w:val="TextBody"/>
        <w:spacing w:lineRule="auto" w:line="288" w:before="160" w:after="160"/>
        <w:ind w:left="0" w:right="0" w:hanging="360"/>
        <w:jc w:val="both"/>
        <w:rPr/>
      </w:pPr>
      <w:r>
        <w:rPr>
          <w:rFonts w:ascii="Times New Roman;sans-serif" w:hAnsi="Times New Roman;sans-serif"/>
          <w:b w:val="false"/>
          <w:color w:val="000000"/>
          <w:sz w:val="10"/>
        </w:rPr>
        <w:t>(a)     </w:t>
      </w:r>
      <w:r>
        <w:rPr>
          <w:rFonts w:ascii="Times New Roman;sans-serif" w:hAnsi="Times New Roman;sans-serif"/>
          <w:b w:val="false"/>
          <w:color w:val="000000"/>
          <w:sz w:val="16"/>
        </w:rPr>
        <w:t>London Interbank Offered Rate ("LIBOR")</w:t>
      </w:r>
    </w:p>
    <w:p>
      <w:pPr>
        <w:pStyle w:val="TextBody"/>
        <w:spacing w:lineRule="auto" w:line="288" w:before="160" w:after="160"/>
        <w:ind w:left="0" w:right="0" w:hanging="360"/>
        <w:jc w:val="both"/>
        <w:rPr/>
      </w:pPr>
      <w:r>
        <w:rPr>
          <w:rFonts w:ascii="Times New Roman;sans-serif" w:hAnsi="Times New Roman;sans-serif"/>
          <w:b w:val="false"/>
          <w:color w:val="000000"/>
          <w:sz w:val="10"/>
        </w:rPr>
        <w:t>(a)     </w:t>
      </w:r>
      <w:r>
        <w:rPr>
          <w:rFonts w:ascii="Times New Roman;sans-serif" w:hAnsi="Times New Roman;sans-serif"/>
          <w:b w:val="false"/>
          <w:color w:val="000000"/>
          <w:sz w:val="16"/>
        </w:rPr>
        <w:t>The interest rate spread is based upon the leverage ratio, as defined, as of the most recent determination date.</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senior secured revolving credit facility under the Credit Agreement permits borrowings denominated in specific foreign currencies, subject to a $125.0 million sub limit. The Credit Agreement also provides for incremental revolving credit commitments in an amount not to exceed the greater of $200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any accounts receivable securitization facility,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December 31, 2021. If we were to complete an acquisition which qualifies for a Covenant Holiday Period, as defined in our Credit Agreement, then our permitted total net leverage ratio cannot exceed 4.50 to 1.00 during that period. Our actual total net leverage ratio was 1.60 to 1.00 at December 31, 2021. Our permitted interest expense coverage ratio under the Credit Agreement is 3.00 to 1.00, and our actual interest expense coverage ratio was 13.31 to 1.00 as of December 31, 2021. At December 31, 2021, we were in compliance with our financial and other covenants contained in the Credit Agreement.</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net income (loss), as reported, which is a GAAP measure of our operating results, to Consolidated Bank EBITDA, as defined in our Credit Agreement, for the year ended December 31, 2021. We present Consolidated Bank EBITDA to show our performance under our financial covenants. Dollars are in thousands in the below tables.</w:t>
      </w:r>
    </w:p>
    <w:tbl>
      <w:tblPr>
        <w:tblW w:w="6986" w:type="dxa"/>
        <w:jc w:val="left"/>
        <w:tblInd w:w="0" w:type="dxa"/>
        <w:tblCellMar>
          <w:top w:w="28" w:type="dxa"/>
          <w:left w:w="28" w:type="dxa"/>
          <w:bottom w:w="28" w:type="dxa"/>
          <w:right w:w="28" w:type="dxa"/>
        </w:tblCellMar>
      </w:tblPr>
      <w:tblGrid>
        <w:gridCol w:w="1816"/>
        <w:gridCol w:w="1593"/>
        <w:gridCol w:w="1616"/>
        <w:gridCol w:w="109"/>
        <w:gridCol w:w="109"/>
        <w:gridCol w:w="109"/>
        <w:gridCol w:w="289"/>
        <w:gridCol w:w="1134"/>
        <w:gridCol w:w="211"/>
      </w:tblGrid>
      <w:tr>
        <w:trPr/>
        <w:tc>
          <w:tcPr>
            <w:tcW w:w="1816"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1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w:t>
              <w:br/>
              <w:t> December 31, 2021</w:t>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stipulated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(as defined)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Non-cash compensation expense</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charges for deferred tax asset valuation allowances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expenses or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Non-recurring expenses or costs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Extraordinary, non-recurring or unusual gains or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purchase accounting 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and asset dispositions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losses on early extinguishment of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Permitted acquisitions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gains and losses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Bank EBITDA, as defined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177,460 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tbl>
      <w:tblPr>
        <w:tblW w:w="5275" w:type="dxa"/>
        <w:jc w:val="left"/>
        <w:tblInd w:w="0" w:type="dxa"/>
        <w:tblCellMar>
          <w:top w:w="28" w:type="dxa"/>
          <w:left w:w="28" w:type="dxa"/>
          <w:bottom w:w="28" w:type="dxa"/>
          <w:right w:w="28" w:type="dxa"/>
        </w:tblCellMar>
      </w:tblPr>
      <w:tblGrid>
        <w:gridCol w:w="1217"/>
        <w:gridCol w:w="1070"/>
        <w:gridCol w:w="1072"/>
        <w:gridCol w:w="109"/>
        <w:gridCol w:w="109"/>
        <w:gridCol w:w="109"/>
        <w:gridCol w:w="221"/>
        <w:gridCol w:w="865"/>
        <w:gridCol w:w="114"/>
        <w:gridCol w:w="114"/>
        <w:gridCol w:w="114"/>
        <w:gridCol w:w="161"/>
      </w:tblGrid>
      <w:tr>
        <w:trPr/>
        <w:tc>
          <w:tcPr>
            <w:tcW w:w="1217"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Total Indebtedness, as defined</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283,960 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Bank EBITDA, as defined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177,460 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total net leverage ratio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3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Covenant requirement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w:t>
            </w:r>
          </w:p>
        </w:tc>
      </w:tr>
    </w:tbl>
    <w:tbl>
      <w:tblPr>
        <w:tblW w:w="7345" w:type="dxa"/>
        <w:jc w:val="left"/>
        <w:tblInd w:w="0" w:type="dxa"/>
        <w:tblCellMar>
          <w:top w:w="28" w:type="dxa"/>
          <w:left w:w="28" w:type="dxa"/>
          <w:bottom w:w="28" w:type="dxa"/>
          <w:right w:w="28" w:type="dxa"/>
        </w:tblCellMar>
      </w:tblPr>
      <w:tblGrid>
        <w:gridCol w:w="1948"/>
        <w:gridCol w:w="1715"/>
        <w:gridCol w:w="1721"/>
        <w:gridCol w:w="109"/>
        <w:gridCol w:w="109"/>
        <w:gridCol w:w="109"/>
        <w:gridCol w:w="317"/>
        <w:gridCol w:w="1086"/>
        <w:gridCol w:w="231"/>
      </w:tblGrid>
      <w:tr>
        <w:trPr/>
        <w:tc>
          <w:tcPr>
            <w:tcW w:w="1948" w:type="dxa"/>
            <w:tcBorders/>
            <w:shd w:fill="auto" w:val="clear"/>
            <w:vAlign w:val="center"/>
          </w:tcPr>
          <w:p>
            <w:pPr>
              <w:pStyle w:val="TableContents"/>
              <w:spacing w:before="0" w:after="283"/>
              <w:rPr>
                <w:sz w:val="4"/>
                <w:szCs w:val="4"/>
              </w:rPr>
            </w:pPr>
            <w:r>
              <w:rPr>
                <w:sz w:val="4"/>
                <w:szCs w:val="4"/>
              </w:rPr>
            </w:r>
          </w:p>
        </w:tc>
        <w:tc>
          <w:tcPr>
            <w:tcW w:w="1715" w:type="dxa"/>
            <w:tcBorders/>
            <w:shd w:fill="auto" w:val="clear"/>
            <w:vAlign w:val="center"/>
          </w:tcPr>
          <w:p>
            <w:pPr>
              <w:pStyle w:val="TableContents"/>
              <w:spacing w:before="0" w:after="283"/>
              <w:rPr>
                <w:sz w:val="4"/>
                <w:szCs w:val="4"/>
              </w:rPr>
            </w:pPr>
            <w:r>
              <w:rPr>
                <w:sz w:val="4"/>
                <w:szCs w:val="4"/>
              </w:rPr>
            </w:r>
          </w:p>
        </w:tc>
        <w:tc>
          <w:tcPr>
            <w:tcW w:w="1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w:t>
              <w:br/>
              <w:t> December 31, 2021</w:t>
            </w:r>
          </w:p>
        </w:tc>
      </w:tr>
      <w:tr>
        <w:trPr/>
        <w:tc>
          <w:tcPr>
            <w:tcW w:w="5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as defined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stipulated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amounts attributable to amortization of financing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Cash Interest Expense, as defined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13,340 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683" w:type="dxa"/>
        <w:jc w:val="left"/>
        <w:tblInd w:w="0" w:type="dxa"/>
        <w:tblCellMar>
          <w:top w:w="28" w:type="dxa"/>
          <w:left w:w="28" w:type="dxa"/>
          <w:bottom w:w="28" w:type="dxa"/>
          <w:right w:w="28" w:type="dxa"/>
        </w:tblCellMar>
      </w:tblPr>
      <w:tblGrid>
        <w:gridCol w:w="1607"/>
        <w:gridCol w:w="1412"/>
        <w:gridCol w:w="1420"/>
        <w:gridCol w:w="109"/>
        <w:gridCol w:w="109"/>
        <w:gridCol w:w="109"/>
        <w:gridCol w:w="284"/>
        <w:gridCol w:w="1114"/>
        <w:gridCol w:w="147"/>
        <w:gridCol w:w="109"/>
        <w:gridCol w:w="109"/>
        <w:gridCol w:w="154"/>
      </w:tblGrid>
      <w:tr>
        <w:trPr/>
        <w:tc>
          <w:tcPr>
            <w:tcW w:w="1607" w:type="dxa"/>
            <w:tcBorders/>
            <w:shd w:fill="auto" w:val="clear"/>
            <w:vAlign w:val="center"/>
          </w:tcPr>
          <w:p>
            <w:pPr>
              <w:pStyle w:val="TableContents"/>
              <w:spacing w:before="0" w:after="283"/>
              <w:rPr>
                <w:sz w:val="4"/>
                <w:szCs w:val="4"/>
              </w:rPr>
            </w:pPr>
            <w:r>
              <w:rPr>
                <w:sz w:val="4"/>
                <w:szCs w:val="4"/>
              </w:rPr>
            </w:r>
          </w:p>
        </w:tc>
        <w:tc>
          <w:tcPr>
            <w:tcW w:w="1412" w:type="dxa"/>
            <w:tcBorders/>
            <w:shd w:fill="auto" w:val="clear"/>
            <w:vAlign w:val="center"/>
          </w:tcPr>
          <w:p>
            <w:pPr>
              <w:pStyle w:val="TableContents"/>
              <w:spacing w:before="0" w:after="283"/>
              <w:rPr>
                <w:sz w:val="4"/>
                <w:szCs w:val="4"/>
              </w:rPr>
            </w:pPr>
            <w:r>
              <w:rPr>
                <w:sz w:val="4"/>
                <w:szCs w:val="4"/>
              </w:rPr>
            </w:r>
          </w:p>
        </w:tc>
        <w:tc>
          <w:tcPr>
            <w:tcW w:w="14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4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Bank EBITDA, as defined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177,460 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Cash Interest Expense, as defined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13,340 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interest expense coverage ratio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Covenant requirement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4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spacing w:lineRule="auto" w:line="288" w:before="16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w:t>
      </w:r>
    </w:p>
    <w:p>
      <w:pPr>
        <w:pStyle w:val="TextBody"/>
        <w:spacing w:lineRule="auto" w:line="288" w:before="160" w:after="160"/>
        <w:ind w:left="0" w:right="0" w:hanging="360"/>
        <w:jc w:val="both"/>
        <w:rPr/>
      </w:pPr>
      <w:r>
        <w:rPr>
          <w:rFonts w:ascii="Times New Roman;sans-serif" w:hAnsi="Times New Roman;sans-serif"/>
          <w:b w:val="false"/>
          <w:color w:val="000000"/>
          <w:sz w:val="10"/>
        </w:rPr>
        <w:t>(1)    </w:t>
      </w:r>
      <w:r>
        <w:rPr>
          <w:rFonts w:ascii="Times New Roman;sans-serif" w:hAnsi="Times New Roman;sans-serif"/>
          <w:b w:val="false"/>
          <w:color w:val="000000"/>
          <w:sz w:val="16"/>
        </w:rPr>
        <w:t>Non-cash compensation expenses resulting from the grant of equity awards.</w:t>
      </w:r>
    </w:p>
    <w:p>
      <w:pPr>
        <w:pStyle w:val="TextBody"/>
        <w:spacing w:lineRule="auto" w:line="288" w:before="0" w:after="0"/>
        <w:ind w:left="0" w:right="0" w:hanging="360"/>
        <w:jc w:val="both"/>
        <w:rPr/>
      </w:pPr>
      <w:r>
        <w:rPr>
          <w:rFonts w:ascii="Times New Roman;sans-serif" w:hAnsi="Times New Roman;sans-serif"/>
          <w:b w:val="false"/>
          <w:color w:val="000000"/>
          <w:sz w:val="10"/>
        </w:rPr>
        <w:t>(2)</w:t>
      </w:r>
      <w:r>
        <w:rPr>
          <w:color w:val="000000"/>
        </w:rPr>
        <w:t>    </w:t>
      </w:r>
      <w:r>
        <w:rPr>
          <w:rFonts w:ascii="Times New Roman;sans-serif" w:hAnsi="Times New Roman;sans-serif"/>
          <w:b w:val="false"/>
          <w:color w:val="000000"/>
          <w:sz w:val="16"/>
        </w:rPr>
        <w:t>Non-recurring costs and expenses relating to diligence and transaction costs, purchase accounting costs, severance, relocation and restructuring expenses.</w:t>
      </w:r>
    </w:p>
    <w:p>
      <w:pPr>
        <w:pStyle w:val="TextBody"/>
        <w:spacing w:lineRule="auto" w:line="288" w:before="160" w:after="160"/>
        <w:ind w:left="0" w:right="0" w:hanging="180"/>
        <w:jc w:val="both"/>
        <w:rPr/>
      </w:pPr>
      <w:r>
        <w:rPr>
          <w:rFonts w:ascii="Times New Roman;sans-serif" w:hAnsi="Times New Roman;sans-serif"/>
          <w:b w:val="false"/>
          <w:color w:val="000000"/>
          <w:sz w:val="10"/>
        </w:rPr>
        <w:t>(3)</w:t>
      </w:r>
      <w:r>
        <w:rPr>
          <w:color w:val="000000"/>
        </w:rPr>
        <w:t>        </w:t>
      </w:r>
      <w:r>
        <w:rPr>
          <w:rFonts w:ascii="Times New Roman;sans-serif" w:hAnsi="Times New Roman;sans-serif"/>
          <w:b w:val="false"/>
          <w:color w:val="000000"/>
          <w:sz w:val="16"/>
        </w:rPr>
        <w:t>Includes approximately $3.8 million of acquisition related contingent consideration as of December 31, 2021.</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allows issuance of letters of credit, not to exceed $40.0 million in aggregate, against revolving credit facility commitments. We placed cash on deposit with a financial institution to be held as cash collateral for our outstanding letters of credit; therefore, as of December 31, 2021 and December 31, 2020, we had no letters of credit issued against our revolving credit facility. At December 31, 2021, we had no amounts outstanding under our revolving credit facility and had $300.0 million potentially available after giving effect to letters of credit issued and outstanding. At December 31, 2020, we had $50.5 million amounts outstanding under our revolving credit facility and had $249.5 million potentially available after giving effect to letters of credit issued and outstanding. Our restricted cash deposits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Our borrowing capacity was not reduced by leverage restrictions contained in the Credit Agreement as of December 31, 2021 and December 31, 2020.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upon our cash flow from operations and available liquidity under our revolving credit facility to fund our debt service obligations and other contractual commitments, working capital and capital expenditure requirements. At the end of each quarter, we have historically used cash on hand from our domestic and certain foreign subsidiaries to pay down amounts outstanding under our revolving credit facility, as applicable.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weighted average borrowings approximated $401.9 million during 2021, compared to $368.9 million during 2020, primarily due to a higher aggregate principal balance on our senior notes due to the issuance of the 2029 Senior Notes and the redemption of the 2025 Senior Notes during 2021.</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May 2021, we, through one of our non-U.S. subsidiaries, entered into a revolving loan facility with a borrowing capacity of $4 million. The facility is guaranteed by TriMas Corporation. There were no borrowings on this loan facility as of December 31, 2021.</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considering the economic uncertainty surrounding the potential business impacts from the COVID-19 pandemic with respect to our operations, supply chains, distribution channels, and end-market customers, we took certain defensive actions during 2020 as we monitored our cash position and available liquidity. These actions included suspending our repurchase of our common stock, borrowing on our revolving credit facility, tightening our capital expenditures, advanced monitoring of our accounts receivable balances and flexing cost structures of operations expected to be most impacted by COVID-19. Given strong cash generation and our current liquidity position, we subsequently relaxed certain of these actions, choosing to further invest in capital expenditures, resume purchasing shares of our common stock and initiating a cash dividend.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our cash on hand as of December 31, 2021 is located within the United States, and given available funding under our revolving credit facility of $300.0 million at December 31, 2021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 needs for the foreseeable future, as well as dividends and share repurchases.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variable interest rates on our revolving credit facility. At December 31, 2021, 1-Month LIBOR approximated 0.10%. At December 31, 2021, we had no amounts outstanding on our revolving credit facility and, therefore, no variable rate-based borrowings outstanding.</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we amended the Credit Agreement to replace LIBOR with a benchmark interest rate determined based on the currency denomination of borrowings, effective January 1, 2022.</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long-term debt, we have other cash commitments related to leases. We account for these lease transactions as operating leases, and incurred rent expense for continuing operations related thereto of approximately $11.0 million in 2021. We continue to be party to non-cancelable leases for certain facilities we have exited as part of restructuring activities, and have entered into sublease agreements to minimize our net lease payments. We expect leasing will continue to be an available financing option to fund future capital expenditure requirements.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we announced our Board of Directors had authorized us to increase the purchase of our common stock up to $250 million in the aggregate, an increase of $100 million from the previous authorization. During 2021, 2020 and 2019, we purchased 596,084, 1,582,049 and 1,230,050 shares of our outstanding common stock for approximately $19.1 million, $39.4 million and $36.7 million, respectively. Since the initial authorization through December 31, 2021, we have purchased 3,850,815 shares of our outstanding common stock for an aggregate purchase price of approximately $107.4 million. We will continue to evaluate opportunities to return capital to shareholders through the purchase of our common stock, depending on market conditions, including the potential impact of the COVID-19 pandemic, and other factors.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various agreements, we are obligated to make future cash payments in fixed amounts. These include payments under our long-term debt agreements, rent payments required under operating lease agreements, certain benefit obligations and interest obligations on our long-term debt. The following table summarizes our material contractual cash obligations as of December 31, 2021 (dollars in thousands). </w:t>
      </w:r>
    </w:p>
    <w:tbl>
      <w:tblPr>
        <w:tblW w:w="9614" w:type="dxa"/>
        <w:jc w:val="left"/>
        <w:tblInd w:w="0" w:type="dxa"/>
        <w:tblCellMar>
          <w:top w:w="28" w:type="dxa"/>
          <w:left w:w="28" w:type="dxa"/>
          <w:bottom w:w="28" w:type="dxa"/>
          <w:right w:w="28" w:type="dxa"/>
        </w:tblCellMar>
      </w:tblPr>
      <w:tblGrid>
        <w:gridCol w:w="911"/>
        <w:gridCol w:w="802"/>
        <w:gridCol w:w="806"/>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911"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8"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Payments Due by Periods</w:t>
            </w:r>
          </w:p>
        </w:tc>
      </w:tr>
      <w:tr>
        <w:trPr/>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w:t>
              <w:br/>
              <w:t>One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1 - 3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3 - 5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w:t>
              <w:br/>
              <w:t>5 Years</w:t>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cash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Interest obligations </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60"/>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w:t>
      </w:r>
    </w:p>
    <w:p>
      <w:pPr>
        <w:pStyle w:val="TextBody"/>
        <w:spacing w:lineRule="auto" w:line="288" w:before="160" w:after="160"/>
        <w:ind w:left="0" w:right="0" w:hanging="360"/>
        <w:jc w:val="both"/>
        <w:rPr/>
      </w:pPr>
      <w:r>
        <w:rPr>
          <w:rFonts w:ascii="Times New Roman;sans-serif" w:hAnsi="Times New Roman;sans-serif"/>
          <w:b w:val="false"/>
          <w:color w:val="000000"/>
          <w:sz w:val="13"/>
        </w:rPr>
        <w:t>(a)    </w:t>
      </w:r>
      <w:r>
        <w:rPr>
          <w:rFonts w:ascii="Times New Roman;sans-serif" w:hAnsi="Times New Roman;sans-serif"/>
          <w:b w:val="false"/>
          <w:color w:val="000000"/>
          <w:sz w:val="16"/>
        </w:rPr>
        <w:t>Our Senior Notes bear interest at 4.125%. The future interest obligations calculation excludes the impact of our cross-currency swap agreements. See Note 14, "</w:t>
      </w:r>
      <w:r>
        <w:rPr>
          <w:rFonts w:ascii="Times New Roman;sans-serif" w:hAnsi="Times New Roman;sans-serif"/>
          <w:b w:val="false"/>
          <w:i/>
          <w:color w:val="000000"/>
          <w:sz w:val="16"/>
        </w:rPr>
        <w:t>Derivative Instruments</w:t>
      </w:r>
      <w:r>
        <w:rPr>
          <w:rFonts w:ascii="Times New Roman;sans-serif" w:hAnsi="Times New Roman;sans-serif"/>
          <w:b w:val="false"/>
          <w:color w:val="000000"/>
          <w:sz w:val="16"/>
        </w:rPr>
        <w:t>," included in Item 8, "</w:t>
      </w:r>
      <w:r>
        <w:rPr>
          <w:rFonts w:ascii="Times New Roman;sans-serif" w:hAnsi="Times New Roman;sans-serif"/>
          <w:b w:val="false"/>
          <w:i/>
          <w:color w:val="000000"/>
          <w:sz w:val="16"/>
        </w:rPr>
        <w:t>Financial Statements and Supplementary Data</w:t>
      </w:r>
      <w:r>
        <w:rPr>
          <w:rFonts w:ascii="Times New Roman;sans-serif" w:hAnsi="Times New Roman;sans-serif"/>
          <w:b w:val="false"/>
          <w:color w:val="000000"/>
          <w:sz w:val="16"/>
        </w:rPr>
        <w:t>," within this Form 10-K for additional information.</w:t>
      </w:r>
    </w:p>
    <w:p>
      <w:pPr>
        <w:pStyle w:val="TextBody"/>
        <w:spacing w:lineRule="auto" w:line="288" w:before="160" w:after="160"/>
        <w:jc w:val="both"/>
        <w:rPr/>
      </w:pPr>
      <w:r>
        <w:rPr>
          <w:rFonts w:ascii="Times New Roman;sans-serif" w:hAnsi="Times New Roman;sans-serif"/>
          <w:b w:val="false"/>
          <w:color w:val="000000"/>
          <w:sz w:val="20"/>
        </w:rPr>
        <w:t>The liability related to unrecognized tax benefits has been excluded from the contractual obligations table because a reasonable estimate of the timing and amount of cash flows from future tax settlements cannot be determined. For additional information, refer to Note 23,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included in Item 8, "</w:t>
      </w:r>
      <w:r>
        <w:rPr>
          <w:rFonts w:ascii="Times New Roman;sans-serif" w:hAnsi="Times New Roman;sans-serif"/>
          <w:b w:val="false"/>
          <w:i/>
          <w:color w:val="000000"/>
          <w:sz w:val="20"/>
        </w:rPr>
        <w:t>Financial Statements and Supplementary Data</w:t>
      </w:r>
      <w:r>
        <w:rPr>
          <w:rFonts w:ascii="Times New Roman;sans-serif" w:hAnsi="Times New Roman;sans-serif"/>
          <w:b w:val="false"/>
          <w:color w:val="000000"/>
          <w:sz w:val="20"/>
        </w:rPr>
        <w:t>," within this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Market Risk</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 </w:t>
      </w:r>
    </w:p>
    <w:p>
      <w:pPr>
        <w:pStyle w:val="TextBody"/>
        <w:spacing w:lineRule="auto" w:line="288" w:before="160" w:after="160"/>
        <w:jc w:val="both"/>
        <w:rPr/>
      </w:pPr>
      <w:r>
        <w:rPr>
          <w:rFonts w:ascii="Times New Roman;sans-serif" w:hAnsi="Times New Roman;sans-serif"/>
          <w:b w:val="false"/>
          <w:color w:val="000000"/>
          <w:sz w:val="20"/>
        </w:rPr>
        <w:t>We have historically used derivative financial instruments to manage currency risks, as we seek to mitigate the risk associated with fluctuations in currency rates impacting cash flows related to certain receivables, payables and intercompany transactions denominated in foreign currencies. We also use cross-currency swap agreements to mitigate currency risks associated with the net investment in certain of our foreign subsidiaries. See Note 14, "</w:t>
      </w:r>
      <w:r>
        <w:rPr>
          <w:rFonts w:ascii="Times New Roman;sans-serif" w:hAnsi="Times New Roman;sans-serif"/>
          <w:b w:val="false"/>
          <w:i/>
          <w:color w:val="000000"/>
          <w:sz w:val="20"/>
        </w:rPr>
        <w:t>Derivative Instruments</w:t>
      </w:r>
      <w:r>
        <w:rPr>
          <w:rFonts w:ascii="Times New Roman;sans-serif" w:hAnsi="Times New Roman;sans-serif"/>
          <w:b w:val="false"/>
          <w:color w:val="000000"/>
          <w:sz w:val="20"/>
        </w:rPr>
        <w:t>," included in Item 8, "</w:t>
      </w:r>
      <w:r>
        <w:rPr>
          <w:rFonts w:ascii="Times New Roman;sans-serif" w:hAnsi="Times New Roman;sans-serif"/>
          <w:b w:val="false"/>
          <w:i/>
          <w:color w:val="000000"/>
          <w:sz w:val="20"/>
        </w:rPr>
        <w:t>Financial Statements and Supplementary Data</w:t>
      </w:r>
      <w:r>
        <w:rPr>
          <w:rFonts w:ascii="Times New Roman;sans-serif" w:hAnsi="Times New Roman;sans-serif"/>
          <w:b w:val="false"/>
          <w:color w:val="000000"/>
          <w:sz w:val="20"/>
        </w:rPr>
        <w:t>," within this Form 10-K for additional information.</w:t>
      </w:r>
    </w:p>
    <w:p>
      <w:pPr>
        <w:pStyle w:val="TextBody"/>
        <w:spacing w:lineRule="auto" w:line="288" w:before="160" w:after="160"/>
        <w:jc w:val="both"/>
        <w:rPr/>
      </w:pPr>
      <w:r>
        <w:rPr>
          <w:rFonts w:ascii="Times New Roman;sans-serif" w:hAnsi="Times New Roman;sans-serif"/>
          <w:b w:val="false"/>
          <w:color w:val="000000"/>
          <w:sz w:val="20"/>
        </w:rPr>
        <w:t>We are also subject to interest risk as it relates to our long-term debt. We have historically used interest rate swap agreements to fix the variable portion of our debt to manage this risk. See Note 14, "</w:t>
      </w:r>
      <w:r>
        <w:rPr>
          <w:rFonts w:ascii="Times New Roman;sans-serif" w:hAnsi="Times New Roman;sans-serif"/>
          <w:b w:val="false"/>
          <w:i/>
          <w:color w:val="000000"/>
          <w:sz w:val="20"/>
        </w:rPr>
        <w:t>Derivative Instruments</w:t>
      </w:r>
      <w:r>
        <w:rPr>
          <w:rFonts w:ascii="Times New Roman;sans-serif" w:hAnsi="Times New Roman;sans-serif"/>
          <w:b w:val="false"/>
          <w:color w:val="000000"/>
          <w:sz w:val="20"/>
        </w:rPr>
        <w:t>," included in Item 8, "</w:t>
      </w:r>
      <w:r>
        <w:rPr>
          <w:rFonts w:ascii="Times New Roman;sans-serif" w:hAnsi="Times New Roman;sans-serif"/>
          <w:b w:val="false"/>
          <w:i/>
          <w:color w:val="000000"/>
          <w:sz w:val="20"/>
        </w:rPr>
        <w:t>Financial Statements and Supplementary Data</w:t>
      </w:r>
      <w:r>
        <w:rPr>
          <w:rFonts w:ascii="Times New Roman;sans-serif" w:hAnsi="Times New Roman;sans-serif"/>
          <w:b w:val="false"/>
          <w:color w:val="000000"/>
          <w:sz w:val="20"/>
        </w:rPr>
        <w:t>," within this Form 10-K for additional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spacing w:lineRule="auto" w:line="288" w:before="160" w:after="160"/>
        <w:jc w:val="both"/>
        <w:rPr/>
      </w:pPr>
      <w:r>
        <w:rPr>
          <w:rFonts w:ascii="Times New Roman;sans-serif" w:hAnsi="Times New Roman;sans-serif"/>
          <w:b w:val="false"/>
          <w:color w:val="000000"/>
          <w:sz w:val="20"/>
        </w:rPr>
        <w:t>TriMas is listed in the NASDAQ Global Select Market</w:t>
      </w:r>
      <w:r>
        <w:rPr>
          <w:rFonts w:ascii="Times New Roman;sans-serif" w:hAnsi="Times New Roman;sans-serif"/>
          <w:b w:val="false"/>
          <w:color w:val="000000"/>
          <w:sz w:val="10"/>
        </w:rPr>
        <w:t>SM</w:t>
      </w:r>
      <w:r>
        <w:rPr>
          <w:rFonts w:ascii="Times New Roman;sans-serif" w:hAnsi="Times New Roman;sans-serif"/>
          <w:b w:val="false"/>
          <w:color w:val="000000"/>
          <w:sz w:val="20"/>
        </w:rPr>
        <w:t>. Our stock trades under the symbol "TRS."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Credit Rating</w:t>
      </w:r>
    </w:p>
    <w:p>
      <w:pPr>
        <w:pStyle w:val="TextBody"/>
        <w:spacing w:lineRule="auto" w:line="288" w:before="160" w:after="160"/>
        <w:jc w:val="both"/>
        <w:rPr/>
      </w:pPr>
      <w:r>
        <w:rPr>
          <w:rFonts w:ascii="Times New Roman;sans-serif" w:hAnsi="Times New Roman;sans-serif"/>
          <w:b w:val="false"/>
          <w:color w:val="000000"/>
          <w:sz w:val="20"/>
        </w:rPr>
        <w:t xml:space="preserve">We and certain of our outstanding debt obligations are rated by Standard &amp; Poor's and Moody's. On March 24, 2021, Moody's assigned a Ba3 rating to our 2029 Senior Notes, as presented in Note 13,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 xml:space="preserve">included in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within this Form 10-K. Moody's also affirmed a Ba2 Corporate Family Rating and maintained its outlook as stable. On March 15, 2021, Standard &amp; Poor's assigned a BB- rating to our 2029 Senior Notes. On February 26, 2021 Standard &amp; Poor's affirmed a BB corporate credit rating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Over the past two years, the COVID-19 pandemic has significantly affected each of our businesses and how we operate, albeit in different ways and magnitudes. Sales in our Packaging segment for dispensing and closure products we supply that are used in applications to fight the spread of germs have continued to be much stronger than before the COVID-19 pandemic, although, as expected, have abated from peak levels in 2020 at the onset of the COVID-19 pandemic. Sales in our Specialty Products segment had been depressed by low levels of industrial activity in the U.S. during 2020, but have since strongly rebounded in the last nine months of 2021. Sales in our Aerospace segment are expected to be lower than historical levels for an indefinite period as a result of low new commercial aircraft builds, but have been significantly boosted by customers' stocking orders throughout 2021. </w:t>
      </w:r>
    </w:p>
    <w:p>
      <w:pPr>
        <w:pStyle w:val="TextBody"/>
        <w:spacing w:lineRule="auto" w:line="276"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2021 financial results demonstrate our ability to effectively leverage our TriMas Business Model, working across our businesses with a high degree of connectivity to respond to changing market conditions, including the ongoing challenges presented by the COVID-19 pandemic. We have capitalized on opportunities where market demand was high, while also taking swift actions where market demand was sharply reduced. We have continued to take proactive realignment actions to mitigate the effects of lower demand from the COVID-19 pandemic as much as practical, while at the same time growing our businesses through organic new products as well as via bolt-on acquisitions.</w:t>
      </w:r>
    </w:p>
    <w:p>
      <w:pPr>
        <w:pStyle w:val="TextBody"/>
        <w:spacing w:lineRule="auto" w:line="276"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Looking forward, we believe there will be a continued period of uncertainty related to demand levels for our products, whether it be when production rates for new aircraft builds, which require our fasteners and engineered products, will ramp-up, or whether general industrial activity will continue to increase toward pre-pandemic levels. We expect to continue to mitigate, as much as practical, the impact of low volumes in the most challenged end markets, executing realignment actions as necessary so we are positioned to gain operating leverage when these end markets recover. We believe we remain well positioned to capitalize on the recovery of the aerospace market, just as we have with the improvement in the industrial markets in the back half of 2021, as well as capture available market growth opportunities. We believe the continued effectiveness of vaccines, as well as continued measures intended to control the spread of the virus and future variants thereof, are among the most significant factors that could impact demand for our products.</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76"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continued uncertainties resulting from the COVID-19 pandemic, and their potential impact to our future results of operations, as well as to TriMas' market capitalization, we may record additional cash and non-cash charges related to further realignment actions, as well for uncollectible customer account balances, excess inventory and idle production equipment. At this time, we are not able to estimate the extent or amount of any such potential cash and non-cash charges.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issuance of our 2029 Senior Notes and the amendment of our Credit Agreement in 2021, we believe our capital structure remains strong and that we have sufficient headroom under our financial covenants, and ample cash and available liquidity under our revolving credit facility, to meet our debt service, capital expenditure and other short-term and long-term obligations for the foreseeable future, as well as dividends and share repurchases.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leverage the tenets of our TriMas Business Model to manage our multi-industry businesses and address the ongoing challenges presented by the COVID-19 pandemic, and on a longer-term basis, achieve our growth plans, execute continuous improvement initiatives to offset inflationary pressures, and seek lower-cost sources for input costs, all while continuously assessing the appropriateness of our manufacturing footprint and fixed-cost structure.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Impact of New Accounting Standards</w:t>
      </w:r>
    </w:p>
    <w:p>
      <w:pPr>
        <w:pStyle w:val="TextBody"/>
        <w:spacing w:lineRule="auto" w:line="288" w:before="160" w:after="160"/>
        <w:jc w:val="both"/>
        <w:rPr/>
      </w:pPr>
      <w:r>
        <w:rPr>
          <w:rFonts w:ascii="Times New Roman;sans-serif" w:hAnsi="Times New Roman;sans-serif"/>
          <w:b w:val="false"/>
          <w:color w:val="000000"/>
          <w:sz w:val="20"/>
        </w:rPr>
        <w:t>See Note 2, "</w:t>
      </w:r>
      <w:r>
        <w:rPr>
          <w:rFonts w:ascii="Times New Roman;sans-serif" w:hAnsi="Times New Roman;sans-serif"/>
          <w:b w:val="false"/>
          <w:i/>
          <w:color w:val="000000"/>
          <w:sz w:val="20"/>
        </w:rPr>
        <w:t>New Accounting Pronouncements</w:t>
      </w:r>
      <w:r>
        <w:rPr>
          <w:rFonts w:ascii="Times New Roman;sans-serif" w:hAnsi="Times New Roman;sans-serif"/>
          <w:b w:val="false"/>
          <w:color w:val="000000"/>
          <w:sz w:val="20"/>
        </w:rPr>
        <w:t>," included in Item 8, "</w:t>
      </w:r>
      <w:r>
        <w:rPr>
          <w:rFonts w:ascii="Times New Roman;sans-serif" w:hAnsi="Times New Roman;sans-serif"/>
          <w:b w:val="false"/>
          <w:i/>
          <w:color w:val="000000"/>
          <w:sz w:val="20"/>
        </w:rPr>
        <w:t>Financial Statements and Supplementary Data</w:t>
      </w:r>
      <w:r>
        <w:rPr>
          <w:rFonts w:ascii="Times New Roman;sans-serif" w:hAnsi="Times New Roman;sans-serif"/>
          <w:b w:val="false"/>
          <w:color w:val="000000"/>
          <w:sz w:val="20"/>
        </w:rPr>
        <w:t>," within this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w:t>
      </w:r>
    </w:p>
    <w:p>
      <w:pPr>
        <w:pStyle w:val="TextBody"/>
        <w:spacing w:lineRule="auto" w:line="288" w:before="160" w:after="160"/>
        <w:jc w:val="both"/>
        <w:rPr/>
      </w:pPr>
      <w:r>
        <w:rPr>
          <w:rFonts w:ascii="Times New Roman;sans-serif" w:hAnsi="Times New Roman;sans-serif"/>
          <w:b w:val="false"/>
          <w:color w:val="000000"/>
          <w:sz w:val="20"/>
        </w:rPr>
        <w:t>The following discussion of accounting policies is intended to supplement the accounting policies presented in Note 3,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included in Item 8, "</w:t>
      </w:r>
      <w:r>
        <w:rPr>
          <w:rFonts w:ascii="Times New Roman;sans-serif" w:hAnsi="Times New Roman;sans-serif"/>
          <w:b w:val="false"/>
          <w:i/>
          <w:color w:val="000000"/>
          <w:sz w:val="20"/>
        </w:rPr>
        <w:t>Financial Statements and Supplementary Data</w:t>
      </w:r>
      <w:r>
        <w:rPr>
          <w:rFonts w:ascii="Times New Roman;sans-serif" w:hAnsi="Times New Roman;sans-serif"/>
          <w:b w:val="false"/>
          <w:color w:val="000000"/>
          <w:sz w:val="20"/>
        </w:rPr>
        <w:t xml:space="preserve">," within this Form 10-K. 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our evaluation of business and macroeconomic trends, and information from other outside sources, as appropriate. </w:t>
      </w:r>
    </w:p>
    <w:p>
      <w:pPr>
        <w:pStyle w:val="TextBody"/>
        <w:spacing w:lineRule="auto" w:line="288" w:before="160" w:after="160"/>
        <w:jc w:val="both"/>
        <w:rPr/>
      </w:pPr>
      <w:r>
        <w:rPr>
          <w:rFonts w:ascii="Times New Roman;sans-serif" w:hAnsi="Times New Roman;sans-serif"/>
          <w:b/>
          <w:i/>
          <w:color w:val="000000"/>
          <w:sz w:val="20"/>
        </w:rPr>
        <w:t>Receivables.</w:t>
      </w:r>
      <w:r>
        <w:rPr>
          <w:color w:val="000000"/>
        </w:rPr>
        <w:t>    </w:t>
      </w:r>
      <w:r>
        <w:rPr>
          <w:rFonts w:ascii="Times New Roman;sans-serif" w:hAnsi="Times New Roman;sans-serif"/>
          <w:b w:val="false"/>
          <w:color w:val="000000"/>
          <w:sz w:val="20"/>
        </w:rPr>
        <w:t xml:space="preserve">Receivables are presented net of allowances for doubtful accounts of approximately $1.6 million and $2.1 million at December 31, 2021 and 2020, respectively. We monitor our exposure for credit losses and maintain adequate allowances for doubtful accounts. We determine these allowances based on our historical write-off experience and/or specific customer circumstances and provide such allowances when amounts are reasonably estimable and it is probable a loss has been incurred. Although we have been growing business with certain of our larger customers, and there has been some industry consolidation where certain of our customers are merging, we do not believe that significant credit risk exists or that we have a significant concentration of accounts receivable with a single customer or group of customers due to our diverse customer base. See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 xml:space="preserve">for additional information regarding risks associated with a concentrated customer base. </w:t>
      </w:r>
    </w:p>
    <w:p>
      <w:pPr>
        <w:pStyle w:val="TextBody"/>
        <w:spacing w:lineRule="auto" w:line="288" w:before="160" w:after="160"/>
        <w:jc w:val="both"/>
        <w:rPr/>
      </w:pPr>
      <w:r>
        <w:rPr>
          <w:rFonts w:ascii="Times New Roman;sans-serif" w:hAnsi="Times New Roman;sans-serif"/>
          <w:b/>
          <w:i/>
          <w:color w:val="000000"/>
          <w:sz w:val="20"/>
        </w:rPr>
        <w:t>Depreciation and Amortization.</w:t>
      </w:r>
      <w:r>
        <w:rPr>
          <w:color w:val="000000"/>
        </w:rPr>
        <w:t>    </w:t>
      </w:r>
      <w:r>
        <w:rPr>
          <w:rFonts w:ascii="Times New Roman;sans-serif" w:hAnsi="Times New Roman;sans-serif"/>
          <w:b w:val="false"/>
          <w:color w:val="000000"/>
          <w:sz w:val="20"/>
        </w:rPr>
        <w:t>Depreciation is computed principally using the straight-line method over the estimated useful lives of the assets. Annual depreciation rates are as follows: building and land/building improvements three to 40 years, and machinery and equipment, three to 15 years. Capitalized debt issuance costs are amortized over the underlying terms of the related debt securities. Customer relationship intangibles are amortized over periods ranging from five to 25 years, while technology and other intangibles are amortized over periods ranging from one to 30 years.</w:t>
      </w:r>
    </w:p>
    <w:p>
      <w:pPr>
        <w:pStyle w:val="TextBody"/>
        <w:spacing w:lineRule="auto" w:line="288" w:before="160" w:after="160"/>
        <w:jc w:val="both"/>
        <w:rPr/>
      </w:pPr>
      <w:r>
        <w:rPr>
          <w:rFonts w:ascii="Times New Roman;sans-serif" w:hAnsi="Times New Roman;sans-serif"/>
          <w:b/>
          <w:i/>
          <w:color w:val="000000"/>
          <w:sz w:val="20"/>
        </w:rPr>
        <w:t>Impairment of Long-Lived Assets and Definite-Lived Intangible Assets.</w:t>
      </w:r>
      <w:r>
        <w:rPr>
          <w:color w:val="000000"/>
        </w:rPr>
        <w:t>    </w:t>
      </w:r>
      <w:r>
        <w:rPr>
          <w:rFonts w:ascii="Times New Roman;sans-serif" w:hAnsi="Times New Roman;sans-serif"/>
          <w:b w:val="false"/>
          <w:color w:val="000000"/>
          <w:sz w:val="20"/>
        </w:rPr>
        <w:t>We review, on at least a quarterly basis, the financial performance of each business unit for indicators of impairment. In reviewing for impairment indicators, we also consider events or changes in circumstances such as business prospects, customer retention, market trends, potential product obsolescence, competitive activities and other economic factors. An impairment loss is recognized when the carrying value of an asset group exceeds the future net undiscounted cash flows expected to be generated by that asset group. The impairment loss recognized is the amount by which the carrying value of the asset group exceeds its fair value.</w:t>
      </w:r>
    </w:p>
    <w:p>
      <w:pPr>
        <w:pStyle w:val="TextBody"/>
        <w:spacing w:lineRule="auto" w:line="288" w:before="160" w:after="160"/>
        <w:jc w:val="both"/>
        <w:rPr/>
      </w:pPr>
      <w:r>
        <w:rPr>
          <w:rFonts w:ascii="Times New Roman;sans-serif" w:hAnsi="Times New Roman;sans-serif"/>
          <w:b/>
          <w:i/>
          <w:color w:val="000000"/>
          <w:sz w:val="20"/>
        </w:rPr>
        <w:t>Goodwill and Indefinite-Lived Intangibles.</w:t>
      </w:r>
      <w:r>
        <w:rPr>
          <w:color w:val="000000"/>
        </w:rPr>
        <w:t>    </w:t>
      </w:r>
      <w:r>
        <w:rPr>
          <w:rFonts w:ascii="Times New Roman;sans-serif" w:hAnsi="Times New Roman;sans-serif"/>
          <w:b w:val="false"/>
          <w:color w:val="000000"/>
          <w:sz w:val="20"/>
        </w:rPr>
        <w:t>We assess goodwill and indefinite-lived intangible assets for impairment at the reporting unit level on an annual basis as of October 1, by reviewing relevant qualitative and quantitative factors. More frequent evaluations may be required if we experience changes in our business climate or as a result of other triggering events that take place. An impairment loss is recognized when the carrying value of the asset exceeds its fair value.</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our reporting units at the individual operating segment level, or one level below, when there is discrete financial information available that is regularly reviewed by segment management for evaluating operating results. For purposes of our 2021 goodwill impairment test, we had five reporting units, three of which had goodwill, within our three reportable segments.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first perform a qualitative assessment for our annual goodwill impairment test and for our indefinite-lived intangible asset impairment test, which involves significant use of management's judgment and assumptions to determine whether it is more likely than not that the fair value of a reporting unit or indefinite-lived intangible asset is less than its carrying amount. In conducting the qualitative assessment, we consider macroeconomic conditions, industry and market considerations, overall financial performance, entity and reporting unit specific events, capital markets pricing, recent fair value estimates and carrying amounts, as well as legal, regulatory, and contractual factors. These factors are all considered in reaching a conclusion about whether it is more likely than not that the fair values of the intangible assets are less than the carrying values. If we conclude that further testing is required, we would perform a quantitative valuation to estimate the fair value of our intangible assets.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the 2021 annual impairment tests, based on the qualitative assessments, we determined there were no indications that the fair value of a reporting unit or indefinite-lived intangible asset was less than its carrying amount; therefore, we determined that quantitative assessments were not required.</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Future declines in sales and/or operating profit, declines in our stock price, or other changes in our business or the markets for our products could result in further impairments of our goodwill and indefinite-lived intangible assets. </w:t>
      </w:r>
    </w:p>
    <w:p>
      <w:pPr>
        <w:pStyle w:val="TextBody"/>
        <w:spacing w:lineRule="auto" w:line="288" w:before="160" w:after="160"/>
        <w:jc w:val="both"/>
        <w:rPr/>
      </w:pPr>
      <w:r>
        <w:rPr>
          <w:rFonts w:ascii="Times New Roman;sans-serif" w:hAnsi="Times New Roman;sans-serif"/>
          <w:b/>
          <w:i/>
          <w:color w:val="000000"/>
          <w:sz w:val="20"/>
        </w:rPr>
        <w:t>Pension Benefits.</w:t>
      </w:r>
      <w:r>
        <w:rPr>
          <w:color w:val="000000"/>
        </w:rPr>
        <w:t>    </w:t>
      </w:r>
      <w:r>
        <w:rPr>
          <w:rFonts w:ascii="Times New Roman;sans-serif" w:hAnsi="Times New Roman;sans-serif"/>
          <w:b w:val="false"/>
          <w:color w:val="000000"/>
          <w:sz w:val="20"/>
        </w:rPr>
        <w:t>We engage independent actuaries to compute the amounts of liabilities and expenses under defined benefit pension plans, subject to the assumptions that we determine are appropriate based on historical trends, current market rates and future projections as of the measurement date. Annually, we review the actual experience compared to the most significant assumptions used and makes adjustments to the assumptions, if warranted. Discount rates are based upon an expected benefit payments duration analysis and the equivalent average yield rate for high-quality fixed-income investments. Pension benefits are funded through deposits with trustees and the expected long-term rate of return on plan assets is based upon actual historical returns modified for known changes in the market and any expected change in investment policy. Certain accounting guidance, including the guidance applicable to pensions, does not require immediate recognition of the effects of a deviation between actual and assumed experience or the revision of an estimate. This approach allows the favorable and unfavorable effects that fall within an acceptable range to be netted.</w:t>
      </w:r>
    </w:p>
    <w:p>
      <w:pPr>
        <w:pStyle w:val="TextBody"/>
        <w:spacing w:lineRule="auto" w:line="288" w:before="160" w:after="160"/>
        <w:jc w:val="both"/>
        <w:rPr/>
      </w:pPr>
      <w:r>
        <w:rPr>
          <w:rFonts w:ascii="Times New Roman;sans-serif" w:hAnsi="Times New Roman;sans-serif"/>
          <w:b/>
          <w:i/>
          <w:color w:val="000000"/>
          <w:sz w:val="20"/>
        </w:rPr>
        <w:t>Income Taxes.</w:t>
      </w:r>
      <w:r>
        <w:rPr>
          <w:color w:val="000000"/>
        </w:rPr>
        <w:t>    </w:t>
      </w:r>
      <w:r>
        <w:rPr>
          <w:rFonts w:ascii="Times New Roman;sans-serif" w:hAnsi="Times New Roman;sans-serif"/>
          <w:b w:val="false"/>
          <w:color w:val="000000"/>
          <w:sz w:val="20"/>
        </w:rPr>
        <w:t>We compute income taxes using the asset and liability method, whereby deferred income taxes using current enacted tax rates are provided for the temporary differences between the financial reporting basis and the tax basis of assets and liabilities and for operating loss and tax credit carryforwards. We determine valuation allowances based on an assessment of positive and negative evidence on a jurisdiction-by-jurisdiction basis and record a valuation allowance to reduce deferred tax assets to the amount more likely than not to be realized. Recognized income tax positions are measured at the largest amount that is greater than 50% likely of being realized. Changes in recognition or measurement are reflected in the period in which the change in judgment occurs. We record interest and penalties related to unrecognized tax benefits in income tax expense.</w:t>
      </w:r>
    </w:p>
    <w:p>
      <w:pPr>
        <w:pStyle w:val="TextBody"/>
        <w:spacing w:lineRule="auto" w:line="288" w:before="160" w:after="160"/>
        <w:jc w:val="both"/>
        <w:rPr/>
      </w:pPr>
      <w:r>
        <w:rPr>
          <w:rFonts w:ascii="Times New Roman;sans-serif" w:hAnsi="Times New Roman;sans-serif"/>
          <w:b/>
          <w:i/>
          <w:color w:val="000000"/>
          <w:sz w:val="20"/>
        </w:rPr>
        <w:t>Asbestos-related Matters.</w:t>
      </w:r>
      <w:r>
        <w:rPr>
          <w:color w:val="000000"/>
        </w:rPr>
        <w:t xml:space="preserve"> </w:t>
      </w:r>
      <w:r>
        <w:rPr>
          <w:rFonts w:ascii="Times New Roman;sans-serif" w:hAnsi="Times New Roman;sans-serif"/>
          <w:b w:val="false"/>
          <w:color w:val="000000"/>
          <w:sz w:val="20"/>
        </w:rPr>
        <w:t>We accrue loss reserves for asbestos-related matters based upon an estimate of the ultimate liability for claims incurred, whether reported or not, including an estimate of future settlement costs and costs to defend. We utilize known facts and historical trends for Company-specific and general market asbestos-related activity, as well as an actuarial valuation in determining estimated required reserves which we believe are probable and reasonably estimable. Asbestos-related accruals are assessed at each balance sheet date to determine if the liability remains reasonably stated. Accruals for asbestos-related matters are included in the consolidated balance sheet in “Accrued liabilities” and “Other long-term liabilities.”</w:t>
      </w:r>
    </w:p>
    <w:p>
      <w:pPr>
        <w:pStyle w:val="TextBody"/>
        <w:spacing w:lineRule="auto" w:line="288" w:before="160" w:after="160"/>
        <w:jc w:val="both"/>
        <w:rPr/>
      </w:pPr>
      <w:r>
        <w:rPr>
          <w:rFonts w:ascii="Times New Roman;sans-serif" w:hAnsi="Times New Roman;sans-serif"/>
          <w:b/>
          <w:i/>
          <w:color w:val="000000"/>
          <w:sz w:val="20"/>
        </w:rPr>
        <w:t>Other Loss Reserves.</w:t>
      </w:r>
      <w:r>
        <w:rPr>
          <w:color w:val="000000"/>
        </w:rPr>
        <w:t>    </w:t>
      </w:r>
      <w:r>
        <w:rPr>
          <w:rFonts w:ascii="Times New Roman;sans-serif" w:hAnsi="Times New Roman;sans-serif"/>
          <w:b w:val="false"/>
          <w:color w:val="000000"/>
          <w:sz w:val="20"/>
        </w:rPr>
        <w:t>We have other loss exposures related to insurance, litigation and environmental claims. Establishing loss reserves for these matters requires the use of estimates and judgment in regard to risk exposure and ultimate liability. We are generally party to high deductible insurance programs for losses and liabilities related principally to workers' compensation, health and welfare claims and comprehensive general, product and vehicle liability. Generally, we are responsible for up to $0.8 million per occurrence under our retention program for workers' compensation, up to $1.5 million per occurrence under our retention programs for comprehensive general, product and vehicle liability, and have a $0.4 million per occurrence stop-loss limit with respect to our self-insured group medical plan. We accrue loss reserves up to our retention amounts based upon our estimates of the ultimate liability for claims incurred, including an estimate of related litigation defense costs, and an estimate of claims incurred but not reported using actuarial assumptions about future events. We accrue for such items when such amounts are reasonably estimable and probable. We utilize known facts and historical trends, as well as actuarial valuations in determining estimated required reserves. Changes in assumptions for factors such as medical costs and actual experience could cause these estimates to change significantly.</w:t>
      </w:r>
    </w:p>
    <w:p>
      <w:pPr>
        <w:pStyle w:val="TextBody"/>
        <w:spacing w:before="160" w:after="1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normal course of business, we are exposed to market risk associated with fluctuations in commodity prices, insurable risks due to property damage, employee and liability claims, and other uncertainties in the financial and credit markets, which may impact demand for our products.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 We use derivative financial instruments to manage currency risks associated with our procurement activities denominated in currencies other than the functional currency of our subsidiaries and the impact of currency rate volatility on our earnings. </w:t>
      </w:r>
    </w:p>
    <w:p>
      <w:pPr>
        <w:pStyle w:val="TextBody"/>
        <w:spacing w:lineRule="auto" w:line="288" w:before="160" w:after="160"/>
        <w:jc w:val="both"/>
        <w:rPr/>
      </w:pPr>
      <w:r>
        <w:rPr>
          <w:rFonts w:ascii="Times New Roman;sans-serif" w:hAnsi="Times New Roman;sans-serif"/>
          <w:b w:val="false"/>
          <w:color w:val="000000"/>
          <w:sz w:val="20"/>
        </w:rPr>
        <w:t>We may also be subject to interest risk as it relates to long-term debt, for which we have historically and may prospectively employ derivative instruments such as interest rate swaps to mitigate the risk of variable interest rates. See Item 7 "</w:t>
      </w:r>
      <w:r>
        <w:rPr>
          <w:rFonts w:ascii="Times New Roman;sans-serif" w:hAnsi="Times New Roman;sans-serif"/>
          <w:b w:val="false"/>
          <w:i/>
          <w:color w:val="000000"/>
          <w:sz w:val="20"/>
        </w:rPr>
        <w:t>Management's Discussion and Analysis of Financial Condition and Results of Operations</w:t>
      </w:r>
      <w:r>
        <w:rPr>
          <w:rFonts w:ascii="Times New Roman;sans-serif" w:hAnsi="Times New Roman;sans-serif"/>
          <w:b w:val="false"/>
          <w:color w:val="000000"/>
          <w:sz w:val="20"/>
        </w:rPr>
        <w:t>" for details about our primary market risks, and the objectives and strategies used to manage these risks. Also see Note 13,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and Note 14, "</w:t>
      </w:r>
      <w:r>
        <w:rPr>
          <w:rFonts w:ascii="Times New Roman;sans-serif" w:hAnsi="Times New Roman;sans-serif"/>
          <w:b w:val="false"/>
          <w:i/>
          <w:color w:val="000000"/>
          <w:sz w:val="20"/>
        </w:rPr>
        <w:t>Derivative Instruments</w:t>
      </w:r>
      <w:r>
        <w:rPr>
          <w:rFonts w:ascii="Times New Roman;sans-serif" w:hAnsi="Times New Roman;sans-serif"/>
          <w:b w:val="false"/>
          <w:color w:val="000000"/>
          <w:sz w:val="20"/>
        </w:rPr>
        <w:t>," included in Item 8, "</w:t>
      </w:r>
      <w:r>
        <w:rPr>
          <w:rFonts w:ascii="Times New Roman;sans-serif" w:hAnsi="Times New Roman;sans-serif"/>
          <w:b w:val="false"/>
          <w:i/>
          <w:color w:val="000000"/>
          <w:sz w:val="20"/>
        </w:rPr>
        <w:t>Financial Statements and Supplementary Data</w:t>
      </w:r>
      <w:r>
        <w:rPr>
          <w:rFonts w:ascii="Times New Roman;sans-serif" w:hAnsi="Times New Roman;sans-serif"/>
          <w:b w:val="false"/>
          <w:color w:val="000000"/>
          <w:sz w:val="20"/>
        </w:rPr>
        <w:t>," within this Form 10-K for additional information.</w:t>
      </w:r>
    </w:p>
    <w:p>
      <w:pPr>
        <w:pStyle w:val="TextBody"/>
        <w:spacing w:before="160" w:after="160"/>
        <w:jc w:val="both"/>
        <w:rPr/>
      </w:pPr>
      <w:r>
        <w:rPr/>
      </w:r>
    </w:p>
    <w:p>
      <w:pPr>
        <w:pStyle w:val="TextBody"/>
        <w:spacing w:before="160" w:after="160"/>
        <w:jc w:val="both"/>
        <w:rPr/>
      </w:pPr>
      <w:r>
        <w:rPr/>
      </w:r>
    </w:p>
    <w:p>
      <w:pPr>
        <w:pStyle w:val="TextBody"/>
        <w:spacing w:before="16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spacing w:before="0" w:after="0"/>
        <w:jc w:val="center"/>
        <w:rPr/>
      </w:pPr>
      <w:r>
        <w:rPr/>
      </w:r>
    </w:p>
    <w:p>
      <w:pPr>
        <w:pStyle w:val="TextBody"/>
        <w:spacing w:lineRule="auto" w:line="288" w:before="200" w:after="200"/>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shareholders and the Board of Directors of TriMas Corporation </w:t>
      </w:r>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accompanying consolidated balance sheets of TriMas Corporation and subsidiaries (the "Company") as of December 31, 2021 and 2020, the related consolidated statements of operations, comprehensive income, cash flows, and shareholders’ equity, for each of the three years in the period ended December 31, 2021, and the related notes and the schedule listed in the Index at Item 15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Company's internal control over financial reporting as of December 31, 2021, based on criteria established in Internal Control — Integrated Framework (2013) issued by the Committee of Sponsoring Organizations of the Treadway Commission and our report dated March 01, 2022, expressed an unqualified opinion on the Company's internal control over financial reporting.</w:t>
      </w:r>
    </w:p>
    <w:p>
      <w:pPr>
        <w:pStyle w:val="TextBody"/>
        <w:spacing w:lineRule="auto" w:line="268" w:before="200" w:after="20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lineRule="auto" w:line="276"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76"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lineRule="auto" w:line="276" w:before="200" w:after="20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spacing w:lineRule="auto" w:line="276"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related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spacing w:lineRule="auto" w:line="276" w:before="200" w:after="200"/>
        <w:jc w:val="both"/>
        <w:rPr>
          <w:rFonts w:ascii="Times New Roman;sans-serif" w:hAnsi="Times New Roman;sans-serif"/>
          <w:b/>
          <w:color w:val="000000"/>
          <w:sz w:val="20"/>
        </w:rPr>
      </w:pPr>
      <w:r>
        <w:rPr>
          <w:rFonts w:ascii="Times New Roman;sans-serif" w:hAnsi="Times New Roman;sans-serif"/>
          <w:b/>
          <w:color w:val="000000"/>
          <w:sz w:val="20"/>
        </w:rPr>
        <w:t>Goodwill - Aerospace Fasteners Reporting Unit - Refer to Notes 3 and 9 to the financial statements.</w:t>
      </w:r>
    </w:p>
    <w:p>
      <w:pPr>
        <w:pStyle w:val="TextBody"/>
        <w:spacing w:lineRule="auto" w:line="276" w:before="200" w:after="200"/>
        <w:jc w:val="both"/>
        <w:rPr>
          <w:rFonts w:ascii="Times New Roman;sans-serif" w:hAnsi="Times New Roman;sans-serif"/>
          <w:b/>
          <w:color w:val="000000"/>
          <w:sz w:val="20"/>
        </w:rPr>
      </w:pPr>
      <w:r>
        <w:rPr>
          <w:rFonts w:ascii="Times New Roman;sans-serif" w:hAnsi="Times New Roman;sans-serif"/>
          <w:b/>
          <w:color w:val="000000"/>
          <w:sz w:val="20"/>
        </w:rPr>
        <w:t>Critical Audit Matter Description</w:t>
      </w:r>
    </w:p>
    <w:p>
      <w:pPr>
        <w:pStyle w:val="TextBody"/>
        <w:spacing w:lineRule="auto" w:line="276"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goodwill for impairment on an annual basis as of October 1, and more frequently if there are changes in the business climate or as a result of a triggering event taking place. The Company’s evaluation of goodwill impairment involves a qualitative assessment to determine whether it is more likely than not that the fair value of the reporting unit is less than its carrying amount. The qualitative assessment involves significant use of management’s judgment and assumptions related to macroeconomic conditions, industry and market considerations, overall financial performance, entity and reporting unit specific events, and capital markets pricing. The Company also considered recent valuations of its reporting units, including the difference between the most recent fair value estimate and the carrying amount. Changes in these assumptions could have a significant effect on management’s conclusion about whether a quantitative goodwill impairment test is necessary to estimate the fair value of its reporting units.</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76"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goodwill balance was $315 million as of December 31, 2021, of which $70 million was allocated to the Aerospace Fasteners Reporting Unit (“Aerospace Fasteners”). The Company concluded there were no indications that the fair value of any reporting unit was less than the carrying amount, therefore a quantitative assessment was not performed, and no impairment was recognized. </w:t>
      </w:r>
    </w:p>
    <w:p>
      <w:pPr>
        <w:pStyle w:val="TextBody"/>
        <w:spacing w:lineRule="auto" w:line="276"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Given the nature of the Aerospace Fasteners operations, the assumptions used in the qualitative assessment, and the difference between the most recent fair value estimate and the carrying amount of Aerospace Fasteners, auditing management’s judgments related to the impact of macroeconomic conditions, overall financial performance for Aerospace Fasteners, and capital markets pricing involved especially subjective judgment.</w:t>
      </w:r>
    </w:p>
    <w:p>
      <w:pPr>
        <w:pStyle w:val="TextBody"/>
        <w:spacing w:lineRule="auto" w:line="276" w:before="200" w:after="200"/>
        <w:jc w:val="both"/>
        <w:rPr>
          <w:rFonts w:ascii="Times New Roman;sans-serif" w:hAnsi="Times New Roman;sans-serif"/>
          <w:b/>
          <w:color w:val="000000"/>
          <w:sz w:val="20"/>
        </w:rPr>
      </w:pPr>
      <w:r>
        <w:rPr>
          <w:rFonts w:ascii="Times New Roman;sans-serif" w:hAnsi="Times New Roman;sans-serif"/>
          <w:b/>
          <w:color w:val="000000"/>
          <w:sz w:val="20"/>
        </w:rPr>
        <w:t>How the Critical Audit Matter Was Addressed in the Audit</w:t>
      </w:r>
    </w:p>
    <w:p>
      <w:pPr>
        <w:pStyle w:val="TextBody"/>
        <w:spacing w:lineRule="auto" w:line="276"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Our audit procedures related to management’s qualitative evaluation of goodwill impairment for Aerospace Fasteners included the following, among others:</w:t>
      </w:r>
    </w:p>
    <w:p>
      <w:pPr>
        <w:pStyle w:val="TextBody"/>
        <w:spacing w:lineRule="auto" w:line="276" w:before="200" w:after="200"/>
        <w:ind w:left="0" w:right="0" w:hanging="360"/>
        <w:jc w:val="both"/>
        <w:rPr/>
      </w:pPr>
      <w:r>
        <w:rPr>
          <w:color w:val="000000"/>
        </w:rPr>
        <w:t>•</w:t>
      </w:r>
      <w:r>
        <w:rPr>
          <w:rFonts w:ascii="Times New Roman;sans-serif" w:hAnsi="Times New Roman;sans-serif"/>
          <w:b w:val="false"/>
          <w:color w:val="000000"/>
          <w:sz w:val="20"/>
        </w:rPr>
        <w:t>We tested the effectiveness of controls over goodwill, including those over management's judgments and assumptions related to macroeconomic conditions, industry and market considerations, overall financial performance, entity and reporting unit specific events, capital markets pricing, recent fair value estimates and carrying amounts.</w:t>
      </w:r>
    </w:p>
    <w:p>
      <w:pPr>
        <w:pStyle w:val="TextBody"/>
        <w:spacing w:lineRule="auto" w:line="276" w:before="200" w:after="200"/>
        <w:ind w:left="0" w:right="0" w:hanging="360"/>
        <w:jc w:val="both"/>
        <w:rPr/>
      </w:pPr>
      <w:r>
        <w:rPr>
          <w:color w:val="000000"/>
        </w:rPr>
        <w:t>•</w:t>
      </w:r>
      <w:r>
        <w:rPr>
          <w:rFonts w:ascii="Times New Roman;sans-serif" w:hAnsi="Times New Roman;sans-serif"/>
          <w:b w:val="false"/>
          <w:color w:val="000000"/>
          <w:sz w:val="20"/>
        </w:rPr>
        <w:t>We evaluated management's ability to accurately forecast future revenues and EBITDA margins by comparing actual results to management's historical forecasts.</w:t>
      </w:r>
    </w:p>
    <w:p>
      <w:pPr>
        <w:pStyle w:val="TextBody"/>
        <w:spacing w:lineRule="auto" w:line="276" w:before="200" w:after="200"/>
        <w:ind w:left="0" w:right="0" w:hanging="360"/>
        <w:jc w:val="both"/>
        <w:rPr/>
      </w:pPr>
      <w:r>
        <w:rPr>
          <w:color w:val="000000"/>
        </w:rPr>
        <w:t>•</w:t>
      </w:r>
      <w:r>
        <w:rPr>
          <w:rFonts w:ascii="Times New Roman;sans-serif" w:hAnsi="Times New Roman;sans-serif"/>
          <w:b w:val="false"/>
          <w:color w:val="000000"/>
          <w:sz w:val="20"/>
        </w:rPr>
        <w:t>We evaluated the reasonableness of management’s qualitative assessment of factors affecting revenue and EBITDA margin forecasts by comparing the forecasts to:</w:t>
      </w:r>
    </w:p>
    <w:p>
      <w:pPr>
        <w:pStyle w:val="TextBody"/>
        <w:spacing w:lineRule="auto" w:line="276" w:before="20" w:after="20"/>
        <w:ind w:left="0" w:right="0" w:hanging="360"/>
        <w:jc w:val="both"/>
        <w:rPr/>
      </w:pPr>
      <w:r>
        <w:rPr>
          <w:color w:val="000000"/>
        </w:rPr>
        <w:t>◦</w:t>
      </w:r>
      <w:r>
        <w:rPr>
          <w:rFonts w:ascii="Times New Roman;sans-serif" w:hAnsi="Times New Roman;sans-serif"/>
          <w:b w:val="false"/>
          <w:color w:val="000000"/>
          <w:sz w:val="20"/>
        </w:rPr>
        <w:t>Historical revenues and EBITDA.</w:t>
      </w:r>
    </w:p>
    <w:p>
      <w:pPr>
        <w:pStyle w:val="TextBody"/>
        <w:spacing w:lineRule="auto" w:line="276" w:before="0" w:after="20"/>
        <w:ind w:left="0" w:right="0" w:hanging="360"/>
        <w:jc w:val="both"/>
        <w:rPr/>
      </w:pPr>
      <w:r>
        <w:rPr>
          <w:color w:val="000000"/>
        </w:rPr>
        <w:t>◦</w:t>
      </w:r>
      <w:r>
        <w:rPr>
          <w:rFonts w:ascii="Times New Roman;sans-serif" w:hAnsi="Times New Roman;sans-serif"/>
          <w:b w:val="false"/>
          <w:color w:val="000000"/>
          <w:sz w:val="20"/>
        </w:rPr>
        <w:t>Internal communications to management and the Board of Directors.</w:t>
      </w:r>
    </w:p>
    <w:p>
      <w:pPr>
        <w:pStyle w:val="TextBody"/>
        <w:spacing w:lineRule="auto" w:line="276" w:before="0" w:after="200"/>
        <w:ind w:left="0" w:right="0" w:hanging="360"/>
        <w:jc w:val="both"/>
        <w:rPr/>
      </w:pPr>
      <w:r>
        <w:rPr>
          <w:color w:val="000000"/>
        </w:rPr>
        <w:t>◦</w:t>
      </w:r>
      <w:r>
        <w:rPr>
          <w:rFonts w:ascii="Times New Roman;sans-serif" w:hAnsi="Times New Roman;sans-serif"/>
          <w:b w:val="false"/>
          <w:color w:val="000000"/>
          <w:sz w:val="20"/>
        </w:rPr>
        <w:t>Forecasted information included in industry reports for the Company and certain of its peer companies.</w:t>
      </w:r>
    </w:p>
    <w:p>
      <w:pPr>
        <w:pStyle w:val="TextBody"/>
        <w:spacing w:lineRule="auto" w:line="276" w:before="200" w:after="200"/>
        <w:ind w:left="0" w:right="0" w:hanging="360"/>
        <w:jc w:val="both"/>
        <w:rPr/>
      </w:pPr>
      <w:r>
        <w:rPr>
          <w:color w:val="000000"/>
        </w:rPr>
        <w:t>•</w:t>
      </w:r>
      <w:r>
        <w:rPr>
          <w:rFonts w:ascii="Times New Roman;sans-serif" w:hAnsi="Times New Roman;sans-serif"/>
          <w:b w:val="false"/>
          <w:color w:val="000000"/>
          <w:sz w:val="20"/>
        </w:rPr>
        <w:t>We evaluated the impact of changes in management’s forecasts from the October 1, 2021, annual measurement date to December 31, 2021.</w:t>
      </w:r>
    </w:p>
    <w:p>
      <w:pPr>
        <w:pStyle w:val="TextBody"/>
        <w:spacing w:lineRule="auto" w:line="276" w:before="200" w:after="200"/>
        <w:ind w:left="0" w:right="0" w:hanging="360"/>
        <w:jc w:val="both"/>
        <w:rPr/>
      </w:pPr>
      <w:r>
        <w:rPr>
          <w:color w:val="000000"/>
        </w:rPr>
        <w:t>•</w:t>
      </w:r>
      <w:r>
        <w:rPr>
          <w:rFonts w:ascii="Times New Roman;sans-serif" w:hAnsi="Times New Roman;sans-serif"/>
          <w:b w:val="false"/>
          <w:color w:val="000000"/>
          <w:sz w:val="20"/>
        </w:rPr>
        <w:t>With the assistance of our fair value specialists, we evaluated the reasonableness of management’s qualitative assessment by performing the following: (1) Researching GDP growth, inflation and/or other macroeconomic variables, as well as industry growth rates; (2) Estimate industry discount rates; (3) Research and analyze valuation multiple of guideline public companies to understand valuation trends, and research trends in growth and margins in guideline public companies; and (4) Obtain information to analyze the trend of market capitalization of the entity and public peer companies.</w:t>
      </w:r>
    </w:p>
    <w:p>
      <w:pPr>
        <w:pStyle w:val="TextBody"/>
        <w:spacing w:before="200" w:after="20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Detroit, Michigan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March 1, 2022 </w:t>
      </w:r>
    </w:p>
    <w:p>
      <w:pPr>
        <w:pStyle w:val="TextBody"/>
        <w:spacing w:before="0" w:after="0"/>
        <w:rPr/>
      </w:pPr>
      <w:r>
        <w:rPr/>
      </w:r>
    </w:p>
    <w:p>
      <w:pPr>
        <w:pStyle w:val="TextBody"/>
        <w:spacing w:lineRule="auto" w:line="288" w:before="120" w:after="240"/>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2013.</w:t>
      </w:r>
    </w:p>
    <w:p>
      <w:pPr>
        <w:pStyle w:val="TextBody"/>
        <w:spacing w:before="0" w:after="0"/>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Consolidated Balance Sheet</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bl>
      <w:tblPr>
        <w:tblW w:w="10205" w:type="dxa"/>
        <w:jc w:val="left"/>
        <w:tblInd w:w="0" w:type="dxa"/>
        <w:tblCellMar>
          <w:top w:w="28" w:type="dxa"/>
          <w:left w:w="28" w:type="dxa"/>
          <w:bottom w:w="28" w:type="dxa"/>
          <w:right w:w="28" w:type="dxa"/>
        </w:tblCellMar>
      </w:tblPr>
      <w:tblGrid>
        <w:gridCol w:w="2565"/>
        <w:gridCol w:w="2178"/>
        <w:gridCol w:w="2169"/>
        <w:gridCol w:w="109"/>
        <w:gridCol w:w="109"/>
        <w:gridCol w:w="109"/>
        <w:gridCol w:w="211"/>
        <w:gridCol w:w="976"/>
        <w:gridCol w:w="109"/>
        <w:gridCol w:w="109"/>
        <w:gridCol w:w="109"/>
        <w:gridCol w:w="109"/>
        <w:gridCol w:w="211"/>
        <w:gridCol w:w="976"/>
        <w:gridCol w:w="156"/>
      </w:tblGrid>
      <w:tr>
        <w:trPr/>
        <w:tc>
          <w:tcPr>
            <w:tcW w:w="2565" w:type="dxa"/>
            <w:tcBorders/>
            <w:shd w:fill="auto" w:val="clear"/>
            <w:vAlign w:val="center"/>
          </w:tcPr>
          <w:p>
            <w:pPr>
              <w:pStyle w:val="TableContents"/>
              <w:spacing w:before="0" w:after="283"/>
              <w:rPr>
                <w:sz w:val="4"/>
                <w:szCs w:val="4"/>
              </w:rPr>
            </w:pPr>
            <w:r>
              <w:rPr>
                <w:sz w:val="4"/>
                <w:szCs w:val="4"/>
              </w:rPr>
            </w:r>
          </w:p>
        </w:tc>
        <w:tc>
          <w:tcPr>
            <w:tcW w:w="2178" w:type="dxa"/>
            <w:tcBorders/>
            <w:shd w:fill="auto" w:val="clear"/>
            <w:vAlign w:val="center"/>
          </w:tcPr>
          <w:p>
            <w:pPr>
              <w:pStyle w:val="TableContents"/>
              <w:spacing w:before="0" w:after="283"/>
              <w:rPr>
                <w:sz w:val="4"/>
                <w:szCs w:val="4"/>
              </w:rPr>
            </w:pPr>
            <w:r>
              <w:rPr>
                <w:sz w:val="4"/>
                <w:szCs w:val="4"/>
              </w:rPr>
            </w:r>
          </w:p>
        </w:tc>
        <w:tc>
          <w:tcPr>
            <w:tcW w:w="2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69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691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69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73,950 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113,410 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149,380 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351,830 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253,060 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303,970 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1,193,880 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6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137,190 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346,290 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69,690 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609,630 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Authorized 100,000,000 shares;</w:t>
              <w:br/>
              <w:t>Issued and outstanding: None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Authorized 400,000,000 shares;</w:t>
              <w:br/>
              <w:t>Issued and outstanding: 42,836,574 shares at December 31, 2021 and 43,178,165 shares at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732,490 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749,050 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(159,610)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584,250 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1,303,640 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1,193,880 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60" w:after="160"/>
        <w:jc w:val="center"/>
        <w:rPr/>
      </w:pPr>
      <w:r>
        <w:rPr/>
      </w:r>
    </w:p>
    <w:p>
      <w:pPr>
        <w:pStyle w:val="TextBody"/>
        <w:spacing w:lineRule="auto" w:line="288" w:before="16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before="16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Consolidated Statement of Operations</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w:t>
      </w:r>
    </w:p>
    <w:tbl>
      <w:tblPr>
        <w:tblW w:w="9696" w:type="dxa"/>
        <w:jc w:val="left"/>
        <w:tblInd w:w="0" w:type="dxa"/>
        <w:tblCellMar>
          <w:top w:w="28" w:type="dxa"/>
          <w:left w:w="28" w:type="dxa"/>
          <w:bottom w:w="28" w:type="dxa"/>
          <w:right w:w="28" w:type="dxa"/>
        </w:tblCellMar>
      </w:tblPr>
      <w:tblGrid>
        <w:gridCol w:w="2185"/>
        <w:gridCol w:w="1446"/>
        <w:gridCol w:w="1469"/>
        <w:gridCol w:w="109"/>
        <w:gridCol w:w="109"/>
        <w:gridCol w:w="109"/>
        <w:gridCol w:w="219"/>
        <w:gridCol w:w="862"/>
        <w:gridCol w:w="109"/>
        <w:gridCol w:w="109"/>
        <w:gridCol w:w="109"/>
        <w:gridCol w:w="109"/>
        <w:gridCol w:w="219"/>
        <w:gridCol w:w="862"/>
        <w:gridCol w:w="109"/>
        <w:gridCol w:w="109"/>
        <w:gridCol w:w="109"/>
        <w:gridCol w:w="109"/>
        <w:gridCol w:w="219"/>
        <w:gridCol w:w="862"/>
        <w:gridCol w:w="154"/>
      </w:tblGrid>
      <w:tr>
        <w:trPr/>
        <w:tc>
          <w:tcPr>
            <w:tcW w:w="2185" w:type="dxa"/>
            <w:tcBorders/>
            <w:shd w:fill="auto" w:val="clear"/>
            <w:vAlign w:val="center"/>
          </w:tcPr>
          <w:p>
            <w:pPr>
              <w:pStyle w:val="TableContents"/>
              <w:spacing w:before="0" w:after="283"/>
              <w:rPr>
                <w:sz w:val="4"/>
                <w:szCs w:val="4"/>
              </w:rPr>
            </w:pPr>
            <w:r>
              <w:rPr>
                <w:sz w:val="4"/>
                <w:szCs w:val="4"/>
              </w:rPr>
            </w:r>
          </w:p>
        </w:tc>
        <w:tc>
          <w:tcPr>
            <w:tcW w:w="1446" w:type="dxa"/>
            <w:tcBorders/>
            <w:shd w:fill="auto" w:val="clear"/>
            <w:vAlign w:val="center"/>
          </w:tcPr>
          <w:p>
            <w:pPr>
              <w:pStyle w:val="TableContents"/>
              <w:spacing w:before="0" w:after="283"/>
              <w:rPr>
                <w:sz w:val="4"/>
                <w:szCs w:val="4"/>
              </w:rPr>
            </w:pPr>
            <w:r>
              <w:rPr>
                <w:sz w:val="4"/>
                <w:szCs w:val="4"/>
              </w:rPr>
            </w:r>
          </w:p>
        </w:tc>
        <w:tc>
          <w:tcPr>
            <w:tcW w:w="14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723,530 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(639,920)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(587,890)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(529,630)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(102,530)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dispositions of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 and indefinite-lived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financing and related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discontinued operations, net of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(loss)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 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43,006,922 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43,581,232 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45,303,659 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(loss)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43,281,076 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43,581,232 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45,595,154 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60" w:after="160"/>
        <w:jc w:val="center"/>
        <w:rPr/>
      </w:pPr>
      <w:r>
        <w:rPr/>
      </w:r>
    </w:p>
    <w:p>
      <w:pPr>
        <w:pStyle w:val="TextBody"/>
        <w:spacing w:before="160" w:after="160"/>
        <w:jc w:val="center"/>
        <w:rPr/>
      </w:pPr>
      <w:r>
        <w:rPr/>
      </w:r>
    </w:p>
    <w:p>
      <w:pPr>
        <w:pStyle w:val="TextBody"/>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Consolidated Statement of Comprehensive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p>
      <w:pPr>
        <w:pStyle w:val="TextBody"/>
        <w:spacing w:before="0" w:after="0"/>
        <w:jc w:val="center"/>
        <w:rPr/>
      </w:pPr>
      <w:r>
        <w:rPr/>
      </w:r>
    </w:p>
    <w:tbl>
      <w:tblPr>
        <w:tblW w:w="7464" w:type="dxa"/>
        <w:jc w:val="center"/>
        <w:tblInd w:w="0" w:type="dxa"/>
        <w:tblCellMar>
          <w:top w:w="28" w:type="dxa"/>
          <w:left w:w="28" w:type="dxa"/>
          <w:bottom w:w="28" w:type="dxa"/>
          <w:right w:w="28" w:type="dxa"/>
        </w:tblCellMar>
      </w:tblPr>
      <w:tblGrid>
        <w:gridCol w:w="1135"/>
        <w:gridCol w:w="996"/>
        <w:gridCol w:w="1004"/>
        <w:gridCol w:w="109"/>
        <w:gridCol w:w="109"/>
        <w:gridCol w:w="109"/>
        <w:gridCol w:w="211"/>
        <w:gridCol w:w="721"/>
        <w:gridCol w:w="109"/>
        <w:gridCol w:w="109"/>
        <w:gridCol w:w="109"/>
        <w:gridCol w:w="109"/>
        <w:gridCol w:w="211"/>
        <w:gridCol w:w="796"/>
        <w:gridCol w:w="109"/>
        <w:gridCol w:w="109"/>
        <w:gridCol w:w="109"/>
        <w:gridCol w:w="109"/>
        <w:gridCol w:w="211"/>
        <w:gridCol w:w="826"/>
        <w:gridCol w:w="154"/>
      </w:tblGrid>
      <w:tr>
        <w:trPr/>
        <w:tc>
          <w:tcPr>
            <w:tcW w:w="1135"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plans (Note 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 (Note 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bl>
      <w:tblPr>
        <w:tblW w:w="10205" w:type="dxa"/>
        <w:jc w:val="center"/>
        <w:tblInd w:w="0" w:type="dxa"/>
        <w:tblCellMar>
          <w:top w:w="28" w:type="dxa"/>
          <w:left w:w="28" w:type="dxa"/>
          <w:bottom w:w="28" w:type="dxa"/>
          <w:right w:w="28" w:type="dxa"/>
        </w:tblCellMar>
      </w:tblPr>
      <w:tblGrid>
        <w:gridCol w:w="2249"/>
        <w:gridCol w:w="1877"/>
        <w:gridCol w:w="1886"/>
        <w:gridCol w:w="109"/>
        <w:gridCol w:w="211"/>
        <w:gridCol w:w="826"/>
        <w:gridCol w:w="109"/>
        <w:gridCol w:w="109"/>
        <w:gridCol w:w="109"/>
        <w:gridCol w:w="109"/>
        <w:gridCol w:w="211"/>
        <w:gridCol w:w="771"/>
        <w:gridCol w:w="109"/>
        <w:gridCol w:w="109"/>
        <w:gridCol w:w="109"/>
        <w:gridCol w:w="109"/>
        <w:gridCol w:w="211"/>
        <w:gridCol w:w="826"/>
        <w:gridCol w:w="156"/>
      </w:tblGrid>
      <w:tr>
        <w:trPr/>
        <w:tc>
          <w:tcPr>
            <w:tcW w:w="2249" w:type="dxa"/>
            <w:tcBorders/>
            <w:shd w:fill="auto" w:val="clear"/>
            <w:vAlign w:val="center"/>
          </w:tcPr>
          <w:p>
            <w:pPr>
              <w:pStyle w:val="TableContents"/>
              <w:spacing w:before="0" w:after="283"/>
              <w:rPr>
                <w:sz w:val="4"/>
                <w:szCs w:val="4"/>
              </w:rPr>
            </w:pPr>
            <w:r>
              <w:rPr>
                <w:sz w:val="4"/>
                <w:szCs w:val="4"/>
              </w:rPr>
            </w:r>
          </w:p>
        </w:tc>
        <w:tc>
          <w:tcPr>
            <w:tcW w:w="1877" w:type="dxa"/>
            <w:tcBorders/>
            <w:shd w:fill="auto" w:val="clear"/>
            <w:vAlign w:val="center"/>
          </w:tcPr>
          <w:p>
            <w:pPr>
              <w:pStyle w:val="TableContents"/>
              <w:spacing w:before="0" w:after="283"/>
              <w:rPr>
                <w:sz w:val="4"/>
                <w:szCs w:val="4"/>
              </w:rPr>
            </w:pPr>
            <w:r>
              <w:rPr>
                <w:sz w:val="4"/>
                <w:szCs w:val="4"/>
              </w:rPr>
            </w:r>
          </w:p>
        </w:tc>
        <w:tc>
          <w:tcPr>
            <w:tcW w:w="1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0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408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0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6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60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98,620 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discontinued operations</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continuing operations</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income from continuing operations to net cash provided by operating activities, net of acquisition impact:</w:t>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 and indefinite-lived intangible assets</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dispositions of assets</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issue costs</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6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financing and related expenses</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legacy liability estimate</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receivables</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inventories</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prepaid expenses and other assets</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accounts payable and accrued liabilities</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 of continuing operations</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for) operating activities of discontinued operations</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businesses, net of cash acquired</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(67,090)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proceeds from dispositions of businesses, property and equipment</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128,080 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for) investing activities of continuing operations</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for investing activities of discontinued operations</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for) investing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6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of senior notes</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senior notes</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on revolving credit facilities</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189,060 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borrowings on revolving credit facilities</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(189,340)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financing fees and senior notes redemption premium</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to purchase common stock</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surrendered upon exercise and vesting of equity awards to cover taxes</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60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60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60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60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60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60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60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60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6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for) financing activities of continuing operations</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 of discontinued operations</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for) financing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w:t>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for the year</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At beginning of year</w:t>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108,150 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At end of year</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cash flow information:</w:t>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44,020 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60" w:after="283"/>
        <w:jc w:val="center"/>
        <w:rPr/>
      </w:pPr>
      <w:r>
        <w:rPr/>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Shareholders'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Years Ended December 31, 2021, 2020 and 2019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bl>
      <w:tblPr>
        <w:tblW w:w="10205" w:type="dxa"/>
        <w:jc w:val="left"/>
        <w:tblInd w:w="0" w:type="dxa"/>
        <w:tblCellMar>
          <w:top w:w="28" w:type="dxa"/>
          <w:left w:w="28" w:type="dxa"/>
          <w:bottom w:w="28" w:type="dxa"/>
          <w:right w:w="28" w:type="dxa"/>
        </w:tblCellMar>
      </w:tblPr>
      <w:tblGrid>
        <w:gridCol w:w="1240"/>
        <w:gridCol w:w="837"/>
        <w:gridCol w:w="842"/>
        <w:gridCol w:w="109"/>
        <w:gridCol w:w="109"/>
        <w:gridCol w:w="109"/>
        <w:gridCol w:w="221"/>
        <w:gridCol w:w="489"/>
        <w:gridCol w:w="116"/>
        <w:gridCol w:w="109"/>
        <w:gridCol w:w="109"/>
        <w:gridCol w:w="109"/>
        <w:gridCol w:w="211"/>
        <w:gridCol w:w="826"/>
        <w:gridCol w:w="109"/>
        <w:gridCol w:w="109"/>
        <w:gridCol w:w="109"/>
        <w:gridCol w:w="109"/>
        <w:gridCol w:w="211"/>
        <w:gridCol w:w="859"/>
        <w:gridCol w:w="109"/>
        <w:gridCol w:w="109"/>
        <w:gridCol w:w="109"/>
        <w:gridCol w:w="109"/>
        <w:gridCol w:w="260"/>
        <w:gridCol w:w="910"/>
        <w:gridCol w:w="136"/>
        <w:gridCol w:w="109"/>
        <w:gridCol w:w="109"/>
        <w:gridCol w:w="109"/>
        <w:gridCol w:w="211"/>
        <w:gridCol w:w="826"/>
        <w:gridCol w:w="157"/>
      </w:tblGrid>
      <w:tr>
        <w:trPr/>
        <w:tc>
          <w:tcPr>
            <w:tcW w:w="1240"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December 31, 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(16,850)</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620,450 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98,620 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12,120 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surrendered upon exercise and vesting of equity awards to cover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29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compensation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accounting standards adoption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December 31, 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697,480 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(79,760)</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2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(39,420)</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surrendered upon exercise and vesting of equity awards to cover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29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2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compensation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December 31,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(5,620)</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584,250 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(19,090)</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surrendered upon exercise and vesting of equity awards to cover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29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2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compensation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732,490 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630,850 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before="16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160" w:after="16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 Basis of Presentation</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TriMas Corporation ("TriMas" or the "Company"), and its consolidated subsidiaries, designs, engineers and manufactures innovative products under leading brand names for customers primarily in the consumer products, aerospace &amp; defense, and industrial markets.</w:t>
      </w:r>
    </w:p>
    <w:p>
      <w:pPr>
        <w:pStyle w:val="TextBody"/>
        <w:spacing w:lineRule="auto" w:line="309"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requires management of the Company to make estimates and assumptions that affect the reported amounts of assets and liabilities. Actual results may differ from such estimates and assumptions due to risks and uncertainties, including uncertainty in the current economic environment due to the ongoing outbreak of the coronavirus and related variants (“COVID-19”). While the full impact of the COVID-19 pandemic is unknown and cannot be reasonably estimated at this time, the Company has made appropriate accounting estimates based on the facts and circumstances available as of the reporting date. To the extent there are differences between these estimates and actual results, the Company's consolidated financial statements may be materially affected.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2. New Accounting Pronouncements </w:t>
      </w:r>
    </w:p>
    <w:p>
      <w:pPr>
        <w:pStyle w:val="TextBody"/>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Pronouncements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the Financial Accounting Standards Board ("FASB") issued Accounting Standards Update ("ASU") 2021-10, "Government Assistance (Topic 832): Disclosures by Business Entities about Government Assistance" ("ASU 2021-10"), which requires annual disclosures about transactions with a government that are accounted for by applying a grant or contribution accounting model by analogy. ASU 2021-10 is effective for fiscal years beginning after December 15, 2021, with early adoption permitted. The Company is in the process of assessing the impact of adoption on its consolidated financial statements.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2021, the FASB issued ASU 2021-08, "Business Combinations (Topic 805): Accounting for Contract Assets and Contract Liabilities from Contracts with Customers" ("ASU 2021-08"), which requires that an acquirer recognize and measure contract assets and contract liabilities acquired in a business combination in accordance with Topic 606, "Revenue from Contracts with Customers." ASU 2021-08 is effective for fiscal years, and interim periods within those years, beginning after December 15, 2022, with early adoption permitted. The Company is in the process of assessing the impact of adoption on its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3. Summary of Significant Accounting Policies </w:t>
      </w:r>
    </w:p>
    <w:p>
      <w:pPr>
        <w:pStyle w:val="TextBody"/>
        <w:spacing w:lineRule="auto" w:line="288" w:before="160" w:after="160"/>
        <w:jc w:val="both"/>
        <w:rPr/>
      </w:pPr>
      <w:r>
        <w:rPr>
          <w:rFonts w:ascii="Times New Roman;sans-serif" w:hAnsi="Times New Roman;sans-serif"/>
          <w:b w:val="false"/>
          <w:i/>
          <w:color w:val="000000"/>
          <w:sz w:val="20"/>
        </w:rPr>
        <w:t>Principles of Consolidation.</w:t>
      </w:r>
      <w:r>
        <w:rPr>
          <w:color w:val="000000"/>
        </w:rPr>
        <w:t xml:space="preserve">    </w:t>
      </w:r>
      <w:r>
        <w:rPr>
          <w:rFonts w:ascii="Times New Roman;sans-serif" w:hAnsi="Times New Roman;sans-serif"/>
          <w:b w:val="false"/>
          <w:color w:val="000000"/>
          <w:sz w:val="20"/>
        </w:rPr>
        <w:t xml:space="preserve">The accompanying consolidated financial statements include the accounts and transactions of TriMas and its subsidiaries. Intercompany transactions have been eliminated. </w:t>
      </w:r>
    </w:p>
    <w:p>
      <w:pPr>
        <w:pStyle w:val="TextBody"/>
        <w:spacing w:lineRule="auto" w:line="288" w:before="160" w:after="160"/>
        <w:jc w:val="both"/>
        <w:rPr/>
      </w:pPr>
      <w:r>
        <w:rPr>
          <w:rFonts w:ascii="Times New Roman;sans-serif" w:hAnsi="Times New Roman;sans-serif"/>
          <w:b w:val="false"/>
          <w:i/>
          <w:color w:val="000000"/>
          <w:sz w:val="20"/>
        </w:rPr>
        <w:t>Use of Estimates.</w:t>
      </w:r>
      <w:r>
        <w:rPr>
          <w:color w:val="000000"/>
        </w:rPr>
        <w:t>    </w:t>
      </w:r>
      <w:r>
        <w:rPr>
          <w:rFonts w:ascii="Times New Roman;sans-serif" w:hAnsi="Times New Roman;sans-serif"/>
          <w:b w:val="false"/>
          <w:color w:val="000000"/>
          <w:sz w:val="20"/>
        </w:rPr>
        <w:t xml:space="preserve">The preparation of financial statements in conformity with accounting principles generally accepted in the United States of America requires management of the Company to make estimates and assumptions that affect the reported amounts of assets and liabilities and the disclosure of contingent assets and liabilities at the date of the financial statements. Such estimates and assumptions also affect the reported amounts of revenues and expenses during the reporting periods. Significant items subject to such estimates and assumptions include the carrying amount of property and equipment, goodwill and other intangibles, valuation allowances for receivables, inventories and deferred income tax assets, valuation of derivatives, estimated future unrecoverable lease costs, reserves for asbestos and ordinary course litigation, assets and obligations related to employee benefits and estimated unrecognized tax benefits. Actual results may differ from such estimates and assumptions. </w:t>
      </w:r>
    </w:p>
    <w:p>
      <w:pPr>
        <w:pStyle w:val="TextBody"/>
        <w:spacing w:lineRule="auto" w:line="288" w:before="160" w:after="160"/>
        <w:jc w:val="both"/>
        <w:rPr/>
      </w:pPr>
      <w:r>
        <w:rPr>
          <w:rFonts w:ascii="Times New Roman;sans-serif" w:hAnsi="Times New Roman;sans-serif"/>
          <w:b w:val="false"/>
          <w:i/>
          <w:color w:val="000000"/>
          <w:sz w:val="20"/>
        </w:rPr>
        <w:t>Cash and Cash Equivalents.</w:t>
      </w:r>
      <w:r>
        <w:rPr>
          <w:color w:val="000000"/>
        </w:rPr>
        <w:t>    </w:t>
      </w:r>
      <w:r>
        <w:rPr>
          <w:rFonts w:ascii="Times New Roman;sans-serif" w:hAnsi="Times New Roman;sans-serif"/>
          <w:b w:val="false"/>
          <w:color w:val="000000"/>
          <w:sz w:val="20"/>
        </w:rPr>
        <w:t>The Company considers cash on hand and on deposit and investments in all highly liquid debt instruments with initial maturities of three months or less to be cash and cash equivalents. Cash and cash equivalents also includes restricted cash held on deposit with a financial institution as cash collateral for the Company's outstanding letters of credit. See Note 8, "</w:t>
      </w:r>
      <w:r>
        <w:rPr>
          <w:rFonts w:ascii="Times New Roman;sans-serif" w:hAnsi="Times New Roman;sans-serif"/>
          <w:b w:val="false"/>
          <w:i/>
          <w:color w:val="000000"/>
          <w:sz w:val="20"/>
        </w:rPr>
        <w:t>Cash and Cash Equivalents</w:t>
      </w:r>
      <w:r>
        <w:rPr>
          <w:rFonts w:ascii="Times New Roman;sans-serif" w:hAnsi="Times New Roman;sans-serif"/>
          <w:b w:val="false"/>
          <w:color w:val="000000"/>
          <w:sz w:val="20"/>
        </w:rPr>
        <w:t xml:space="preserve">," for further details regarding the Company's cash and cash equivalents. </w:t>
      </w:r>
    </w:p>
    <w:p>
      <w:pPr>
        <w:pStyle w:val="TextBody"/>
        <w:spacing w:lineRule="auto" w:line="288" w:before="160" w:after="160"/>
        <w:jc w:val="both"/>
        <w:rPr/>
      </w:pPr>
      <w:r>
        <w:rPr>
          <w:rFonts w:ascii="Times New Roman;sans-serif" w:hAnsi="Times New Roman;sans-serif"/>
          <w:b w:val="false"/>
          <w:i/>
          <w:color w:val="000000"/>
          <w:sz w:val="20"/>
        </w:rPr>
        <w:t>Receivables.</w:t>
      </w:r>
      <w:r>
        <w:rPr>
          <w:color w:val="000000"/>
        </w:rPr>
        <w:t>    </w:t>
      </w:r>
      <w:r>
        <w:rPr>
          <w:rFonts w:ascii="Times New Roman;sans-serif" w:hAnsi="Times New Roman;sans-serif"/>
          <w:b w:val="false"/>
          <w:color w:val="000000"/>
          <w:sz w:val="20"/>
        </w:rPr>
        <w:t xml:space="preserve">Receivables are presented net of allowances for doubtful accounts of approximately $1.6 million and $2.1 million at December 31, 2021 and 2020, respectively. The Company monitors its exposure for credit losses and maintains allowances for doubtful accounts based upon the Company's best estimate of probable losses inherent in the accounts receivable balances. The Company does not believe that significant credit risk exists due to its diverse customer base.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160" w:after="160"/>
        <w:jc w:val="both"/>
        <w:rPr/>
      </w:pPr>
      <w:r>
        <w:rPr>
          <w:rFonts w:ascii="Times New Roman;sans-serif" w:hAnsi="Times New Roman;sans-serif"/>
          <w:b w:val="false"/>
          <w:i/>
          <w:color w:val="000000"/>
          <w:sz w:val="20"/>
        </w:rPr>
        <w:t>Inventories.</w:t>
      </w:r>
      <w:r>
        <w:rPr>
          <w:color w:val="000000"/>
        </w:rPr>
        <w:t>    </w:t>
      </w:r>
      <w:r>
        <w:rPr>
          <w:rFonts w:ascii="Times New Roman;sans-serif" w:hAnsi="Times New Roman;sans-serif"/>
          <w:b w:val="false"/>
          <w:color w:val="000000"/>
          <w:sz w:val="20"/>
        </w:rPr>
        <w:t xml:space="preserve">Inventories are stated at the lower of cost or net realizable value, with cost determined using the first-in, first-out method. Direct materials, direct labor and allocations of variable and fixed manufacturing-related overhead are included in inventory cost. </w:t>
      </w:r>
    </w:p>
    <w:p>
      <w:pPr>
        <w:pStyle w:val="TextBody"/>
        <w:spacing w:lineRule="auto" w:line="288" w:before="160" w:after="160"/>
        <w:jc w:val="both"/>
        <w:rPr/>
      </w:pPr>
      <w:r>
        <w:rPr>
          <w:rFonts w:ascii="Times New Roman;sans-serif" w:hAnsi="Times New Roman;sans-serif"/>
          <w:b w:val="false"/>
          <w:i/>
          <w:color w:val="000000"/>
          <w:sz w:val="20"/>
        </w:rPr>
        <w:t>Property and Equipment.</w:t>
      </w:r>
      <w:r>
        <w:rPr>
          <w:color w:val="000000"/>
        </w:rPr>
        <w:t>    </w:t>
      </w:r>
      <w:r>
        <w:rPr>
          <w:rFonts w:ascii="Times New Roman;sans-serif" w:hAnsi="Times New Roman;sans-serif"/>
          <w:b w:val="false"/>
          <w:color w:val="000000"/>
          <w:sz w:val="20"/>
        </w:rPr>
        <w:t>Property and equipment additions, including significant improvements, are recorded at cost. Upon retirement or disposal of property and equipment, the cost and accumulated depreciation are removed from the accounts, and any gain or loss is included in the accompanying statement of operations. Repair and maintenance costs are charged to expense as incurred.</w:t>
      </w:r>
    </w:p>
    <w:p>
      <w:pPr>
        <w:pStyle w:val="TextBody"/>
        <w:spacing w:lineRule="auto" w:line="288" w:before="160" w:after="160"/>
        <w:jc w:val="both"/>
        <w:rPr/>
      </w:pPr>
      <w:r>
        <w:rPr>
          <w:rFonts w:ascii="Times New Roman;sans-serif" w:hAnsi="Times New Roman;sans-serif"/>
          <w:b w:val="false"/>
          <w:i/>
          <w:color w:val="000000"/>
          <w:sz w:val="20"/>
        </w:rPr>
        <w:t>Depreciation and Amortization.</w:t>
      </w:r>
      <w:r>
        <w:rPr>
          <w:color w:val="000000"/>
        </w:rPr>
        <w:t>    </w:t>
      </w:r>
      <w:r>
        <w:rPr>
          <w:rFonts w:ascii="Times New Roman;sans-serif" w:hAnsi="Times New Roman;sans-serif"/>
          <w:b w:val="false"/>
          <w:color w:val="000000"/>
          <w:sz w:val="20"/>
        </w:rPr>
        <w:t xml:space="preserve">Depreciation is computed principally using the straight-line method over the estimated useful lives of the assets. Annual depreciation rates are as follows: building and land/building improvements three to 40 years, and machinery and equipment, three to 15 years. Capitalized debt issuance costs are amortized over the underlying terms of the related debt securities. Customer relationship intangibles are amortized over periods ranging from five to 25 years, while technology and other intangibles are amortized over periods ranging from one to 30 years. </w:t>
      </w:r>
    </w:p>
    <w:p>
      <w:pPr>
        <w:pStyle w:val="TextBody"/>
        <w:spacing w:lineRule="auto" w:line="288" w:before="160" w:after="160"/>
        <w:jc w:val="both"/>
        <w:rPr/>
      </w:pPr>
      <w:r>
        <w:rPr>
          <w:rFonts w:ascii="Times New Roman;sans-serif" w:hAnsi="Times New Roman;sans-serif"/>
          <w:b w:val="false"/>
          <w:i/>
          <w:color w:val="000000"/>
          <w:sz w:val="20"/>
        </w:rPr>
        <w:t>Impairment of Long-Lived Assets and Definite-Lived Intangible Assets.</w:t>
      </w:r>
      <w:r>
        <w:rPr>
          <w:color w:val="000000"/>
        </w:rPr>
        <w:t>    </w:t>
      </w:r>
      <w:r>
        <w:rPr>
          <w:rFonts w:ascii="Times New Roman;sans-serif" w:hAnsi="Times New Roman;sans-serif"/>
          <w:b w:val="false"/>
          <w:color w:val="000000"/>
          <w:sz w:val="20"/>
        </w:rPr>
        <w:t>The Company reviews, on at least a quarterly basis, the financial performance of its businesses for indicators of impairment. In reviewing for impairment indicators, the Company also considers events or changes in circumstances such as business prospects, customer retention, market trends, potential product obsolescence, competitive activities and other economic factors. An impairment loss is recognized when the carrying value of an asset group exceeds the future net undiscounted cash flows expected to be generated by that asset group. The impairment loss recognized is the amount by which the carrying value of the asset group exceeds its fair value.</w:t>
      </w:r>
    </w:p>
    <w:p>
      <w:pPr>
        <w:pStyle w:val="TextBody"/>
        <w:spacing w:lineRule="auto" w:line="288" w:before="160" w:after="160"/>
        <w:jc w:val="both"/>
        <w:rPr/>
      </w:pPr>
      <w:r>
        <w:rPr>
          <w:rFonts w:ascii="Times New Roman;sans-serif" w:hAnsi="Times New Roman;sans-serif"/>
          <w:b w:val="false"/>
          <w:i/>
          <w:color w:val="000000"/>
          <w:sz w:val="20"/>
        </w:rPr>
        <w:t>Goodwill.</w:t>
      </w:r>
      <w:r>
        <w:rPr>
          <w:color w:val="000000"/>
        </w:rPr>
        <w:t>    </w:t>
      </w:r>
      <w:r>
        <w:rPr>
          <w:rFonts w:ascii="Times New Roman;sans-serif" w:hAnsi="Times New Roman;sans-serif"/>
          <w:b w:val="false"/>
          <w:color w:val="000000"/>
          <w:sz w:val="20"/>
        </w:rPr>
        <w:t>The Company assesses goodwill for impairment on an annual basis (October 1 test date) by reviewing relevant qualitative and quantitative factors. More frequent evaluations may be required if the Company experiences changes in its business climate or as a result of other triggering events that take place. An impairment loss is recognized when the carrying value of a reporting unit's goodwill exceeds its fair value.</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its reporting units at the individual operating segment level, or one level below, when there is discrete financial information available that is regularly reviewed by segment management to evaluate operating results. For purposes of the Company's 2021 goodwill impairment test, the Company had five reporting units, three of which had goodwill, within its three reportable segments.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begins its goodwill reviews by conducting a qualitative assessment, considering relevant events and circumstances that affect the fair value or carrying amount of a reporting unit. Such events and circumstances can include macroeconomic conditions, industry and market considerations, overall financial performance, entity and reporting unit specific events, and capital markets pricing. The Company considers the extent to which any identified adverse events and circumstances affect the comparison of a reporting unit's fair value with its carrying amount. The Company places more weight on the events and circumstances that most affect a reporting unit's fair value or the carrying amount of its net assets. The Company considers positive and mitigating events and circumstances that may affect its determination of whether it is more likely than not that the fair value of a reporting unit is less than its carrying amount. The Company also considers recent valuations of its reporting units, including the difference between the most recent fair value estimate and the carrying amount. Each of these factors is considered by management in reaching its conclusion about whether a quantitative goodwill impairment test is necessary to estimate the fair value of its reporting units.</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Company concludes that conducting a quantitative assessment is required, it performs a quantitative goodwill impairment test. When conducting a quantitative goodwill impairment test, the Company determines the fair value of the reporting unit being evaluated utilizing a combination of three valuation techniques: discounted cash flow (income approach), market comparable method (market approach) and market capitalization (direct market data method). The income approach is based on management's operating plan and internal five-year forecast and utilizes forward-looking assumptions and projections, on a discounted basis, but considers factors unique to each reporting unit and related long-range plans that may not be comparable to other companies and that are not yet public. The market approach considers potentially comparable companies and transactions within the industries where the Company's reporting units participate, and applies their trading multiples to the financial projections of the Company's reporting units. This approach utilizes data from actual marketplace transactions, but reliance on its results is limited by difficulty in identifying companies that are specifically comparable to the Company's reporting units, considering the diversity of the Company's businesses, the relative sizes and levels of complexity. The Company also uses the direct market data method by comparing its book value and the estimates of fair value of the reporting units to the Company's market capitalization. Management uses this comparison as additional evidence of the fair value of the Company, as its market capitalization may be suppressed by other factors such as the control premium associated with a controlling shareholder, the Company's degree of leverage and the float of the Company's common stock. Management evaluates and weights the results based on a combination of the income and market approaches, and, in situations where the income approach results differ significantly from the market and direct data approaches, management re-evaluates and adjusts, if necessary, its assumptions. </w:t>
      </w:r>
    </w:p>
    <w:p>
      <w:pPr>
        <w:pStyle w:val="TextBody"/>
        <w:spacing w:lineRule="auto" w:line="288" w:before="160" w:after="160"/>
        <w:jc w:val="both"/>
        <w:rPr/>
      </w:pPr>
      <w:r>
        <w:rPr>
          <w:rFonts w:ascii="Times New Roman;sans-serif" w:hAnsi="Times New Roman;sans-serif"/>
          <w:b w:val="false"/>
          <w:color w:val="000000"/>
          <w:sz w:val="20"/>
        </w:rPr>
        <w:t>Based on the quantitative test, if it is determined that the carrying value of the reporting unit is higher than its fair value, goodwill is impaired and is written down to the fair value amount; however, the loss recognized will not exceed the total amount of goodwill allocated to the reporting unit. See Note 9, "</w:t>
      </w:r>
      <w:r>
        <w:rPr>
          <w:rFonts w:ascii="Times New Roman;sans-serif" w:hAnsi="Times New Roman;sans-serif"/>
          <w:b w:val="false"/>
          <w:i/>
          <w:color w:val="000000"/>
          <w:sz w:val="20"/>
        </w:rPr>
        <w:t>Goodwill and Other Intangible Assets</w:t>
      </w:r>
      <w:r>
        <w:rPr>
          <w:rFonts w:ascii="Times New Roman;sans-serif" w:hAnsi="Times New Roman;sans-serif"/>
          <w:b w:val="false"/>
          <w:color w:val="000000"/>
          <w:sz w:val="20"/>
        </w:rPr>
        <w:t>," for further details regarding the Company's goodwill impairment testing.</w:t>
      </w:r>
    </w:p>
    <w:p>
      <w:pPr>
        <w:pStyle w:val="TextBody"/>
        <w:spacing w:lineRule="auto" w:line="288" w:before="160" w:after="160"/>
        <w:jc w:val="both"/>
        <w:rPr/>
      </w:pPr>
      <w:r>
        <w:rPr>
          <w:rFonts w:ascii="Times New Roman;sans-serif" w:hAnsi="Times New Roman;sans-serif"/>
          <w:b w:val="false"/>
          <w:i/>
          <w:color w:val="000000"/>
          <w:sz w:val="20"/>
        </w:rPr>
        <w:t xml:space="preserve">Indefinite-Lived Intangibles. </w:t>
      </w:r>
      <w:r>
        <w:rPr>
          <w:rFonts w:ascii="Times New Roman;sans-serif" w:hAnsi="Times New Roman;sans-serif"/>
          <w:b w:val="false"/>
          <w:color w:val="000000"/>
          <w:sz w:val="20"/>
        </w:rPr>
        <w:t>The Company assesses indefinite-lived intangible assets (primarily trademark/trade names) for impairment on an annual basis (October 1 test date) by reviewing relevant qualitative and quantitative factors. More frequent evaluations may be required if the Company experiences changes in its business climate or as a result of other triggering events that take place. An impairment loss is recognized when the carrying value of the asset exceeds its fair value.</w:t>
      </w:r>
    </w:p>
    <w:p>
      <w:pPr>
        <w:pStyle w:val="TextBody"/>
        <w:spacing w:lineRule="auto" w:line="288" w:before="160" w:after="160"/>
        <w:jc w:val="both"/>
        <w:rPr/>
      </w:pPr>
      <w:r>
        <w:rPr>
          <w:rFonts w:ascii="Times New Roman;sans-serif" w:hAnsi="Times New Roman;sans-serif"/>
          <w:b w:val="false"/>
          <w:color w:val="000000"/>
          <w:sz w:val="20"/>
        </w:rPr>
        <w:t>In conducting a qualitative assessment, the Company considers relevant events and circumstances to determine whether it is more likely than not that the fair values of the indefinite-lived intangible assets are less than the carrying values. In addition to the events and circumstances that the Company considers above in its qualitative analysis for potential goodwill impairment, the Company also considers legal, regulatory and contractual factors that could affect the fair value or carrying amount of the Company's indefinite-lived intangible assets. The Company also considers recent valuations of its indefinite-lived intangible assets, including the difference between the most recent fair value estimates and the carrying amounts. These factors are all considered by management in reaching its conclusion about whether it is more likely than not that the fair values of the indefinite-lived intangible assets are less than the carrying values. If management concludes that further testing is required, the Company performs a quantitative valuation to estimate the fair value of its indefinite-lived intangible assets. In conducting the quantitative impairment analysis, the Company determines the fair value of its indefinite-lived intangible assets using the relief-from-royalty method. The relief-from-royalty method involves the estimation of appropriate market royalty rates for the indefinite-lived intangible assets and the application of these royalty rates to forecasted net sales attributable to the intangible assets. The resulting cash flows are then discounted to present value, using a rate appropriately reflecting the risks inherent in the cash flows, which then is compared to the carrying value of the assets. If the carrying value exceeds fair value, an impairment is recorded. See Note 9, "</w:t>
      </w:r>
      <w:r>
        <w:rPr>
          <w:rFonts w:ascii="Times New Roman;sans-serif" w:hAnsi="Times New Roman;sans-serif"/>
          <w:b w:val="false"/>
          <w:i/>
          <w:color w:val="000000"/>
          <w:sz w:val="20"/>
        </w:rPr>
        <w:t>Goodwill and Other Intangible Assets</w:t>
      </w:r>
      <w:r>
        <w:rPr>
          <w:rFonts w:ascii="Times New Roman;sans-serif" w:hAnsi="Times New Roman;sans-serif"/>
          <w:b w:val="false"/>
          <w:color w:val="000000"/>
          <w:sz w:val="20"/>
        </w:rPr>
        <w:t>," for further details regarding the Company's indefinite-lived intangible asset impairment testing.</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160" w:after="160"/>
        <w:jc w:val="both"/>
        <w:rPr/>
      </w:pPr>
      <w:r>
        <w:rPr>
          <w:rFonts w:ascii="Times New Roman;sans-serif" w:hAnsi="Times New Roman;sans-serif"/>
          <w:b w:val="false"/>
          <w:i/>
          <w:color w:val="000000"/>
          <w:sz w:val="20"/>
        </w:rPr>
        <w:t>High Deductible Insurance.</w:t>
      </w:r>
      <w:r>
        <w:rPr>
          <w:color w:val="000000"/>
        </w:rPr>
        <w:t>    </w:t>
      </w:r>
      <w:r>
        <w:rPr>
          <w:rFonts w:ascii="Times New Roman;sans-serif" w:hAnsi="Times New Roman;sans-serif"/>
          <w:b w:val="false"/>
          <w:color w:val="000000"/>
          <w:sz w:val="20"/>
        </w:rPr>
        <w:t xml:space="preserve">The Company generally has high deductible insurance programs for losses and liabilities related to workers' compensation, health and welfare claims and comprehensive general, product and vehicle liability. The Company is generally responsible for up to $0.8 million per occurrence under its retention program for workers' compensation, up to $1.5 million per occurrence under its retention programs for comprehensive general, product and vehicle liability, and has a $0.4 million per occurrence stop-loss limit with respect to its group medical plan. Total insurance limits under these retention programs vary by year for comprehensive general, product and vehicle liability and extend to the applicable statutory limits for workers' compensation. Reserves for claims losses, including an estimate of related litigation defense costs, are recorded based upon the Company's estimates of the aggregate liability for claims incurred using actuarial assumptions about future events. Changes in assumptions for factors such as medical costs and actual experience could cause these estimates to change. </w:t>
      </w:r>
    </w:p>
    <w:p>
      <w:pPr>
        <w:pStyle w:val="TextBody"/>
        <w:spacing w:lineRule="auto" w:line="288" w:before="160" w:after="160"/>
        <w:jc w:val="both"/>
        <w:rPr/>
      </w:pPr>
      <w:r>
        <w:rPr>
          <w:rFonts w:ascii="Times New Roman;sans-serif" w:hAnsi="Times New Roman;sans-serif"/>
          <w:b w:val="false"/>
          <w:i/>
          <w:color w:val="000000"/>
          <w:sz w:val="20"/>
        </w:rPr>
        <w:t>Pension Plans.</w:t>
      </w:r>
      <w:r>
        <w:rPr>
          <w:color w:val="000000"/>
        </w:rPr>
        <w:t>    </w:t>
      </w:r>
      <w:r>
        <w:rPr>
          <w:rFonts w:ascii="Times New Roman;sans-serif" w:hAnsi="Times New Roman;sans-serif"/>
          <w:b w:val="false"/>
          <w:color w:val="000000"/>
          <w:sz w:val="20"/>
        </w:rPr>
        <w:t>The Company engages independent actuaries to compute the amounts of liabilities and expenses under defined benefit pension plans, subject to the assumptions that the Company determines are appropriate based on historical trends, current market rates and future projections. Assumptions used in the actuarial calculations could have a significant impact on plan obligations, and a lesser impact on current period expense. Annually, the Company reviews the actual experience compared to the significant assumptions used and makes adjustments to the assumptions, if warranted. Discount rates are based on an expected benefit payments duration analysis and the equivalent average yield rate for high-quality fixed-income investments. Pension benefits are funded through deposits with trustees and the expected long-term rate of return on fund assets is based on actual historical returns and a review of other public company pension asset return data, modified for known changes in the market and any expected change in investment policy. See Note 18, “</w:t>
      </w:r>
      <w:r>
        <w:rPr>
          <w:rFonts w:ascii="Times New Roman;sans-serif" w:hAnsi="Times New Roman;sans-serif"/>
          <w:b w:val="false"/>
          <w:i/>
          <w:color w:val="000000"/>
          <w:sz w:val="20"/>
        </w:rPr>
        <w:t>Employee Benefit Plans</w:t>
      </w:r>
      <w:r>
        <w:rPr>
          <w:rFonts w:ascii="Times New Roman;sans-serif" w:hAnsi="Times New Roman;sans-serif"/>
          <w:b w:val="false"/>
          <w:color w:val="000000"/>
          <w:sz w:val="20"/>
        </w:rPr>
        <w:t>,” for further information.</w:t>
      </w:r>
    </w:p>
    <w:p>
      <w:pPr>
        <w:pStyle w:val="TextBody"/>
        <w:spacing w:lineRule="auto" w:line="288" w:before="160" w:after="160"/>
        <w:jc w:val="both"/>
        <w:rPr/>
      </w:pPr>
      <w:r>
        <w:rPr>
          <w:rFonts w:ascii="Times New Roman;sans-serif" w:hAnsi="Times New Roman;sans-serif"/>
          <w:b w:val="false"/>
          <w:i/>
          <w:color w:val="000000"/>
          <w:sz w:val="20"/>
        </w:rPr>
        <w:t xml:space="preserve">Asbestos-related Matters. </w:t>
      </w:r>
      <w:r>
        <w:rPr>
          <w:rFonts w:ascii="Times New Roman;sans-serif" w:hAnsi="Times New Roman;sans-serif"/>
          <w:b w:val="false"/>
          <w:color w:val="000000"/>
          <w:sz w:val="20"/>
        </w:rPr>
        <w:t>The Company accrues loss reserves for asbestos-related matters based upon an estimate of the ultimate liability for claims incurred, whether reported or not, including an estimate of future settlement costs and costs to defend. The Company utilizes known facts and historical trends for Company-specific and general market asbestos-related activity, as well as an actuarial valuation in determining estimated required reserves which it believes are probable and reasonably estimable. Asbestos-related accruals are assessed at each balance sheet date to determine if the liability remains reasonably stated. Accruals for asbestos-related matters are included in the consolidated balance sheet in “Accrued liabilities” and “Other long-term liabilities.” See Note 17,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for further information.</w:t>
      </w:r>
    </w:p>
    <w:p>
      <w:pPr>
        <w:pStyle w:val="TextBody"/>
        <w:spacing w:lineRule="auto" w:line="288" w:before="160" w:after="160"/>
        <w:jc w:val="both"/>
        <w:rPr/>
      </w:pPr>
      <w:r>
        <w:rPr>
          <w:rFonts w:ascii="Times New Roman;sans-serif" w:hAnsi="Times New Roman;sans-serif"/>
          <w:b w:val="false"/>
          <w:i/>
          <w:color w:val="000000"/>
          <w:sz w:val="20"/>
        </w:rPr>
        <w:t>Revenue Recognition.</w:t>
      </w:r>
      <w:r>
        <w:rPr>
          <w:color w:val="000000"/>
        </w:rPr>
        <w:t>    </w:t>
      </w:r>
      <w:r>
        <w:rPr>
          <w:rFonts w:ascii="Times New Roman;sans-serif" w:hAnsi="Times New Roman;sans-serif"/>
          <w:b w:val="false"/>
          <w:color w:val="000000"/>
          <w:sz w:val="20"/>
        </w:rPr>
        <w:t xml:space="preserve">Revenue is recognized when control of promised goods is transferred to customers, which generally occurs when products are shipped from the Company’s facilities to its customers. The amount of revenue recorded reflects the consideration the Company expects to be entitled to receive in exchange for transferring those goods. Net sales are comprised of gross revenues, based on observed stand-alone selling prices, less estimates of expected returns, trade discounts and customer allowances, which include incentives such as volume and other discounts in connection with various supply programs. Such deductions are estimated and recorded during the period the related revenue is recognized. The Company may adjust these estimates when the expected amount of consideration changes based on sales volumes or other contractual terms. Sales and other consumption taxes the Company collects from customers and remits to government agencies are excluded from revenue. The Company accounts for freight and shipping costs that occur after control of the related goods transfer to the customer as a fulfillment cost within cost of sales. The nature and timing of the Company's revenue transactions are similar, as substantially all revenue is based on point-in-time transactions with customers under industry-standard payment terms. The Company may require shortened payment terms, including cash-in-advance, on an individual customer basis depending on its assessment of the customer's credit worthiness. </w:t>
      </w:r>
    </w:p>
    <w:p>
      <w:pPr>
        <w:pStyle w:val="TextBody"/>
        <w:spacing w:lineRule="auto" w:line="288" w:before="160" w:after="160"/>
        <w:jc w:val="both"/>
        <w:rPr/>
      </w:pPr>
      <w:r>
        <w:rPr>
          <w:rFonts w:ascii="Times New Roman;sans-serif" w:hAnsi="Times New Roman;sans-serif"/>
          <w:b w:val="false"/>
          <w:i/>
          <w:color w:val="000000"/>
          <w:sz w:val="20"/>
        </w:rPr>
        <w:t>Cost of Sales.</w:t>
      </w:r>
      <w:r>
        <w:rPr>
          <w:color w:val="000000"/>
        </w:rPr>
        <w:t>    </w:t>
      </w:r>
      <w:r>
        <w:rPr>
          <w:rFonts w:ascii="Times New Roman;sans-serif" w:hAnsi="Times New Roman;sans-serif"/>
          <w:b w:val="false"/>
          <w:color w:val="000000"/>
          <w:sz w:val="20"/>
        </w:rPr>
        <w:t xml:space="preserve">Cost of sales includes material, labor and overhead costs incurred in the manufacture of products sold in the period. Material costs include raw material, purchased components, outside processing and freight costs. Overhead costs consist of variable and fixed manufacturing costs, wages and fringe benefits, and purchasing, receiving and inspection costs. </w:t>
      </w:r>
    </w:p>
    <w:p>
      <w:pPr>
        <w:pStyle w:val="TextBody"/>
        <w:spacing w:lineRule="auto" w:line="288" w:before="160" w:after="160"/>
        <w:jc w:val="both"/>
        <w:rPr/>
      </w:pPr>
      <w:r>
        <w:rPr>
          <w:rFonts w:ascii="Times New Roman;sans-serif" w:hAnsi="Times New Roman;sans-serif"/>
          <w:b w:val="false"/>
          <w:i/>
          <w:color w:val="000000"/>
          <w:sz w:val="20"/>
        </w:rPr>
        <w:t>Selling, General and Administrative Expenses.</w:t>
      </w:r>
      <w:r>
        <w:rPr>
          <w:color w:val="000000"/>
        </w:rPr>
        <w:t>    </w:t>
      </w:r>
      <w:r>
        <w:rPr>
          <w:rFonts w:ascii="Times New Roman;sans-serif" w:hAnsi="Times New Roman;sans-serif"/>
          <w:b w:val="false"/>
          <w:color w:val="000000"/>
          <w:sz w:val="20"/>
        </w:rPr>
        <w:t xml:space="preserve">Selling, general and administrative expenses include the following: costs related to the advertising, sale, marketing and distribution of the Company's products, amortization of customer intangible assets, costs of finance, human resources, legal functions, executive management costs and other administrative expenses.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160" w:after="160"/>
        <w:jc w:val="both"/>
        <w:rPr/>
      </w:pPr>
      <w:r>
        <w:rPr>
          <w:rFonts w:ascii="Times New Roman;sans-serif" w:hAnsi="Times New Roman;sans-serif"/>
          <w:b w:val="false"/>
          <w:i/>
          <w:color w:val="000000"/>
          <w:sz w:val="20"/>
        </w:rPr>
        <w:t>Income Taxes.</w:t>
      </w:r>
      <w:r>
        <w:rPr>
          <w:color w:val="000000"/>
        </w:rPr>
        <w:t>    </w:t>
      </w:r>
      <w:r>
        <w:rPr>
          <w:rFonts w:ascii="Times New Roman;sans-serif" w:hAnsi="Times New Roman;sans-serif"/>
          <w:b w:val="false"/>
          <w:color w:val="000000"/>
          <w:sz w:val="20"/>
        </w:rPr>
        <w:t>The Company computes income taxes using the asset and liability method, whereby deferred income taxes using current enacted tax rates are provided for the temporary differences between the financial reporting basis and the tax basis of assets and liabilities and for operating loss and tax credit carryforwards. The Company determines valuation allowances based on an assessment of positive and negative evidence on a jurisdiction-by-jurisdiction basis and records a valuation allowance to reduce deferred tax assets to the amount more likely than not to be realized.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records interest and penalties related to unrecognized tax benefits in income tax expense. See Note 23,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for further information.</w:t>
      </w:r>
    </w:p>
    <w:p>
      <w:pPr>
        <w:pStyle w:val="TextBody"/>
        <w:spacing w:lineRule="auto" w:line="288" w:before="160" w:after="160"/>
        <w:jc w:val="both"/>
        <w:rPr/>
      </w:pPr>
      <w:r>
        <w:rPr>
          <w:rFonts w:ascii="Times New Roman;sans-serif" w:hAnsi="Times New Roman;sans-serif"/>
          <w:b w:val="false"/>
          <w:i/>
          <w:color w:val="000000"/>
          <w:sz w:val="20"/>
        </w:rPr>
        <w:t>Foreign Currency Translation.</w:t>
      </w:r>
      <w:r>
        <w:rPr>
          <w:color w:val="000000"/>
        </w:rPr>
        <w:t>    </w:t>
      </w:r>
      <w:r>
        <w:rPr>
          <w:rFonts w:ascii="Times New Roman;sans-serif" w:hAnsi="Times New Roman;sans-serif"/>
          <w:b w:val="false"/>
          <w:color w:val="000000"/>
          <w:sz w:val="20"/>
        </w:rPr>
        <w:t xml:space="preserve">The financial statements of subsidiaries located outside of the United States are measured using the currency of the primary economic environment in which they operate as the functional currency. When translating into U.S. dollars, income and expense items are translated at average monthly exchange rates and assets and liabilities are translated at exchange rates in effect at the balance sheet date. Adjustments resulting from translating the functional currency into U.S. dollars are deferred as a component of accumulated other comprehensive income (loss) ("AOCI") in the consolidated statement of shareholders' equity. The impact of net foreign currency transactions was an approximate loss of $0.9 million for the year ended December 31, 2021, and approximate gains of $0.6 million and $0.3 million for the years ended December 31, 2020 and 2019, respectively, and are included in other expense, net in the accompanying consolidated statement of operations. </w:t>
      </w:r>
    </w:p>
    <w:p>
      <w:pPr>
        <w:pStyle w:val="TextBody"/>
        <w:spacing w:lineRule="auto" w:line="288" w:before="160" w:after="160"/>
        <w:jc w:val="both"/>
        <w:rPr/>
      </w:pPr>
      <w:r>
        <w:rPr>
          <w:rFonts w:ascii="Times New Roman;sans-serif" w:hAnsi="Times New Roman;sans-serif"/>
          <w:b w:val="false"/>
          <w:i/>
          <w:color w:val="000000"/>
          <w:sz w:val="20"/>
        </w:rPr>
        <w:t>Derivative Financial Instruments.</w:t>
      </w:r>
      <w:r>
        <w:rPr>
          <w:color w:val="000000"/>
        </w:rPr>
        <w:t>    </w:t>
      </w:r>
      <w:r>
        <w:rPr>
          <w:rFonts w:ascii="Times New Roman;sans-serif" w:hAnsi="Times New Roman;sans-serif"/>
          <w:b w:val="false"/>
          <w:color w:val="000000"/>
          <w:sz w:val="20"/>
        </w:rPr>
        <w:t>The Company records derivative financial instruments at fair value on the balance sheet as either assets or liabilities, and changes in their fair values are immediately recognized in earnings if the derivatives do not qualify as effective hedges. If a derivative is designated as a fair value hedge, then changes in the fair value of the derivative are offset against the changes in the fair value of the underlying hedged item. If a derivative is designated as a cash flow hedge, then the effective portion of the changes in the fair value of the derivative is recognized as a component of other comprehensive income until the underlying hedged item is recognized in earnings or the forecasted transaction is no longer probable of occurring. If a derivative is designated as a net investment hedge, then the effective portion of the changes in the fair value of the derivative is recognized in other comprehensive income and will be subsequently reclassified to earnings when the hedged net investment is either sold or substantially liquidated. The Company formally documents hedging relationships for its derivative transactions and the underlying hedged items, as well as its risk management objectives and strategies for undertaking the hedge transactions. See Note 14, "</w:t>
      </w:r>
      <w:r>
        <w:rPr>
          <w:rFonts w:ascii="Times New Roman;sans-serif" w:hAnsi="Times New Roman;sans-serif"/>
          <w:b w:val="false"/>
          <w:i/>
          <w:color w:val="000000"/>
          <w:sz w:val="20"/>
        </w:rPr>
        <w:t>Derivative Instruments</w:t>
      </w:r>
      <w:r>
        <w:rPr>
          <w:rFonts w:ascii="Times New Roman;sans-serif" w:hAnsi="Times New Roman;sans-serif"/>
          <w:b w:val="false"/>
          <w:color w:val="000000"/>
          <w:sz w:val="20"/>
        </w:rPr>
        <w:t>," for further information.</w:t>
      </w:r>
    </w:p>
    <w:p>
      <w:pPr>
        <w:pStyle w:val="TextBody"/>
        <w:spacing w:lineRule="auto" w:line="288" w:before="160" w:after="160"/>
        <w:jc w:val="both"/>
        <w:rPr/>
      </w:pPr>
      <w:r>
        <w:rPr>
          <w:rFonts w:ascii="Times New Roman;sans-serif" w:hAnsi="Times New Roman;sans-serif"/>
          <w:b w:val="false"/>
          <w:i/>
          <w:color w:val="000000"/>
          <w:sz w:val="20"/>
        </w:rPr>
        <w:t>Fair Value of Financial Instruments.</w:t>
      </w:r>
      <w:r>
        <w:rPr>
          <w:color w:val="000000"/>
        </w:rPr>
        <w:t>   </w:t>
      </w:r>
      <w:r>
        <w:rPr>
          <w:rFonts w:ascii="Times New Roman;sans-serif" w:hAnsi="Times New Roman;sans-serif"/>
          <w:b w:val="false"/>
          <w:color w:val="000000"/>
          <w:sz w:val="20"/>
        </w:rPr>
        <w:t>In accounting for and disclosing the fair value of financial instruments, the Company uses the following hierarchy:</w:t>
      </w:r>
    </w:p>
    <w:p>
      <w:pPr>
        <w:pStyle w:val="TextBody"/>
        <w:spacing w:lineRule="auto" w:line="288" w:before="160" w:after="160"/>
        <w:ind w:left="0" w:right="0" w:hanging="360"/>
        <w:jc w:val="both"/>
        <w:rPr/>
      </w:pPr>
      <w:r>
        <w:rPr>
          <w:color w:val="000000"/>
        </w:rPr>
        <w:t>•</w:t>
      </w:r>
      <w:r>
        <w:rPr>
          <w:rFonts w:ascii="Times New Roman;sans-serif" w:hAnsi="Times New Roman;sans-serif"/>
          <w:b w:val="false"/>
          <w:color w:val="000000"/>
          <w:sz w:val="20"/>
        </w:rPr>
        <w:t xml:space="preserve">Level 1 inputs are quoted prices (unadjusted) in active markets for identical assets or liabilities that the Company has the ability to access at the measurement date; </w:t>
      </w:r>
    </w:p>
    <w:p>
      <w:pPr>
        <w:pStyle w:val="TextBody"/>
        <w:spacing w:lineRule="auto" w:line="288" w:before="160" w:after="160"/>
        <w:ind w:left="0" w:right="0" w:hanging="360"/>
        <w:jc w:val="both"/>
        <w:rPr/>
      </w:pPr>
      <w:r>
        <w:rPr>
          <w:color w:val="000000"/>
        </w:rPr>
        <w:t>•</w:t>
      </w:r>
      <w:r>
        <w:rPr>
          <w:rFonts w:ascii="Times New Roman;sans-serif" w:hAnsi="Times New Roman;sans-serif"/>
          <w:b w:val="false"/>
          <w:color w:val="000000"/>
          <w:sz w:val="20"/>
        </w:rPr>
        <w:t>Level 2 inputs are inputs other than quoted prices included within Level 1 that are observable for the asset or liability, either directly or indirectly; and</w:t>
      </w:r>
    </w:p>
    <w:p>
      <w:pPr>
        <w:pStyle w:val="TextBody"/>
        <w:spacing w:lineRule="auto" w:line="288" w:before="160" w:after="160"/>
        <w:ind w:left="0" w:right="0" w:hanging="360"/>
        <w:jc w:val="both"/>
        <w:rPr/>
      </w:pPr>
      <w:r>
        <w:rPr>
          <w:color w:val="000000"/>
        </w:rPr>
        <w:t>•</w:t>
      </w:r>
      <w:r>
        <w:rPr>
          <w:rFonts w:ascii="Times New Roman;sans-serif" w:hAnsi="Times New Roman;sans-serif"/>
          <w:b w:val="false"/>
          <w:color w:val="000000"/>
          <w:sz w:val="20"/>
        </w:rPr>
        <w:t xml:space="preserve">Level 3 inputs are unobservable inputs for the asset or liability.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Valuation of the Company's interest rate swaps and cross-currency swaps are based on the income approach, which uses observable inputs such as interest rate yield curves and forward currency exchange rates, as applicable.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financial instruments reported in the balance sheet for current assets and current liabilities approximates fair value due to the short maturity of these instruments.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160" w:after="160"/>
        <w:jc w:val="both"/>
        <w:rPr/>
      </w:pP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The Company records assets acquired and liabilities assumed from acquisitions at fair value. The fair value of working capital accounts generally approximates book value. The valuation of inventory, property, plant and equipment, and intangible assets requires significant assumptions. Inventory is recorded at fair value based on the estimated selling price less costs to sell, including completion, disposal and holding period costs with a reasonable profit margin. Property and equipment is recorded at fair value using a combination of both the cost and market approaches for both the real and personal property acquired. Under the cost approach, consideration is given to the amount required to construct or purchase a new asset of equal value at current prices, with adjustments in value for physical deterioration, as well as functional and economic obsolescence. Under the market approach, recent transactions for similar types of assets are used as the basis for estimating fair value. For trademark/trade names and technology and other intangible assets, the estimated fair value is based on projected discounted future net cash flows using the relief-from-royalty method. For customer relationship intangible assets, the estimated fair value is based on projected discounted future cash flows using the excess earnings method. The relief-from-royalty and excess earnings method are both income approaches that utilize key assumptions such as forecasts of revenue and expenses over an extended period of time, royalty rate percentages, tax rates, and estimated costs of debt and equity capital to discount the projected cash flows.</w:t>
      </w:r>
    </w:p>
    <w:p>
      <w:pPr>
        <w:pStyle w:val="TextBody"/>
        <w:spacing w:lineRule="auto" w:line="288" w:before="160" w:after="160"/>
        <w:jc w:val="both"/>
        <w:rPr/>
      </w:pPr>
      <w:r>
        <w:rPr>
          <w:rFonts w:ascii="Times New Roman;sans-serif" w:hAnsi="Times New Roman;sans-serif"/>
          <w:b w:val="false"/>
          <w:i/>
          <w:color w:val="000000"/>
          <w:sz w:val="20"/>
        </w:rPr>
        <w:t>Stock-based Compensation.</w:t>
      </w:r>
      <w:r>
        <w:rPr>
          <w:color w:val="000000"/>
        </w:rPr>
        <w:t>  </w:t>
      </w:r>
      <w:r>
        <w:rPr>
          <w:rFonts w:ascii="Times New Roman;sans-serif" w:hAnsi="Times New Roman;sans-serif"/>
          <w:b w:val="false"/>
          <w:color w:val="000000"/>
          <w:sz w:val="20"/>
        </w:rPr>
        <w:t>The Company recognizes compensation expense related to equity awards based on their fair values as of the grant date. For awards with only a service condition, expense is recognized ratably over the vesting period. Performance based equity awards may have targets tied to performance and/or market-based conditions. Market-based conditions are taken into consideration in determining the grant date fair value, and the related compensation expense is recognized regardless of whether the market condition is satisfied, provided the requisite service has been provided. For performance condition components, the Company periodically updates the probability that the performance conditions will be achieved and adjusts expense accordingly, reflecting the change from prior estimate, if any, in current period non-cash stock compensation expense. The disclosed number of awards granted considers only the targeted number of units until such time that the performance condition has been satisfied. If the performance conditions are not achieved, no award is earned. See Note 19, “</w:t>
      </w:r>
      <w:r>
        <w:rPr>
          <w:rFonts w:ascii="Times New Roman;sans-serif" w:hAnsi="Times New Roman;sans-serif"/>
          <w:b w:val="false"/>
          <w:i/>
          <w:color w:val="000000"/>
          <w:sz w:val="20"/>
        </w:rPr>
        <w:t>Equity Awards</w:t>
      </w:r>
      <w:r>
        <w:rPr>
          <w:rFonts w:ascii="Times New Roman;sans-serif" w:hAnsi="Times New Roman;sans-serif"/>
          <w:b w:val="false"/>
          <w:color w:val="000000"/>
          <w:sz w:val="20"/>
        </w:rPr>
        <w:t>,” for further information.</w:t>
      </w:r>
    </w:p>
    <w:p>
      <w:pPr>
        <w:pStyle w:val="TextBody"/>
        <w:spacing w:lineRule="auto" w:line="288" w:before="160" w:after="160"/>
        <w:jc w:val="both"/>
        <w:rPr/>
      </w:pPr>
      <w:r>
        <w:rPr>
          <w:rFonts w:ascii="Times New Roman;sans-serif" w:hAnsi="Times New Roman;sans-serif"/>
          <w:b w:val="false"/>
          <w:i/>
          <w:color w:val="000000"/>
          <w:sz w:val="20"/>
        </w:rPr>
        <w:t>Other Comprehensive Income (Loss).</w:t>
      </w:r>
      <w:r>
        <w:rPr>
          <w:color w:val="000000"/>
        </w:rPr>
        <w:t>  </w:t>
      </w:r>
      <w:r>
        <w:rPr>
          <w:rFonts w:ascii="Times New Roman;sans-serif" w:hAnsi="Times New Roman;sans-serif"/>
          <w:b w:val="false"/>
          <w:color w:val="000000"/>
          <w:sz w:val="20"/>
        </w:rPr>
        <w:t>The Company refers to other comprehensive income (loss) as revenues, expenses, gains and losses that under accounting principles generally accepted in the United States of America are included in comprehensive income (loss) but are excluded from net earnings as these amounts are recorded directly as an adjustment to stockholders' equity. Other comprehensive income (loss) is comprised of foreign currency translation adjustments, amortization of prior service costs and unrecognized gains and losses in actuarial assumptions for pension and postretirement plans and changes in unrealized gains and losses on derivative instruments.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4. Acquisitions</w:t>
      </w:r>
    </w:p>
    <w:p>
      <w:pPr>
        <w:pStyle w:val="TextBody"/>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2021 Acquisitions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17, 2021, the Company acquired Omega Plastics ("Omega"), which specializes in manufacturing custom components and devices for drug delivery, diagnostic and orthopedic medical applications, as well as components for industrial applications, for an aggregate amount of approximately $22.5 million, net of cash acquired. Omega, which is reported in the Company's Packaging segment, is located in Clinton Township, Michigan and historically generated approximately $18 million in annual revenue.</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5, 2021, the Company acquired TFI Aerospace ("TFI"), a manufacturer and supplier of specialty fasteners used in a variety of applications, predominately for the aerospace end market, for an aggregate amount of approximately $11.8 million, with additional contingent consideration ranging from zero to approximately $12.0 million to be paid based on 2023 and 2024 earnings per the purchase agreement. The Company recorded $3.7 million as its best estimate of the additional contingent consideration, with such estimate based on Level 3 inputs under the fair value hierarchy, as defined. TFI, which is reported in the Company's Aerospace segment, is located near Toronto, Canada and historically generated approximately $6 million in annual revenue.</w:t>
      </w:r>
    </w:p>
    <w:p>
      <w:pPr>
        <w:pStyle w:val="TextBody"/>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2020 Acquisitions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15, 2020, the Company acquired Affaba &amp; Ferrari Srl ("Affaba &amp; Ferrari"), which specializes in the design, development and manufacture of precision caps and closures for food &amp; beverage and industrial product applications, for an aggregate amount of approximately $98.4 million, net of cash acquired. The fair value of assets acquired and liabilities assumed included approximately $49.1 million of goodwill, $35.1 million of intangible assets, $9.4 million of net working capital, $17.4 million of property and equipment, and $12.6 million of net deferred tax liabilities. Affaba &amp; Ferrari, which is reported in the Company's Packaging segment, operates out of a highly automated manufacturing facility and support office located in Borgo San Giovanni, Italy and historically generated approximately $34 million in annual revenue.</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April 17, 2020, the Company acquired the Rapak® brand, including certain bag-in-box product lines and assets ("Rapak") for an aggregate amount of approximately $11.4 million. Rapak, which is reported in the Company's Packaging segment, has manufacturing locations in Indiana, California and Illinois, and historically generated approximately $30 million in annual revenue.</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27, 2020, the Company acquired RSA Engineered Products ("RSA"), a manufacturer of complex, highly-engineered and proprietary ducting, connectors and related products for air management systems used in aerospace and defense applications, for an aggregate amount of approximately $83.7 million, net of cash acquired. The fair value of assets acquired and liabilities assumed included approximately $43.3 million of goodwill, $36.9 million of intangible assets, $10.1 million of net working capital, $2.1 million of property and equipment, and $8.7 million of net deferred tax liabilities. RSA, which is reported in the Company's Aerospace segment, is located in Simi Valley, California and historically generated approximately $30 million in annual revenue.</w:t>
      </w:r>
    </w:p>
    <w:p>
      <w:pPr>
        <w:pStyle w:val="TextBody"/>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2019 Acquisitions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2019, the Company acquired Taplast S.p.A. ("Taplast"), a designer and manufacturer of dispensers, closures and containers for the beauty and personal care, household, and food and beverage packaging end markets, for an aggregate amount of approximately $44.7 million, net of cash acquired. With manufacturing locations in both Italy and Slovakia, Taplast serves end markets in Europe and North America and historically generated approximately $32 million in annual revenue. Taplast is reported in the Company's Packaging segment.</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2019, the Company acquired Plastic Srl, a manufacturer of single-bodied and assembled polymeric caps and closures for use in home care products, for an aggregate amount of approximately $22.4 million, net of cash acquired. Located in Italy, Plastic Srl serves the home care market throughout Italy and other European countries and historically generated approximately $12 million in annual revenue. Plastic Srl is reported in the Company's Packaging segment.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5. Discontinued Operations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20, 2019, the Company completed the sale of its Lamons division ("Lamons") to two wholly-owned subsidiaries of an investment fund sponsored by First Reserve, pursuant to an Asset and Stock Purchase Agreement dated as of November 1, 2019 (the “Purchase Agreement”), for a purchase price of $136.8 million.</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net cash proceeds of approximately $112.7 million, which represented the purchase price, less estimated tax payments of approximately $20.9 million, transaction costs of approximately $3.2 million. The Company recorded a pre-tax gain on sale of approximately $38.9 million, which includes the recognition of previously deferred non-cash foreign currency translation losses of approximately $12.4 million.</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determined that Lamons met the criteria to be classified as a discontinued operation. As a result, the historical results for Lamons are reported in the accompanying consolidated statement of operations as a discontinued operation.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Results of discontinued operations are summarized as follows (dollars in thousands):</w:t>
      </w:r>
    </w:p>
    <w:tbl>
      <w:tblPr>
        <w:tblW w:w="7737" w:type="dxa"/>
        <w:jc w:val="center"/>
        <w:tblInd w:w="0" w:type="dxa"/>
        <w:tblCellMar>
          <w:top w:w="28" w:type="dxa"/>
          <w:left w:w="28" w:type="dxa"/>
          <w:bottom w:w="28" w:type="dxa"/>
          <w:right w:w="28" w:type="dxa"/>
        </w:tblCellMar>
      </w:tblPr>
      <w:tblGrid>
        <w:gridCol w:w="2082"/>
        <w:gridCol w:w="1378"/>
        <w:gridCol w:w="1400"/>
        <w:gridCol w:w="109"/>
        <w:gridCol w:w="109"/>
        <w:gridCol w:w="109"/>
        <w:gridCol w:w="109"/>
        <w:gridCol w:w="109"/>
        <w:gridCol w:w="109"/>
        <w:gridCol w:w="109"/>
        <w:gridCol w:w="374"/>
        <w:gridCol w:w="1467"/>
        <w:gridCol w:w="273"/>
      </w:tblGrid>
      <w:tr>
        <w:trPr/>
        <w:tc>
          <w:tcPr>
            <w:tcW w:w="2082" w:type="dxa"/>
            <w:tcBorders/>
            <w:shd w:fill="auto" w:val="clear"/>
            <w:vAlign w:val="center"/>
          </w:tcPr>
          <w:p>
            <w:pPr>
              <w:pStyle w:val="TableContents"/>
              <w:spacing w:before="0" w:after="283"/>
              <w:rPr>
                <w:sz w:val="4"/>
                <w:szCs w:val="4"/>
              </w:rPr>
            </w:pPr>
            <w:r>
              <w:rPr>
                <w:sz w:val="4"/>
                <w:szCs w:val="4"/>
              </w:rPr>
            </w:r>
          </w:p>
        </w:tc>
        <w:tc>
          <w:tcPr>
            <w:tcW w:w="1378"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1467"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r>
      <w:tr>
        <w:trPr/>
        <w:tc>
          <w:tcPr>
            <w:tcW w:w="4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48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182,590 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(138,100)</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44,490 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(32,920)</w:t>
            </w:r>
          </w:p>
        </w:tc>
        <w:tc>
          <w:tcPr>
            <w:tcW w:w="27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on dispositions of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38,900 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50,470 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4" w:type="dxa"/>
            <w:gridSpan w:val="3"/>
            <w:tcBorders/>
            <w:shd w:fill="auto" w:val="clear"/>
            <w:vAlign w:val="center"/>
          </w:tcPr>
          <w:p>
            <w:pPr>
              <w:pStyle w:val="TableContents"/>
              <w:spacing w:before="0" w:after="283"/>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discontinued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50,440 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(13,760)</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36,680 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6. Realignment Actions</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2021 Realignment Actions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2021, the Company executed certain realignment actions in response to reductions in current and expected future end market demand. First, the Company closed its Packaging segment's Union City, California manufacturing facility, consolidating the operation into its Indianapolis, Indiana and Woodridge, Illinois facilities. The Company also realigned its Aerospace segment footprint, consolidating certain activities previously in its Stanton, California facilities into its Tolleson, Arizona facility. In addition, the Company also reorganized its corporate office legal and finance groups. The Company recorded pre-tax realignment charges of approximately $9.7 million, of which approximately $3.5 million related to facility consolidations and approximately $6.2 million were for employee separation costs. As of December 31, 2021, approximately $2.4 million of the employee separation costs had been paid. During 2021, approximately $4.1 million of these charges were included in cost of sales and approximately $5.6 million were included in selling, general and administrative expenses, respectively, in the accompanying consolidated statement of operations.</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2020 Realignment Actions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2020, the Company executed certain realignment actions, primarily in its Aerospace and Specialty Products segments, in response to reductions in current and expected future end-market demand. The Company recorded non-cash charges of approximately $13.8 million related to inventory reductions, primarily as a result of a strategic decision in its Arrow Engine division to narrow its product line focus. The Company also recorded non-cash charges of approximately $2.3 million related to certain production equipment removed from service given reduced demand levels. In addition, the Company reduced its employment levels given lower customer demand, incurring approximately $3.8 million in severance charges, of which approximately $3.7 million was paid by December 31, 2020. During 2020, approximately $17.1 million of these charges were included in cost of sales and approximately $2.8 million were included in selling, general and administrative expenses in the accompanying consolidated statement of operations.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7. Revenue</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disaggregated net sales by primary market served (dollars in thousands):</w:t>
      </w:r>
    </w:p>
    <w:tbl>
      <w:tblPr>
        <w:tblW w:w="6413" w:type="dxa"/>
        <w:jc w:val="center"/>
        <w:tblInd w:w="0" w:type="dxa"/>
        <w:tblCellMar>
          <w:top w:w="28" w:type="dxa"/>
          <w:left w:w="28" w:type="dxa"/>
          <w:bottom w:w="28" w:type="dxa"/>
          <w:right w:w="28" w:type="dxa"/>
        </w:tblCellMar>
      </w:tblPr>
      <w:tblGrid>
        <w:gridCol w:w="706"/>
        <w:gridCol w:w="620"/>
        <w:gridCol w:w="623"/>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06"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Customer End Markets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19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Products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 &amp; Defense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857,110 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769,970 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723,530 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Packaging segment earns revenues from the consumer products (comprised of the beauty and personal care, home care, food and beverage, pharmaceutical and nutraceutical submarkets) and industrial markets. The Aerospace segment earns revenues from the aerospace &amp; defense market (comprised of commercial, regional and business jet and military submarkets). The Specialty Products segment earns revenues from a variety of submarkets within the industrial market.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8. Cash and Cash Equivalents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consists of the following components (dollars in thousands): </w:t>
      </w:r>
    </w:p>
    <w:tbl>
      <w:tblPr>
        <w:tblW w:w="6360" w:type="dxa"/>
        <w:jc w:val="left"/>
        <w:tblInd w:w="0" w:type="dxa"/>
        <w:tblCellMar>
          <w:top w:w="28" w:type="dxa"/>
          <w:left w:w="28" w:type="dxa"/>
          <w:bottom w:w="28" w:type="dxa"/>
          <w:right w:w="28" w:type="dxa"/>
        </w:tblCellMar>
      </w:tblPr>
      <w:tblGrid>
        <w:gridCol w:w="1224"/>
        <w:gridCol w:w="1073"/>
        <w:gridCol w:w="1078"/>
        <w:gridCol w:w="109"/>
        <w:gridCol w:w="109"/>
        <w:gridCol w:w="109"/>
        <w:gridCol w:w="211"/>
        <w:gridCol w:w="826"/>
        <w:gridCol w:w="109"/>
        <w:gridCol w:w="109"/>
        <w:gridCol w:w="109"/>
        <w:gridCol w:w="109"/>
        <w:gridCol w:w="230"/>
        <w:gridCol w:w="787"/>
        <w:gridCol w:w="168"/>
      </w:tblGrid>
      <w:tr>
        <w:trPr/>
        <w:tc>
          <w:tcPr>
            <w:tcW w:w="1224"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2020</w:t>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 unrestricted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62,790 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Cash - restricted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73,950 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16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w:t>
      </w:r>
    </w:p>
    <w:p>
      <w:pPr>
        <w:pStyle w:val="TextBody"/>
        <w:spacing w:lineRule="auto" w:line="288" w:before="160" w:after="160"/>
        <w:ind w:left="0" w:right="0" w:hanging="360"/>
        <w:jc w:val="both"/>
        <w:rPr/>
      </w:pPr>
      <w:r>
        <w:rPr>
          <w:rFonts w:ascii="Times New Roman;sans-serif" w:hAnsi="Times New Roman;sans-serif"/>
          <w:b w:val="false"/>
          <w:color w:val="000000"/>
          <w:sz w:val="10"/>
        </w:rPr>
        <w:t>(a)     </w:t>
      </w:r>
      <w:r>
        <w:rPr>
          <w:rFonts w:ascii="Times New Roman;sans-serif" w:hAnsi="Times New Roman;sans-serif"/>
          <w:b w:val="false"/>
          <w:color w:val="000000"/>
          <w:sz w:val="16"/>
        </w:rPr>
        <w:t>Includes cash placed on deposit with a financial institution to be held as cash collateral for the Company's outstanding letters of credit.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9. Goodwill and Other Intangible Assets </w:t>
      </w:r>
    </w:p>
    <w:p>
      <w:pPr>
        <w:pStyle w:val="TextBody"/>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performed a qualitative assessment as part of its 2021, 2020 and 2019 annual impairment tests (October 1 annual test date) for all reporting units, which included a review of the Company’s market capitalization. Based on results of the qualitative assessments for the 2021, 2020 and 2019 annual impairment tests, the Company determined there were no indications that the fair value of a reporting unit was less than its carrying amount; therefore, the Company determined that quantitative goodwill impairment tests were not required.</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2020, as a result of a decline in its aerospace-related business' financial results, a significant reduction in its financial projections for the remainder of 2020 compared with prior projections, and uncertainty around the duration and magnitude of the impact of the COVID-19 pandemic on future financial results given their dependence on future levels of air travel and new aircraft builds, the Company determined there was a triggering event requiring an interim quantitative goodwill impairment assessment of each of its two aerospace-related reporting units: Aerospace Fasteners and Aerospace Engineered Products.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completion of the quantitative goodwill impairment tests, the Company determined that the carrying values of the Aerospace Fasteners and Aerospace Engineered Products reporting units exceeded their fair values, resulting in goodwill impairment charges of approximately $70.8 million in its Aerospace Fasteners reporting unit and approximately $56.0 million in its Aerospace Engineered Products reporting unit.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2020, the Company began reporting its machined components operations within the Aerospace segment. These operations were previously reported in the Company's Specialty Products segment. As a result of the reporting structure change, goodwill of approximately $12.7 million was reassigned from the Specialty Products segment to the Aerospace segment.</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carrying amount of goodwill for the years ended December 31, 2021 and 2020 are as follows (dollars in thousands):</w:t>
      </w:r>
    </w:p>
    <w:tbl>
      <w:tblPr>
        <w:tblW w:w="9457" w:type="dxa"/>
        <w:jc w:val="center"/>
        <w:tblInd w:w="0" w:type="dxa"/>
        <w:tblCellMar>
          <w:top w:w="28" w:type="dxa"/>
          <w:left w:w="28" w:type="dxa"/>
          <w:bottom w:w="28" w:type="dxa"/>
          <w:right w:w="28" w:type="dxa"/>
        </w:tblCellMar>
      </w:tblPr>
      <w:tblGrid>
        <w:gridCol w:w="1352"/>
        <w:gridCol w:w="1189"/>
        <w:gridCol w:w="1193"/>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09"/>
        <w:gridCol w:w="109"/>
        <w:gridCol w:w="211"/>
        <w:gridCol w:w="826"/>
        <w:gridCol w:w="154"/>
      </w:tblGrid>
      <w:tr>
        <w:trPr/>
        <w:tc>
          <w:tcPr>
            <w:tcW w:w="1352"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Specialty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Packaging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Aerospace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Products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2019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334,640 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from acquisitions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reassigned in segment realignment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(126,840)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and other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2020</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from acquisitions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and 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60"/>
        <w:rPr>
          <w:rFonts w:ascii="Times New Roman;sans-serif" w:hAnsi="Times New Roman;sans-serif"/>
          <w:b w:val="false"/>
          <w:i/>
          <w:color w:val="000000"/>
          <w:sz w:val="20"/>
        </w:rPr>
      </w:pPr>
      <w:r>
        <w:rPr>
          <w:rFonts w:ascii="Times New Roman;sans-serif" w:hAnsi="Times New Roman;sans-serif"/>
          <w:b w:val="false"/>
          <w:i/>
          <w:color w:val="000000"/>
          <w:sz w:val="20"/>
        </w:rPr>
        <w:t>Other Intangible Assets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For the purposes of the Company's 2021, 2020 and 2019 annual indefinite-lived intangible asset impairment tests (as of October 1), the Company performed a qualitative assessment to determine whether it was more likely than not that the fair values of the indefinite-lived intangible assets were less than the carrying values. Based on the qualitative assessment performed, the Company did not believe that it is more likely than not that the fair values of each of its indefinite-lived intangible assets were less than the carrying values; therefore, a fair value calculation of the indefinite-lived intangible assets was not required for the 2021, 2020 and 2019 annual indefinite-lived intangible asset impairment tests.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2020, as a result of the significant forecast reduction in the Company's aerospace-related businesses, the Company also performed an interim quantitative assessment for the indefinite-lived intangible assets within the Aerospace segment, using the relief-from-royalty method. Significant management assumptions used under the relief-from-royalty method reflected the Company's current assessment of the risks and uncertainties associated with the aerospace industry. Upon completion of the quantitative impairment test, the Company determined that certain of the Company's aerospace-related trade names had carrying values that exceeded their fair values, and therefore recorded impairment charges of approximately $7.8 million.</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gross carrying amounts and accumulated amortization of the Company's other intangibles as of December 31, 2021 and 2020 are summarized below (dollars in thousands):</w:t>
      </w:r>
    </w:p>
    <w:tbl>
      <w:tblPr>
        <w:tblW w:w="9524" w:type="dxa"/>
        <w:jc w:val="left"/>
        <w:tblInd w:w="0" w:type="dxa"/>
        <w:tblCellMar>
          <w:top w:w="28" w:type="dxa"/>
          <w:left w:w="28" w:type="dxa"/>
          <w:bottom w:w="28" w:type="dxa"/>
          <w:right w:w="28" w:type="dxa"/>
        </w:tblCellMar>
      </w:tblPr>
      <w:tblGrid>
        <w:gridCol w:w="1131"/>
        <w:gridCol w:w="991"/>
        <w:gridCol w:w="997"/>
        <w:gridCol w:w="109"/>
        <w:gridCol w:w="109"/>
        <w:gridCol w:w="109"/>
        <w:gridCol w:w="240"/>
        <w:gridCol w:w="941"/>
        <w:gridCol w:w="124"/>
        <w:gridCol w:w="109"/>
        <w:gridCol w:w="109"/>
        <w:gridCol w:w="109"/>
        <w:gridCol w:w="211"/>
        <w:gridCol w:w="901"/>
        <w:gridCol w:w="109"/>
        <w:gridCol w:w="109"/>
        <w:gridCol w:w="109"/>
        <w:gridCol w:w="109"/>
        <w:gridCol w:w="240"/>
        <w:gridCol w:w="941"/>
        <w:gridCol w:w="124"/>
        <w:gridCol w:w="109"/>
        <w:gridCol w:w="109"/>
        <w:gridCol w:w="109"/>
        <w:gridCol w:w="211"/>
        <w:gridCol w:w="901"/>
        <w:gridCol w:w="154"/>
      </w:tblGrid>
      <w:tr>
        <w:trPr/>
        <w:tc>
          <w:tcPr>
            <w:tcW w:w="113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2020</w:t>
            </w:r>
          </w:p>
        </w:tc>
      </w:tr>
      <w:tr>
        <w:trPr/>
        <w:tc>
          <w:tcPr>
            <w:tcW w:w="3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Intangible Category by Useful Life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r>
      <w:tr>
        <w:trPr/>
        <w:tc>
          <w:tcPr>
            <w:tcW w:w="31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 5 - 12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124,310 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122,970 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(59,470)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 15 - 25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130,190 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122,280 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customer relationships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254,500 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245,250 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other, 1 - 15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57,060 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57,180 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other, 17 - 30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technology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100,360 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100,480 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Trademark/Trade names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57,270 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54,640 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412,130 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400,370 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(194,170)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intangible assets as included in the accompanying consolidated statement of operations is summarized as follows (dollars in thousands):</w:t>
      </w:r>
    </w:p>
    <w:tbl>
      <w:tblPr>
        <w:tblW w:w="10205" w:type="dxa"/>
        <w:jc w:val="center"/>
        <w:tblInd w:w="0" w:type="dxa"/>
        <w:tblCellMar>
          <w:top w:w="28" w:type="dxa"/>
          <w:left w:w="28" w:type="dxa"/>
          <w:bottom w:w="28" w:type="dxa"/>
          <w:right w:w="28" w:type="dxa"/>
        </w:tblCellMar>
      </w:tblPr>
      <w:tblGrid>
        <w:gridCol w:w="2203"/>
        <w:gridCol w:w="1923"/>
        <w:gridCol w:w="1928"/>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2203" w:type="dxa"/>
            <w:tcBorders/>
            <w:shd w:fill="auto" w:val="clear"/>
            <w:vAlign w:val="center"/>
          </w:tcPr>
          <w:p>
            <w:pPr>
              <w:pStyle w:val="TableContents"/>
              <w:spacing w:before="0" w:after="283"/>
              <w:rPr>
                <w:sz w:val="4"/>
                <w:szCs w:val="4"/>
              </w:rPr>
            </w:pPr>
            <w:r>
              <w:rPr>
                <w:sz w:val="4"/>
                <w:szCs w:val="4"/>
              </w:rPr>
            </w:r>
          </w:p>
        </w:tc>
        <w:tc>
          <w:tcPr>
            <w:tcW w:w="1923" w:type="dxa"/>
            <w:tcBorders/>
            <w:shd w:fill="auto" w:val="clear"/>
            <w:vAlign w:val="center"/>
          </w:tcPr>
          <w:p>
            <w:pPr>
              <w:pStyle w:val="TableContents"/>
              <w:spacing w:before="0" w:after="283"/>
              <w:rPr>
                <w:sz w:val="4"/>
                <w:szCs w:val="4"/>
              </w:rPr>
            </w:pPr>
            <w:r>
              <w:rPr>
                <w:sz w:val="4"/>
                <w:szCs w:val="4"/>
              </w:rPr>
            </w:r>
          </w:p>
        </w:tc>
        <w:tc>
          <w:tcPr>
            <w:tcW w:w="19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6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other, included in cost of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 included in 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Estimated amortization expense for the next five fiscal years beginning after December 31, 2021 is as follows (dollars in thousands):</w:t>
      </w:r>
    </w:p>
    <w:tbl>
      <w:tblPr>
        <w:tblW w:w="4768" w:type="dxa"/>
        <w:jc w:val="center"/>
        <w:tblInd w:w="0" w:type="dxa"/>
        <w:tblCellMar>
          <w:top w:w="28" w:type="dxa"/>
          <w:left w:w="28" w:type="dxa"/>
          <w:bottom w:w="28" w:type="dxa"/>
          <w:right w:w="28" w:type="dxa"/>
        </w:tblCellMar>
      </w:tblPr>
      <w:tblGrid>
        <w:gridCol w:w="755"/>
        <w:gridCol w:w="663"/>
        <w:gridCol w:w="666"/>
        <w:gridCol w:w="207"/>
        <w:gridCol w:w="207"/>
        <w:gridCol w:w="207"/>
        <w:gridCol w:w="401"/>
        <w:gridCol w:w="1370"/>
        <w:gridCol w:w="292"/>
      </w:tblGrid>
      <w:tr>
        <w:trPr/>
        <w:tc>
          <w:tcPr>
            <w:tcW w:w="755"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2684"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Amortization Expense</w:t>
            </w:r>
          </w:p>
        </w:tc>
      </w:tr>
      <w:tr>
        <w:trPr/>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6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6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17,200 </w:t>
            </w:r>
          </w:p>
        </w:tc>
        <w:tc>
          <w:tcPr>
            <w:tcW w:w="2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6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15,700 </w:t>
            </w:r>
          </w:p>
        </w:tc>
        <w:tc>
          <w:tcPr>
            <w:tcW w:w="2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6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15,350 </w:t>
            </w:r>
          </w:p>
        </w:tc>
        <w:tc>
          <w:tcPr>
            <w:tcW w:w="2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6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13,630 </w:t>
            </w:r>
          </w:p>
        </w:tc>
        <w:tc>
          <w:tcPr>
            <w:tcW w:w="2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60" w:after="16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10. Inventories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consist of the following components (dollars in thousands):</w:t>
      </w:r>
    </w:p>
    <w:tbl>
      <w:tblPr>
        <w:tblW w:w="4506" w:type="dxa"/>
        <w:jc w:val="left"/>
        <w:tblInd w:w="0" w:type="dxa"/>
        <w:tblCellMar>
          <w:top w:w="28" w:type="dxa"/>
          <w:left w:w="28" w:type="dxa"/>
          <w:bottom w:w="28" w:type="dxa"/>
          <w:right w:w="28" w:type="dxa"/>
        </w:tblCellMar>
      </w:tblPr>
      <w:tblGrid>
        <w:gridCol w:w="549"/>
        <w:gridCol w:w="482"/>
        <w:gridCol w:w="484"/>
        <w:gridCol w:w="109"/>
        <w:gridCol w:w="109"/>
        <w:gridCol w:w="109"/>
        <w:gridCol w:w="211"/>
        <w:gridCol w:w="826"/>
        <w:gridCol w:w="109"/>
        <w:gridCol w:w="109"/>
        <w:gridCol w:w="109"/>
        <w:gridCol w:w="109"/>
        <w:gridCol w:w="211"/>
        <w:gridCol w:w="826"/>
        <w:gridCol w:w="154"/>
      </w:tblGrid>
      <w:tr>
        <w:trPr/>
        <w:tc>
          <w:tcPr>
            <w:tcW w:w="54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2020</w:t>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11. Property and Equipment, Net</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consists of the following components (dollars in thousands):</w:t>
      </w:r>
    </w:p>
    <w:tbl>
      <w:tblPr>
        <w:tblW w:w="6140" w:type="dxa"/>
        <w:jc w:val="left"/>
        <w:tblInd w:w="0" w:type="dxa"/>
        <w:tblCellMar>
          <w:top w:w="28" w:type="dxa"/>
          <w:left w:w="28" w:type="dxa"/>
          <w:bottom w:w="28" w:type="dxa"/>
          <w:right w:w="28" w:type="dxa"/>
        </w:tblCellMar>
      </w:tblPr>
      <w:tblGrid>
        <w:gridCol w:w="1140"/>
        <w:gridCol w:w="1002"/>
        <w:gridCol w:w="1007"/>
        <w:gridCol w:w="109"/>
        <w:gridCol w:w="109"/>
        <w:gridCol w:w="109"/>
        <w:gridCol w:w="211"/>
        <w:gridCol w:w="826"/>
        <w:gridCol w:w="109"/>
        <w:gridCol w:w="109"/>
        <w:gridCol w:w="109"/>
        <w:gridCol w:w="109"/>
        <w:gridCol w:w="211"/>
        <w:gridCol w:w="826"/>
        <w:gridCol w:w="154"/>
      </w:tblGrid>
      <w:tr>
        <w:trPr/>
        <w:tc>
          <w:tcPr>
            <w:tcW w:w="1140"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2020</w:t>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land improvements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building improvements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496,020 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as included in the accompanying consolidated statement of operations is as follows (dollars in thousands):</w:t>
      </w:r>
    </w:p>
    <w:tbl>
      <w:tblPr>
        <w:tblW w:w="10205" w:type="dxa"/>
        <w:jc w:val="center"/>
        <w:tblInd w:w="0" w:type="dxa"/>
        <w:tblCellMar>
          <w:top w:w="28" w:type="dxa"/>
          <w:left w:w="28" w:type="dxa"/>
          <w:bottom w:w="28" w:type="dxa"/>
          <w:right w:w="28" w:type="dxa"/>
        </w:tblCellMar>
      </w:tblPr>
      <w:tblGrid>
        <w:gridCol w:w="2198"/>
        <w:gridCol w:w="1926"/>
        <w:gridCol w:w="1931"/>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2198" w:type="dxa"/>
            <w:tcBorders/>
            <w:shd w:fill="auto" w:val="clear"/>
            <w:vAlign w:val="center"/>
          </w:tcPr>
          <w:p>
            <w:pPr>
              <w:pStyle w:val="TableContents"/>
              <w:spacing w:before="0" w:after="283"/>
              <w:rPr>
                <w:sz w:val="4"/>
                <w:szCs w:val="4"/>
              </w:rPr>
            </w:pPr>
            <w:r>
              <w:rPr>
                <w:sz w:val="4"/>
                <w:szCs w:val="4"/>
              </w:rPr>
            </w:r>
          </w:p>
        </w:tc>
        <w:tc>
          <w:tcPr>
            <w:tcW w:w="1926" w:type="dxa"/>
            <w:tcBorders/>
            <w:shd w:fill="auto" w:val="clear"/>
            <w:vAlign w:val="center"/>
          </w:tcPr>
          <w:p>
            <w:pPr>
              <w:pStyle w:val="TableContents"/>
              <w:spacing w:before="0" w:after="283"/>
              <w:rPr>
                <w:sz w:val="4"/>
                <w:szCs w:val="4"/>
              </w:rPr>
            </w:pPr>
            <w:r>
              <w:rPr>
                <w:sz w:val="4"/>
                <w:szCs w:val="4"/>
              </w:rPr>
            </w:r>
          </w:p>
        </w:tc>
        <w:tc>
          <w:tcPr>
            <w:tcW w:w="1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6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included in cost of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included in 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12. Accrued Liabilities</w:t>
      </w:r>
    </w:p>
    <w:p>
      <w:pPr>
        <w:pStyle w:val="TextBody"/>
        <w:spacing w:lineRule="auto" w:line="288" w:before="160" w:after="160"/>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 of the following components (dollars in thousands):</w:t>
      </w:r>
    </w:p>
    <w:tbl>
      <w:tblPr>
        <w:tblW w:w="5243" w:type="dxa"/>
        <w:jc w:val="left"/>
        <w:tblInd w:w="0" w:type="dxa"/>
        <w:tblCellMar>
          <w:top w:w="28" w:type="dxa"/>
          <w:left w:w="28" w:type="dxa"/>
          <w:bottom w:w="28" w:type="dxa"/>
          <w:right w:w="28" w:type="dxa"/>
        </w:tblCellMar>
      </w:tblPr>
      <w:tblGrid>
        <w:gridCol w:w="819"/>
        <w:gridCol w:w="720"/>
        <w:gridCol w:w="725"/>
        <w:gridCol w:w="109"/>
        <w:gridCol w:w="109"/>
        <w:gridCol w:w="109"/>
        <w:gridCol w:w="231"/>
        <w:gridCol w:w="790"/>
        <w:gridCol w:w="119"/>
        <w:gridCol w:w="109"/>
        <w:gridCol w:w="109"/>
        <w:gridCol w:w="109"/>
        <w:gridCol w:w="230"/>
        <w:gridCol w:w="787"/>
        <w:gridCol w:w="168"/>
      </w:tblGrid>
      <w:tr>
        <w:trPr/>
        <w:tc>
          <w:tcPr>
            <w:tcW w:w="819"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2020</w:t>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 deductible insurance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32,420 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58,980 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60" w:after="1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13. Long-term Debt</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long-term debt consists of the following (dollars in thousands): </w:t>
      </w:r>
    </w:p>
    <w:tbl>
      <w:tblPr>
        <w:tblW w:w="6321" w:type="dxa"/>
        <w:jc w:val="left"/>
        <w:tblInd w:w="0" w:type="dxa"/>
        <w:tblCellMar>
          <w:top w:w="28" w:type="dxa"/>
          <w:left w:w="28" w:type="dxa"/>
          <w:bottom w:w="28" w:type="dxa"/>
          <w:right w:w="28" w:type="dxa"/>
        </w:tblCellMar>
      </w:tblPr>
      <w:tblGrid>
        <w:gridCol w:w="1206"/>
        <w:gridCol w:w="1060"/>
        <w:gridCol w:w="1064"/>
        <w:gridCol w:w="109"/>
        <w:gridCol w:w="109"/>
        <w:gridCol w:w="109"/>
        <w:gridCol w:w="211"/>
        <w:gridCol w:w="826"/>
        <w:gridCol w:w="109"/>
        <w:gridCol w:w="109"/>
        <w:gridCol w:w="109"/>
        <w:gridCol w:w="109"/>
        <w:gridCol w:w="211"/>
        <w:gridCol w:w="826"/>
        <w:gridCol w:w="154"/>
      </w:tblGrid>
      <w:tr>
        <w:trPr/>
        <w:tc>
          <w:tcPr>
            <w:tcW w:w="1206"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2020</w:t>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4.125% Senior Notes due April 2029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4.875% Senior Notes due October 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60"/>
        <w:rPr>
          <w:rFonts w:ascii="Times New Roman;sans-serif" w:hAnsi="Times New Roman;sans-serif"/>
          <w:b w:val="false"/>
          <w:i/>
          <w:color w:val="000000"/>
          <w:sz w:val="20"/>
        </w:rPr>
      </w:pPr>
      <w:r>
        <w:rPr>
          <w:rFonts w:ascii="Times New Roman;sans-serif" w:hAnsi="Times New Roman;sans-serif"/>
          <w:b w:val="false"/>
          <w:i/>
          <w:color w:val="000000"/>
          <w:sz w:val="20"/>
        </w:rPr>
        <w:t>Senior Notes due 2029</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2021, the Company issued $400.0 million aggregate principal amount of 4.125% senior notes outstanding due April 15, 2029 ("2029 Senior Notes") at par value in a private placement under Rule 144A of the Securities Act of 1933, as amended ("Securities Act"). The Company used the proceeds from the 2029 Senior Notes offering to pay fees and expenses of approximately $5.1 million related to the offering and pay fees and expenses of $1.1 million related to amending its existing credit agreement. In connection with the issuance, the Company completed the redemption of its outstanding 4.875% senior notes due October 15, 2025 ("2025 Senior Notes"), paying $300.0 million to retire the outstanding principal amount plus $7.3 million as a redemption premium. The remaining cash proceeds from the 2029 Senior Notes were used for general corporate purposes, including repaying all outstanding revolving credit facility borrowings. The $5.1 million of fees and expenses related to the 2029 Senior Notes were capitalized as debt issuance costs, while the $7.3 million redemption premium, as well as approximately $3.0 million of unamortized debt issuance costs associated with the 2025 Senior Notes, were included in debt financing and related expenses in the accompanying consolidated statement of operations. </w:t>
      </w:r>
    </w:p>
    <w:p>
      <w:pPr>
        <w:pStyle w:val="TextBody"/>
        <w:spacing w:lineRule="auto" w:line="288" w:before="160" w:after="160"/>
        <w:jc w:val="both"/>
        <w:rPr/>
      </w:pPr>
      <w:r>
        <w:rPr>
          <w:rFonts w:ascii="Times New Roman;sans-serif" w:hAnsi="Times New Roman;sans-serif"/>
          <w:b w:val="false"/>
          <w:color w:val="000000"/>
          <w:sz w:val="20"/>
        </w:rPr>
        <w:t xml:space="preserve">The 2029 Senior Notes accrue interest at a rate of 4.125% per annum, payable semi-annually in arrears on April 15 and October 15, commencing on October 15, 2021. The payment of principal and interest is jointly and severally guaranteed, on a senior unsecured basis, by certain subsidiaries of the Company. The 2029 Senior Notes are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in right of payment with all existing and future senior indebtedness and effectively subordinated to all existing and future secured indebtedness to the extent of the value of the assets securing such indebtedness.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Prior to April 15, 2024, the Company may redeem up to 40% of the principal amount of the 2029 Senior Notes at a redemption price of 104.125% of the principal amount, plus accrued and unpaid interest, if any, to the redemption date, with the net cash proceeds of one or more equity offerings provided that each such redemption occurs within 90 days of the date of closing of each such equity offering. In addition, prior to April 15, 2024, the Company may redeem all or part of the 2029 Senior Notes at a redemption price equal to 100% of the principal amount thereof, plus accrued and unpaid interest, if any, to the redemption date, plus a "make whole" premium. On or after April 15, 2024, the Company may redeem all or part of the 2029 Senior Notes at the redemption prices (expressed as percentages of principal amount) set forth below, plus accrued and unpaid interest, if any, to the redemption date, if redeemed during the twelve-month period beginning on April 15 of the years indicated below:</w:t>
      </w:r>
    </w:p>
    <w:tbl>
      <w:tblPr>
        <w:tblW w:w="3425" w:type="dxa"/>
        <w:jc w:val="center"/>
        <w:tblInd w:w="0" w:type="dxa"/>
        <w:tblCellMar>
          <w:top w:w="28" w:type="dxa"/>
          <w:left w:w="28" w:type="dxa"/>
          <w:bottom w:w="28" w:type="dxa"/>
          <w:right w:w="28" w:type="dxa"/>
        </w:tblCellMar>
      </w:tblPr>
      <w:tblGrid>
        <w:gridCol w:w="610"/>
        <w:gridCol w:w="537"/>
        <w:gridCol w:w="547"/>
        <w:gridCol w:w="109"/>
        <w:gridCol w:w="109"/>
        <w:gridCol w:w="109"/>
        <w:gridCol w:w="413"/>
        <w:gridCol w:w="413"/>
        <w:gridCol w:w="578"/>
      </w:tblGrid>
      <w:tr>
        <w:trPr/>
        <w:tc>
          <w:tcPr>
            <w:tcW w:w="610"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102.063 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101.031 </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and thereafter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60" w:after="160"/>
        <w:rPr>
          <w:rFonts w:ascii="Times New Roman;sans-serif" w:hAnsi="Times New Roman;sans-serif"/>
          <w:b w:val="false"/>
          <w:i/>
          <w:color w:val="000000"/>
          <w:sz w:val="20"/>
        </w:rPr>
      </w:pPr>
      <w:r>
        <w:rPr>
          <w:rFonts w:ascii="Times New Roman;sans-serif" w:hAnsi="Times New Roman;sans-serif"/>
          <w:b w:val="false"/>
          <w:i/>
          <w:color w:val="000000"/>
          <w:sz w:val="20"/>
        </w:rPr>
        <w:t>Senior Notes due 2025</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2017, the Company issued $300.0 million aggregate principal amount of its 2025 Senior Notes at par value in a private placement under Rule 144A of the Securities Act. During the second quarter of 2021, and in connection with the issuance of the 2029 Senior Notes, the Company redeemed all of the outstanding 2025 Senior Notes, as permitted under the indenture, at a price of 102.438% of the principal amount. </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160" w:after="1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Credit Agreement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2021, the Company amended its existing credit agreement ("Credit Agreement") in connection with the issuance of the 2029 Senior Notes to extend the maturity date. The Company incurred fees and expenses of approximately $1.1 million related to the amendment, all of which was capitalized as debt issuance costs. The Company also recorded approximately $0.2 million of non-cash expense related to the write-off of previously capitalized deferred financing fees.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key terms under the Credit Agreement as of December 31, 2021, compared to the key terms prior to the amendment (showing gross availability):</w:t>
      </w:r>
    </w:p>
    <w:tbl>
      <w:tblPr>
        <w:tblW w:w="8568" w:type="dxa"/>
        <w:jc w:val="left"/>
        <w:tblInd w:w="0" w:type="dxa"/>
        <w:tblCellMar>
          <w:top w:w="28" w:type="dxa"/>
          <w:left w:w="28" w:type="dxa"/>
          <w:bottom w:w="28" w:type="dxa"/>
          <w:right w:w="28" w:type="dxa"/>
        </w:tblCellMar>
      </w:tblPr>
      <w:tblGrid>
        <w:gridCol w:w="1210"/>
        <w:gridCol w:w="1062"/>
        <w:gridCol w:w="1072"/>
        <w:gridCol w:w="109"/>
        <w:gridCol w:w="109"/>
        <w:gridCol w:w="109"/>
        <w:gridCol w:w="384"/>
        <w:gridCol w:w="384"/>
        <w:gridCol w:w="386"/>
        <w:gridCol w:w="109"/>
        <w:gridCol w:w="109"/>
        <w:gridCol w:w="109"/>
        <w:gridCol w:w="319"/>
        <w:gridCol w:w="319"/>
        <w:gridCol w:w="321"/>
        <w:gridCol w:w="109"/>
        <w:gridCol w:w="109"/>
        <w:gridCol w:w="109"/>
        <w:gridCol w:w="624"/>
        <w:gridCol w:w="624"/>
        <w:gridCol w:w="882"/>
      </w:tblGrid>
      <w:tr>
        <w:trPr/>
        <w:tc>
          <w:tcPr>
            <w:tcW w:w="1210"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Instrument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br/>
              <w:t>($ 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w:t>
              <w:b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Interest Rate</w:t>
            </w:r>
          </w:p>
        </w:tc>
      </w:tr>
      <w:tr>
        <w:trPr/>
        <w:tc>
          <w:tcPr>
            <w:tcW w:w="33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Credit Agreement (as amended)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revolving credit facility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3/29/2026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LIBOR</w:t>
            </w: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20"/>
              </w:rPr>
              <w:t>plus 1.500%</w:t>
            </w:r>
            <w:r>
              <w:rPr>
                <w:rFonts w:ascii="Times New Roman;sans-serif" w:hAnsi="Times New Roman;sans-serif"/>
                <w:b w:val="false"/>
                <w:color w:val="000000"/>
                <w:sz w:val="13"/>
              </w:rPr>
              <w:t>(b)</w:t>
            </w:r>
          </w:p>
        </w:tc>
      </w:tr>
      <w:tr>
        <w:trPr/>
        <w:tc>
          <w:tcPr>
            <w:tcW w:w="33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Credit Agreement (prior to amending)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revolving credit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9/20/2022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LIBOR</w:t>
            </w: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20"/>
              </w:rPr>
              <w:t>plus 1.500%</w:t>
            </w:r>
            <w:r>
              <w:rPr>
                <w:rFonts w:ascii="Times New Roman;sans-serif" w:hAnsi="Times New Roman;sans-serif"/>
                <w:b w:val="false"/>
                <w:color w:val="000000"/>
                <w:sz w:val="13"/>
              </w:rPr>
              <w:t>(b)</w:t>
            </w:r>
          </w:p>
        </w:tc>
      </w:tr>
    </w:tbl>
    <w:p>
      <w:pPr>
        <w:pStyle w:val="TextBody"/>
        <w:spacing w:lineRule="auto" w:line="288" w:before="260" w:after="160"/>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w:t>
      </w:r>
    </w:p>
    <w:p>
      <w:pPr>
        <w:pStyle w:val="TextBody"/>
        <w:spacing w:lineRule="auto" w:line="288" w:before="160" w:after="160"/>
        <w:ind w:left="0" w:right="0" w:hanging="360"/>
        <w:jc w:val="both"/>
        <w:rPr/>
      </w:pPr>
      <w:r>
        <w:rPr>
          <w:rFonts w:ascii="Times New Roman;sans-serif" w:hAnsi="Times New Roman;sans-serif"/>
          <w:b w:val="false"/>
          <w:color w:val="000000"/>
          <w:sz w:val="10"/>
        </w:rPr>
        <w:t>(a)     </w:t>
      </w:r>
      <w:r>
        <w:rPr>
          <w:rFonts w:ascii="Times New Roman;sans-serif" w:hAnsi="Times New Roman;sans-serif"/>
          <w:b w:val="false"/>
          <w:color w:val="000000"/>
          <w:sz w:val="16"/>
        </w:rPr>
        <w:t>London Interbank Offered Rate ("LIBOR")</w:t>
      </w:r>
    </w:p>
    <w:p>
      <w:pPr>
        <w:pStyle w:val="TextBody"/>
        <w:spacing w:lineRule="auto" w:line="288" w:before="160" w:after="160"/>
        <w:ind w:left="0" w:right="0" w:hanging="360"/>
        <w:jc w:val="both"/>
        <w:rPr/>
      </w:pPr>
      <w:r>
        <w:rPr>
          <w:rFonts w:ascii="Times New Roman;sans-serif" w:hAnsi="Times New Roman;sans-serif"/>
          <w:b w:val="false"/>
          <w:color w:val="000000"/>
          <w:sz w:val="10"/>
        </w:rPr>
        <w:t>(b)     </w:t>
      </w:r>
      <w:r>
        <w:rPr>
          <w:rFonts w:ascii="Times New Roman;sans-serif" w:hAnsi="Times New Roman;sans-serif"/>
          <w:b w:val="false"/>
          <w:color w:val="000000"/>
          <w:sz w:val="16"/>
        </w:rPr>
        <w:t>The interest rate spread is based upon the leverage ratio, as defined, as of the most recent determination date.</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 </w:t>
      </w:r>
    </w:p>
    <w:p>
      <w:pPr>
        <w:pStyle w:val="TextBody"/>
        <w:spacing w:lineRule="auto" w:line="288" w:before="160" w:after="160"/>
        <w:jc w:val="both"/>
        <w:rPr/>
      </w:pPr>
      <w:r>
        <w:rPr>
          <w:rFonts w:ascii="Times New Roman;sans-serif" w:hAnsi="Times New Roman;sans-serif"/>
          <w:b w:val="false"/>
          <w:color w:val="000000"/>
          <w:sz w:val="20"/>
        </w:rPr>
        <w:t>The Company's revolving credit facility allows for the issuance of letters of credit, not to exceed $40.0 million in aggregate. The Company places cash on deposit with a financial institution to be held as cash collateral for the Company's outstanding letters of credit; therefore, as of December 31, 2021 and December 31, 2020, the Company had no letters of credit issued against its revolving credit facility. See Note 8, "</w:t>
      </w:r>
      <w:r>
        <w:rPr>
          <w:rFonts w:ascii="Times New Roman;sans-serif" w:hAnsi="Times New Roman;sans-serif"/>
          <w:b w:val="false"/>
          <w:i/>
          <w:color w:val="000000"/>
          <w:sz w:val="20"/>
        </w:rPr>
        <w:t>Cash and Cash Equivalents</w:t>
      </w:r>
      <w:r>
        <w:rPr>
          <w:rFonts w:ascii="Times New Roman;sans-serif" w:hAnsi="Times New Roman;sans-serif"/>
          <w:b w:val="false"/>
          <w:color w:val="000000"/>
          <w:sz w:val="20"/>
        </w:rPr>
        <w:t xml:space="preserve">," for further information on its cash deposits. At December 31, 2021, the Company had no amounts outstanding under its revolving credit facility and had $300.0 million potentially available. At December 31, 2020, the Company had $50.5 million amounts outstanding under its revolving credit facility and had $249.5 million potentially available. The Company's borrowing capacity was not reduced by leverage restrictions contained in the Credit Agreement as of December 31, 2021 and December 31, 2020.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previously drew $150 million on its revolving credit facility in March 2020 to defend against potential uncertainty or liquidity issues in the financial markets as a result of the COVID-19 pandemic, but repaid this amount during second quarter 2020.</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debt under the Credit Agreement is an obligation of the Company and certain of its domestic subsidiaries and is secured by substantially all of the assets of such parties. Borrowings under the $125.0 million (equivalent) foreign currency sub limit of the $300.0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to, subject to certain exceptions and limitations,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any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December 31, 2021, the Company was in compliance with the financial covenants contained in the Credit Agreement.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the Company amended the Credit Agreement to replace LIBOR with a benchmark interest rate determined based on the currency denomination of borrowings, effective January 1, 2022.</w:t>
      </w:r>
    </w:p>
    <w:p>
      <w:pPr>
        <w:pStyle w:val="TextBody"/>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Revolving Loan Facility</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May 2021, the Company, through one of its non-U.S. subsidiaries, entered into a revolving loan facility with a borrowing capacity of $4 million. The facility is guaranteed by TriMas Corporation. There are no borrowings outstanding on this loan facility as of December 31, 2021.</w:t>
      </w:r>
    </w:p>
    <w:p>
      <w:pPr>
        <w:pStyle w:val="TextBody"/>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Long-term Debt Maturities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Future maturities of the face value of long-term debt at December 31, 2021 are as follows (dollars in thousands):</w:t>
      </w:r>
    </w:p>
    <w:p>
      <w:pPr>
        <w:pStyle w:val="TextBody"/>
        <w:spacing w:lineRule="auto" w:line="288" w:before="160" w:after="160"/>
        <w:rPr>
          <w:color w:val="000000"/>
        </w:rPr>
      </w:pPr>
      <w:r>
        <w:rPr>
          <w:color w:val="000000"/>
        </w:rPr>
        <w:t>            </w:t>
      </w:r>
    </w:p>
    <w:tbl>
      <w:tblPr>
        <w:tblW w:w="4046" w:type="dxa"/>
        <w:jc w:val="left"/>
        <w:tblInd w:w="0" w:type="dxa"/>
        <w:tblCellMar>
          <w:top w:w="28" w:type="dxa"/>
          <w:left w:w="28" w:type="dxa"/>
          <w:bottom w:w="28" w:type="dxa"/>
          <w:right w:w="28" w:type="dxa"/>
        </w:tblCellMar>
      </w:tblPr>
      <w:tblGrid>
        <w:gridCol w:w="798"/>
        <w:gridCol w:w="702"/>
        <w:gridCol w:w="704"/>
        <w:gridCol w:w="109"/>
        <w:gridCol w:w="109"/>
        <w:gridCol w:w="109"/>
        <w:gridCol w:w="268"/>
        <w:gridCol w:w="1051"/>
        <w:gridCol w:w="196"/>
      </w:tblGrid>
      <w:tr>
        <w:trPr/>
        <w:tc>
          <w:tcPr>
            <w:tcW w:w="798"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Ending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Future Maturities</w:t>
            </w:r>
          </w:p>
        </w:tc>
      </w:tr>
      <w:tr>
        <w:trPr/>
        <w:tc>
          <w:tcPr>
            <w:tcW w:w="22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of Debt</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valuations of the Senior Notes and revolving credit facility were determined based on Level 2 inputs under the fair value hierarchy, as defined. The carrying amounts and fair values were as follows (dollars in thousands):</w:t>
      </w:r>
    </w:p>
    <w:tbl>
      <w:tblPr>
        <w:tblW w:w="9799" w:type="dxa"/>
        <w:jc w:val="center"/>
        <w:tblInd w:w="0" w:type="dxa"/>
        <w:tblCellMar>
          <w:top w:w="28" w:type="dxa"/>
          <w:left w:w="28" w:type="dxa"/>
          <w:bottom w:w="28" w:type="dxa"/>
          <w:right w:w="28" w:type="dxa"/>
        </w:tblCellMar>
      </w:tblPr>
      <w:tblGrid>
        <w:gridCol w:w="1206"/>
        <w:gridCol w:w="1060"/>
        <w:gridCol w:w="1064"/>
        <w:gridCol w:w="109"/>
        <w:gridCol w:w="109"/>
        <w:gridCol w:w="109"/>
        <w:gridCol w:w="276"/>
        <w:gridCol w:w="1081"/>
        <w:gridCol w:w="142"/>
        <w:gridCol w:w="109"/>
        <w:gridCol w:w="109"/>
        <w:gridCol w:w="109"/>
        <w:gridCol w:w="211"/>
        <w:gridCol w:w="826"/>
        <w:gridCol w:w="109"/>
        <w:gridCol w:w="109"/>
        <w:gridCol w:w="109"/>
        <w:gridCol w:w="109"/>
        <w:gridCol w:w="434"/>
        <w:gridCol w:w="838"/>
        <w:gridCol w:w="227"/>
        <w:gridCol w:w="109"/>
        <w:gridCol w:w="109"/>
        <w:gridCol w:w="109"/>
        <w:gridCol w:w="282"/>
        <w:gridCol w:w="544"/>
        <w:gridCol w:w="191"/>
      </w:tblGrid>
      <w:tr>
        <w:trPr/>
        <w:tc>
          <w:tcPr>
            <w:tcW w:w="1206"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2020</w:t>
            </w:r>
          </w:p>
        </w:tc>
      </w:tr>
      <w:tr>
        <w:trPr/>
        <w:tc>
          <w:tcPr>
            <w:tcW w:w="3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4.125% Senior Notes due April 2029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4.875% Senior Notes due October 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305,630 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50,450 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50,450 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Debt Issuance Costs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unamortized debt issuance costs approximated $6.2 million and $4.2 million at December 31, 2021 and 2020, respectively, and are included as a direct reduction from the related debt liability in the accompanying consolidated balance sheet. These amounts consisted primarily of legal, accounting and other transaction advisory fees as well as facility fees paid to the lenders. Amortization expense for these items was approximately $1.0 million, $1.2 million and $1.1 million in 2021, 2020 and 2019, respectively, and is included in interest expense in the accompanying consolidated statement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14. Derivative Instruments </w:t>
      </w:r>
    </w:p>
    <w:p>
      <w:pPr>
        <w:pStyle w:val="TextBody"/>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Derivatives Designated as Hedging Instruments</w:t>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cross-currency swap contracts to hedge its net investment in Euro-denominated assets against future volatility in the exchange rate between the U.S. dollar and the Euro. By doing so, the Company synthetically converts a portion of its U.S. dollar-based long-term debt into Euro-denominated long-term debt. At inception, the Company designates its cross-currency swaps as net investment hedges.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the Company had cross-currency swap agreements at notional amounts totaling $250.0 million, which declines to $25.0 million over various contract periods ending between April 15, 2022 and April 15, 2027. Under the terms of the agreements, the Company is to receive net interest payments at a fixed rate ranging from approximately 0.8% to 2.9% of the notional amounts.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and 2020, the fair value carrying amount of the Company's derivatives designated as hedging instruments are recorded as follows (dollars in thousands):</w:t>
      </w:r>
    </w:p>
    <w:tbl>
      <w:tblPr>
        <w:tblW w:w="10079" w:type="dxa"/>
        <w:jc w:val="left"/>
        <w:tblInd w:w="0" w:type="dxa"/>
        <w:tblCellMar>
          <w:top w:w="28" w:type="dxa"/>
          <w:left w:w="28" w:type="dxa"/>
          <w:bottom w:w="28" w:type="dxa"/>
          <w:right w:w="28" w:type="dxa"/>
        </w:tblCellMar>
      </w:tblPr>
      <w:tblGrid>
        <w:gridCol w:w="1338"/>
        <w:gridCol w:w="1172"/>
        <w:gridCol w:w="1179"/>
        <w:gridCol w:w="109"/>
        <w:gridCol w:w="109"/>
        <w:gridCol w:w="109"/>
        <w:gridCol w:w="739"/>
        <w:gridCol w:w="739"/>
        <w:gridCol w:w="742"/>
        <w:gridCol w:w="109"/>
        <w:gridCol w:w="109"/>
        <w:gridCol w:w="109"/>
        <w:gridCol w:w="347"/>
        <w:gridCol w:w="1018"/>
        <w:gridCol w:w="180"/>
        <w:gridCol w:w="127"/>
        <w:gridCol w:w="127"/>
        <w:gridCol w:w="127"/>
        <w:gridCol w:w="434"/>
        <w:gridCol w:w="837"/>
        <w:gridCol w:w="319"/>
      </w:tblGrid>
      <w:tr>
        <w:trPr/>
        <w:tc>
          <w:tcPr>
            <w:tcW w:w="1338"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 / (Liability) Derivatives</w:t>
            </w:r>
          </w:p>
        </w:tc>
      </w:tr>
      <w:tr>
        <w:trPr/>
        <w:tc>
          <w:tcPr>
            <w:tcW w:w="36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Derivatives designated as hedging instruments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Sheet Caption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2020</w:t>
            </w:r>
          </w:p>
        </w:tc>
      </w:tr>
      <w:tr>
        <w:trPr/>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Investment Hedges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swaps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7,590 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swaps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1971" w:type="dxa"/>
            <w:gridSpan w:val="6"/>
            <w:tcBorders/>
            <w:shd w:fill="auto" w:val="clear"/>
          </w:tcPr>
          <w:p>
            <w:pPr>
              <w:pStyle w:val="TableContents"/>
              <w:spacing w:before="0" w:after="283"/>
              <w:rPr>
                <w:sz w:val="4"/>
                <w:szCs w:val="4"/>
              </w:rPr>
            </w:pPr>
            <w:r>
              <w:rPr>
                <w:sz w:val="4"/>
                <w:szCs w:val="4"/>
              </w:rPr>
            </w:r>
          </w:p>
        </w:tc>
      </w:tr>
      <w:tr>
        <w:trPr/>
        <w:tc>
          <w:tcPr>
            <w:tcW w:w="36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income (loss) recognized in AOCI on derivative contracts designated as hedging instruments as of December 31, 2021 and 2020, and the amounts reclassified from AOCI into earnings for the years ended December 31, 2021, 2020 and 2019 (dollars in thousands):</w:t>
      </w:r>
    </w:p>
    <w:tbl>
      <w:tblPr>
        <w:tblW w:w="10205" w:type="dxa"/>
        <w:jc w:val="left"/>
        <w:tblInd w:w="0" w:type="dxa"/>
        <w:tblCellMar>
          <w:top w:w="28" w:type="dxa"/>
          <w:left w:w="28" w:type="dxa"/>
          <w:bottom w:w="28" w:type="dxa"/>
          <w:right w:w="28" w:type="dxa"/>
        </w:tblCellMar>
      </w:tblPr>
      <w:tblGrid>
        <w:gridCol w:w="692"/>
        <w:gridCol w:w="449"/>
        <w:gridCol w:w="451"/>
        <w:gridCol w:w="109"/>
        <w:gridCol w:w="109"/>
        <w:gridCol w:w="109"/>
        <w:gridCol w:w="235"/>
        <w:gridCol w:w="687"/>
        <w:gridCol w:w="121"/>
        <w:gridCol w:w="121"/>
        <w:gridCol w:w="121"/>
        <w:gridCol w:w="121"/>
        <w:gridCol w:w="235"/>
        <w:gridCol w:w="733"/>
        <w:gridCol w:w="121"/>
        <w:gridCol w:w="109"/>
        <w:gridCol w:w="109"/>
        <w:gridCol w:w="109"/>
        <w:gridCol w:w="750"/>
        <w:gridCol w:w="750"/>
        <w:gridCol w:w="752"/>
        <w:gridCol w:w="109"/>
        <w:gridCol w:w="109"/>
        <w:gridCol w:w="109"/>
        <w:gridCol w:w="211"/>
        <w:gridCol w:w="406"/>
        <w:gridCol w:w="109"/>
        <w:gridCol w:w="109"/>
        <w:gridCol w:w="109"/>
        <w:gridCol w:w="109"/>
        <w:gridCol w:w="211"/>
        <w:gridCol w:w="406"/>
        <w:gridCol w:w="109"/>
        <w:gridCol w:w="109"/>
        <w:gridCol w:w="109"/>
        <w:gridCol w:w="109"/>
        <w:gridCol w:w="211"/>
        <w:gridCol w:w="406"/>
        <w:gridCol w:w="162"/>
      </w:tblGrid>
      <w:tr>
        <w:trPr/>
        <w:tc>
          <w:tcPr>
            <w:tcW w:w="692"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 of Income (Loss) Recognized</w:t>
              <w:br/>
              <w:t>in AOCI on Derivative</w:t>
              <w:br/>
              <w:t>(Effective Portion, net of tax)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Location of Loss Reclassified from AOCI into Earnings </w:t>
              <w:br/>
              <w:t>(Effective Portion)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5"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Amount of Loss Reclassified from </w:t>
              <w:br/>
              <w:t>AOCI into Earnings</w:t>
            </w:r>
          </w:p>
        </w:tc>
      </w:tr>
      <w:tr>
        <w:trPr/>
        <w:tc>
          <w:tcPr>
            <w:tcW w:w="1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5"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8613" w:type="dxa"/>
            <w:gridSpan w:val="36"/>
            <w:tcBorders/>
            <w:shd w:fill="auto" w:val="clear"/>
          </w:tcPr>
          <w:p>
            <w:pPr>
              <w:pStyle w:val="TableContents"/>
              <w:spacing w:before="0" w:after="283"/>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Investment Hedges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swaps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9"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9"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Over the next 12 months, the Company does not expect to reclassify any pre-tax deferred amounts from AOCI into earnings.</w:t>
      </w:r>
    </w:p>
    <w:p>
      <w:pPr>
        <w:pStyle w:val="TextBody"/>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Derivatives Not Designated as Hedging Instruments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the Company was party to foreign currency exchange forward contracts to economically hedge changes in foreign currency rates with notional amounts of approximately $131.8 million. The Company uses foreign exchange contracts to mitigate the risk associated with fluctuations in currency rates impacting cash flows related to certain of its receivables, payables and intercompany transactions denominated in foreign currencies. The foreign exchange contracts primarily mitigate currency exposures between the U.S. dollar and the Euro, Canadian dollar, Chinese yuan, and the Mexican peso, as well as between the Euro and British pound, and have various settlement dates through December 2022. These contracts are not designated as hedging instruments; therefore, gains and losses on these contracts are recognized each period directly into the consolidated statement of operations. </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effects of derivatives not designated as hedging instruments on the Company's consolidated statement of operations (dollars in thousands):</w:t>
      </w:r>
    </w:p>
    <w:tbl>
      <w:tblPr>
        <w:tblW w:w="10205" w:type="dxa"/>
        <w:jc w:val="left"/>
        <w:tblInd w:w="0" w:type="dxa"/>
        <w:tblCellMar>
          <w:top w:w="28" w:type="dxa"/>
          <w:left w:w="28" w:type="dxa"/>
          <w:bottom w:w="28" w:type="dxa"/>
          <w:right w:w="28" w:type="dxa"/>
        </w:tblCellMar>
      </w:tblPr>
      <w:tblGrid>
        <w:gridCol w:w="1160"/>
        <w:gridCol w:w="1021"/>
        <w:gridCol w:w="1024"/>
        <w:gridCol w:w="109"/>
        <w:gridCol w:w="109"/>
        <w:gridCol w:w="109"/>
        <w:gridCol w:w="626"/>
        <w:gridCol w:w="626"/>
        <w:gridCol w:w="628"/>
        <w:gridCol w:w="109"/>
        <w:gridCol w:w="109"/>
        <w:gridCol w:w="109"/>
        <w:gridCol w:w="283"/>
        <w:gridCol w:w="827"/>
        <w:gridCol w:w="146"/>
        <w:gridCol w:w="146"/>
        <w:gridCol w:w="146"/>
        <w:gridCol w:w="146"/>
        <w:gridCol w:w="283"/>
        <w:gridCol w:w="705"/>
        <w:gridCol w:w="146"/>
        <w:gridCol w:w="146"/>
        <w:gridCol w:w="146"/>
        <w:gridCol w:w="146"/>
        <w:gridCol w:w="283"/>
        <w:gridCol w:w="705"/>
        <w:gridCol w:w="212"/>
      </w:tblGrid>
      <w:tr>
        <w:trPr/>
        <w:tc>
          <w:tcPr>
            <w:tcW w:w="1160"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3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6"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 of Income (Loss) Recognized in Earnings on Derivatives</w:t>
            </w:r>
          </w:p>
        </w:tc>
      </w:tr>
      <w:tr>
        <w:trPr/>
        <w:tc>
          <w:tcPr>
            <w:tcW w:w="3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6"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Location of Income (Loss) </w:t>
              <w:br/>
              <w:t xml:space="preserve">Recognized in </w:t>
              <w:br/>
              <w:t>Earnings on Derivatives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4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4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3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7,130 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of Derivatives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derivative instruments are estimated using an income approach based on valuation techniques to convert future amounts to a single, discounted amount. Estimates of the fair value of the Company's cross-currency swaps use observable inputs such as interest rate yield curves and forward currency exchange rates. Fair value measurements and the fair value hierarchy level for the Company's assets and liabilities measured at fair value on a recurring basis as of December 31, 2021 and 2020 are as follows (dollars in thousands):</w:t>
      </w:r>
    </w:p>
    <w:tbl>
      <w:tblPr>
        <w:tblW w:w="10205" w:type="dxa"/>
        <w:jc w:val="left"/>
        <w:tblInd w:w="0" w:type="dxa"/>
        <w:tblCellMar>
          <w:top w:w="28" w:type="dxa"/>
          <w:left w:w="28" w:type="dxa"/>
          <w:bottom w:w="28" w:type="dxa"/>
          <w:right w:w="28" w:type="dxa"/>
        </w:tblCellMar>
      </w:tblPr>
      <w:tblGrid>
        <w:gridCol w:w="694"/>
        <w:gridCol w:w="491"/>
        <w:gridCol w:w="448"/>
        <w:gridCol w:w="109"/>
        <w:gridCol w:w="109"/>
        <w:gridCol w:w="109"/>
        <w:gridCol w:w="305"/>
        <w:gridCol w:w="305"/>
        <w:gridCol w:w="306"/>
        <w:gridCol w:w="109"/>
        <w:gridCol w:w="109"/>
        <w:gridCol w:w="109"/>
        <w:gridCol w:w="236"/>
        <w:gridCol w:w="731"/>
        <w:gridCol w:w="121"/>
        <w:gridCol w:w="109"/>
        <w:gridCol w:w="109"/>
        <w:gridCol w:w="109"/>
        <w:gridCol w:w="507"/>
        <w:gridCol w:w="979"/>
        <w:gridCol w:w="267"/>
        <w:gridCol w:w="109"/>
        <w:gridCol w:w="109"/>
        <w:gridCol w:w="109"/>
        <w:gridCol w:w="326"/>
        <w:gridCol w:w="1045"/>
        <w:gridCol w:w="168"/>
        <w:gridCol w:w="109"/>
        <w:gridCol w:w="109"/>
        <w:gridCol w:w="109"/>
        <w:gridCol w:w="446"/>
        <w:gridCol w:w="861"/>
        <w:gridCol w:w="334"/>
      </w:tblGrid>
      <w:tr>
        <w:trPr/>
        <w:tc>
          <w:tcPr>
            <w:tcW w:w="694"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r>
      <w:tr>
        <w:trPr/>
        <w:tc>
          <w:tcPr>
            <w:tcW w:w="1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Frequency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 / (Liability)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Quoted Prices in Active Markets for Identical Assets</w:t>
              <w:b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 Other Observable Inputs</w:t>
              <w:b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 Unobservable Inputs</w:t>
              <w:br/>
              <w:t>(Level 3)</w:t>
            </w:r>
          </w:p>
        </w:tc>
      </w:tr>
      <w:tr>
        <w:trPr/>
        <w:tc>
          <w:tcPr>
            <w:tcW w:w="163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swaps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swaps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15. Leases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certain equipment and facilities under non-cancelable operating leases. Leases with an initial term of 12 months or less are not recorded on the balance sheet; expense related to these leases is recognized on a straight-line basis over the lease term.</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are as follows (dollars in thousands):</w:t>
      </w:r>
    </w:p>
    <w:tbl>
      <w:tblPr>
        <w:tblW w:w="7374" w:type="dxa"/>
        <w:jc w:val="center"/>
        <w:tblInd w:w="0" w:type="dxa"/>
        <w:tblCellMar>
          <w:top w:w="28" w:type="dxa"/>
          <w:left w:w="28" w:type="dxa"/>
          <w:bottom w:w="28" w:type="dxa"/>
          <w:right w:w="28" w:type="dxa"/>
        </w:tblCellMar>
      </w:tblPr>
      <w:tblGrid>
        <w:gridCol w:w="1243"/>
        <w:gridCol w:w="1092"/>
        <w:gridCol w:w="1100"/>
        <w:gridCol w:w="109"/>
        <w:gridCol w:w="109"/>
        <w:gridCol w:w="109"/>
        <w:gridCol w:w="211"/>
        <w:gridCol w:w="721"/>
        <w:gridCol w:w="109"/>
        <w:gridCol w:w="109"/>
        <w:gridCol w:w="109"/>
        <w:gridCol w:w="109"/>
        <w:gridCol w:w="211"/>
        <w:gridCol w:w="616"/>
        <w:gridCol w:w="109"/>
        <w:gridCol w:w="109"/>
        <w:gridCol w:w="109"/>
        <w:gridCol w:w="109"/>
        <w:gridCol w:w="211"/>
        <w:gridCol w:w="616"/>
        <w:gridCol w:w="154"/>
      </w:tblGrid>
      <w:tr>
        <w:trPr/>
        <w:tc>
          <w:tcPr>
            <w:tcW w:w="1243"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variable and other lease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160" w:after="160"/>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are as follows (dollars in thousands):</w:t>
      </w:r>
    </w:p>
    <w:tbl>
      <w:tblPr>
        <w:tblW w:w="4646" w:type="dxa"/>
        <w:jc w:val="center"/>
        <w:tblInd w:w="0" w:type="dxa"/>
        <w:tblCellMar>
          <w:top w:w="28" w:type="dxa"/>
          <w:left w:w="28" w:type="dxa"/>
          <w:bottom w:w="28" w:type="dxa"/>
          <w:right w:w="28" w:type="dxa"/>
        </w:tblCellMar>
      </w:tblPr>
      <w:tblGrid>
        <w:gridCol w:w="973"/>
        <w:gridCol w:w="854"/>
        <w:gridCol w:w="858"/>
        <w:gridCol w:w="109"/>
        <w:gridCol w:w="109"/>
        <w:gridCol w:w="109"/>
        <w:gridCol w:w="317"/>
        <w:gridCol w:w="1086"/>
        <w:gridCol w:w="231"/>
      </w:tblGrid>
      <w:tr>
        <w:trPr/>
        <w:tc>
          <w:tcPr>
            <w:tcW w:w="973"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Operating Leases</w:t>
            </w:r>
            <w:r>
              <w:rPr>
                <w:rFonts w:ascii="Times New Roman;sans-serif" w:hAnsi="Times New Roman;sans-serif"/>
                <w:b w:val="false"/>
                <w:color w:val="000000"/>
                <w:sz w:val="13"/>
              </w:rPr>
              <w:t>(a)</w:t>
            </w:r>
          </w:p>
        </w:tc>
      </w:tr>
      <w:tr>
        <w:trPr/>
        <w:tc>
          <w:tcPr>
            <w:tcW w:w="26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51,900 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60"/>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w:t>
      </w:r>
    </w:p>
    <w:p>
      <w:pPr>
        <w:pStyle w:val="TextBody"/>
        <w:spacing w:lineRule="auto" w:line="288" w:before="160" w:after="160"/>
        <w:ind w:left="0" w:right="0" w:hanging="360"/>
        <w:jc w:val="both"/>
        <w:rPr/>
      </w:pPr>
      <w:r>
        <w:rPr>
          <w:rFonts w:ascii="Times New Roman;sans-serif" w:hAnsi="Times New Roman;sans-serif"/>
          <w:b w:val="false"/>
          <w:color w:val="000000"/>
          <w:sz w:val="10"/>
        </w:rPr>
        <w:t>(a)     </w:t>
      </w:r>
      <w:r>
        <w:rPr>
          <w:rFonts w:ascii="Times New Roman;sans-serif" w:hAnsi="Times New Roman;sans-serif"/>
          <w:b w:val="false"/>
          <w:color w:val="000000"/>
          <w:sz w:val="16"/>
        </w:rPr>
        <w:t>The maturity table excludes cash flows associated with exited lease facilities. Liabilities for exited lease facilities are included in accrued liabilities and other long-term liabilities in the accompanying consolidated balance sheet.</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term of the Company's operating leases as of December 31, 2021 is approximately 7.5 years. The weighted-average discount rate as of December 31, 2021 is approximately 3.8%.</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 was approximately $7.9 million, $7.9 million and $6.4 million during 2021, 2020 and 2019 respectively, and is included in cash flows provided by operating activities in the consolidated statement of cash flows.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liabilities were approximately $19.6 million and $14.0 million during 2021 and 2020,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16. Other Long-term Liabilities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consist of the following components (dollars in thousands):</w:t>
      </w:r>
    </w:p>
    <w:tbl>
      <w:tblPr>
        <w:tblW w:w="6234" w:type="dxa"/>
        <w:jc w:val="left"/>
        <w:tblInd w:w="0" w:type="dxa"/>
        <w:tblCellMar>
          <w:top w:w="28" w:type="dxa"/>
          <w:left w:w="28" w:type="dxa"/>
          <w:bottom w:w="28" w:type="dxa"/>
          <w:right w:w="28" w:type="dxa"/>
        </w:tblCellMar>
      </w:tblPr>
      <w:tblGrid>
        <w:gridCol w:w="1179"/>
        <w:gridCol w:w="1036"/>
        <w:gridCol w:w="1040"/>
        <w:gridCol w:w="109"/>
        <w:gridCol w:w="109"/>
        <w:gridCol w:w="109"/>
        <w:gridCol w:w="231"/>
        <w:gridCol w:w="790"/>
        <w:gridCol w:w="119"/>
        <w:gridCol w:w="109"/>
        <w:gridCol w:w="109"/>
        <w:gridCol w:w="109"/>
        <w:gridCol w:w="230"/>
        <w:gridCol w:w="787"/>
        <w:gridCol w:w="168"/>
      </w:tblGrid>
      <w:tr>
        <w:trPr/>
        <w:tc>
          <w:tcPr>
            <w:tcW w:w="1179"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2020</w:t>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asbestos-related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33,820 </w:t>
            </w:r>
          </w:p>
        </w:tc>
        <w:tc>
          <w:tcPr>
            <w:tcW w:w="1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43,520 </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long-term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69,690 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17. Commitments and Contingencies</w:t>
      </w:r>
    </w:p>
    <w:p>
      <w:pPr>
        <w:pStyle w:val="TextBody"/>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Environmental</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increasingly stringent environmental laws and regulations, including those relating to air emissions, wastewater discharges and chemical and hazardous waste management and disposal. Some of these environmental laws hold owners or operators of land or businesses liable for their own and for previous owners' or operators' releases of hazardous or toxic substances or wastes. Other environmental laws and regulations require the obtainment and compliance with environmental permits. To date, costs of complying with environmental, health and safety requirements have not been material. However, the nature of the Company's operations and the long history of industrial activities at certain of the Company's current or former facilities, as well as those acquired, could potentially result in material environmental liabilities.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While the Company must comply with existing and pending climate change legislation, regulation and international treaties or accords, current laws and regulations have not had a material impact on the Company's business, capital expenditures or financial position. Future events, including those relating to climate change or greenhouse gas regulation, could require the Company to incur expenses related to the modification or curtailment of operations, installation of pollution control equipment or investigation and cleanup of contaminated sites.</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Asbestos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 was a party to 389 pending cases involving an aggregate of 4,754 claimants primarily alleging personal injury from exposure to asbestos containing materials formerly used in gaskets (both encapsulated and otherwise) manufactured or distributed by Lamons and certain other related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at the applicable date and for the applicable periods:</w:t>
      </w:r>
    </w:p>
    <w:tbl>
      <w:tblPr>
        <w:tblW w:w="10205" w:type="dxa"/>
        <w:jc w:val="left"/>
        <w:tblInd w:w="0" w:type="dxa"/>
        <w:tblCellMar>
          <w:top w:w="28" w:type="dxa"/>
          <w:left w:w="28" w:type="dxa"/>
          <w:bottom w:w="28" w:type="dxa"/>
          <w:right w:w="28" w:type="dxa"/>
        </w:tblCellMar>
      </w:tblPr>
      <w:tblGrid>
        <w:gridCol w:w="513"/>
        <w:gridCol w:w="451"/>
        <w:gridCol w:w="452"/>
        <w:gridCol w:w="109"/>
        <w:gridCol w:w="109"/>
        <w:gridCol w:w="109"/>
        <w:gridCol w:w="328"/>
        <w:gridCol w:w="296"/>
        <w:gridCol w:w="297"/>
        <w:gridCol w:w="109"/>
        <w:gridCol w:w="109"/>
        <w:gridCol w:w="109"/>
        <w:gridCol w:w="259"/>
        <w:gridCol w:w="227"/>
        <w:gridCol w:w="228"/>
        <w:gridCol w:w="109"/>
        <w:gridCol w:w="109"/>
        <w:gridCol w:w="109"/>
        <w:gridCol w:w="285"/>
        <w:gridCol w:w="285"/>
        <w:gridCol w:w="286"/>
        <w:gridCol w:w="109"/>
        <w:gridCol w:w="109"/>
        <w:gridCol w:w="109"/>
        <w:gridCol w:w="215"/>
        <w:gridCol w:w="215"/>
        <w:gridCol w:w="216"/>
        <w:gridCol w:w="109"/>
        <w:gridCol w:w="109"/>
        <w:gridCol w:w="109"/>
        <w:gridCol w:w="399"/>
        <w:gridCol w:w="285"/>
        <w:gridCol w:w="287"/>
        <w:gridCol w:w="109"/>
        <w:gridCol w:w="109"/>
        <w:gridCol w:w="109"/>
        <w:gridCol w:w="211"/>
        <w:gridCol w:w="723"/>
        <w:gridCol w:w="109"/>
        <w:gridCol w:w="109"/>
        <w:gridCol w:w="109"/>
        <w:gridCol w:w="109"/>
        <w:gridCol w:w="211"/>
        <w:gridCol w:w="976"/>
        <w:gridCol w:w="162"/>
      </w:tblGrid>
      <w:tr>
        <w:trPr/>
        <w:tc>
          <w:tcPr>
            <w:tcW w:w="513"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4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Claims</w:t>
              <w:br/>
              <w:t>pending at</w:t>
              <w:br/>
              <w:t>beginning of</w:t>
              <w:b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Claims filed</w:t>
              <w:br/>
              <w:t>during</w:t>
              <w:b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Claims</w:t>
              <w:br/>
              <w:t>dismissed</w:t>
              <w:br/>
              <w:t>during</w:t>
              <w:b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Claims</w:t>
              <w:br/>
              <w:t>settled</w:t>
              <w:br/>
              <w:t>during</w:t>
              <w:b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Claims</w:t>
              <w:br/>
              <w:t>pending at end of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w:t>
              <w:br/>
              <w:t>settlement</w:t>
              <w:br/>
              <w:t>amount per</w:t>
              <w:br/>
              <w:t>claim during</w:t>
              <w:b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defense</w:t>
              <w:br/>
              <w:t>costs during</w:t>
              <w:br/>
              <w:t>period</w:t>
            </w:r>
          </w:p>
        </w:tc>
      </w:tr>
      <w:tr>
        <w:trPr/>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ended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1,950,000 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ended December 31,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2,130,000 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ended December 31,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2,250,000 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 acquired various companies to distribute its products that had distributed gaskets of other manufacturers prior to acquisition. The Company believes that many of the pending cases relate to locations at which none of its gaskets were distributed or used.</w:t>
      </w:r>
    </w:p>
    <w:p>
      <w:pPr>
        <w:pStyle w:val="TextBody"/>
        <w:spacing w:lineRule="auto" w:line="288" w:before="0" w:after="0"/>
        <w:jc w:val="both"/>
        <w:rPr/>
      </w:pPr>
      <w:r>
        <w:rPr>
          <w:rFonts w:ascii="Times New Roman;sans-serif" w:hAnsi="Times New Roman;sans-serif"/>
          <w:b w:val="false"/>
          <w:color w:val="000000"/>
          <w:sz w:val="20"/>
        </w:rPr>
        <w:t>The Company may be subjected to significant additional asbestos-related claims in the future, and will aggressively defend or reasonably resolve, as appropriate. The cost of settling cases in which product identification can be made may increase, and the Company may be subjected to further claims in respect of the former activities of its acquired gasket distributors. The cost of claims varies as claims may be initially made in some jurisdictions without specifying the amount sought or by simply stating the requisite or maximum permissible monetary relief, and may be amended to alter the amount sought.</w:t>
      </w:r>
      <w:r>
        <w:rPr>
          <w:color w:val="000000"/>
        </w:rPr>
        <w:t xml:space="preserve"> </w:t>
      </w:r>
      <w:r>
        <w:rPr>
          <w:rFonts w:ascii="Times New Roman;sans-serif" w:hAnsi="Times New Roman;sans-serif"/>
          <w:b w:val="false"/>
          <w:color w:val="000000"/>
          <w:sz w:val="20"/>
        </w:rPr>
        <w:t>The large majority of claims do not specify the amount sought.</w:t>
      </w:r>
      <w:r>
        <w:rPr>
          <w:color w:val="000000"/>
        </w:rPr>
        <w:t xml:space="preserve"> </w:t>
      </w:r>
      <w:r>
        <w:rPr>
          <w:rFonts w:ascii="Times New Roman;sans-serif" w:hAnsi="Times New Roman;sans-serif"/>
          <w:b w:val="false"/>
          <w:color w:val="000000"/>
          <w:sz w:val="20"/>
        </w:rPr>
        <w:t>Of the 4,754 claims pending at December 31, 2021, 27 set forth specific amounts of damages (other than those stating the statutory minimum or maximum). At December 31, 2021, of the 27 claims that set forth specific amounts, there was one claim seeking more than $5 million for punitive damages. Below is a breakdown of the compensatory damages sought for those claims seeking specific amounts:</w:t>
      </w:r>
    </w:p>
    <w:tbl>
      <w:tblPr>
        <w:tblW w:w="7574" w:type="dxa"/>
        <w:jc w:val="center"/>
        <w:tblInd w:w="0" w:type="dxa"/>
        <w:tblCellMar>
          <w:top w:w="28" w:type="dxa"/>
          <w:left w:w="28" w:type="dxa"/>
          <w:bottom w:w="28" w:type="dxa"/>
          <w:right w:w="28" w:type="dxa"/>
        </w:tblCellMar>
      </w:tblPr>
      <w:tblGrid>
        <w:gridCol w:w="1178"/>
        <w:gridCol w:w="1036"/>
        <w:gridCol w:w="1040"/>
        <w:gridCol w:w="109"/>
        <w:gridCol w:w="109"/>
        <w:gridCol w:w="178"/>
        <w:gridCol w:w="178"/>
        <w:gridCol w:w="178"/>
        <w:gridCol w:w="178"/>
        <w:gridCol w:w="325"/>
        <w:gridCol w:w="325"/>
        <w:gridCol w:w="325"/>
        <w:gridCol w:w="109"/>
        <w:gridCol w:w="109"/>
        <w:gridCol w:w="109"/>
        <w:gridCol w:w="324"/>
        <w:gridCol w:w="324"/>
        <w:gridCol w:w="326"/>
        <w:gridCol w:w="109"/>
        <w:gridCol w:w="109"/>
        <w:gridCol w:w="109"/>
        <w:gridCol w:w="174"/>
        <w:gridCol w:w="174"/>
        <w:gridCol w:w="176"/>
        <w:gridCol w:w="109"/>
        <w:gridCol w:w="154"/>
      </w:tblGrid>
      <w:tr>
        <w:trPr/>
        <w:tc>
          <w:tcPr>
            <w:tcW w:w="1178"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7"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Compensatory</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4" w:type="dxa"/>
            <w:gridSpan w:val="3"/>
            <w:tcBorders/>
            <w:shd w:fill="auto" w:val="clear"/>
            <w:vAlign w:val="center"/>
          </w:tcPr>
          <w:p>
            <w:pPr>
              <w:pStyle w:val="TableContents"/>
              <w:spacing w:before="0" w:after="283"/>
              <w:rPr>
                <w:sz w:val="4"/>
                <w:szCs w:val="4"/>
              </w:rPr>
            </w:pPr>
            <w:r>
              <w:rPr>
                <w:sz w:val="4"/>
                <w:szCs w:val="4"/>
              </w:rPr>
            </w:r>
          </w:p>
        </w:tc>
        <w:tc>
          <w:tcPr>
            <w:tcW w:w="1114" w:type="dxa"/>
            <w:gridSpan w:val="8"/>
            <w:tcBorders/>
            <w:shd w:fill="auto" w:val="clear"/>
          </w:tcPr>
          <w:p>
            <w:pPr>
              <w:pStyle w:val="TableContents"/>
              <w:spacing w:before="0" w:after="283"/>
              <w:rPr>
                <w:sz w:val="4"/>
                <w:szCs w:val="4"/>
              </w:rPr>
            </w:pPr>
            <w:r>
              <w:rPr>
                <w:sz w:val="4"/>
                <w:szCs w:val="4"/>
              </w:rPr>
            </w:r>
          </w:p>
        </w:tc>
      </w:tr>
      <w:tr>
        <w:trPr/>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Range of damages sought (in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9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$0.0 to $0.6</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$0.6 to $5.0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$5.0+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claims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9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pPr>
      <w:r>
        <w:rPr>
          <w:rFonts w:ascii="Times New Roman;sans-serif" w:hAnsi="Times New Roman;sans-serif"/>
          <w:b w:val="false"/>
          <w:color w:val="000000"/>
          <w:sz w:val="20"/>
        </w:rPr>
        <w:t>Relatively few of the claims have reached the discovery stage and even fewer claims have gone past the discovery stage. Total settlement costs (exclusive of defense costs) for all such cases, some of which were filed over 25 years ago, have been approximately $10.6 million. All relief sought in the asbestos cases is monetary in nature. Based on the settlements made to date and the number of claims dismissed or withdrawn for lack of product identification, the Company believes that the relief sought (when specified) does not bear a reasonable relationship to its potential liability.</w:t>
      </w:r>
      <w:r>
        <w:rPr>
          <w:color w:val="000000"/>
        </w:rPr>
        <w:t xml:space="preserve"> </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significant volatility in the historical number of claim filings and costs to defend, with previous claim counts and spend levels much higher than current levels. Management believes this volatility was associated more with tort reform, plaintiff practices and state-specific legal dockets than the Company’s underlying asbestos-related exposures. From 2017 to 2019, however, the number of new claim filings, and costs to defend, had become much more consistent. The higher degree of consistency in census data and spend levels, as well as lower claim activity levels and an evolving defense strategy, has allowed the Company to more effectively and efficiently manage claims, making process or local counsel arrangement improvements where possible. Given the consistency of activity over a multi-year period, the Company believes a trend may have formed where it could be possible to reasonably estimate its future cash exposure for all asbestos-related activity with an adequate level of precision. As such, the Company commissioned an actuary to help evaluate the nature and predictability of its asbestos-related costs, and provide an actuarial range of estimates of future exposures. Based upon its review of the actuarial study, which was completed in June 2020 using data as of December 31, 2019 and which projected spend levels through a terminal year of 2064, the Company affirmed its belief that it now has the ability to reasonably estimate its future asbestos-related exposures for pending as well as unknown future claims.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of 2020, the Company elected to change its method of accounting for asbestos-related defense costs from accruing for probable and reasonably estimable defense costs associated with known claims expected to settle to accrue for all future defense costs for both known and unknown claims, which the Company now believes are reasonably estimable. The Company believes this change is preferable, as asbestos-related defense costs represent expenditures related to legacy activities that do not contribute to current or future revenue generating activities, and recording an estimate of the full liability for asbestos-related costs, where estimable with reasonable precision, provides a more complete assessment of the liability associated with resolving asbestos-related claims.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accounting change was reflected as a change in accounting estimate effected by a change in accounting principle. Following the change in accounting estimate, the Company’s liability for asbestos-related claims will be based on a study from the Company’s third-party actuary, the Company's review of the study, as well as the Company’s own review of asbestos claims and claim resolution activity. After completing its study in the second quarter of 2020, the Company recorded a non-cash, pre-tax charge of $23.4 million, which is included in selling, general and administrative expenses in the accompanying consolidated statement of operations.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2021, the Company commissioned its actuary to update the asbestos study based on data as of September 30, 2021, which yielded a range of possible future liability of $28.2 million to $38.6 million. The Company did not believe any amount within the range of potential outcomes represented a better estimate than another given the many factors and assumptions inherent in the projections, and therefore recorded a non-cash, pre-tax charge of $1.5 million to increase the liability estimate to $28.2 million, at the low-end of the range. This charge is included in selling, general and administrative expenses in the accompanying consolidated statement of operations. As of December 31, 2021, the Company’s total asbestos-related liability is $27.6 million, and is included in accrued liabilities and other long-term liabilities, respectively, in the accompanying consolidated balance sheet.</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primary insurance, which covered approximately 40% of historical costs related to settlement and defense of asbestos litigation, expired in November 2018, upon which the Company became solely responsible for defense costs and indemnity payments. The Company is party to a coverage-in-place agreement (entered into in 2006) with its first level excess carriers regarding the coverage to be provided to the Company for asbestos-related claims. The coverage-in-place agreement makes asbestos defense costs and indemnity insurance coverage available to the Company that might otherwise be disputed by the carriers and provides a methodology for the administration of such expenses. The Company will continue to be solely responsible for defense costs and indemnity payments prior to the commencement of coverage under this agreement, the duration of which would be subject to the scope of damage awards and settlements paid. Based upon the Company’s review of the actuarial study, the Company does not believe it is probable that it will reach the threshold of qualified future settlements required to commence excess carrier insurance coverage under the coverage-in-place agreement.</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results of operations, or cash flows.</w:t>
      </w:r>
    </w:p>
    <w:p>
      <w:pPr>
        <w:pStyle w:val="TextBody"/>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Claims and Litigation</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other claims and litigation in the ordinary course of business, but does not believe that any such claim or litigation will have a material adverse effect on its financial position and results of operations or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18. Employee Benefit Plans </w:t>
      </w:r>
    </w:p>
    <w:p>
      <w:pPr>
        <w:pStyle w:val="TextBody"/>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Pension and Profit-Sharing Benefits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a defined contribution profit sharing plan for the benefit of substantially all the Company's domestic salaried and non-union hourly employees. The plan contains both contributory and noncontributory profit sharing arrangements, as defined. Aggregate charges included in the accompanying consolidated statement of operations under this plan for both continuing and discontinued operations were approximately $3.4 million in both 2021 and 2020 and $4.6 million in 2019. Certain of the Company's non-U.S. and union hourly employees participate in defined benefit pension plans.</w:t>
      </w:r>
    </w:p>
    <w:p>
      <w:pPr>
        <w:pStyle w:val="TextBody"/>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Plan Assets, Expenses and Obligations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Net periodic pension benefit expense recorded in the Company's consolidated statement of operations for defined benefit pension plans include the following components (dollars in thousands):</w:t>
      </w:r>
    </w:p>
    <w:tbl>
      <w:tblPr>
        <w:tblW w:w="7068" w:type="dxa"/>
        <w:jc w:val="left"/>
        <w:tblInd w:w="0" w:type="dxa"/>
        <w:tblCellMar>
          <w:top w:w="28" w:type="dxa"/>
          <w:left w:w="28" w:type="dxa"/>
          <w:bottom w:w="28" w:type="dxa"/>
          <w:right w:w="28" w:type="dxa"/>
        </w:tblCellMar>
      </w:tblPr>
      <w:tblGrid>
        <w:gridCol w:w="933"/>
        <w:gridCol w:w="820"/>
        <w:gridCol w:w="827"/>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09"/>
        <w:gridCol w:w="109"/>
        <w:gridCol w:w="154"/>
      </w:tblGrid>
      <w:tr>
        <w:trPr/>
        <w:tc>
          <w:tcPr>
            <w:tcW w:w="933"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Pension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service cost component of net periodic benefit expense is recorded in cost of goods sold and selling, general and administrative expenses, while non-service cost components are recorded in other expense, net in the accompanying consolidated statement of operations.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Actuarial valuations of the Company's defined benefit pension plans were prepared as of December 31, 2021, 2020 and 2019. Weighted average assumptions used in accounting for the U.S. defined benefit pension plans are as follows:</w:t>
      </w:r>
    </w:p>
    <w:tbl>
      <w:tblPr>
        <w:tblW w:w="8001" w:type="dxa"/>
        <w:jc w:val="left"/>
        <w:tblInd w:w="0" w:type="dxa"/>
        <w:tblCellMar>
          <w:top w:w="28" w:type="dxa"/>
          <w:left w:w="28" w:type="dxa"/>
          <w:bottom w:w="28" w:type="dxa"/>
          <w:right w:w="28" w:type="dxa"/>
        </w:tblCellMar>
      </w:tblPr>
      <w:tblGrid>
        <w:gridCol w:w="1441"/>
        <w:gridCol w:w="1264"/>
        <w:gridCol w:w="1270"/>
        <w:gridCol w:w="109"/>
        <w:gridCol w:w="109"/>
        <w:gridCol w:w="109"/>
        <w:gridCol w:w="255"/>
        <w:gridCol w:w="256"/>
        <w:gridCol w:w="271"/>
        <w:gridCol w:w="109"/>
        <w:gridCol w:w="109"/>
        <w:gridCol w:w="109"/>
        <w:gridCol w:w="255"/>
        <w:gridCol w:w="256"/>
        <w:gridCol w:w="271"/>
        <w:gridCol w:w="109"/>
        <w:gridCol w:w="109"/>
        <w:gridCol w:w="109"/>
        <w:gridCol w:w="255"/>
        <w:gridCol w:w="256"/>
        <w:gridCol w:w="271"/>
        <w:gridCol w:w="109"/>
        <w:gridCol w:w="109"/>
        <w:gridCol w:w="109"/>
        <w:gridCol w:w="109"/>
        <w:gridCol w:w="109"/>
        <w:gridCol w:w="154"/>
      </w:tblGrid>
      <w:tr>
        <w:trPr/>
        <w:tc>
          <w:tcPr>
            <w:tcW w:w="1441"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Pension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for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for benefit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increase in compensation levels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long-term rate of return on plan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a high-quality (Aa or greater) corporate bond yield curve as the basis for its domestic discount rate for its pension benefit plans. Management believes this yield curve removes the impact of including additional required corporate bond yields (potentially considered in the above-median curve) resulting from the uncertain economic climate that does not necessarily reflect the general trend in high-quality interest rates.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Weighted average assumptions used in accounting for the non-U.S. defined benefit pension plans are as follows:</w:t>
      </w:r>
    </w:p>
    <w:tbl>
      <w:tblPr>
        <w:tblW w:w="7347" w:type="dxa"/>
        <w:jc w:val="left"/>
        <w:tblInd w:w="0" w:type="dxa"/>
        <w:tblCellMar>
          <w:top w:w="28" w:type="dxa"/>
          <w:left w:w="28" w:type="dxa"/>
          <w:bottom w:w="28" w:type="dxa"/>
          <w:right w:w="28" w:type="dxa"/>
        </w:tblCellMar>
      </w:tblPr>
      <w:tblGrid>
        <w:gridCol w:w="1441"/>
        <w:gridCol w:w="1264"/>
        <w:gridCol w:w="1270"/>
        <w:gridCol w:w="109"/>
        <w:gridCol w:w="109"/>
        <w:gridCol w:w="109"/>
        <w:gridCol w:w="255"/>
        <w:gridCol w:w="256"/>
        <w:gridCol w:w="271"/>
        <w:gridCol w:w="109"/>
        <w:gridCol w:w="109"/>
        <w:gridCol w:w="109"/>
        <w:gridCol w:w="255"/>
        <w:gridCol w:w="256"/>
        <w:gridCol w:w="271"/>
        <w:gridCol w:w="109"/>
        <w:gridCol w:w="109"/>
        <w:gridCol w:w="109"/>
        <w:gridCol w:w="255"/>
        <w:gridCol w:w="256"/>
        <w:gridCol w:w="316"/>
      </w:tblGrid>
      <w:tr>
        <w:trPr/>
        <w:tc>
          <w:tcPr>
            <w:tcW w:w="1441"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Pension Benefit</w:t>
            </w:r>
          </w:p>
        </w:tc>
      </w:tr>
      <w:tr>
        <w:trPr/>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3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for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for benefit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3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increase in compensation levels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long-term rate of return on plan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3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provides a reconciliation of the changes in the Company's defined benefit pension plans' projected benefit obligations and fair value of assets for each of the years ended December 31, 2021 and 2020 and the funded status as of December 31, 2021 and 2020 (dollars in thousands):</w:t>
      </w:r>
    </w:p>
    <w:tbl>
      <w:tblPr>
        <w:tblW w:w="6710" w:type="dxa"/>
        <w:jc w:val="left"/>
        <w:tblInd w:w="0" w:type="dxa"/>
        <w:tblCellMar>
          <w:top w:w="28" w:type="dxa"/>
          <w:left w:w="28" w:type="dxa"/>
          <w:bottom w:w="28" w:type="dxa"/>
          <w:right w:w="28" w:type="dxa"/>
        </w:tblCellMar>
      </w:tblPr>
      <w:tblGrid>
        <w:gridCol w:w="1368"/>
        <w:gridCol w:w="1204"/>
        <w:gridCol w:w="1207"/>
        <w:gridCol w:w="109"/>
        <w:gridCol w:w="109"/>
        <w:gridCol w:w="109"/>
        <w:gridCol w:w="211"/>
        <w:gridCol w:w="796"/>
        <w:gridCol w:w="109"/>
        <w:gridCol w:w="109"/>
        <w:gridCol w:w="109"/>
        <w:gridCol w:w="109"/>
        <w:gridCol w:w="211"/>
        <w:gridCol w:w="796"/>
        <w:gridCol w:w="154"/>
      </w:tblGrid>
      <w:tr>
        <w:trPr/>
        <w:tc>
          <w:tcPr>
            <w:tcW w:w="1368"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Pension Benefit</w:t>
            </w:r>
          </w:p>
        </w:tc>
      </w:tr>
      <w:tr>
        <w:trPr/>
        <w:tc>
          <w:tcPr>
            <w:tcW w:w="37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Changes in Projected Benefit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obligations at January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Participant contributions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Actuarial gain (loss)</w:t>
            </w:r>
            <w:r>
              <w:rPr>
                <w:color w:val="000000"/>
              </w:rPr>
              <w:t xml:space="preserve">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obligations at December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Changes in Plan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at January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return on plan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Employer contributions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Participant contributions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at December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Funded status at December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60"/>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w:t>
      </w:r>
    </w:p>
    <w:p>
      <w:pPr>
        <w:pStyle w:val="TextBody"/>
        <w:spacing w:lineRule="auto" w:line="288" w:before="160" w:after="160"/>
        <w:ind w:left="0" w:right="0" w:hanging="180"/>
        <w:jc w:val="both"/>
        <w:rPr/>
      </w:pPr>
      <w:r>
        <w:rPr>
          <w:rFonts w:ascii="Times New Roman;sans-serif" w:hAnsi="Times New Roman;sans-serif"/>
          <w:b w:val="false"/>
          <w:color w:val="000000"/>
          <w:sz w:val="10"/>
        </w:rPr>
        <w:t xml:space="preserve">(a) </w:t>
      </w:r>
      <w:r>
        <w:rPr>
          <w:rFonts w:ascii="Times New Roman;sans-serif" w:hAnsi="Times New Roman;sans-serif"/>
          <w:b w:val="false"/>
          <w:color w:val="000000"/>
          <w:sz w:val="16"/>
        </w:rPr>
        <w:t>The actuarial gain for the year ended December 31, 2021 was primarily due to an increase in the discount rate utilized in measuring the projected benefit obligations as well as other assumptions and experience gains. The actuarial loss for the year ended December 31, 2020 was primarily due to a decrease in the discount rate utilized in measuring the projected benefit obligations, partially offset by other assumptions and experience gains.</w:t>
      </w:r>
    </w:p>
    <w:tbl>
      <w:tblPr>
        <w:tblW w:w="6996" w:type="dxa"/>
        <w:jc w:val="left"/>
        <w:tblInd w:w="0" w:type="dxa"/>
        <w:tblCellMar>
          <w:top w:w="28" w:type="dxa"/>
          <w:left w:w="28" w:type="dxa"/>
          <w:bottom w:w="28" w:type="dxa"/>
          <w:right w:w="28" w:type="dxa"/>
        </w:tblCellMar>
      </w:tblPr>
      <w:tblGrid>
        <w:gridCol w:w="1418"/>
        <w:gridCol w:w="1246"/>
        <w:gridCol w:w="1250"/>
        <w:gridCol w:w="109"/>
        <w:gridCol w:w="109"/>
        <w:gridCol w:w="109"/>
        <w:gridCol w:w="211"/>
        <w:gridCol w:w="616"/>
        <w:gridCol w:w="109"/>
        <w:gridCol w:w="109"/>
        <w:gridCol w:w="109"/>
        <w:gridCol w:w="109"/>
        <w:gridCol w:w="211"/>
        <w:gridCol w:w="691"/>
        <w:gridCol w:w="109"/>
        <w:gridCol w:w="109"/>
        <w:gridCol w:w="109"/>
        <w:gridCol w:w="109"/>
        <w:gridCol w:w="154"/>
      </w:tblGrid>
      <w:tr>
        <w:trPr/>
        <w:tc>
          <w:tcPr>
            <w:tcW w:w="1418"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Pension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Amounts Recognized in Balance Sheet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 (liability) recognized at December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9096" w:type="dxa"/>
        <w:jc w:val="left"/>
        <w:tblInd w:w="0" w:type="dxa"/>
        <w:tblCellMar>
          <w:top w:w="28" w:type="dxa"/>
          <w:left w:w="28" w:type="dxa"/>
          <w:bottom w:w="28" w:type="dxa"/>
          <w:right w:w="28" w:type="dxa"/>
        </w:tblCellMar>
      </w:tblPr>
      <w:tblGrid>
        <w:gridCol w:w="2168"/>
        <w:gridCol w:w="1906"/>
        <w:gridCol w:w="1910"/>
        <w:gridCol w:w="109"/>
        <w:gridCol w:w="109"/>
        <w:gridCol w:w="109"/>
        <w:gridCol w:w="211"/>
        <w:gridCol w:w="616"/>
        <w:gridCol w:w="109"/>
        <w:gridCol w:w="109"/>
        <w:gridCol w:w="109"/>
        <w:gridCol w:w="109"/>
        <w:gridCol w:w="211"/>
        <w:gridCol w:w="721"/>
        <w:gridCol w:w="109"/>
        <w:gridCol w:w="109"/>
        <w:gridCol w:w="109"/>
        <w:gridCol w:w="109"/>
        <w:gridCol w:w="154"/>
      </w:tblGrid>
      <w:tr>
        <w:trPr/>
        <w:tc>
          <w:tcPr>
            <w:tcW w:w="2168" w:type="dxa"/>
            <w:tcBorders/>
            <w:shd w:fill="auto" w:val="clear"/>
            <w:vAlign w:val="center"/>
          </w:tcPr>
          <w:p>
            <w:pPr>
              <w:pStyle w:val="TableContents"/>
              <w:spacing w:before="0" w:after="283"/>
              <w:rPr>
                <w:sz w:val="4"/>
                <w:szCs w:val="4"/>
              </w:rPr>
            </w:pPr>
            <w:r>
              <w:rPr>
                <w:sz w:val="4"/>
                <w:szCs w:val="4"/>
              </w:rPr>
            </w:r>
          </w:p>
        </w:tc>
        <w:tc>
          <w:tcPr>
            <w:tcW w:w="1906" w:type="dxa"/>
            <w:tcBorders/>
            <w:shd w:fill="auto" w:val="clear"/>
            <w:vAlign w:val="center"/>
          </w:tcPr>
          <w:p>
            <w:pPr>
              <w:pStyle w:val="TableContents"/>
              <w:spacing w:before="0" w:after="283"/>
              <w:rPr>
                <w:sz w:val="4"/>
                <w:szCs w:val="4"/>
              </w:rPr>
            </w:pPr>
            <w:r>
              <w:rPr>
                <w:sz w:val="4"/>
                <w:szCs w:val="4"/>
              </w:rPr>
            </w:r>
          </w:p>
        </w:tc>
        <w:tc>
          <w:tcPr>
            <w:tcW w:w="19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Pension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Amounts Recognized in 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prior service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accumulated other comprehensive loss recognized at December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tbl>
      <w:tblPr>
        <w:tblW w:w="10205" w:type="dxa"/>
        <w:jc w:val="left"/>
        <w:tblInd w:w="0" w:type="dxa"/>
        <w:tblCellMar>
          <w:top w:w="28" w:type="dxa"/>
          <w:left w:w="28" w:type="dxa"/>
          <w:bottom w:w="28" w:type="dxa"/>
          <w:right w:w="28" w:type="dxa"/>
        </w:tblCellMar>
      </w:tblPr>
      <w:tblGrid>
        <w:gridCol w:w="1561"/>
        <w:gridCol w:w="1374"/>
        <w:gridCol w:w="1378"/>
        <w:gridCol w:w="109"/>
        <w:gridCol w:w="109"/>
        <w:gridCol w:w="109"/>
        <w:gridCol w:w="216"/>
        <w:gridCol w:w="820"/>
        <w:gridCol w:w="111"/>
        <w:gridCol w:w="111"/>
        <w:gridCol w:w="111"/>
        <w:gridCol w:w="111"/>
        <w:gridCol w:w="216"/>
        <w:gridCol w:w="820"/>
        <w:gridCol w:w="111"/>
        <w:gridCol w:w="109"/>
        <w:gridCol w:w="109"/>
        <w:gridCol w:w="109"/>
        <w:gridCol w:w="211"/>
        <w:gridCol w:w="795"/>
        <w:gridCol w:w="109"/>
        <w:gridCol w:w="109"/>
        <w:gridCol w:w="109"/>
        <w:gridCol w:w="109"/>
        <w:gridCol w:w="211"/>
        <w:gridCol w:w="795"/>
        <w:gridCol w:w="163"/>
      </w:tblGrid>
      <w:tr>
        <w:trPr/>
        <w:tc>
          <w:tcPr>
            <w:tcW w:w="1561"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13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43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Benefit Obligations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Projected Benefit Obligations</w:t>
            </w:r>
          </w:p>
        </w:tc>
      </w:tr>
      <w:tr>
        <w:trPr/>
        <w:tc>
          <w:tcPr>
            <w:tcW w:w="43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43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Benefit Obligations at December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benefit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(35,970)</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(38,410)</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(40,830)</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Plans with benefit obligations exceeding plan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3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(16,630)</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(16,820)</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(16,940)</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7,700 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assumptions regarding discount rates and expected return on plan assets can have a significant impact on amounts reported for benefit plans. A 25 basis point change in benefit obligation discount rates or 50 basis point change in expected return on plan assets would have the following effect (dollars in thousands): </w:t>
      </w:r>
    </w:p>
    <w:tbl>
      <w:tblPr>
        <w:tblW w:w="6110" w:type="dxa"/>
        <w:jc w:val="left"/>
        <w:tblInd w:w="0" w:type="dxa"/>
        <w:tblCellMar>
          <w:top w:w="28" w:type="dxa"/>
          <w:left w:w="28" w:type="dxa"/>
          <w:bottom w:w="28" w:type="dxa"/>
          <w:right w:w="28" w:type="dxa"/>
        </w:tblCellMar>
      </w:tblPr>
      <w:tblGrid>
        <w:gridCol w:w="821"/>
        <w:gridCol w:w="720"/>
        <w:gridCol w:w="724"/>
        <w:gridCol w:w="109"/>
        <w:gridCol w:w="109"/>
        <w:gridCol w:w="109"/>
        <w:gridCol w:w="322"/>
        <w:gridCol w:w="1057"/>
        <w:gridCol w:w="166"/>
        <w:gridCol w:w="114"/>
        <w:gridCol w:w="114"/>
        <w:gridCol w:w="109"/>
        <w:gridCol w:w="109"/>
        <w:gridCol w:w="109"/>
        <w:gridCol w:w="283"/>
        <w:gridCol w:w="726"/>
        <w:gridCol w:w="146"/>
        <w:gridCol w:w="109"/>
        <w:gridCol w:w="154"/>
      </w:tblGrid>
      <w:tr>
        <w:trPr/>
        <w:tc>
          <w:tcPr>
            <w:tcW w:w="821"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Pension Benefit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br/>
              <w:t>Benefit Obligation</w:t>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 Expense</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 basis point increase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 basis point decrease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Expected return on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 basis point increase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 basis point decrease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expects to make contributions of approximately $1.6 million to fund its pension plans during 2022.</w:t>
      </w:r>
    </w:p>
    <w:p>
      <w:pPr>
        <w:pStyle w:val="TextBody"/>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Plan Assets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overall investment goal is to provide for capital growth with a moderate level of volatility by investing assets in targeted allocation ranges. Specific long term investment goals include total investment return, diversity to reduce volatility and risk, and to achieve an asset allocation profile that reflects the general nature and sensitivity of the plans' liabilities. Investment goals are established after a comprehensive review of current and projected financial statement requirements, plan assets and liability structure, market returns and risks as well as special requirements of the plans. The Company reviews investment goals and actual results annually to determine whether stated objectives are still relevant and the continued feasibility of achieving the objectives.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actual weighted average asset allocation of the Company's domestic and foreign pension plans' assets at December 31, 2021 and 2020 and target allocations by class, were as follows:</w:t>
      </w:r>
    </w:p>
    <w:tbl>
      <w:tblPr>
        <w:tblW w:w="8356" w:type="dxa"/>
        <w:jc w:val="left"/>
        <w:tblInd w:w="0" w:type="dxa"/>
        <w:tblCellMar>
          <w:top w:w="28" w:type="dxa"/>
          <w:left w:w="28" w:type="dxa"/>
          <w:bottom w:w="28" w:type="dxa"/>
          <w:right w:w="28" w:type="dxa"/>
        </w:tblCellMar>
      </w:tblPr>
      <w:tblGrid>
        <w:gridCol w:w="647"/>
        <w:gridCol w:w="568"/>
        <w:gridCol w:w="570"/>
        <w:gridCol w:w="109"/>
        <w:gridCol w:w="109"/>
        <w:gridCol w:w="109"/>
        <w:gridCol w:w="231"/>
        <w:gridCol w:w="235"/>
        <w:gridCol w:w="342"/>
        <w:gridCol w:w="109"/>
        <w:gridCol w:w="109"/>
        <w:gridCol w:w="109"/>
        <w:gridCol w:w="231"/>
        <w:gridCol w:w="235"/>
        <w:gridCol w:w="271"/>
        <w:gridCol w:w="109"/>
        <w:gridCol w:w="109"/>
        <w:gridCol w:w="109"/>
        <w:gridCol w:w="231"/>
        <w:gridCol w:w="235"/>
        <w:gridCol w:w="271"/>
        <w:gridCol w:w="109"/>
        <w:gridCol w:w="109"/>
        <w:gridCol w:w="109"/>
        <w:gridCol w:w="231"/>
        <w:gridCol w:w="235"/>
        <w:gridCol w:w="342"/>
        <w:gridCol w:w="109"/>
        <w:gridCol w:w="109"/>
        <w:gridCol w:w="109"/>
        <w:gridCol w:w="231"/>
        <w:gridCol w:w="235"/>
        <w:gridCol w:w="271"/>
        <w:gridCol w:w="109"/>
        <w:gridCol w:w="109"/>
        <w:gridCol w:w="109"/>
        <w:gridCol w:w="232"/>
        <w:gridCol w:w="234"/>
        <w:gridCol w:w="316"/>
      </w:tblGrid>
      <w:tr>
        <w:trPr/>
        <w:tc>
          <w:tcPr>
            <w:tcW w:w="647"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7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Domestic Pension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1"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 Pension</w:t>
            </w:r>
          </w:p>
        </w:tc>
      </w:tr>
      <w:tr>
        <w:trPr/>
        <w:tc>
          <w:tcPr>
            <w:tcW w:w="17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4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Actual</w:t>
            </w:r>
          </w:p>
        </w:tc>
      </w:tr>
      <w:tr>
        <w:trPr/>
        <w:tc>
          <w:tcPr>
            <w:tcW w:w="17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Target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Target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1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Diversified growth</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w:t>
      </w:r>
    </w:p>
    <w:p>
      <w:pPr>
        <w:pStyle w:val="TextBody"/>
        <w:spacing w:lineRule="auto" w:line="288" w:before="160" w:after="160"/>
        <w:jc w:val="both"/>
        <w:rPr/>
      </w:pPr>
      <w:r>
        <w:rPr>
          <w:rFonts w:ascii="Times New Roman;sans-serif" w:hAnsi="Times New Roman;sans-serif"/>
          <w:b w:val="false"/>
          <w:color w:val="000000"/>
          <w:sz w:val="10"/>
        </w:rPr>
        <w:t>(a)</w:t>
      </w:r>
      <w:r>
        <w:rPr>
          <w:color w:val="000000"/>
        </w:rPr>
        <w:t xml:space="preserve"> </w:t>
      </w:r>
      <w:r>
        <w:rPr>
          <w:rFonts w:ascii="Times New Roman;sans-serif" w:hAnsi="Times New Roman;sans-serif"/>
          <w:b w:val="false"/>
          <w:color w:val="000000"/>
          <w:sz w:val="16"/>
        </w:rPr>
        <w:t xml:space="preserve">Diversified growth funds invest in a broad range of asset classes including equities, investment grade and high yield bonds, commodities, property, private equity, infrastructure and currencies. </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Actual allocations to each asset vary from target allocations due to periodic investment strategy changes, market value fluctuations and the timing of benefit payments and contributions. The expected long-term rate of return for both the domestic and foreign plans' total assets is based on the expected return of each of the above categories, weighted based on the target allocation for each class. Actual allocation is reviewed regularly and investments are rebalanced to their targeted allocation range when deemed appropriate.</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managing the plan assets, the Company reviews and manages risk associated with the funded status risk, interest rate risk, market risk, liquidity risk and operational risk. Investment policies reflect the unique circumstances of the respective plans and include requirements designed to mitigate these risks by including quality and diversification standards.</w:t>
      </w:r>
    </w:p>
    <w:p>
      <w:pPr>
        <w:pStyle w:val="TextBody"/>
        <w:spacing w:lineRule="auto" w:line="288" w:before="160" w:after="160"/>
        <w:jc w:val="both"/>
        <w:rPr/>
      </w:pPr>
      <w:r>
        <w:rPr>
          <w:rFonts w:ascii="Times New Roman;sans-serif" w:hAnsi="Times New Roman;sans-serif"/>
          <w:b w:val="false"/>
          <w:color w:val="000000"/>
          <w:sz w:val="20"/>
        </w:rPr>
        <w:t>The following table summarizes the level under the fair value hierarchy (see Note 3,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that the Company's pension plan assets are measured, on a recurring basis as of December 31, 2021 (dollars in thousands):</w:t>
      </w:r>
    </w:p>
    <w:tbl>
      <w:tblPr>
        <w:tblW w:w="8321" w:type="dxa"/>
        <w:jc w:val="left"/>
        <w:tblInd w:w="0" w:type="dxa"/>
        <w:tblCellMar>
          <w:top w:w="28" w:type="dxa"/>
          <w:left w:w="28" w:type="dxa"/>
          <w:bottom w:w="28" w:type="dxa"/>
          <w:right w:w="28" w:type="dxa"/>
        </w:tblCellMar>
      </w:tblPr>
      <w:tblGrid>
        <w:gridCol w:w="1281"/>
        <w:gridCol w:w="1125"/>
        <w:gridCol w:w="1133"/>
        <w:gridCol w:w="109"/>
        <w:gridCol w:w="109"/>
        <w:gridCol w:w="109"/>
        <w:gridCol w:w="211"/>
        <w:gridCol w:w="721"/>
        <w:gridCol w:w="109"/>
        <w:gridCol w:w="109"/>
        <w:gridCol w:w="109"/>
        <w:gridCol w:w="109"/>
        <w:gridCol w:w="211"/>
        <w:gridCol w:w="616"/>
        <w:gridCol w:w="109"/>
        <w:gridCol w:w="109"/>
        <w:gridCol w:w="109"/>
        <w:gridCol w:w="109"/>
        <w:gridCol w:w="211"/>
        <w:gridCol w:w="406"/>
        <w:gridCol w:w="109"/>
        <w:gridCol w:w="109"/>
        <w:gridCol w:w="109"/>
        <w:gridCol w:w="109"/>
        <w:gridCol w:w="211"/>
        <w:gridCol w:w="406"/>
        <w:gridCol w:w="154"/>
      </w:tblGrid>
      <w:tr>
        <w:trPr/>
        <w:tc>
          <w:tcPr>
            <w:tcW w:w="1281"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Plan assets subject to leveling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funds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Fixed income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Plan assets measured at net asset value</w:t>
            </w:r>
            <w:r>
              <w:rPr>
                <w:rFonts w:ascii="Times New Roman;sans-serif" w:hAnsi="Times New Roman;sans-serif"/>
                <w:b/>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Diversified growth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w:t>
      </w:r>
    </w:p>
    <w:p>
      <w:pPr>
        <w:pStyle w:val="TextBody"/>
        <w:spacing w:lineRule="auto" w:line="288" w:before="160" w:after="160"/>
        <w:jc w:val="both"/>
        <w:rPr/>
      </w:pPr>
      <w:r>
        <w:rPr>
          <w:rFonts w:ascii="Times New Roman;sans-serif" w:hAnsi="Times New Roman;sans-serif"/>
          <w:b w:val="false"/>
          <w:color w:val="000000"/>
          <w:sz w:val="10"/>
        </w:rPr>
        <w:t>(a)</w:t>
      </w:r>
      <w:r>
        <w:rPr>
          <w:color w:val="000000"/>
        </w:rPr>
        <w:t xml:space="preserve"> </w:t>
      </w:r>
      <w:r>
        <w:rPr>
          <w:rFonts w:ascii="Times New Roman;sans-serif" w:hAnsi="Times New Roman;sans-serif"/>
          <w:b w:val="false"/>
          <w:color w:val="000000"/>
          <w:sz w:val="16"/>
        </w:rPr>
        <w:t>Certain investments that are measured at fair value using the net asset value per share as a practical expedient have not been classified in the fair value hierarchy. The fair value amounts presented in this table are intended to permit reconciliation of the fair value hierarchy to the amount presented in the fair value of plan assets.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benefit payments, which reflect expected future service, as appropriate, are expected to be paid during the following years (dollars in thousands):</w:t>
      </w:r>
    </w:p>
    <w:tbl>
      <w:tblPr>
        <w:tblW w:w="2822" w:type="dxa"/>
        <w:jc w:val="center"/>
        <w:tblInd w:w="0" w:type="dxa"/>
        <w:tblCellMar>
          <w:top w:w="28" w:type="dxa"/>
          <w:left w:w="28" w:type="dxa"/>
          <w:bottom w:w="28" w:type="dxa"/>
          <w:right w:w="28" w:type="dxa"/>
        </w:tblCellMar>
      </w:tblPr>
      <w:tblGrid>
        <w:gridCol w:w="547"/>
        <w:gridCol w:w="481"/>
        <w:gridCol w:w="486"/>
        <w:gridCol w:w="109"/>
        <w:gridCol w:w="109"/>
        <w:gridCol w:w="109"/>
        <w:gridCol w:w="211"/>
        <w:gridCol w:w="616"/>
        <w:gridCol w:w="154"/>
      </w:tblGrid>
      <w:tr>
        <w:trPr/>
        <w:tc>
          <w:tcPr>
            <w:tcW w:w="547"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Pension</w:t>
              <w:br/>
              <w:t>Benefit</w:t>
            </w:r>
          </w:p>
        </w:tc>
      </w:tr>
      <w:tr>
        <w:trPr/>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2027-2031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60" w:after="16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60" w:after="160"/>
        <w:jc w:val="both"/>
        <w:rPr/>
      </w:pPr>
      <w:r>
        <w:rPr/>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19. Equity Awards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the following long-term equity incentive plans (collectively, the "Plans"): </w:t>
      </w:r>
    </w:p>
    <w:tbl>
      <w:tblPr>
        <w:tblW w:w="8520" w:type="dxa"/>
        <w:jc w:val="center"/>
        <w:tblInd w:w="0" w:type="dxa"/>
        <w:tblCellMar>
          <w:top w:w="28" w:type="dxa"/>
          <w:left w:w="28" w:type="dxa"/>
          <w:bottom w:w="28" w:type="dxa"/>
          <w:right w:w="28" w:type="dxa"/>
        </w:tblCellMar>
      </w:tblPr>
      <w:tblGrid>
        <w:gridCol w:w="2026"/>
        <w:gridCol w:w="1773"/>
        <w:gridCol w:w="1795"/>
        <w:gridCol w:w="109"/>
        <w:gridCol w:w="109"/>
        <w:gridCol w:w="109"/>
        <w:gridCol w:w="814"/>
        <w:gridCol w:w="814"/>
        <w:gridCol w:w="817"/>
        <w:gridCol w:w="154"/>
      </w:tblGrid>
      <w:tr>
        <w:trPr/>
        <w:tc>
          <w:tcPr>
            <w:tcW w:w="2026" w:type="dxa"/>
            <w:tcBorders/>
            <w:shd w:fill="auto" w:val="clear"/>
            <w:vAlign w:val="center"/>
          </w:tcPr>
          <w:p>
            <w:pPr>
              <w:pStyle w:val="TableContents"/>
              <w:spacing w:before="0" w:after="283"/>
              <w:rPr>
                <w:sz w:val="4"/>
                <w:szCs w:val="4"/>
              </w:rPr>
            </w:pPr>
            <w:r>
              <w:rPr>
                <w:sz w:val="4"/>
                <w:szCs w:val="4"/>
              </w:rPr>
            </w:r>
          </w:p>
        </w:tc>
        <w:tc>
          <w:tcPr>
            <w:tcW w:w="1773" w:type="dxa"/>
            <w:tcBorders/>
            <w:shd w:fill="auto" w:val="clear"/>
            <w:vAlign w:val="center"/>
          </w:tcPr>
          <w:p>
            <w:pPr>
              <w:pStyle w:val="TableContents"/>
              <w:spacing w:before="0" w:after="283"/>
              <w:rPr>
                <w:sz w:val="4"/>
                <w:szCs w:val="4"/>
              </w:rPr>
            </w:pPr>
            <w:r>
              <w:rPr>
                <w:sz w:val="4"/>
                <w:szCs w:val="4"/>
              </w:rPr>
            </w:r>
          </w:p>
        </w:tc>
        <w:tc>
          <w:tcPr>
            <w:tcW w:w="17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Plan Names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 Approved for Issuance</w:t>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TriMas Corporation 2017 Equity and Incentive Compensation Plan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2,000,000 </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40"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TriMas Corporation Director Retainer Share Election Program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8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grant any stock options during 2021, 2020 and 2019. Information related to stock options as of and for the year ended December 31, 2021 is as follows:</w:t>
      </w:r>
    </w:p>
    <w:tbl>
      <w:tblPr>
        <w:tblW w:w="10205" w:type="dxa"/>
        <w:jc w:val="left"/>
        <w:tblInd w:w="0" w:type="dxa"/>
        <w:tblCellMar>
          <w:top w:w="28" w:type="dxa"/>
          <w:left w:w="28" w:type="dxa"/>
          <w:bottom w:w="28" w:type="dxa"/>
          <w:right w:w="28" w:type="dxa"/>
        </w:tblCellMar>
      </w:tblPr>
      <w:tblGrid>
        <w:gridCol w:w="1038"/>
        <w:gridCol w:w="911"/>
        <w:gridCol w:w="916"/>
        <w:gridCol w:w="109"/>
        <w:gridCol w:w="109"/>
        <w:gridCol w:w="109"/>
        <w:gridCol w:w="447"/>
        <w:gridCol w:w="449"/>
        <w:gridCol w:w="395"/>
        <w:gridCol w:w="109"/>
        <w:gridCol w:w="109"/>
        <w:gridCol w:w="109"/>
        <w:gridCol w:w="335"/>
        <w:gridCol w:w="981"/>
        <w:gridCol w:w="173"/>
        <w:gridCol w:w="109"/>
        <w:gridCol w:w="109"/>
        <w:gridCol w:w="109"/>
        <w:gridCol w:w="651"/>
        <w:gridCol w:w="651"/>
        <w:gridCol w:w="653"/>
        <w:gridCol w:w="109"/>
        <w:gridCol w:w="109"/>
        <w:gridCol w:w="109"/>
        <w:gridCol w:w="351"/>
        <w:gridCol w:w="679"/>
        <w:gridCol w:w="267"/>
      </w:tblGrid>
      <w:tr>
        <w:trPr/>
        <w:tc>
          <w:tcPr>
            <w:tcW w:w="1038"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w:t>
              <w:br/>
              <w:t>Stock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br/>
              <w:t>Option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w:t>
              <w:br/>
              <w:t>Remaining</w:t>
              <w:br/>
              <w:t>Contractual Life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 Value</w:t>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w:t>
            </w:r>
          </w:p>
        </w:tc>
        <w:tc>
          <w:tcPr>
            <w:tcW w:w="3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Cancelled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there were no stock options outstanding under the Company's long-term equity incentive plans. No stock options vested during each of 2021 and 2020, and 50,000 stock options vested during 2019.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no stock-based compensation expense related to stock options during each of 2021 and 2020, and approximately $0.1 million of stock-based compensation expense related to stock options during 2019. The stock-based compensation expense is included in selling, general and administrative expenses in the accompanying consolidated statement of operations. </w:t>
      </w:r>
    </w:p>
    <w:p>
      <w:pPr>
        <w:pStyle w:val="TextBody"/>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awarded the following restricted stock units ("RSUs") during 2021, 2020, and 2019:</w:t>
      </w:r>
    </w:p>
    <w:p>
      <w:pPr>
        <w:pStyle w:val="TextBody"/>
        <w:spacing w:lineRule="auto" w:line="288" w:before="160" w:after="160"/>
        <w:ind w:left="0" w:right="0" w:hanging="360"/>
        <w:jc w:val="both"/>
        <w:rPr/>
      </w:pPr>
      <w:r>
        <w:rPr>
          <w:color w:val="000000"/>
        </w:rPr>
        <w:t>•</w:t>
      </w:r>
      <w:r>
        <w:rPr>
          <w:rFonts w:ascii="Times New Roman;sans-serif" w:hAnsi="Times New Roman;sans-serif"/>
          <w:b w:val="false"/>
          <w:color w:val="000000"/>
          <w:sz w:val="20"/>
        </w:rPr>
        <w:t>granted 131,198, 190,650, and 139,575, RSUs, respectively, to certain employees, which are subject only to a service condition and vest ratably over three years so long as the employee remains with the Company;</w:t>
      </w:r>
    </w:p>
    <w:p>
      <w:pPr>
        <w:pStyle w:val="TextBody"/>
        <w:spacing w:lineRule="auto" w:line="288" w:before="160" w:after="160"/>
        <w:ind w:left="0" w:right="0" w:hanging="360"/>
        <w:jc w:val="both"/>
        <w:rPr/>
      </w:pPr>
      <w:r>
        <w:rPr>
          <w:color w:val="000000"/>
        </w:rPr>
        <w:t>•</w:t>
      </w:r>
      <w:r>
        <w:rPr>
          <w:rFonts w:ascii="Times New Roman;sans-serif" w:hAnsi="Times New Roman;sans-serif"/>
          <w:b w:val="false"/>
          <w:color w:val="000000"/>
          <w:sz w:val="20"/>
        </w:rPr>
        <w:t>granted 21,112, 30,590 and 25,872 RSUs, respectively, to its non-employee independent directors, which vest one year from date of grant so long as the director and/or Company does not terminate their service prior to the vesting date; and</w:t>
      </w:r>
    </w:p>
    <w:p>
      <w:pPr>
        <w:pStyle w:val="TextBody"/>
        <w:spacing w:lineRule="auto" w:line="288" w:before="160" w:after="160"/>
        <w:ind w:left="0" w:right="0" w:hanging="360"/>
        <w:jc w:val="both"/>
        <w:rPr/>
      </w:pPr>
      <w:r>
        <w:rPr>
          <w:color w:val="000000"/>
        </w:rPr>
        <w:t>•</w:t>
      </w:r>
      <w:r>
        <w:rPr>
          <w:rFonts w:ascii="Times New Roman;sans-serif" w:hAnsi="Times New Roman;sans-serif"/>
          <w:b w:val="false"/>
          <w:color w:val="000000"/>
          <w:sz w:val="20"/>
        </w:rPr>
        <w:t>issued 1,792, 3,673 and 4,494 RSUs, respectively, related to director fee deferrals as certain of the Company's directors elected to defer all or a portion of their directors fees and to receive the amount in Company common stock at a future date.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awarded the following RSUs during 2021:</w:t>
      </w:r>
    </w:p>
    <w:p>
      <w:pPr>
        <w:pStyle w:val="TextBody"/>
        <w:spacing w:lineRule="auto" w:line="288" w:before="160" w:after="160"/>
        <w:ind w:left="0" w:right="0" w:hanging="360"/>
        <w:jc w:val="both"/>
        <w:rPr/>
      </w:pPr>
      <w:r>
        <w:rPr>
          <w:color w:val="000000"/>
        </w:rPr>
        <w:t>•</w:t>
      </w:r>
      <w:r>
        <w:rPr>
          <w:rFonts w:ascii="Times New Roman;sans-serif" w:hAnsi="Times New Roman;sans-serif"/>
          <w:b w:val="false"/>
          <w:color w:val="000000"/>
          <w:sz w:val="20"/>
        </w:rPr>
        <w:t>issued 49 RSUs to certain employees related to dividend equivalent rights on existing equity awards.</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awarded the following RSUs during 2020:</w:t>
      </w:r>
    </w:p>
    <w:p>
      <w:pPr>
        <w:pStyle w:val="TextBody"/>
        <w:spacing w:lineRule="auto" w:line="288" w:before="160" w:after="160"/>
        <w:ind w:left="0" w:right="0" w:hanging="360"/>
        <w:jc w:val="both"/>
        <w:rPr/>
      </w:pPr>
      <w:r>
        <w:rPr>
          <w:color w:val="000000"/>
        </w:rPr>
        <w:t>•</w:t>
      </w:r>
      <w:r>
        <w:rPr>
          <w:rFonts w:ascii="Times New Roman;sans-serif" w:hAnsi="Times New Roman;sans-serif"/>
          <w:b w:val="false"/>
          <w:color w:val="000000"/>
          <w:sz w:val="20"/>
        </w:rPr>
        <w:t>granted 31,816 RSUs to certain employees, which are subject only to a service condition and fully vest at the end of three years so long as the employee remains with the Company; and</w:t>
      </w:r>
    </w:p>
    <w:p>
      <w:pPr>
        <w:pStyle w:val="TextBody"/>
        <w:spacing w:lineRule="auto" w:line="288" w:before="160" w:after="160"/>
        <w:ind w:left="0" w:right="0" w:hanging="360"/>
        <w:jc w:val="both"/>
        <w:rPr/>
      </w:pPr>
      <w:r>
        <w:rPr>
          <w:color w:val="000000"/>
        </w:rPr>
        <w:t>•</w:t>
      </w:r>
      <w:r>
        <w:rPr>
          <w:rFonts w:ascii="Times New Roman;sans-serif" w:hAnsi="Times New Roman;sans-serif"/>
          <w:b w:val="false"/>
          <w:color w:val="000000"/>
          <w:sz w:val="20"/>
        </w:rPr>
        <w:t>granted 2,558 RSUs to certain employees, which are subject only to a service condition and vest one year from the date of grant so long as the employee remains with the Company.</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2021, the Company awarded 72,962 performance-based RSUs to certain key employees which vest three years from the grant date as long as the employee remains with the Company. These awards are earned 50% based upon the Company's achievement of an earnings per share compound annual growth rate ("EPS CAGR") metric over a period beginning January 1, 2021 and ending December 31, 2023. The remaining 50% of the awards are earned based on the Company's total shareholder return ("TSR") relative to the TSR of the common stock of a pre-defined industry peer-group, measured over the performance period. TSR is calculated as the Company's average closing stock price for the 20 trading days at the end of the performance period plus Company dividends, divided by the Company's average closing stock price for the 20 trading days prior to the start of the performance period. The Company estimates the grant-date fair value subject to a market condition using a Monte Carlo simulation model, using the following weighted average assumptions: risk-free rate of 0.28% and annualized volatility of 35.5%. Depending on the performance achieved for these two metrics, the amount of shares earned, if any, can vary for each metric from 0% of the target award to a maximum of 200% of the target award. The Company awarded 113,146 and 95,882 of similar performance-based RSUs in 2020 and 2019, respectively. For similar performance-based RSUs awarded in 2018, the Company attained 126.2% of the target on a weighted average basis, resulting in an increase of 25,993 shares during 2021.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2020, the Company awarded 87,034 performance-based RSUs to certain key divisional employees which vest three years from the grant date as long as the employee remains with the Company. These awards are earned based upon the Company's stock price performance over the period from January 1, 2020 and ending December 31, 2022. The stock price achievement is calculated based on the Company's average closing stock price for each quarter end for the 20 trading days up to and including March 31, June 30, September 30, and December 31, 2022, respectively. The Company estimates the grant-date fair value subject to a market condition using a Monte Carlo simulation model, using the following weighted average assumptions: risk free rate of 0.85% and annualized volatility of 25.2%. Depending on the performance achieved for this metric, the amount of shares earned, if any, can vary from 0% of the target award to a maximum of 160% of the target award, although it automatically is earned at the target award level if the Company's stock price is equal to or greater than a specified stock price for either five consecutive trading days or 20 total trading days during the performance period.</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related to restricted shares as of and for the year ended December 31, 2021 is as follows:</w:t>
      </w:r>
    </w:p>
    <w:tbl>
      <w:tblPr>
        <w:tblW w:w="8920" w:type="dxa"/>
        <w:jc w:val="left"/>
        <w:tblInd w:w="0" w:type="dxa"/>
        <w:tblCellMar>
          <w:top w:w="28" w:type="dxa"/>
          <w:left w:w="28" w:type="dxa"/>
          <w:bottom w:w="28" w:type="dxa"/>
          <w:right w:w="28" w:type="dxa"/>
        </w:tblCellMar>
      </w:tblPr>
      <w:tblGrid>
        <w:gridCol w:w="1065"/>
        <w:gridCol w:w="934"/>
        <w:gridCol w:w="940"/>
        <w:gridCol w:w="109"/>
        <w:gridCol w:w="109"/>
        <w:gridCol w:w="109"/>
        <w:gridCol w:w="449"/>
        <w:gridCol w:w="451"/>
        <w:gridCol w:w="316"/>
        <w:gridCol w:w="109"/>
        <w:gridCol w:w="109"/>
        <w:gridCol w:w="109"/>
        <w:gridCol w:w="220"/>
        <w:gridCol w:w="642"/>
        <w:gridCol w:w="113"/>
        <w:gridCol w:w="109"/>
        <w:gridCol w:w="109"/>
        <w:gridCol w:w="109"/>
        <w:gridCol w:w="345"/>
        <w:gridCol w:w="345"/>
        <w:gridCol w:w="346"/>
        <w:gridCol w:w="109"/>
        <w:gridCol w:w="109"/>
        <w:gridCol w:w="109"/>
        <w:gridCol w:w="211"/>
        <w:gridCol w:w="1081"/>
        <w:gridCol w:w="154"/>
      </w:tblGrid>
      <w:tr>
        <w:trPr/>
        <w:tc>
          <w:tcPr>
            <w:tcW w:w="1065"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w:t>
              <w:br/>
              <w:t>Unvested</w:t>
              <w:br/>
              <w:t>Restricted</w:t>
              <w:br/>
              <w:t xml:space="preserve">Shares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Grant Date</w:t>
              <w:b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w:t>
              <w:br/>
              <w:t>Remaining</w:t>
              <w:br/>
              <w:t>Contractual</w:t>
              <w:br/>
              <w:t>Life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 Value</w:t>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784,968 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253,106 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(345,680)</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Cancelled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(18,662)</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673,732 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24,928,084 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there was approximately $6.3 million of unrecognized compensation cost related to unvested restricted shares that is expected to be recorded over a weighted average period of 1.8 years.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stock-based compensation expense related to restricted shares of approximately $9.5 million, $8.2 million and $5.7 million in 2021, 2020 and 2019, respectively. The stock-based compensation expense is included in selling, general and administrative expenses in the accompanying statement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20. Earnings per Share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is divided by the weighted average number of common shares outstanding during the year to calculate basic earnings per share. For the year ended December 31, 2020, no restricted shares or stock options were included in the computation of net income (loss) per share because to do so would be anti-dilutive. The following table summarizes the dilutive effect of RSUs and options to purchase common stock:</w:t>
      </w:r>
    </w:p>
    <w:tbl>
      <w:tblPr>
        <w:tblW w:w="8577" w:type="dxa"/>
        <w:jc w:val="center"/>
        <w:tblInd w:w="0" w:type="dxa"/>
        <w:tblCellMar>
          <w:top w:w="28" w:type="dxa"/>
          <w:left w:w="28" w:type="dxa"/>
          <w:bottom w:w="28" w:type="dxa"/>
          <w:right w:w="28" w:type="dxa"/>
        </w:tblCellMar>
      </w:tblPr>
      <w:tblGrid>
        <w:gridCol w:w="1327"/>
        <w:gridCol w:w="1162"/>
        <w:gridCol w:w="1171"/>
        <w:gridCol w:w="109"/>
        <w:gridCol w:w="109"/>
        <w:gridCol w:w="109"/>
        <w:gridCol w:w="540"/>
        <w:gridCol w:w="541"/>
        <w:gridCol w:w="156"/>
        <w:gridCol w:w="137"/>
        <w:gridCol w:w="137"/>
        <w:gridCol w:w="137"/>
        <w:gridCol w:w="540"/>
        <w:gridCol w:w="541"/>
        <w:gridCol w:w="156"/>
        <w:gridCol w:w="137"/>
        <w:gridCol w:w="137"/>
        <w:gridCol w:w="137"/>
        <w:gridCol w:w="540"/>
        <w:gridCol w:w="541"/>
        <w:gridCol w:w="213"/>
      </w:tblGrid>
      <w:tr>
        <w:trPr/>
        <w:tc>
          <w:tcPr>
            <w:tcW w:w="1327"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43,006,922 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43,581,232 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45,303,659 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restricted stock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261,858 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224,946 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 options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66,549 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43,281,076 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43,581,232 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45,595,154 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2020, the Company announced its Board of Directors had authorized the Company to increase the purchase of its common stock up to $250 million in the aggregate. The initial authorization, approved in November 2015, authorized up to $50 million of purchases in the aggregate of its common stock.  During 2021, 2020 and 2019, the Company purchased 596,084, 1,582,049 and 1,230,050 shares of its outstanding common stock for approximately $19.1 million, $39.4 million and $36.7 million, respectively. As of December 31, 2021, the Company has approximately $142.6 million remaining under the repurchase authorization.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Holders of common stock are entitled to dividends at the discretion of the Company's Board of Directors. In 2021, the Company's Board of Directors declared the first dividend since the Company's initial public offering in 2007. The Company's dividends declared were $0.04 per share of common stock and total dividends paid in cash were $1.7 million for the year ended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21. Other Comprehensive Income</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AOCI by component for the year ended December 31, 2021 are summarized as follows, net of tax (dollars in thousands):</w:t>
      </w:r>
    </w:p>
    <w:tbl>
      <w:tblPr>
        <w:tblW w:w="10205" w:type="dxa"/>
        <w:jc w:val="left"/>
        <w:tblInd w:w="0" w:type="dxa"/>
        <w:tblCellMar>
          <w:top w:w="28" w:type="dxa"/>
          <w:left w:w="28" w:type="dxa"/>
          <w:bottom w:w="28" w:type="dxa"/>
          <w:right w:w="28" w:type="dxa"/>
        </w:tblCellMar>
      </w:tblPr>
      <w:tblGrid>
        <w:gridCol w:w="1297"/>
        <w:gridCol w:w="930"/>
        <w:gridCol w:w="933"/>
        <w:gridCol w:w="109"/>
        <w:gridCol w:w="109"/>
        <w:gridCol w:w="109"/>
        <w:gridCol w:w="295"/>
        <w:gridCol w:w="940"/>
        <w:gridCol w:w="152"/>
        <w:gridCol w:w="109"/>
        <w:gridCol w:w="109"/>
        <w:gridCol w:w="109"/>
        <w:gridCol w:w="342"/>
        <w:gridCol w:w="1025"/>
        <w:gridCol w:w="178"/>
        <w:gridCol w:w="109"/>
        <w:gridCol w:w="109"/>
        <w:gridCol w:w="109"/>
        <w:gridCol w:w="397"/>
        <w:gridCol w:w="1166"/>
        <w:gridCol w:w="207"/>
        <w:gridCol w:w="109"/>
        <w:gridCol w:w="109"/>
        <w:gridCol w:w="109"/>
        <w:gridCol w:w="211"/>
        <w:gridCol w:w="663"/>
        <w:gridCol w:w="161"/>
      </w:tblGrid>
      <w:tr>
        <w:trPr/>
        <w:tc>
          <w:tcPr>
            <w:tcW w:w="129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Defined Benefit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8"/>
              </w:rPr>
              <w:t>Derivative Instruments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 Currency Translation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Net unrealized gains (losses) arising during the period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9,490 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Less: Net realized losses reclassified to net income </w:t>
            </w:r>
            <w:r>
              <w:rPr>
                <w:rFonts w:ascii="Times New Roman;sans-serif" w:hAnsi="Times New Roman;sans-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9,490 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5" w:type="dxa"/>
            <w:gridSpan w:val="3"/>
            <w:tcBorders/>
            <w:shd w:fill="auto" w:val="clear"/>
            <w:vAlign w:val="center"/>
          </w:tcPr>
          <w:p>
            <w:pPr>
              <w:pStyle w:val="TableContents"/>
              <w:spacing w:before="0" w:after="283"/>
              <w:rPr>
                <w:sz w:val="4"/>
                <w:szCs w:val="4"/>
              </w:rPr>
            </w:pPr>
            <w:r>
              <w:rPr>
                <w:sz w:val="4"/>
                <w:szCs w:val="4"/>
              </w:rPr>
            </w:r>
          </w:p>
        </w:tc>
      </w:tr>
      <w:tr>
        <w:trPr/>
        <w:tc>
          <w:tcPr>
            <w:tcW w:w="3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60"/>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w:t>
      </w:r>
    </w:p>
    <w:p>
      <w:pPr>
        <w:pStyle w:val="TextBody"/>
        <w:spacing w:lineRule="auto" w:line="288" w:before="160" w:after="160"/>
        <w:ind w:left="0" w:right="0" w:hanging="180"/>
        <w:jc w:val="both"/>
        <w:rPr/>
      </w:pPr>
      <w:r>
        <w:rPr>
          <w:rFonts w:ascii="Times New Roman;sans-serif" w:hAnsi="Times New Roman;sans-serif"/>
          <w:b w:val="false"/>
          <w:color w:val="000000"/>
          <w:sz w:val="10"/>
        </w:rPr>
        <w:t xml:space="preserve">(a) </w:t>
      </w:r>
      <w:r>
        <w:rPr>
          <w:rFonts w:ascii="Times New Roman;sans-serif" w:hAnsi="Times New Roman;sans-serif"/>
          <w:b w:val="false"/>
          <w:color w:val="000000"/>
          <w:sz w:val="16"/>
        </w:rPr>
        <w:t>Defined benefit plans, net of income tax of $0.8 million. See Note 18, "</w:t>
      </w:r>
      <w:r>
        <w:rPr>
          <w:rFonts w:ascii="Times New Roman;sans-serif" w:hAnsi="Times New Roman;sans-serif"/>
          <w:b w:val="false"/>
          <w:i/>
          <w:color w:val="000000"/>
          <w:sz w:val="16"/>
        </w:rPr>
        <w:t>Employee Benefit Plans</w:t>
      </w:r>
      <w:r>
        <w:rPr>
          <w:rFonts w:ascii="Times New Roman;sans-serif" w:hAnsi="Times New Roman;sans-serif"/>
          <w:b w:val="false"/>
          <w:color w:val="000000"/>
          <w:sz w:val="16"/>
        </w:rPr>
        <w:t>," for additional details. Derivative instruments, net of income tax of $3.1 million. See Note 14, "</w:t>
      </w:r>
      <w:r>
        <w:rPr>
          <w:rFonts w:ascii="Times New Roman;sans-serif" w:hAnsi="Times New Roman;sans-serif"/>
          <w:b w:val="false"/>
          <w:i/>
          <w:color w:val="000000"/>
          <w:sz w:val="16"/>
        </w:rPr>
        <w:t>Derivative Instruments</w:t>
      </w:r>
      <w:r>
        <w:rPr>
          <w:rFonts w:ascii="Times New Roman;sans-serif" w:hAnsi="Times New Roman;sans-serif"/>
          <w:b w:val="false"/>
          <w:color w:val="000000"/>
          <w:sz w:val="16"/>
        </w:rPr>
        <w:t>," for further details.</w:t>
      </w:r>
    </w:p>
    <w:p>
      <w:pPr>
        <w:pStyle w:val="TextBody"/>
        <w:spacing w:lineRule="auto" w:line="288" w:before="160" w:after="160"/>
        <w:ind w:left="0" w:right="0" w:hanging="180"/>
        <w:jc w:val="both"/>
        <w:rPr/>
      </w:pPr>
      <w:r>
        <w:rPr>
          <w:rFonts w:ascii="Times New Roman;sans-serif" w:hAnsi="Times New Roman;sans-serif"/>
          <w:b w:val="false"/>
          <w:color w:val="000000"/>
          <w:sz w:val="10"/>
        </w:rPr>
        <w:t xml:space="preserve">(b) </w:t>
      </w:r>
      <w:r>
        <w:rPr>
          <w:rFonts w:ascii="Times New Roman;sans-serif" w:hAnsi="Times New Roman;sans-serif"/>
          <w:b w:val="false"/>
          <w:color w:val="000000"/>
          <w:sz w:val="16"/>
        </w:rPr>
        <w:t>Defined benefit plans, net of income tax of $0.2 million. See Note 18, "</w:t>
      </w:r>
      <w:r>
        <w:rPr>
          <w:rFonts w:ascii="Times New Roman;sans-serif" w:hAnsi="Times New Roman;sans-serif"/>
          <w:b w:val="false"/>
          <w:i/>
          <w:color w:val="000000"/>
          <w:sz w:val="16"/>
        </w:rPr>
        <w:t>Employee Benefit Plans</w:t>
      </w:r>
      <w:r>
        <w:rPr>
          <w:rFonts w:ascii="Times New Roman;sans-serif" w:hAnsi="Times New Roman;sans-serif"/>
          <w:b w:val="false"/>
          <w:color w:val="000000"/>
          <w:sz w:val="16"/>
        </w:rPr>
        <w:t xml:space="preserve">," for additional details. </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AOCI by component for the year ended December 31, 2020 are summarized as follows, net of tax (dollars in thousands):</w:t>
      </w:r>
    </w:p>
    <w:tbl>
      <w:tblPr>
        <w:tblW w:w="10205" w:type="dxa"/>
        <w:jc w:val="center"/>
        <w:tblInd w:w="0" w:type="dxa"/>
        <w:tblCellMar>
          <w:top w:w="28" w:type="dxa"/>
          <w:left w:w="28" w:type="dxa"/>
          <w:bottom w:w="28" w:type="dxa"/>
          <w:right w:w="28" w:type="dxa"/>
        </w:tblCellMar>
      </w:tblPr>
      <w:tblGrid>
        <w:gridCol w:w="1297"/>
        <w:gridCol w:w="930"/>
        <w:gridCol w:w="933"/>
        <w:gridCol w:w="109"/>
        <w:gridCol w:w="109"/>
        <w:gridCol w:w="109"/>
        <w:gridCol w:w="295"/>
        <w:gridCol w:w="940"/>
        <w:gridCol w:w="152"/>
        <w:gridCol w:w="109"/>
        <w:gridCol w:w="109"/>
        <w:gridCol w:w="109"/>
        <w:gridCol w:w="342"/>
        <w:gridCol w:w="1025"/>
        <w:gridCol w:w="178"/>
        <w:gridCol w:w="109"/>
        <w:gridCol w:w="109"/>
        <w:gridCol w:w="109"/>
        <w:gridCol w:w="397"/>
        <w:gridCol w:w="1166"/>
        <w:gridCol w:w="207"/>
        <w:gridCol w:w="109"/>
        <w:gridCol w:w="109"/>
        <w:gridCol w:w="109"/>
        <w:gridCol w:w="211"/>
        <w:gridCol w:w="663"/>
        <w:gridCol w:w="161"/>
      </w:tblGrid>
      <w:tr>
        <w:trPr/>
        <w:tc>
          <w:tcPr>
            <w:tcW w:w="129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Defined Benefit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8"/>
              </w:rPr>
              <w:t>Derivative Instruments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 Currency Translation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Net unrealized gains (losses) arising during the period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(7,810)</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Less: Net realized losses reclassified to net income </w:t>
            </w:r>
            <w:r>
              <w:rPr>
                <w:rFonts w:ascii="Times New Roman;sans-serif" w:hAnsi="Times New Roman;sans-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(7,810)</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5" w:type="dxa"/>
            <w:gridSpan w:val="3"/>
            <w:tcBorders/>
            <w:shd w:fill="auto" w:val="clear"/>
            <w:vAlign w:val="center"/>
          </w:tcPr>
          <w:p>
            <w:pPr>
              <w:pStyle w:val="TableContents"/>
              <w:spacing w:before="0" w:after="283"/>
              <w:rPr>
                <w:sz w:val="4"/>
                <w:szCs w:val="4"/>
              </w:rPr>
            </w:pPr>
            <w:r>
              <w:rPr>
                <w:sz w:val="4"/>
                <w:szCs w:val="4"/>
              </w:rPr>
            </w:r>
          </w:p>
        </w:tc>
      </w:tr>
      <w:tr>
        <w:trPr/>
        <w:tc>
          <w:tcPr>
            <w:tcW w:w="3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(5,620)</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60"/>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w:t>
      </w:r>
    </w:p>
    <w:p>
      <w:pPr>
        <w:pStyle w:val="TextBody"/>
        <w:spacing w:lineRule="auto" w:line="288" w:before="160" w:after="160"/>
        <w:ind w:left="0" w:right="0" w:hanging="180"/>
        <w:jc w:val="both"/>
        <w:rPr/>
      </w:pPr>
      <w:r>
        <w:rPr>
          <w:rFonts w:ascii="Times New Roman;sans-serif" w:hAnsi="Times New Roman;sans-serif"/>
          <w:b w:val="false"/>
          <w:color w:val="000000"/>
          <w:sz w:val="10"/>
        </w:rPr>
        <w:t>(a)</w:t>
      </w:r>
      <w:r>
        <w:rPr>
          <w:color w:val="000000"/>
        </w:rPr>
        <w:t xml:space="preserve"> </w:t>
      </w:r>
      <w:r>
        <w:rPr>
          <w:rFonts w:ascii="Times New Roman;sans-serif" w:hAnsi="Times New Roman;sans-serif"/>
          <w:b w:val="false"/>
          <w:color w:val="000000"/>
          <w:sz w:val="16"/>
        </w:rPr>
        <w:t>Defined benefit plans, net of income tax of $0.4 million. See Note 18, "</w:t>
      </w:r>
      <w:r>
        <w:rPr>
          <w:rFonts w:ascii="Times New Roman;sans-serif" w:hAnsi="Times New Roman;sans-serif"/>
          <w:b w:val="false"/>
          <w:i/>
          <w:color w:val="000000"/>
          <w:sz w:val="16"/>
        </w:rPr>
        <w:t>Employee Benefit Plans</w:t>
      </w:r>
      <w:r>
        <w:rPr>
          <w:rFonts w:ascii="Times New Roman;sans-serif" w:hAnsi="Times New Roman;sans-serif"/>
          <w:b w:val="false"/>
          <w:color w:val="000000"/>
          <w:sz w:val="16"/>
        </w:rPr>
        <w:t>," for additional details. Derivative instruments, net of income tax expense of $2.5 million. See Note 14, "</w:t>
      </w:r>
      <w:r>
        <w:rPr>
          <w:rFonts w:ascii="Times New Roman;sans-serif" w:hAnsi="Times New Roman;sans-serif"/>
          <w:b w:val="false"/>
          <w:i/>
          <w:color w:val="000000"/>
          <w:sz w:val="16"/>
        </w:rPr>
        <w:t>Derivative Instruments</w:t>
      </w:r>
      <w:r>
        <w:rPr>
          <w:rFonts w:ascii="Times New Roman;sans-serif" w:hAnsi="Times New Roman;sans-serif"/>
          <w:b w:val="false"/>
          <w:color w:val="000000"/>
          <w:sz w:val="16"/>
        </w:rPr>
        <w:t>," for further details.</w:t>
      </w:r>
    </w:p>
    <w:p>
      <w:pPr>
        <w:pStyle w:val="TextBody"/>
        <w:spacing w:lineRule="auto" w:line="288" w:before="160" w:after="160"/>
        <w:ind w:left="0" w:right="0" w:hanging="180"/>
        <w:jc w:val="both"/>
        <w:rPr/>
      </w:pPr>
      <w:r>
        <w:rPr>
          <w:rFonts w:ascii="Times New Roman;sans-serif" w:hAnsi="Times New Roman;sans-serif"/>
          <w:b w:val="false"/>
          <w:color w:val="000000"/>
          <w:sz w:val="10"/>
        </w:rPr>
        <w:t xml:space="preserve">(b) </w:t>
      </w:r>
      <w:r>
        <w:rPr>
          <w:rFonts w:ascii="Times New Roman;sans-serif" w:hAnsi="Times New Roman;sans-serif"/>
          <w:b w:val="false"/>
          <w:color w:val="000000"/>
          <w:sz w:val="16"/>
        </w:rPr>
        <w:t xml:space="preserve">Defined benefit plans, net of income tax of $0.2 million. See Note 18, </w:t>
      </w:r>
      <w:r>
        <w:rPr>
          <w:rFonts w:ascii="Times New Roman;sans-serif" w:hAnsi="Times New Roman;sans-serif"/>
          <w:b w:val="false"/>
          <w:i/>
          <w:color w:val="000000"/>
          <w:sz w:val="16"/>
        </w:rPr>
        <w:t>"Employee Benefit Plans,"</w:t>
      </w:r>
      <w:r>
        <w:rPr>
          <w:color w:val="000000"/>
        </w:rPr>
        <w:t xml:space="preserve"> </w:t>
      </w:r>
      <w:r>
        <w:rPr>
          <w:rFonts w:ascii="Times New Roman;sans-serif" w:hAnsi="Times New Roman;sans-serif"/>
          <w:b w:val="false"/>
          <w:color w:val="000000"/>
          <w:sz w:val="16"/>
        </w:rPr>
        <w:t xml:space="preserve">for additional details.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22. Segment Information</w:t>
      </w:r>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TriMas reports its operations in three segments: Packaging, Aerospace and Specialty Products. Each of these segments has discrete financial information that is regularly evaluated by TriMas’ president and chief executive officer (chief operating decision maker) in determining resource, personnel and capital allocation, as well as assessing strategy and performance. The Company utilizes its proprietary TriMas Business Model as its platform which is based upon a standardized set of processes to manage and drive results and strategy across its multi-industry businesses.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Within each of the Company's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pStyle w:val="TextBody"/>
        <w:spacing w:lineRule="auto" w:line="276" w:before="160" w:after="160"/>
        <w:jc w:val="both"/>
        <w:rPr/>
      </w:pPr>
      <w:r>
        <w:rPr>
          <w:rFonts w:ascii="Times New Roman;sans-serif" w:hAnsi="Times New Roman;sans-serif"/>
          <w:b/>
          <w:color w:val="000000"/>
          <w:sz w:val="20"/>
        </w:rPr>
        <w:t xml:space="preserve">Packaging – </w:t>
      </w:r>
      <w:r>
        <w:rPr>
          <w:rFonts w:ascii="Times New Roman;sans-serif" w:hAnsi="Times New Roman;sans-serif"/>
          <w:b w:val="false"/>
          <w:color w:val="000000"/>
          <w:sz w:val="20"/>
        </w:rPr>
        <w:t>The Packaging segment, which consists primarily of the Rieke</w:t>
      </w:r>
      <w:r>
        <w:rPr>
          <w:rFonts w:ascii="Times New Roman;sans-serif" w:hAnsi="Times New Roman;sans-serif"/>
          <w:b w:val="false"/>
          <w:color w:val="000000"/>
          <w:sz w:val="13"/>
        </w:rPr>
        <w:t>®</w:t>
      </w:r>
      <w:r>
        <w:rPr>
          <w:rFonts w:ascii="Times New Roman;sans-serif" w:hAnsi="Times New Roman;sans-serif"/>
          <w:b w:val="false"/>
          <w:color w:val="000000"/>
          <w:sz w:val="20"/>
        </w:rPr>
        <w:t>, Taplast, Affaba &amp; Ferrari, Stolz, Rapak</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and Omega Plastics brands, develops and manufactures a broad array of dispensing products (such as foaming pumps, lotion and hand soap pumps, sanitizer pumps, beverage dispensers, perfume sprayers, nasal sprayers and trigger sprayers), polymeric and steel caps and closures (such as food lids, flip-top closures, child resistance caps, beverage closures, drum and pail closures, flexible spouts, and agricultural closures), polymeric jar products, and fully integrated dispensers for fill-ready bag-in-box applications, all for a variety of consumer products submarkets including, but not limited to, beauty and personal care, food and beverage, home care, and pharmaceutical and nutraceutical, as well as the industrial market. </w:t>
      </w:r>
    </w:p>
    <w:p>
      <w:pPr>
        <w:pStyle w:val="TextBody"/>
        <w:spacing w:lineRule="auto" w:line="288" w:before="160" w:after="160"/>
        <w:jc w:val="both"/>
        <w:rPr/>
      </w:pPr>
      <w:r>
        <w:rPr>
          <w:rFonts w:ascii="Times New Roman;sans-serif" w:hAnsi="Times New Roman;sans-serif"/>
          <w:b/>
          <w:color w:val="000000"/>
          <w:sz w:val="20"/>
        </w:rPr>
        <w:t xml:space="preserve">Aerospace – </w:t>
      </w:r>
      <w:r>
        <w:rPr>
          <w:rFonts w:ascii="Times New Roman;sans-serif" w:hAnsi="Times New Roman;sans-serif"/>
          <w:b w:val="false"/>
          <w:color w:val="000000"/>
          <w:sz w:val="20"/>
        </w:rPr>
        <w:t>The Aerospace segment, which includes the Monogram Aerospace Fasteners</w:t>
      </w:r>
      <w:r>
        <w:rPr>
          <w:color w:val="000000"/>
        </w:rPr>
        <w:t>™</w:t>
      </w:r>
      <w:r>
        <w:rPr>
          <w:rFonts w:ascii="Times New Roman;sans-serif" w:hAnsi="Times New Roman;sans-serif"/>
          <w:b w:val="false"/>
          <w:color w:val="000000"/>
          <w:sz w:val="20"/>
        </w:rPr>
        <w:t>, Allfast Fastening Systems</w:t>
      </w:r>
      <w:r>
        <w:rPr>
          <w:rFonts w:ascii="Times New Roman;sans-serif" w:hAnsi="Times New Roman;sans-serif"/>
          <w:b w:val="false"/>
          <w:color w:val="000000"/>
          <w:sz w:val="13"/>
        </w:rPr>
        <w:t>®</w:t>
      </w:r>
      <w:r>
        <w:rPr>
          <w:rFonts w:ascii="Times New Roman;sans-serif" w:hAnsi="Times New Roman;sans-serif"/>
          <w:b w:val="false"/>
          <w:color w:val="000000"/>
          <w:sz w:val="20"/>
        </w:rPr>
        <w:t>, Mac Fasteners</w:t>
      </w:r>
      <w:r>
        <w:rPr>
          <w:color w:val="000000"/>
        </w:rPr>
        <w:t>™</w:t>
      </w:r>
      <w:r>
        <w:rPr>
          <w:rFonts w:ascii="Times New Roman;sans-serif" w:hAnsi="Times New Roman;sans-serif"/>
          <w:b w:val="false"/>
          <w:color w:val="000000"/>
          <w:sz w:val="20"/>
        </w:rPr>
        <w:t xml:space="preserve">, TFI Aerospace, RSA Engineered Products and Martinic Engineering brands, develops, qualifies and manufactures highly-engineered, precision fasteners, tubular products and assemblies for fluid conveyance, and machined products and assemblies to serve the aerospace and defense market. </w:t>
      </w:r>
    </w:p>
    <w:p>
      <w:pPr>
        <w:pStyle w:val="TextBody"/>
        <w:spacing w:lineRule="auto" w:line="288" w:before="160" w:after="160"/>
        <w:jc w:val="both"/>
        <w:rPr/>
      </w:pPr>
      <w:r>
        <w:rPr>
          <w:rFonts w:ascii="Times New Roman;sans-serif" w:hAnsi="Times New Roman;sans-serif"/>
          <w:b/>
          <w:color w:val="000000"/>
          <w:sz w:val="20"/>
        </w:rPr>
        <w:t xml:space="preserve">Specialty Products – </w:t>
      </w:r>
      <w:r>
        <w:rPr>
          <w:rFonts w:ascii="Times New Roman;sans-serif" w:hAnsi="Times New Roman;sans-serif"/>
          <w:b w:val="false"/>
          <w:color w:val="000000"/>
          <w:sz w:val="20"/>
        </w:rPr>
        <w:t>The Specialty Products segment, which includes the Norris Cylinder</w:t>
      </w:r>
      <w:r>
        <w:rPr>
          <w:color w:val="000000"/>
        </w:rPr>
        <w:t xml:space="preserve">™ </w:t>
      </w:r>
      <w:r>
        <w:rPr>
          <w:rFonts w:ascii="Times New Roman;sans-serif" w:hAnsi="Times New Roman;sans-serif"/>
          <w:b w:val="false"/>
          <w:color w:val="000000"/>
          <w:sz w:val="20"/>
        </w:rPr>
        <w:t>and Arrow</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Engine brands, designs, manufactures and distributes highly-engineered steel cylinders, wellhead engines and compression systems for use within industrial markets.</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Segment activity is as follows (dollars in thousands):</w:t>
      </w:r>
    </w:p>
    <w:tbl>
      <w:tblPr>
        <w:tblW w:w="7673" w:type="dxa"/>
        <w:jc w:val="left"/>
        <w:tblInd w:w="0" w:type="dxa"/>
        <w:tblCellMar>
          <w:top w:w="28" w:type="dxa"/>
          <w:left w:w="28" w:type="dxa"/>
          <w:bottom w:w="28" w:type="dxa"/>
          <w:right w:w="28" w:type="dxa"/>
        </w:tblCellMar>
      </w:tblPr>
      <w:tblGrid>
        <w:gridCol w:w="995"/>
        <w:gridCol w:w="876"/>
        <w:gridCol w:w="888"/>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995"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7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Products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723,530 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Profit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Products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Products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Products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739,920 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721,440 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Products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1,303,640 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1,193,880 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1,192,700 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160" w:after="160"/>
        <w:jc w:val="both"/>
        <w:rPr/>
      </w:pPr>
      <w:r>
        <w:rPr/>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Company's net sales for each of the years ended December 31 and long-lived assets at each year ended December 31, attributed to each subsidiary's continent of domicile (dollars in thousands). </w:t>
      </w:r>
    </w:p>
    <w:tbl>
      <w:tblPr>
        <w:tblW w:w="10205" w:type="dxa"/>
        <w:jc w:val="left"/>
        <w:tblInd w:w="0" w:type="dxa"/>
        <w:tblCellMar>
          <w:top w:w="28" w:type="dxa"/>
          <w:left w:w="28" w:type="dxa"/>
          <w:bottom w:w="28" w:type="dxa"/>
          <w:right w:w="28" w:type="dxa"/>
        </w:tblCellMar>
      </w:tblPr>
      <w:tblGrid>
        <w:gridCol w:w="377"/>
        <w:gridCol w:w="321"/>
        <w:gridCol w:w="324"/>
        <w:gridCol w:w="109"/>
        <w:gridCol w:w="109"/>
        <w:gridCol w:w="109"/>
        <w:gridCol w:w="211"/>
        <w:gridCol w:w="826"/>
        <w:gridCol w:w="109"/>
        <w:gridCol w:w="109"/>
        <w:gridCol w:w="109"/>
        <w:gridCol w:w="109"/>
        <w:gridCol w:w="229"/>
        <w:gridCol w:w="898"/>
        <w:gridCol w:w="118"/>
        <w:gridCol w:w="109"/>
        <w:gridCol w:w="109"/>
        <w:gridCol w:w="109"/>
        <w:gridCol w:w="211"/>
        <w:gridCol w:w="826"/>
        <w:gridCol w:w="109"/>
        <w:gridCol w:w="109"/>
        <w:gridCol w:w="109"/>
        <w:gridCol w:w="109"/>
        <w:gridCol w:w="229"/>
        <w:gridCol w:w="898"/>
        <w:gridCol w:w="118"/>
        <w:gridCol w:w="109"/>
        <w:gridCol w:w="109"/>
        <w:gridCol w:w="109"/>
        <w:gridCol w:w="211"/>
        <w:gridCol w:w="826"/>
        <w:gridCol w:w="109"/>
        <w:gridCol w:w="109"/>
        <w:gridCol w:w="109"/>
        <w:gridCol w:w="109"/>
        <w:gridCol w:w="228"/>
        <w:gridCol w:w="895"/>
        <w:gridCol w:w="170"/>
      </w:tblGrid>
      <w:tr>
        <w:trPr/>
        <w:tc>
          <w:tcPr>
            <w:tcW w:w="377"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0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6"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10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71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76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10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Net </w:t>
              <w:br/>
              <w:t>Sales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Long-lived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Net </w:t>
              <w:br/>
              <w:t>Sales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Long-lived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Net </w:t>
              <w:br/>
              <w:t>Sales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Long-lived Assets</w:t>
            </w:r>
          </w:p>
        </w:tc>
      </w:tr>
      <w:tr>
        <w:trPr/>
        <w:tc>
          <w:tcPr>
            <w:tcW w:w="10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0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209,380 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225,120 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110,530 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40,720 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Americas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18,430 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288,460 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285,770 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169,680 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639,860 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489,390 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477,460 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591,900 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540,680 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857,110 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777,850 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769,970 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763,230 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723,530 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710,360 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export sales from the U.S. approximated $80.6 million, $70.0 million and $74.1 million in 2021, 2020 and 2019,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23. Income Taxes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income (loss) before income taxes and income tax expense (benefit), each by tax jurisdiction, consists of the following (dollars in thousands):</w:t>
      </w:r>
    </w:p>
    <w:tbl>
      <w:tblPr>
        <w:tblW w:w="8093" w:type="dxa"/>
        <w:jc w:val="left"/>
        <w:tblInd w:w="0" w:type="dxa"/>
        <w:tblCellMar>
          <w:top w:w="28" w:type="dxa"/>
          <w:left w:w="28" w:type="dxa"/>
          <w:bottom w:w="28" w:type="dxa"/>
          <w:right w:w="28" w:type="dxa"/>
        </w:tblCellMar>
      </w:tblPr>
      <w:tblGrid>
        <w:gridCol w:w="1363"/>
        <w:gridCol w:w="1195"/>
        <w:gridCol w:w="1206"/>
        <w:gridCol w:w="109"/>
        <w:gridCol w:w="109"/>
        <w:gridCol w:w="109"/>
        <w:gridCol w:w="211"/>
        <w:gridCol w:w="721"/>
        <w:gridCol w:w="109"/>
        <w:gridCol w:w="109"/>
        <w:gridCol w:w="109"/>
        <w:gridCol w:w="109"/>
        <w:gridCol w:w="211"/>
        <w:gridCol w:w="901"/>
        <w:gridCol w:w="109"/>
        <w:gridCol w:w="109"/>
        <w:gridCol w:w="109"/>
        <w:gridCol w:w="109"/>
        <w:gridCol w:w="211"/>
        <w:gridCol w:w="721"/>
        <w:gridCol w:w="154"/>
      </w:tblGrid>
      <w:tr>
        <w:trPr/>
        <w:tc>
          <w:tcPr>
            <w:tcW w:w="1363"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current 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deferred income tax expense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deferred taxes are as follows (dollars in thousands):</w:t>
      </w:r>
    </w:p>
    <w:tbl>
      <w:tblPr>
        <w:tblW w:w="8633" w:type="dxa"/>
        <w:jc w:val="left"/>
        <w:tblInd w:w="0" w:type="dxa"/>
        <w:tblCellMar>
          <w:top w:w="28" w:type="dxa"/>
          <w:left w:w="28" w:type="dxa"/>
          <w:bottom w:w="28" w:type="dxa"/>
          <w:right w:w="28" w:type="dxa"/>
        </w:tblCellMar>
      </w:tblPr>
      <w:tblGrid>
        <w:gridCol w:w="1757"/>
        <w:gridCol w:w="1541"/>
        <w:gridCol w:w="1547"/>
        <w:gridCol w:w="109"/>
        <w:gridCol w:w="109"/>
        <w:gridCol w:w="109"/>
        <w:gridCol w:w="292"/>
        <w:gridCol w:w="1102"/>
        <w:gridCol w:w="150"/>
        <w:gridCol w:w="109"/>
        <w:gridCol w:w="109"/>
        <w:gridCol w:w="109"/>
        <w:gridCol w:w="317"/>
        <w:gridCol w:w="1041"/>
        <w:gridCol w:w="232"/>
      </w:tblGrid>
      <w:tr>
        <w:trPr/>
        <w:tc>
          <w:tcPr>
            <w:tcW w:w="1757" w:type="dxa"/>
            <w:tcBorders/>
            <w:shd w:fill="auto" w:val="clear"/>
            <w:vAlign w:val="center"/>
          </w:tcPr>
          <w:p>
            <w:pPr>
              <w:pStyle w:val="TableContents"/>
              <w:spacing w:before="0" w:after="283"/>
              <w:rPr>
                <w:sz w:val="4"/>
                <w:szCs w:val="4"/>
              </w:rPr>
            </w:pPr>
            <w:r>
              <w:rPr>
                <w:sz w:val="4"/>
                <w:szCs w:val="4"/>
              </w:rPr>
            </w:r>
          </w:p>
        </w:tc>
        <w:tc>
          <w:tcPr>
            <w:tcW w:w="1541" w:type="dxa"/>
            <w:tcBorders/>
            <w:shd w:fill="auto" w:val="clear"/>
            <w:vAlign w:val="center"/>
          </w:tcPr>
          <w:p>
            <w:pPr>
              <w:pStyle w:val="TableContents"/>
              <w:spacing w:before="0" w:after="283"/>
              <w:rPr>
                <w:sz w:val="4"/>
                <w:szCs w:val="4"/>
              </w:rPr>
            </w:pPr>
            <w:r>
              <w:rPr>
                <w:sz w:val="4"/>
                <w:szCs w:val="4"/>
              </w:rPr>
            </w:r>
          </w:p>
        </w:tc>
        <w:tc>
          <w:tcPr>
            <w:tcW w:w="15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48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2020</w:t>
            </w:r>
          </w:p>
        </w:tc>
      </w:tr>
      <w:tr>
        <w:trPr/>
        <w:tc>
          <w:tcPr>
            <w:tcW w:w="4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 long-term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19,190 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13,440 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8,950 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loss and credit carryforwards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20,760 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66,070 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54,580 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(19,960)</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(10,180)</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46,110 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44,400 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(23,920)</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(24,140)</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(13,130)</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(8,930)</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other 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(20,160)</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(16,230)</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foreign affiliates, including withholding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(57,630)</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(49,670)</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(11,520)</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income tax expense (benefit) computed at the U.S. federal statutory rate to income tax expense (benefit) allocated to income (loss) before income taxes (dollars in thousands):</w:t>
      </w:r>
    </w:p>
    <w:tbl>
      <w:tblPr>
        <w:tblW w:w="8774" w:type="dxa"/>
        <w:jc w:val="left"/>
        <w:tblInd w:w="0" w:type="dxa"/>
        <w:tblCellMar>
          <w:top w:w="28" w:type="dxa"/>
          <w:left w:w="28" w:type="dxa"/>
          <w:bottom w:w="28" w:type="dxa"/>
          <w:right w:w="28" w:type="dxa"/>
        </w:tblCellMar>
      </w:tblPr>
      <w:tblGrid>
        <w:gridCol w:w="1470"/>
        <w:gridCol w:w="1295"/>
        <w:gridCol w:w="1299"/>
        <w:gridCol w:w="109"/>
        <w:gridCol w:w="109"/>
        <w:gridCol w:w="109"/>
        <w:gridCol w:w="211"/>
        <w:gridCol w:w="721"/>
        <w:gridCol w:w="271"/>
        <w:gridCol w:w="109"/>
        <w:gridCol w:w="109"/>
        <w:gridCol w:w="109"/>
        <w:gridCol w:w="211"/>
        <w:gridCol w:w="796"/>
        <w:gridCol w:w="271"/>
        <w:gridCol w:w="109"/>
        <w:gridCol w:w="109"/>
        <w:gridCol w:w="109"/>
        <w:gridCol w:w="211"/>
        <w:gridCol w:w="721"/>
        <w:gridCol w:w="316"/>
      </w:tblGrid>
      <w:tr>
        <w:trPr/>
        <w:tc>
          <w:tcPr>
            <w:tcW w:w="147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0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statutory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at U.S. federal statutory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16,440 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taxes, net of federal tax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Differences in statutory foreign tax rates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recognized tax benefits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other intangible assets impairment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 and incentives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valuation allowance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(22,950)</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2020, the Company undertook certain tax-planning actions with respect to intercompany debt restructuring within the group. These actions resulted in the recognition of an approximate $6.4 million deferred tax benefit related to an interest limitation carryforward.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recorded deferred tax assets on approximately $34.0 million of various state operating loss carryforwards and $57.6 million of various foreign operating loss carryforwards. The majority of the state tax loss carryforwards expire between 2026 and 2032 and the majority of the foreign losses have indefinite carryforward periods.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made a provision for U.S. or additional foreign withholding taxes related to investments in foreign subsidiaries that are indefinitely reinvested since any excess of the amount for financial reporting over the tax basis in these investments is not significant as of December 31, 2021.</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Unrecognized Tax Benefits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approximately $1.3 million and $1.6 million of unrecognized tax benefits ("UTBs") as of December 31, 2021 and 2020, respectively. If the UTBs were recognized, the impact to the Company's effective tax rate would be to reduce reported income tax expense for the years ended December 31, 2021 and 2020 by approximately $1.1 million and $1.4 million, respectively.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change in the UTBs for the years ended December 31, 2021 and 2020 is as follows (dollars in thousands):</w:t>
      </w:r>
    </w:p>
    <w:tbl>
      <w:tblPr>
        <w:tblW w:w="4633" w:type="dxa"/>
        <w:jc w:val="center"/>
        <w:tblInd w:w="0" w:type="dxa"/>
        <w:tblCellMar>
          <w:top w:w="28" w:type="dxa"/>
          <w:left w:w="28" w:type="dxa"/>
          <w:bottom w:w="28" w:type="dxa"/>
          <w:right w:w="28" w:type="dxa"/>
        </w:tblCellMar>
      </w:tblPr>
      <w:tblGrid>
        <w:gridCol w:w="1125"/>
        <w:gridCol w:w="989"/>
        <w:gridCol w:w="991"/>
        <w:gridCol w:w="109"/>
        <w:gridCol w:w="109"/>
        <w:gridCol w:w="109"/>
        <w:gridCol w:w="258"/>
        <w:gridCol w:w="754"/>
        <w:gridCol w:w="189"/>
      </w:tblGrid>
      <w:tr>
        <w:trPr/>
        <w:tc>
          <w:tcPr>
            <w:tcW w:w="1125"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Unrecognized</w:t>
              <w:br/>
              <w:t>Tax Benefits</w:t>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positions related to current year: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positions related to prior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Lapses in the statutes of limitations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positions related to current year: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positions related to prior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Lapses in the statutes of limitations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UTBs summarized above, the Company has recorded approximately $0.8 million and $0.8 million in potential interest and penalties associated with uncertain tax positions as of December 31, 2021 and 2020, respectively.</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U.S. federal, state and local, and certain non-U.S. income tax examinations for tax years 2014 through 2021. In addition, there are currently several state and foreign income tax examinations in process. The Company does not believe that the results of these examinations will have a significant impact on the Company's tax position or its effective tax rate.</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monitors changes in tax statutes and regulations and the issuance of judicial decisions to determine the potential impact to UTBs and is not aware of, nor does it anticipate, any subsequent events that could have a significant impact on the Company's financial position during the next twelve months.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24. Subsequent Events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28, 2022, the Company announced that it has acquired Intertech Plastics LLC and related companies (collectively, "Intertech") for a purchase price of approximately $65 million, subject to customary closing conditions. Intertech is a manufacturer of custom injection molded products used in medical applications, as well as products and assemblies for consumer and industrial applications, and has annual net sales of approximately $32 million. Intertech will become part of the Packaging reportable segment.</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18, 2022, the Company announced that its Board of Directors had declared a cash dividend of $0.04 per share of TriMas Corporation common stock, which will be payable on March 11, 2022 to shareholders of record as of the close of business on March 4,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an evaluation was carried out by management, with the participation of our Chief Executive Officer and Chief Financial Officer, of the effectiveness of our disclosure controls and procedures (as such term is defined in Rule 13a-15(e) and Rule 15d-15(e) of the Securities Exchange Act of 1934 (the "Exchange Act")), pursuant to Rule 13a-15 of the Exchange Act. Our disclosure controls and procedures are designed only to provide reasonable assurance that they will meet their objectives. Based upon that evaluation, the Chief Executive Officer and Chief Financial Officer concluded that as of December 31, 2021, the Company's disclosure controls and procedures were effective to provide reasonable assurance that they would meet their objectives.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completed the acquisitions of TFI Aerospace ("TFI") and Omega Plastics ("Omega") in December 2021 and have not yet included TFI and Omega in our assessment of the effectiveness of our internal control over financial reporting. Accordingly, pursuant to the SEC's general guidance that an assessment of a recently acquired business may be omitted from the scope of an assessment in the year of acquisition, the scope of our assessment of the effectiveness of our disclosure controls and procedures does not include TFI and Omega. For fiscal 2021, TFI and Omega accounted for approximately $0.3 million and $0.7 million of our total net sales, respectively, and as of December 31, 2021 had total assets of approximately $19.7 million and $28.5 million, respectively.</w:t>
      </w:r>
    </w:p>
    <w:p>
      <w:pPr>
        <w:pStyle w:val="TextBody"/>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Management's Annual Report on Internal Control Over Financial Reporting</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the preparation and fair presentation of the consolidated financial statements included in this annual report. The consolidated financial statements have been prepared in conformity with United States generally accepted accounting principles and reflect management's judgments and estimates concerning events and transactions that are accounted for or disclosed.</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also responsible for establishing and maintaining effective internal control over financial reporting. The Company's internal control over financial reporting includes those policies and procedures that pertain to the Company's ability to record, process, summarize, and report reliable financial data. Management recognizes that there are inherent limitations in the effectiveness of any internal control and effective internal control over financial reporting can provide only reasonable assurance with respect to financial statement preparation. Additionally, because of changes in conditions, the effectiveness of internal control over financial reporting may vary over time.</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ensure that the Company's internal control over financial reporting is effective, management regularly assesses such controls and did so most recently for its financial reporting as of December 31, 2021. Management's assessment of internal control over financial reporting as of December 31, 2021 excludes internal control over financial reporting related to TFI and Omega (acquired in December 2021), which accounted for approximately $0.3 million and $0.7 million of our total net sales, respectively, and as of December 31, 2021 had total assets of approximately $19.7 million and $28.5 million, respectively. Management's assessment was based on criteria for effective internal control over financial reporting described in Internal Control—Integrated Framework (2013) issued by the Committee of Sponsoring Organizations of the Treadway Commission. Based on this assessment, management asserts that the Company has maintained effective internal control over financial reporting as of December 31, 2021.</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Deloitte &amp; Touche LLP, an independent registered public accounting firm, who audited the Company's consolidated financial statements, has also audited the effectiveness of the Company's internal control over financial reporting as of December 31, 2021, as stated in their report below.</w:t>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shareholders and the Board of Directors of TriMas Corporation </w:t>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spacing w:lineRule="auto" w:line="276" w:before="160" w:after="160"/>
        <w:jc w:val="both"/>
        <w:rPr/>
      </w:pPr>
      <w:r>
        <w:rPr>
          <w:rFonts w:ascii="Times New Roman;sans-serif" w:hAnsi="Times New Roman;sans-serif"/>
          <w:b w:val="false"/>
          <w:color w:val="000000"/>
          <w:sz w:val="20"/>
        </w:rPr>
        <w:t xml:space="preserve">We have audited the internal control over financial reporting of TriMas Corporation and subsidiaries (the “Company”) as of December 31, 2021,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COSO.</w:t>
      </w:r>
    </w:p>
    <w:p>
      <w:pPr>
        <w:pStyle w:val="TextBody"/>
        <w:spacing w:lineRule="auto" w:line="276"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and financial statement schedule as of and for the year ended December 31, 2021, of the Company and our report dated March 1, 2022, expressed an unqualified opinion on those financial statements and financial statement schedule.</w:t>
      </w:r>
    </w:p>
    <w:p>
      <w:pPr>
        <w:pStyle w:val="TextBody"/>
        <w:spacing w:lineRule="auto" w:line="276"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Management’s Annual Report on Internal Control over Financial Reporting, management excluded from its assessment the internal control over financial reporting at TFI Aerospace ("TFI") and Omega Plastics ("Omega"), which were acquired in December 2021, whose financial statements accounted for approximately $19.7 million and $28.5 million of total assets, respectively, and $0.3 million and $0.7 million of total net sales, respectively of the consolidated financial statements amounts as of and for the year ended December 31, 2021. Accordingly, our audit did not include the internal control over financial reporting at TFI and Omega.</w:t>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lineRule="auto" w:line="276"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76"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spacing w:lineRule="auto" w:line="276"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lineRule="auto" w:line="276"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Detroit, Michigan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March 1, 2022 </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Changes in disclosure controls and procedures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the Company's internal control over financial reporting during the quarter ended December 31, 2021 that have materially affected, or are reasonably likely to materially affect, the Company's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spacing w:lineRule="auto" w:line="288" w:before="0" w:after="0"/>
        <w:jc w:val="both"/>
        <w:rPr/>
      </w:pPr>
      <w:r>
        <w:rPr>
          <w:rFonts w:ascii="Times New Roman;sans-serif" w:hAnsi="Times New Roman;sans-serif"/>
          <w:b w:val="false"/>
          <w:color w:val="000000"/>
          <w:sz w:val="20"/>
        </w:rPr>
        <w:t>Information regarding our executive officers is included in Part I of this Form 10-K under the heading “</w:t>
      </w:r>
      <w:r>
        <w:rPr>
          <w:rFonts w:ascii="Times New Roman;sans-serif" w:hAnsi="Times New Roman;sans-serif"/>
          <w:b w:val="false"/>
          <w:i/>
          <w:color w:val="000000"/>
          <w:sz w:val="20"/>
        </w:rPr>
        <w:t>Information about our</w:t>
      </w:r>
      <w:r>
        <w:rPr>
          <w:color w:val="000000"/>
        </w:rPr>
        <w:t xml:space="preserve"> </w:t>
      </w:r>
      <w:r>
        <w:rPr>
          <w:rFonts w:ascii="Times New Roman;sans-serif" w:hAnsi="Times New Roman;sans-serif"/>
          <w:b w:val="false"/>
          <w:i/>
          <w:color w:val="000000"/>
          <w:sz w:val="20"/>
        </w:rPr>
        <w:t>Executive Officers.</w:t>
      </w:r>
      <w:r>
        <w:rPr>
          <w:color w:val="000000"/>
        </w:rPr>
        <w:t xml:space="preserve">”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Code of Ethics and Business Conduct is applicable to its directors, officers and employees. The Code of Ethics and Business Conduct is available on the "Investors" portion of the Company's website under the "Corporate Governance" link. The Company's website address is www.trimascorp.com.</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from our definitive proxy statement for the 2022 Annual Meeting of Shareholders.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from our definitive proxy statement for the 2022 Annual Meeting of Shareholders.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from our definitive proxy statement for the 2022 Annual Meeting of Shareholders.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Item 13.    Certain Relationships and Related Transactions, and Director Independence </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from our definitive proxy statement for the 2022 Annual Meeting of Shareholders.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about aggregate fees billed to us by our principal accountant, Deloitte &amp; Touche LLP (PCAOB ID No. 34), as required by this item, is incorporated by reference from our definitive proxy statement for the 2022 Annual Meeting of Shareholders.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(a) Listing of Documents</w:t>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(1)   Financial Statements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Statements included in Item 8 hereof, as required at December 31, 2021 and December 31, 2020, and for the periods ended December 31, 2021, December 31, 2020 and December 31, 2019, consist of the following:</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Balance Sheet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Statement of Operations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Statement of Comprehensive Income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Statement of Cash Flows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Statement of Shareholders' Equity</w:t>
      </w:r>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Notes to Financial Statements</w:t>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(2)   Financial Statement Schedules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Statement Schedule of the Company appended hereto, as required for the periods ended December 31, 2021, December 31, 2020 and December 31, 2019, consists of the following:</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Valuation and Qualifying Accounts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All other schedules are omitted because they are not applicable, not required, or the information is otherwise included in the financial statements or the notes thereto.</w:t>
      </w:r>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(3)   Exhibits</w:t>
      </w:r>
    </w:p>
    <w:tbl>
      <w:tblPr>
        <w:tblW w:w="10205" w:type="dxa"/>
        <w:jc w:val="center"/>
        <w:tblInd w:w="0" w:type="dxa"/>
        <w:tblCellMar>
          <w:top w:w="28" w:type="dxa"/>
          <w:left w:w="28" w:type="dxa"/>
          <w:bottom w:w="28" w:type="dxa"/>
          <w:right w:w="28" w:type="dxa"/>
        </w:tblCellMar>
      </w:tblPr>
      <w:tblGrid>
        <w:gridCol w:w="250"/>
        <w:gridCol w:w="173"/>
        <w:gridCol w:w="161"/>
        <w:gridCol w:w="2970"/>
        <w:gridCol w:w="2746"/>
        <w:gridCol w:w="3905"/>
      </w:tblGrid>
      <w:tr>
        <w:trPr/>
        <w:tc>
          <w:tcPr>
            <w:tcW w:w="25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970" w:type="dxa"/>
            <w:tcBorders/>
            <w:shd w:fill="auto" w:val="clear"/>
            <w:vAlign w:val="center"/>
          </w:tcPr>
          <w:p>
            <w:pPr>
              <w:pStyle w:val="TableContents"/>
              <w:spacing w:before="0" w:after="283"/>
              <w:rPr>
                <w:sz w:val="4"/>
                <w:szCs w:val="4"/>
              </w:rPr>
            </w:pPr>
            <w:r>
              <w:rPr>
                <w:sz w:val="4"/>
                <w:szCs w:val="4"/>
              </w:rPr>
            </w:r>
          </w:p>
        </w:tc>
        <w:tc>
          <w:tcPr>
            <w:tcW w:w="2746" w:type="dxa"/>
            <w:tcBorders/>
            <w:shd w:fill="auto" w:val="clear"/>
            <w:vAlign w:val="center"/>
          </w:tcPr>
          <w:p>
            <w:pPr>
              <w:pStyle w:val="TableContents"/>
              <w:spacing w:before="0" w:after="283"/>
              <w:rPr>
                <w:sz w:val="4"/>
                <w:szCs w:val="4"/>
              </w:rPr>
            </w:pPr>
            <w:r>
              <w:rPr>
                <w:sz w:val="4"/>
                <w:szCs w:val="4"/>
              </w:rPr>
            </w:r>
          </w:p>
        </w:tc>
        <w:tc>
          <w:tcPr>
            <w:tcW w:w="3905" w:type="dxa"/>
            <w:tcBorders/>
            <w:shd w:fill="auto" w:val="clear"/>
            <w:vAlign w:val="center"/>
          </w:tcPr>
          <w:p>
            <w:pPr>
              <w:pStyle w:val="TableContents"/>
              <w:spacing w:before="0" w:after="283"/>
              <w:rPr>
                <w:sz w:val="4"/>
                <w:szCs w:val="4"/>
              </w:rPr>
            </w:pPr>
            <w:r>
              <w:rPr>
                <w:sz w:val="4"/>
                <w:szCs w:val="4"/>
              </w:rPr>
            </w:r>
          </w:p>
        </w:tc>
      </w:tr>
      <w:tr>
        <w:trPr/>
        <w:tc>
          <w:tcPr>
            <w:tcW w:w="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w:t>
            </w:r>
          </w:p>
        </w:tc>
        <w:tc>
          <w:tcPr>
            <w:tcW w:w="96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Asset and Stock Purchase Agreement, dated as of November 1, 2019, by and between TriMas Company LLC and LGC US Holdings, LLC and LGC US Finco, LLC.**</w:t>
              </w:r>
            </w:hyperlink>
          </w:p>
        </w:tc>
      </w:tr>
      <w:tr>
        <w:trPr/>
        <w:tc>
          <w:tcPr>
            <w:tcW w:w="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3.1(d)</w:t>
            </w:r>
          </w:p>
        </w:tc>
        <w:tc>
          <w:tcPr>
            <w:tcW w:w="96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Fourth Amended and Restated Certificate of Incorporation of TriMas Corporation.</w:t>
              </w:r>
            </w:hyperlink>
          </w:p>
        </w:tc>
      </w:tr>
      <w:tr>
        <w:trPr/>
        <w:tc>
          <w:tcPr>
            <w:tcW w:w="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3.2(i)</w:t>
            </w:r>
          </w:p>
        </w:tc>
        <w:tc>
          <w:tcPr>
            <w:tcW w:w="96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Third Amended and Restated By</w:t>
                <w:noBreakHyphen/>
                <w:t>laws of TriMas Corporation.</w:t>
              </w:r>
            </w:hyperlink>
          </w:p>
        </w:tc>
      </w:tr>
      <w:tr>
        <w:trPr/>
        <w:tc>
          <w:tcPr>
            <w:tcW w:w="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4.1(u)</w:t>
            </w:r>
          </w:p>
        </w:tc>
        <w:tc>
          <w:tcPr>
            <w:tcW w:w="96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20"/>
                  <w:u w:val="single"/>
                </w:rPr>
                <w:t>Indenture, dated as of September 20, 2017, among TriMas Corporation, the Guarantors named therein and Wells Fargo Bank, National Association, as Trustee (including the Form of Note).</w:t>
              </w:r>
            </w:hyperlink>
          </w:p>
        </w:tc>
      </w:tr>
      <w:tr>
        <w:trPr/>
        <w:tc>
          <w:tcPr>
            <w:tcW w:w="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4.2(aa)</w:t>
            </w:r>
          </w:p>
        </w:tc>
        <w:tc>
          <w:tcPr>
            <w:tcW w:w="96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Indenture, dated as of March 29, 2021, among TriMas Corporation, the Guarantors named therein and Wells Fargo Bank, National Association, as Trustee (including the Form of Note).</w:t>
              </w:r>
            </w:hyperlink>
          </w:p>
        </w:tc>
      </w:tr>
      <w:tr>
        <w:trPr/>
        <w:tc>
          <w:tcPr>
            <w:tcW w:w="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4.3(y)</w:t>
            </w:r>
          </w:p>
        </w:tc>
        <w:tc>
          <w:tcPr>
            <w:tcW w:w="96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20"/>
                  <w:u w:val="single"/>
                </w:rPr>
                <w:t>Description of Securities of TriMas Corporation.</w:t>
              </w:r>
            </w:hyperlink>
          </w:p>
        </w:tc>
      </w:tr>
      <w:tr>
        <w:trPr/>
        <w:tc>
          <w:tcPr>
            <w:tcW w:w="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10.1(m)</w:t>
            </w:r>
          </w:p>
        </w:tc>
        <w:tc>
          <w:tcPr>
            <w:tcW w:w="96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20"/>
                  <w:u w:val="single"/>
                </w:rPr>
                <w:t>Credit Agreement, dated October 16, 2013, by and among TriMas Corporation, TriMas Company LLC and JPMorgan Chase bank, N.A., as Administrative Agent and Collateral Agent, and the various lenders from time to time thereto.</w:t>
              </w:r>
            </w:hyperlink>
          </w:p>
        </w:tc>
      </w:tr>
      <w:tr>
        <w:trPr/>
        <w:tc>
          <w:tcPr>
            <w:tcW w:w="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9621"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trs-123121xexh102.htm">
              <w:r>
                <w:rPr>
                  <w:rStyle w:val="InternetLink"/>
                  <w:rFonts w:ascii="Times New Roman;sans-serif" w:hAnsi="Times New Roman;sans-serif"/>
                  <w:b w:val="false"/>
                  <w:color w:val="0000FF"/>
                  <w:sz w:val="20"/>
                  <w:u w:val="single"/>
                </w:rPr>
                <w:t>Amendment to Credit Agreement, dated November 19, 2021, by and among TriMas Corporation, TriMas Company LLC and JPMorgan Chase bank, N.A., as Administrative Agent and Collateral Agent, and the various lenders from time to time thereto.</w:t>
              </w:r>
            </w:hyperlink>
          </w:p>
        </w:tc>
      </w:tr>
      <w:tr>
        <w:trPr/>
        <w:tc>
          <w:tcPr>
            <w:tcW w:w="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10.3(o)</w:t>
            </w:r>
          </w:p>
        </w:tc>
        <w:tc>
          <w:tcPr>
            <w:tcW w:w="96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Times New Roman;sans-serif" w:hAnsi="Times New Roman;sans-serif"/>
                  <w:b w:val="false"/>
                  <w:color w:val="0000FF"/>
                  <w:sz w:val="20"/>
                  <w:u w:val="single"/>
                </w:rPr>
                <w:t>Incremental Facility Agreement and Amendment dated as of October 17, 2014, among TriMas Company LLC, the other Loan Parties party thereto, JPMorgan Chase Bank, N.A., as administrative agent, the Incremental Tranche A Term Lenders and the other Lenders party thereto.</w:t>
              </w:r>
            </w:hyperlink>
          </w:p>
        </w:tc>
      </w:tr>
      <w:tr>
        <w:trPr/>
        <w:tc>
          <w:tcPr>
            <w:tcW w:w="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10.4(p)</w:t>
            </w:r>
          </w:p>
        </w:tc>
        <w:tc>
          <w:tcPr>
            <w:tcW w:w="96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Times New Roman;sans-serif" w:hAnsi="Times New Roman;sans-serif"/>
                  <w:b w:val="false"/>
                  <w:color w:val="0000FF"/>
                  <w:sz w:val="20"/>
                  <w:u w:val="single"/>
                </w:rPr>
                <w:t>Replacement Facility Amendment, dated as of June 30, 2015, among TriMas Company LLC, the other Loan Parties party thereto, JPMorgan Chase Bank, N.A., as administrative agent, and the Lenders party thereto.</w:t>
              </w:r>
            </w:hyperlink>
          </w:p>
        </w:tc>
      </w:tr>
      <w:tr>
        <w:trPr/>
        <w:tc>
          <w:tcPr>
            <w:tcW w:w="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10.5(s)</w:t>
            </w:r>
          </w:p>
        </w:tc>
        <w:tc>
          <w:tcPr>
            <w:tcW w:w="96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2">
              <w:r>
                <w:rPr>
                  <w:rStyle w:val="InternetLink"/>
                  <w:rFonts w:ascii="Times New Roman;sans-serif" w:hAnsi="Times New Roman;sans-serif"/>
                  <w:b w:val="false"/>
                  <w:color w:val="0000FF"/>
                  <w:sz w:val="20"/>
                  <w:u w:val="single"/>
                </w:rPr>
                <w:t>Foreign Subsidiary Borrowing Agreement and Amendment dated as of January 10, 2017, among TriMas Company LLC, TriMas Corporation, TriMas Corporation Limited, JPMorgan Chase Bank, N.A., as administrative agent for the Lenders (as defined therein) and as Fronting Lender, JPMorgan Chase Bank, N.A., Bank of America, N.A. and Wells Fargo Bank, National Association, J.P. Morgan Europe Limited, in its capacity as Foreign Currency Agent, and the Revolving Lenders party hereto.</w:t>
              </w:r>
            </w:hyperlink>
          </w:p>
        </w:tc>
      </w:tr>
      <w:tr>
        <w:trPr/>
        <w:tc>
          <w:tcPr>
            <w:tcW w:w="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10.6(s)</w:t>
            </w:r>
          </w:p>
        </w:tc>
        <w:tc>
          <w:tcPr>
            <w:tcW w:w="96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3">
              <w:r>
                <w:rPr>
                  <w:rStyle w:val="InternetLink"/>
                  <w:rFonts w:ascii="Times New Roman;sans-serif" w:hAnsi="Times New Roman;sans-serif"/>
                  <w:b w:val="false"/>
                  <w:color w:val="0000FF"/>
                  <w:sz w:val="20"/>
                  <w:u w:val="single"/>
                </w:rPr>
                <w:t>Amendment, dated as of March 8, 2017 to the Credit Agreement, dated as of October 16, 2013 (as amended, amended and restated, supplemented or otherwise modified from time to time), among TriMas Corporation, TriMas Company LLC, the subsidiary borrowers from time to time parties thereto, the Lenders party thereto, JPMorgan Chase Bank, N.A., as administrative agent, and the other agents party thereto.</w:t>
              </w:r>
            </w:hyperlink>
          </w:p>
        </w:tc>
      </w:tr>
    </w:tbl>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269"/>
        <w:gridCol w:w="231"/>
        <w:gridCol w:w="195"/>
        <w:gridCol w:w="2862"/>
        <w:gridCol w:w="2753"/>
        <w:gridCol w:w="3895"/>
      </w:tblGrid>
      <w:tr>
        <w:trPr/>
        <w:tc>
          <w:tcPr>
            <w:tcW w:w="26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2862" w:type="dxa"/>
            <w:tcBorders/>
            <w:shd w:fill="auto" w:val="clear"/>
            <w:vAlign w:val="center"/>
          </w:tcPr>
          <w:p>
            <w:pPr>
              <w:pStyle w:val="TableContents"/>
              <w:spacing w:before="0" w:after="283"/>
              <w:rPr>
                <w:sz w:val="4"/>
                <w:szCs w:val="4"/>
              </w:rPr>
            </w:pPr>
            <w:r>
              <w:rPr>
                <w:sz w:val="4"/>
                <w:szCs w:val="4"/>
              </w:rPr>
            </w:r>
          </w:p>
        </w:tc>
        <w:tc>
          <w:tcPr>
            <w:tcW w:w="2753" w:type="dxa"/>
            <w:tcBorders/>
            <w:shd w:fill="auto" w:val="clear"/>
            <w:vAlign w:val="center"/>
          </w:tcPr>
          <w:p>
            <w:pPr>
              <w:pStyle w:val="TableContents"/>
              <w:spacing w:before="0" w:after="283"/>
              <w:rPr>
                <w:sz w:val="4"/>
                <w:szCs w:val="4"/>
              </w:rPr>
            </w:pPr>
            <w:r>
              <w:rPr>
                <w:sz w:val="4"/>
                <w:szCs w:val="4"/>
              </w:rPr>
            </w:r>
          </w:p>
        </w:tc>
        <w:tc>
          <w:tcPr>
            <w:tcW w:w="3895" w:type="dxa"/>
            <w:tcBorders/>
            <w:shd w:fill="auto" w:val="clear"/>
            <w:vAlign w:val="center"/>
          </w:tcPr>
          <w:p>
            <w:pPr>
              <w:pStyle w:val="TableContents"/>
              <w:spacing w:before="0" w:after="283"/>
              <w:rPr>
                <w:sz w:val="4"/>
                <w:szCs w:val="4"/>
              </w:rPr>
            </w:pPr>
            <w:r>
              <w:rPr>
                <w:sz w:val="4"/>
                <w:szCs w:val="4"/>
              </w:rPr>
            </w:r>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10.7(u)</w:t>
            </w:r>
          </w:p>
        </w:tc>
        <w:tc>
          <w:tcPr>
            <w:tcW w:w="95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Fonts w:ascii="Times New Roman;sans-serif" w:hAnsi="Times New Roman;sans-serif"/>
                  <w:b w:val="false"/>
                  <w:color w:val="0000FF"/>
                  <w:sz w:val="20"/>
                  <w:u w:val="single"/>
                </w:rPr>
                <w:t>Replacement Facility Amendment, dated as September 20, 2017, among TriMas Company LLC, the other Loan Parties party thereto, JPMorgan Chase Bank, N.A., as administrative agent, and the Lenders party thereto.**</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10.8(f)</w:t>
            </w:r>
          </w:p>
        </w:tc>
        <w:tc>
          <w:tcPr>
            <w:tcW w:w="95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5">
              <w:r>
                <w:rPr>
                  <w:rStyle w:val="InternetLink"/>
                  <w:rFonts w:ascii="Times New Roman;sans-serif" w:hAnsi="Times New Roman;sans-serif"/>
                  <w:b w:val="false"/>
                  <w:color w:val="0000FF"/>
                  <w:sz w:val="20"/>
                  <w:u w:val="single"/>
                </w:rPr>
                <w:t>TriMas Corporation Long Term Equity Incentive Plan Non-Qualified Stock Option Agreement.*</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10.9(g)</w:t>
            </w:r>
          </w:p>
        </w:tc>
        <w:tc>
          <w:tcPr>
            <w:tcW w:w="95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Times New Roman;sans-serif" w:hAnsi="Times New Roman;sans-serif"/>
                  <w:b w:val="false"/>
                  <w:color w:val="0000FF"/>
                  <w:sz w:val="20"/>
                  <w:u w:val="single"/>
                </w:rPr>
                <w:t>Flexible Cash Allowance Policy.*</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10.10(t)</w:t>
            </w:r>
          </w:p>
        </w:tc>
        <w:tc>
          <w:tcPr>
            <w:tcW w:w="95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7">
              <w:r>
                <w:rPr>
                  <w:rStyle w:val="InternetLink"/>
                  <w:rFonts w:ascii="Times New Roman;sans-serif" w:hAnsi="Times New Roman;sans-serif"/>
                  <w:b w:val="false"/>
                  <w:color w:val="0000FF"/>
                  <w:sz w:val="20"/>
                  <w:u w:val="single"/>
                </w:rPr>
                <w:t>TriMas Corporation 2017 Equity and Incentive Compensation Plan.*</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10.11(n)</w:t>
            </w:r>
          </w:p>
        </w:tc>
        <w:tc>
          <w:tcPr>
            <w:tcW w:w="95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Fonts w:ascii="Times New Roman;sans-serif" w:hAnsi="Times New Roman;sans-serif"/>
                  <w:b w:val="false"/>
                  <w:color w:val="0000FF"/>
                  <w:sz w:val="20"/>
                  <w:u w:val="single"/>
                </w:rPr>
                <w:t>2013 Form of Indemnification Agreement.*</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10.12(r)</w:t>
            </w:r>
          </w:p>
        </w:tc>
        <w:tc>
          <w:tcPr>
            <w:tcW w:w="95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9">
              <w:r>
                <w:rPr>
                  <w:rStyle w:val="InternetLink"/>
                  <w:rFonts w:ascii="Times New Roman;sans-serif" w:hAnsi="Times New Roman;sans-serif"/>
                  <w:b w:val="false"/>
                  <w:color w:val="0000FF"/>
                  <w:sz w:val="20"/>
                  <w:u w:val="single"/>
                </w:rPr>
                <w:t>Offer Letter between TriMas Corporation and Thomas A. Amato dated July 23, 2016.</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10.13(x)</w:t>
            </w:r>
          </w:p>
        </w:tc>
        <w:tc>
          <w:tcPr>
            <w:tcW w:w="95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0">
              <w:r>
                <w:rPr>
                  <w:rStyle w:val="InternetLink"/>
                  <w:rFonts w:ascii="Times New Roman;sans-serif" w:hAnsi="Times New Roman;sans-serif"/>
                  <w:b w:val="false"/>
                  <w:color w:val="0000FF"/>
                  <w:sz w:val="20"/>
                  <w:u w:val="single"/>
                </w:rPr>
                <w:t>Form of Restricted Stock Units Agreement (Board of Directors) (One-Year Vest) - 2019 LTI - under the 2017 Equity and Incentive Compensation Plan.*</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10.14(x)</w:t>
            </w:r>
          </w:p>
        </w:tc>
        <w:tc>
          <w:tcPr>
            <w:tcW w:w="95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1">
              <w:r>
                <w:rPr>
                  <w:rStyle w:val="InternetLink"/>
                  <w:rFonts w:ascii="Times New Roman;sans-serif" w:hAnsi="Times New Roman;sans-serif"/>
                  <w:b w:val="false"/>
                  <w:color w:val="0000FF"/>
                  <w:sz w:val="20"/>
                  <w:u w:val="single"/>
                </w:rPr>
                <w:t>Form of Performance Stock Units Agreement - 2019 LTI - under the 2017 Equity and Incentive Compensation Plan.*</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10.15(x)</w:t>
            </w:r>
          </w:p>
        </w:tc>
        <w:tc>
          <w:tcPr>
            <w:tcW w:w="95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2">
              <w:r>
                <w:rPr>
                  <w:rStyle w:val="InternetLink"/>
                  <w:rFonts w:ascii="Times New Roman;sans-serif" w:hAnsi="Times New Roman;sans-serif"/>
                  <w:b w:val="false"/>
                  <w:color w:val="0000FF"/>
                  <w:sz w:val="20"/>
                  <w:u w:val="single"/>
                </w:rPr>
                <w:t>Form of Restricted Stock Units Agreement (Three-Year Vest) - 2019 LTI - under the 2017 Equity and Incentive Compensation Plan.*</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10.16(y)</w:t>
            </w:r>
          </w:p>
        </w:tc>
        <w:tc>
          <w:tcPr>
            <w:tcW w:w="95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3">
              <w:r>
                <w:rPr>
                  <w:rStyle w:val="InternetLink"/>
                  <w:rFonts w:ascii="Times New Roman;sans-serif" w:hAnsi="Times New Roman;sans-serif"/>
                  <w:b w:val="false"/>
                  <w:color w:val="0000FF"/>
                  <w:sz w:val="20"/>
                  <w:u w:val="single"/>
                </w:rPr>
                <w:t>Form of Special Performance Stock Units Agreement - 2019 LTI - under the 2017 Equity and Incentive Compensation Plan.*</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10.17(z)</w:t>
            </w:r>
          </w:p>
        </w:tc>
        <w:tc>
          <w:tcPr>
            <w:tcW w:w="95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4">
              <w:r>
                <w:rPr>
                  <w:rStyle w:val="InternetLink"/>
                  <w:rFonts w:ascii="Times New Roman;sans-serif" w:hAnsi="Times New Roman;sans-serif"/>
                  <w:b w:val="false"/>
                  <w:color w:val="0000FF"/>
                  <w:sz w:val="20"/>
                  <w:u w:val="single"/>
                </w:rPr>
                <w:t>Form of Performance Stock Units Agreement - 2020 LTI - under the 2017 Equity and Incentive Compensation Plan.*</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10.18(z)</w:t>
            </w:r>
          </w:p>
        </w:tc>
        <w:tc>
          <w:tcPr>
            <w:tcW w:w="95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5">
              <w:r>
                <w:rPr>
                  <w:rStyle w:val="InternetLink"/>
                  <w:rFonts w:ascii="Times New Roman;sans-serif" w:hAnsi="Times New Roman;sans-serif"/>
                  <w:b w:val="false"/>
                  <w:color w:val="0000FF"/>
                  <w:sz w:val="20"/>
                  <w:u w:val="single"/>
                </w:rPr>
                <w:t>Form of Restricted Stock Units Agreement - (Three Year Vest) - 2020 LTI - under the 2017 Equity and Incentive Compensation Plan.*</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10.19(z)</w:t>
            </w:r>
          </w:p>
        </w:tc>
        <w:tc>
          <w:tcPr>
            <w:tcW w:w="95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6">
              <w:r>
                <w:rPr>
                  <w:rStyle w:val="InternetLink"/>
                  <w:rFonts w:ascii="Times New Roman;sans-serif" w:hAnsi="Times New Roman;sans-serif"/>
                  <w:b w:val="false"/>
                  <w:color w:val="0000FF"/>
                  <w:sz w:val="20"/>
                  <w:u w:val="single"/>
                </w:rPr>
                <w:t>Form of Restricted Stock Units Agreement - (Board of Directors) - 2020 LTI - under the 2017 Equity and Incentive Compensation Plan.*</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10.20(bb)</w:t>
            </w:r>
          </w:p>
        </w:tc>
        <w:tc>
          <w:tcPr>
            <w:tcW w:w="95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7">
              <w:r>
                <w:rPr>
                  <w:rStyle w:val="InternetLink"/>
                  <w:rFonts w:ascii="Times New Roman;sans-serif" w:hAnsi="Times New Roman;sans-serif"/>
                  <w:b w:val="false"/>
                  <w:color w:val="0000FF"/>
                  <w:sz w:val="20"/>
                  <w:u w:val="single"/>
                </w:rPr>
                <w:t>Form of Performance Stock Units Agreement - 2021 LTI - under the 2017 Equity and Incentive Compensation Plan.*</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10.21(bb)</w:t>
            </w:r>
          </w:p>
        </w:tc>
        <w:tc>
          <w:tcPr>
            <w:tcW w:w="95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8">
              <w:r>
                <w:rPr>
                  <w:rStyle w:val="InternetLink"/>
                  <w:rFonts w:ascii="Times New Roman;sans-serif" w:hAnsi="Times New Roman;sans-serif"/>
                  <w:b w:val="false"/>
                  <w:color w:val="0000FF"/>
                  <w:sz w:val="20"/>
                  <w:u w:val="single"/>
                </w:rPr>
                <w:t>Form of Restricted Stock Units Agreement - (Three Year Vest) - 2021 LTI - under the 2017 Equity and Incentive Compensation Plan.*</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10.22(bb)</w:t>
            </w:r>
          </w:p>
        </w:tc>
        <w:tc>
          <w:tcPr>
            <w:tcW w:w="95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9">
              <w:r>
                <w:rPr>
                  <w:rStyle w:val="InternetLink"/>
                  <w:rFonts w:ascii="Times New Roman;sans-serif" w:hAnsi="Times New Roman;sans-serif"/>
                  <w:b w:val="false"/>
                  <w:color w:val="0000FF"/>
                  <w:sz w:val="20"/>
                  <w:u w:val="single"/>
                </w:rPr>
                <w:t>Form of Restricted Stock Units Agreement - (Board of Directors) (One-Year Vest) - 2021 LTI - under the 2017 Equity and Incentive Compensation Plan.*</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10.23(bb)</w:t>
            </w:r>
          </w:p>
        </w:tc>
        <w:tc>
          <w:tcPr>
            <w:tcW w:w="95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0">
              <w:r>
                <w:rPr>
                  <w:rStyle w:val="InternetLink"/>
                  <w:rFonts w:ascii="Times New Roman;sans-serif" w:hAnsi="Times New Roman;sans-serif"/>
                  <w:b w:val="false"/>
                  <w:color w:val="0000FF"/>
                  <w:sz w:val="20"/>
                  <w:u w:val="single"/>
                </w:rPr>
                <w:t>Separation Agreement between TriMas Corporation and Joshua A. Sherbin dated February 26, 2021.*</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10.24(aa)</w:t>
            </w:r>
          </w:p>
        </w:tc>
        <w:tc>
          <w:tcPr>
            <w:tcW w:w="95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1">
              <w:r>
                <w:rPr>
                  <w:rStyle w:val="InternetLink"/>
                  <w:rFonts w:ascii="Times New Roman;sans-serif" w:hAnsi="Times New Roman;sans-serif"/>
                  <w:b w:val="false"/>
                  <w:color w:val="0000FF"/>
                  <w:sz w:val="20"/>
                  <w:u w:val="single"/>
                </w:rPr>
                <w:t>Second Replacement Revolving Facility Amendment, dated as of March 29, 2021, among TriMas Corporation, TriMas Company LLC, the subsidiary borrowers party thereto, JPMorgan Chase Bank, N.A., as administrative agent, and the other agents and Lenders party thereto.**</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10.25(cc)</w:t>
            </w:r>
          </w:p>
        </w:tc>
        <w:tc>
          <w:tcPr>
            <w:tcW w:w="95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2">
              <w:r>
                <w:rPr>
                  <w:rStyle w:val="InternetLink"/>
                  <w:rFonts w:ascii="Times New Roman;sans-serif" w:hAnsi="Times New Roman;sans-serif"/>
                  <w:b w:val="false"/>
                  <w:color w:val="0000FF"/>
                  <w:sz w:val="20"/>
                  <w:u w:val="single"/>
                </w:rPr>
                <w:t>Separation Agreement between TriMas Corporation and Robert J. Zalupski dated May 1, 2021.*</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10.26(cc)</w:t>
            </w:r>
          </w:p>
        </w:tc>
        <w:tc>
          <w:tcPr>
            <w:tcW w:w="95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3">
              <w:r>
                <w:rPr>
                  <w:rStyle w:val="InternetLink"/>
                  <w:rFonts w:ascii="Times New Roman;sans-serif" w:hAnsi="Times New Roman;sans-serif"/>
                  <w:b w:val="false"/>
                  <w:color w:val="0000FF"/>
                  <w:sz w:val="20"/>
                  <w:u w:val="single"/>
                </w:rPr>
                <w:t>Offer Letter between TriMas Corporation and Scott Mell dated March 15, 2021.*</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10.27(dd)</w:t>
            </w:r>
          </w:p>
        </w:tc>
        <w:tc>
          <w:tcPr>
            <w:tcW w:w="95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4">
              <w:r>
                <w:rPr>
                  <w:rStyle w:val="InternetLink"/>
                  <w:rFonts w:ascii="Times New Roman;sans-serif" w:hAnsi="Times New Roman;sans-serif"/>
                  <w:b w:val="false"/>
                  <w:color w:val="0000FF"/>
                  <w:sz w:val="20"/>
                  <w:u w:val="single"/>
                </w:rPr>
                <w:t>Executive Severance / Change in Control Policy.*</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95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trs-123121xexh211.htm">
              <w:r>
                <w:rPr>
                  <w:rStyle w:val="InternetLink"/>
                  <w:rFonts w:ascii="Times New Roman;sans-serif" w:hAnsi="Times New Roman;sans-serif"/>
                  <w:b w:val="false"/>
                  <w:color w:val="0000FF"/>
                  <w:sz w:val="20"/>
                  <w:u w:val="single"/>
                </w:rPr>
                <w:t>TriMas Corporation Subsidiary List.</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95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trs-123121xexh231.htm">
              <w:r>
                <w:rPr>
                  <w:rStyle w:val="InternetLink"/>
                  <w:rFonts w:ascii="Times New Roman;sans-serif" w:hAnsi="Times New Roman;sans-serif"/>
                  <w:b w:val="false"/>
                  <w:color w:val="0000FF"/>
                  <w:sz w:val="20"/>
                  <w:u w:val="single"/>
                </w:rPr>
                <w:t>Consent of Independent Registered Public Accounting Firm.</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5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trs-123121xexh311.htm">
              <w:r>
                <w:rPr>
                  <w:rStyle w:val="InternetLink"/>
                  <w:rFonts w:ascii="Times New Roman;sans-serif" w:hAnsi="Times New Roman;sans-serif"/>
                  <w:b w:val="false"/>
                  <w:color w:val="0000FF"/>
                  <w:sz w:val="20"/>
                  <w:u w:val="single"/>
                </w:rPr>
                <w:t>Certification pursuant to 18 U.S.C. Section 1350, as adopted pursuant to Section 302 of the Sarbanes</w:t>
                <w:noBreakHyphen/>
                <w:t>Oxley Act of 2002.</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5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trs-123121xexh312.htm">
              <w:r>
                <w:rPr>
                  <w:rStyle w:val="InternetLink"/>
                  <w:rFonts w:ascii="Times New Roman;sans-serif" w:hAnsi="Times New Roman;sans-serif"/>
                  <w:b w:val="false"/>
                  <w:color w:val="0000FF"/>
                  <w:sz w:val="20"/>
                  <w:u w:val="single"/>
                </w:rPr>
                <w:t>Certification pursuant to 18 U.S.C. Section 1350, as adopted pursuant to Section 302 of the Sarbanes</w:t>
                <w:noBreakHyphen/>
                <w:t>Oxley Act of 2002.</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5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trs-123121xexh321.htm">
              <w:r>
                <w:rPr>
                  <w:rStyle w:val="InternetLink"/>
                  <w:rFonts w:ascii="Times New Roman;sans-serif" w:hAnsi="Times New Roman;sans-serif"/>
                  <w:b w:val="false"/>
                  <w:color w:val="0000FF"/>
                  <w:sz w:val="20"/>
                  <w:u w:val="single"/>
                </w:rPr>
                <w:t>Certification pursuant to 18 U.S.C. Section 1350, as adopted pursuant to Section 906 of the Sarbanes</w:t>
                <w:noBreakHyphen/>
                <w:t>Oxley Act of 2002.</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95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trs-123121xexh322.htm">
              <w:r>
                <w:rPr>
                  <w:rStyle w:val="InternetLink"/>
                  <w:rFonts w:ascii="Times New Roman;sans-serif" w:hAnsi="Times New Roman;sans-serif"/>
                  <w:b w:val="false"/>
                  <w:color w:val="0000FF"/>
                  <w:sz w:val="20"/>
                  <w:u w:val="single"/>
                </w:rPr>
                <w:t>Certification pursuant to 18 U.S.C. Section 1350, as adopted pursuant to Section 906 of the Sarbanes</w:t>
                <w:noBreakHyphen/>
                <w:t>Oxley Act of 2002.</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5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TriMas Corporation's Annual Report on Form 10-K for the fiscal year ended December 31, 2021, formatted in Inline XBRL (eXtensible Business Reporting Language): (i) the Consolidated Balance Sheet, (ii) the Consolidated Statement of Operations, (iii) the Consolidated Statement of Comprehensive Income, (iv) the Consolidated Statement of Cash Flows, (v) the Consolidated Statement of Shareholders' Equity, (vi) Notes to Consolidated Financial Statements, and (vii) document and entity information.</w:t>
            </w:r>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5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*Management contracts and compensatory plans or arrangements required to be filed as an exhibit pursuant to Item 15(b) of Form 10-K.</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Certain exhibits and schedules have been omitted and the Company agrees to furnish supplementally to the Securities and Exchange Commission a copy of any omitted exhibits and schedules upon request.</w:t>
      </w:r>
    </w:p>
    <w:tbl>
      <w:tblPr>
        <w:tblW w:w="10205" w:type="dxa"/>
        <w:jc w:val="center"/>
        <w:tblInd w:w="0" w:type="dxa"/>
        <w:tblCellMar>
          <w:top w:w="28" w:type="dxa"/>
          <w:left w:w="28" w:type="dxa"/>
          <w:bottom w:w="28" w:type="dxa"/>
          <w:right w:w="28" w:type="dxa"/>
        </w:tblCellMar>
      </w:tblPr>
      <w:tblGrid>
        <w:gridCol w:w="161"/>
        <w:gridCol w:w="140"/>
        <w:gridCol w:w="137"/>
        <w:gridCol w:w="109"/>
        <w:gridCol w:w="109"/>
        <w:gridCol w:w="109"/>
        <w:gridCol w:w="2761"/>
        <w:gridCol w:w="2761"/>
        <w:gridCol w:w="3918"/>
      </w:tblGrid>
      <w:tr>
        <w:trPr/>
        <w:tc>
          <w:tcPr>
            <w:tcW w:w="161"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1" w:type="dxa"/>
            <w:tcBorders/>
            <w:shd w:fill="auto" w:val="clear"/>
            <w:vAlign w:val="center"/>
          </w:tcPr>
          <w:p>
            <w:pPr>
              <w:pStyle w:val="TableContents"/>
              <w:spacing w:before="0" w:after="283"/>
              <w:rPr>
                <w:sz w:val="4"/>
                <w:szCs w:val="4"/>
              </w:rPr>
            </w:pPr>
            <w:r>
              <w:rPr>
                <w:sz w:val="4"/>
                <w:szCs w:val="4"/>
              </w:rPr>
            </w:r>
          </w:p>
        </w:tc>
        <w:tc>
          <w:tcPr>
            <w:tcW w:w="2761" w:type="dxa"/>
            <w:tcBorders/>
            <w:shd w:fill="auto" w:val="clear"/>
            <w:vAlign w:val="center"/>
          </w:tcPr>
          <w:p>
            <w:pPr>
              <w:pStyle w:val="TableContents"/>
              <w:spacing w:before="0" w:after="283"/>
              <w:rPr>
                <w:sz w:val="4"/>
                <w:szCs w:val="4"/>
              </w:rPr>
            </w:pPr>
            <w:r>
              <w:rPr>
                <w:sz w:val="4"/>
                <w:szCs w:val="4"/>
              </w:rPr>
            </w:r>
          </w:p>
        </w:tc>
        <w:tc>
          <w:tcPr>
            <w:tcW w:w="3918" w:type="dxa"/>
            <w:tcBorders/>
            <w:shd w:fill="auto" w:val="clear"/>
            <w:vAlign w:val="center"/>
          </w:tcPr>
          <w:p>
            <w:pPr>
              <w:pStyle w:val="TableContents"/>
              <w:spacing w:before="0" w:after="283"/>
              <w:rPr>
                <w:sz w:val="4"/>
                <w:szCs w:val="4"/>
              </w:rPr>
            </w:pPr>
            <w:r>
              <w:rPr>
                <w:sz w:val="4"/>
                <w:szCs w:val="4"/>
              </w:rPr>
            </w:r>
          </w:p>
        </w:tc>
      </w:tr>
      <w:tr>
        <w:trPr/>
        <w:tc>
          <w:tcPr>
            <w:tcW w:w="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the Exhibits filed with our Quarterly Report on Form 10-Q filed on August 3, 2007 (File No. 001-10716).</w:t>
            </w:r>
          </w:p>
        </w:tc>
      </w:tr>
      <w:tr>
        <w:trPr/>
        <w:tc>
          <w:tcPr>
            <w:tcW w:w="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the Exhibits filed with our Report on Form 8-K filed on March 6, 2009 (File No. 001-10716).</w:t>
            </w:r>
          </w:p>
        </w:tc>
      </w:tr>
      <w:tr>
        <w:trPr/>
        <w:tc>
          <w:tcPr>
            <w:tcW w:w="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the Exhibits filed with our Report on Form 8-K filed on December 10, 2009 (File No. 001-10716).</w:t>
            </w:r>
          </w:p>
        </w:tc>
      </w:tr>
      <w:tr>
        <w:trPr/>
        <w:tc>
          <w:tcPr>
            <w:tcW w:w="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the Exhibits filed with our Report on Form 8-K filed on December 18, 2015 (File No. 001-10716).</w:t>
            </w:r>
          </w:p>
        </w:tc>
      </w:tr>
      <w:tr>
        <w:trPr/>
        <w:tc>
          <w:tcPr>
            <w:tcW w:w="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Incorporated by reference to the Exhibits filed with our Report on Form 8-K filed on March 7, 2019 (File No. 001-10716). </w:t>
            </w:r>
          </w:p>
        </w:tc>
      </w:tr>
      <w:tr>
        <w:trPr/>
        <w:tc>
          <w:tcPr>
            <w:tcW w:w="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Incorporated by reference to the Exhibits filed with our Report on Form 8-K filed on October 21, 2013 (File No. 001-10716). </w:t>
            </w:r>
          </w:p>
        </w:tc>
      </w:tr>
      <w:tr>
        <w:trPr/>
        <w:tc>
          <w:tcPr>
            <w:tcW w:w="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Incorporated by reference to the Exhibits filed with our Report on Form 8-K filed on November 13, 2013 (File No. 001-10716). </w:t>
            </w:r>
          </w:p>
        </w:tc>
      </w:tr>
      <w:tr>
        <w:trPr/>
        <w:tc>
          <w:tcPr>
            <w:tcW w:w="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Incorporated by reference to the Exhibits filed with our Current Report on Form 8-K filed on October 20, 2014 (File No. 001-10716). </w:t>
            </w:r>
          </w:p>
        </w:tc>
      </w:tr>
      <w:tr>
        <w:trPr/>
        <w:tc>
          <w:tcPr>
            <w:tcW w:w="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Incorporated by reference to the Exhibits filed with our Current Report on Form 8-K filed on July 6, 2015 (File No. 001-10716). </w:t>
            </w:r>
          </w:p>
        </w:tc>
      </w:tr>
      <w:tr>
        <w:trPr/>
        <w:tc>
          <w:tcPr>
            <w:tcW w:w="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Incorporated by reference to the Exhibits filed with our Quarterly Report on Form 10-Q filed on October 27, 2016 (File No. 001-10716). </w:t>
            </w:r>
          </w:p>
        </w:tc>
      </w:tr>
      <w:tr>
        <w:trPr/>
        <w:tc>
          <w:tcPr>
            <w:tcW w:w="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Incorporated by reference to the Exhibits filed with our Quarterly Report on Form 10-Q filed on April 27, 2017 (File No. 001-10716). </w:t>
            </w:r>
          </w:p>
        </w:tc>
      </w:tr>
      <w:tr>
        <w:trPr/>
        <w:tc>
          <w:tcPr>
            <w:tcW w:w="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Incorporated by reference to the Exhibits filed with our Quarterly Report on Form 10-Q filed on July 27, 2017 (File No. 001-10716). </w:t>
            </w:r>
          </w:p>
        </w:tc>
      </w:tr>
      <w:tr>
        <w:trPr/>
        <w:tc>
          <w:tcPr>
            <w:tcW w:w="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Incorporated by reference to the Exhibits filed with our Current Report on Form 8-K filed on September 20, 2017 (File No. 001-10716). </w:t>
            </w:r>
          </w:p>
        </w:tc>
      </w:tr>
      <w:tr>
        <w:trPr/>
        <w:tc>
          <w:tcPr>
            <w:tcW w:w="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the Exhibits filed with our Report on Form 8-K filed on December 20, 2019 (File No. 001-10716).</w:t>
            </w:r>
          </w:p>
        </w:tc>
      </w:tr>
      <w:tr>
        <w:trPr/>
        <w:tc>
          <w:tcPr>
            <w:tcW w:w="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the Exhibits filed with our Quarterly Report on Form 10-Q filed on July 30, 2019 (File No. 001-10716).</w:t>
            </w:r>
          </w:p>
        </w:tc>
      </w:tr>
      <w:tr>
        <w:trPr/>
        <w:tc>
          <w:tcPr>
            <w:tcW w:w="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the Exhibits filed with our Annual Report on Form 10-K filed on February 27, 2020 (File No. 001-10716).</w:t>
            </w:r>
          </w:p>
        </w:tc>
      </w:tr>
      <w:tr>
        <w:trPr/>
        <w:tc>
          <w:tcPr>
            <w:tcW w:w="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the Exhibits filed with our Quarterly Report on Form 10-Q filed on April 30, 2020 (File No. 001-10716).</w:t>
            </w:r>
          </w:p>
        </w:tc>
      </w:tr>
      <w:tr>
        <w:trPr/>
        <w:tc>
          <w:tcPr>
            <w:tcW w:w="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the Exhibits filed with our Current Report on Form 8-K filed on March 30, 2021 (File No. 001-10716).</w:t>
            </w:r>
          </w:p>
        </w:tc>
      </w:tr>
      <w:tr>
        <w:trPr/>
        <w:tc>
          <w:tcPr>
            <w:tcW w:w="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the Exhibits filed with our Quarterly Report on Form 10-Q filed on April 29, 2021 (File No. 001-10716).</w:t>
            </w:r>
          </w:p>
        </w:tc>
      </w:tr>
      <w:tr>
        <w:trPr/>
        <w:tc>
          <w:tcPr>
            <w:tcW w:w="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the Exhibits filed with our Quarterly Report on Form 10-Q filed on July 29, 2021 (File No. 001-10716).</w:t>
            </w:r>
          </w:p>
        </w:tc>
      </w:tr>
      <w:tr>
        <w:trPr/>
        <w:tc>
          <w:tcPr>
            <w:tcW w:w="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the Exhibits filed with our Current Report on Form 8-K filed on August 11, 2021 (File No. 001-10716).</w:t>
            </w:r>
          </w:p>
        </w:tc>
      </w:tr>
    </w:tbl>
    <w:p>
      <w:pPr>
        <w:pStyle w:val="TextBody"/>
        <w:spacing w:before="160" w:after="16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7499" w:type="dxa"/>
        <w:jc w:val="left"/>
        <w:tblInd w:w="0" w:type="dxa"/>
        <w:tblCellMar>
          <w:top w:w="28" w:type="dxa"/>
          <w:left w:w="28" w:type="dxa"/>
          <w:bottom w:w="28" w:type="dxa"/>
          <w:right w:w="28" w:type="dxa"/>
        </w:tblCellMar>
      </w:tblPr>
      <w:tblGrid>
        <w:gridCol w:w="249"/>
        <w:gridCol w:w="220"/>
        <w:gridCol w:w="221"/>
        <w:gridCol w:w="429"/>
        <w:gridCol w:w="429"/>
        <w:gridCol w:w="431"/>
        <w:gridCol w:w="109"/>
        <w:gridCol w:w="109"/>
        <w:gridCol w:w="109"/>
        <w:gridCol w:w="243"/>
        <w:gridCol w:w="243"/>
        <w:gridCol w:w="243"/>
        <w:gridCol w:w="243"/>
        <w:gridCol w:w="243"/>
        <w:gridCol w:w="243"/>
        <w:gridCol w:w="1091"/>
        <w:gridCol w:w="1091"/>
        <w:gridCol w:w="1553"/>
      </w:tblGrid>
      <w:tr>
        <w:trPr/>
        <w:tc>
          <w:tcPr>
            <w:tcW w:w="24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553" w:type="dxa"/>
            <w:tcBorders/>
            <w:shd w:fill="auto" w:val="clear"/>
            <w:vAlign w:val="center"/>
          </w:tcPr>
          <w:p>
            <w:pPr>
              <w:pStyle w:val="TableContents"/>
              <w:spacing w:before="0" w:after="283"/>
              <w:rPr>
                <w:sz w:val="4"/>
                <w:szCs w:val="4"/>
              </w:rPr>
            </w:pPr>
            <w:r>
              <w:rPr>
                <w:sz w:val="4"/>
                <w:szCs w:val="4"/>
              </w:rPr>
            </w:r>
          </w:p>
        </w:tc>
      </w:tr>
      <w:tr>
        <w:trPr/>
        <w:tc>
          <w:tcPr>
            <w:tcW w:w="6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9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TRIMAS CORPORATION</w:t>
              <w:br/>
              <w:t>(Registrant)</w:t>
            </w:r>
          </w:p>
        </w:tc>
      </w:tr>
      <w:tr>
        <w:trPr/>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A. AMATO</w:t>
            </w:r>
          </w:p>
        </w:tc>
      </w:tr>
      <w:tr>
        <w:trPr/>
        <w:tc>
          <w:tcPr>
            <w:tcW w:w="69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Thomas A. Amato</w:t>
            </w:r>
          </w:p>
          <w:p>
            <w:pPr>
              <w:pStyle w:val="TableContents"/>
              <w:spacing w:lineRule="auto" w:line="240" w:before="0" w:after="0"/>
              <w:jc w:val="left"/>
              <w:rPr/>
            </w:pPr>
            <w:r>
              <w:rPr>
                <w:rFonts w:ascii="Times New Roman;sans-serif" w:hAnsi="Times New Roman;sans-serif"/>
                <w:b w:val="false"/>
                <w:color w:val="000000"/>
                <w:sz w:val="20"/>
              </w:rPr>
              <w:t>Title: </w:t>
            </w:r>
            <w:r>
              <w:rPr>
                <w:rFonts w:ascii="Times New Roman;sans-serif" w:hAnsi="Times New Roman;sans-serif"/>
                <w:b w:val="false"/>
                <w:i/>
                <w:color w:val="000000"/>
                <w:sz w:val="20"/>
              </w:rPr>
              <w:t>President and Chief Executive Officer</w:t>
            </w:r>
          </w:p>
        </w:tc>
      </w:tr>
    </w:tbl>
    <w:p>
      <w:pPr>
        <w:pStyle w:val="TextBody"/>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CellMar>
          <w:top w:w="28" w:type="dxa"/>
          <w:left w:w="28" w:type="dxa"/>
          <w:bottom w:w="28" w:type="dxa"/>
          <w:right w:w="28" w:type="dxa"/>
        </w:tblCellMar>
      </w:tblPr>
      <w:tblGrid>
        <w:gridCol w:w="829"/>
        <w:gridCol w:w="724"/>
        <w:gridCol w:w="734"/>
        <w:gridCol w:w="109"/>
        <w:gridCol w:w="109"/>
        <w:gridCol w:w="109"/>
        <w:gridCol w:w="1981"/>
        <w:gridCol w:w="1981"/>
        <w:gridCol w:w="2001"/>
        <w:gridCol w:w="109"/>
        <w:gridCol w:w="109"/>
        <w:gridCol w:w="109"/>
        <w:gridCol w:w="378"/>
        <w:gridCol w:w="378"/>
        <w:gridCol w:w="545"/>
      </w:tblGrid>
      <w:tr>
        <w:trPr/>
        <w:tc>
          <w:tcPr>
            <w:tcW w:w="829"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1" w:type="dxa"/>
            <w:tcBorders/>
            <w:shd w:fill="auto" w:val="clear"/>
            <w:vAlign w:val="center"/>
          </w:tcPr>
          <w:p>
            <w:pPr>
              <w:pStyle w:val="TableContents"/>
              <w:spacing w:before="0" w:after="283"/>
              <w:rPr>
                <w:sz w:val="4"/>
                <w:szCs w:val="4"/>
              </w:rPr>
            </w:pPr>
            <w:r>
              <w:rPr>
                <w:sz w:val="4"/>
                <w:szCs w:val="4"/>
              </w:rPr>
            </w:r>
          </w:p>
        </w:tc>
        <w:tc>
          <w:tcPr>
            <w:tcW w:w="1981" w:type="dxa"/>
            <w:tcBorders/>
            <w:shd w:fill="auto" w:val="clear"/>
            <w:vAlign w:val="center"/>
          </w:tcPr>
          <w:p>
            <w:pPr>
              <w:pStyle w:val="TableContents"/>
              <w:spacing w:before="0" w:after="283"/>
              <w:rPr>
                <w:sz w:val="4"/>
                <w:szCs w:val="4"/>
              </w:rPr>
            </w:pPr>
            <w:r>
              <w:rPr>
                <w:sz w:val="4"/>
                <w:szCs w:val="4"/>
              </w:rPr>
            </w:r>
          </w:p>
        </w:tc>
        <w:tc>
          <w:tcPr>
            <w:tcW w:w="20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r>
      <w:tr>
        <w:trPr/>
        <w:tc>
          <w:tcPr>
            <w:tcW w:w="22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59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3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Date</w:t>
            </w:r>
          </w:p>
        </w:tc>
      </w:tr>
      <w:tr>
        <w:trPr/>
        <w:tc>
          <w:tcPr>
            <w:tcW w:w="22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9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2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THOMAS A. AMATO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r>
      <w:tr>
        <w:trPr/>
        <w:tc>
          <w:tcPr>
            <w:tcW w:w="22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Thomas A. Amato</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9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 and Director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SCOTT A. MELL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r>
      <w:tr>
        <w:trPr/>
        <w:tc>
          <w:tcPr>
            <w:tcW w:w="22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Scott A. Mell</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9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PAUL A. SWART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Business Planning, Controller and Chief Accounting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r>
      <w:tr>
        <w:trPr/>
        <w:tc>
          <w:tcPr>
            <w:tcW w:w="22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Paul A. Swart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9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SAMUEL VALENTI III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r>
      <w:tr>
        <w:trPr/>
        <w:tc>
          <w:tcPr>
            <w:tcW w:w="22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Samuel Valenti III</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HOLLY M. BOEHNE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0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r>
      <w:tr>
        <w:trPr/>
        <w:tc>
          <w:tcPr>
            <w:tcW w:w="22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Holly M. Boehne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TERESA M. FINLEY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r>
      <w:tr>
        <w:trPr/>
        <w:tc>
          <w:tcPr>
            <w:tcW w:w="22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Teresa M. Finley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M. GREENE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r>
      <w:tr>
        <w:trPr/>
        <w:tc>
          <w:tcPr>
            <w:tcW w:w="22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Jeffrey M. Greene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HERBERT K. PARKER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r>
      <w:tr>
        <w:trPr/>
        <w:tc>
          <w:tcPr>
            <w:tcW w:w="22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Herbert K. Parker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NICK L. STANAGE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r>
      <w:tr>
        <w:trPr/>
        <w:tc>
          <w:tcPr>
            <w:tcW w:w="22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Nick L. Stanage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P. TREDWELL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0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r>
      <w:tr>
        <w:trPr/>
        <w:tc>
          <w:tcPr>
            <w:tcW w:w="22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Daniel P. Tredwell</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60" w:after="1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lineRule="auto" w:line="288" w:before="0" w:after="0"/>
        <w:rPr/>
      </w:pPr>
      <w:hyperlink w:anchor="i61ac8143c0db448e8ad1cb56d2ef45f9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II</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ITEM 15(a)(2)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FORM 10-K VALUATION AND QUALIFYING ACCOUNTS FOR THE YEARS ENDED</w:t>
      </w:r>
    </w:p>
    <w:p>
      <w:pPr>
        <w:pStyle w:val="TextBody"/>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 xml:space="preserve">December 31, 2021, 2020 AND 2019 </w:t>
      </w:r>
    </w:p>
    <w:tbl>
      <w:tblPr>
        <w:tblW w:w="10205" w:type="dxa"/>
        <w:jc w:val="left"/>
        <w:tblInd w:w="0" w:type="dxa"/>
        <w:tblCellMar>
          <w:top w:w="28" w:type="dxa"/>
          <w:left w:w="28" w:type="dxa"/>
          <w:bottom w:w="28" w:type="dxa"/>
          <w:right w:w="28" w:type="dxa"/>
        </w:tblCellMar>
      </w:tblPr>
      <w:tblGrid>
        <w:gridCol w:w="739"/>
        <w:gridCol w:w="648"/>
        <w:gridCol w:w="651"/>
        <w:gridCol w:w="109"/>
        <w:gridCol w:w="109"/>
        <w:gridCol w:w="109"/>
        <w:gridCol w:w="211"/>
        <w:gridCol w:w="976"/>
        <w:gridCol w:w="109"/>
        <w:gridCol w:w="109"/>
        <w:gridCol w:w="109"/>
        <w:gridCol w:w="109"/>
        <w:gridCol w:w="211"/>
        <w:gridCol w:w="976"/>
        <w:gridCol w:w="109"/>
        <w:gridCol w:w="109"/>
        <w:gridCol w:w="109"/>
        <w:gridCol w:w="109"/>
        <w:gridCol w:w="221"/>
        <w:gridCol w:w="865"/>
        <w:gridCol w:w="115"/>
        <w:gridCol w:w="109"/>
        <w:gridCol w:w="109"/>
        <w:gridCol w:w="109"/>
        <w:gridCol w:w="226"/>
        <w:gridCol w:w="1051"/>
        <w:gridCol w:w="118"/>
        <w:gridCol w:w="109"/>
        <w:gridCol w:w="109"/>
        <w:gridCol w:w="109"/>
        <w:gridCol w:w="211"/>
        <w:gridCol w:w="976"/>
        <w:gridCol w:w="157"/>
      </w:tblGrid>
      <w:tr>
        <w:trPr/>
        <w:tc>
          <w:tcPr>
            <w:tcW w:w="739"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0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w:t>
              <w:br/>
              <w:t>AT</w:t>
              <w:br/>
              <w:t>BEGINNING</w:t>
              <w:br/>
              <w:t>OF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CHARGED</w:t>
              <w:br/>
              <w:t>TO</w:t>
              <w:br/>
              <w:t>COSTS AND</w:t>
              <w:br/>
              <w:t>EXPENSES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CHARGED</w:t>
              <w:br/>
              <w:t>(CREDITED)</w:t>
              <w:br/>
              <w:t>TO OTHER</w:t>
              <w:br/>
              <w:t>ACCOUNTS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DEDUCTIONS</w:t>
            </w:r>
            <w:r>
              <w:rPr>
                <w:rFonts w:ascii="Times New Roman;sans-serif" w:hAnsi="Times New Roman;sans-serif"/>
                <w:b/>
                <w:color w:val="000000"/>
                <w:sz w:val="12"/>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w:t>
              <w:br/>
              <w:t>AT END</w:t>
              <w:br/>
              <w:t>OF PERIOD</w:t>
            </w:r>
          </w:p>
        </w:tc>
      </w:tr>
      <w:tr>
        <w:trPr/>
        <w:tc>
          <w:tcPr>
            <w:tcW w:w="2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 deducted from accounts receivable in the balance sheet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190,000 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1,570,000 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1,570,000 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2,060,000 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2,080,000 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2,120,000 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2,120,000 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2,790,000 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810,000 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490,000 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2,030,000 </w:t>
            </w:r>
          </w:p>
        </w:tc>
        <w:tc>
          <w:tcPr>
            <w:tcW w:w="1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2,060,000 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6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w:t>
      </w:r>
    </w:p>
    <w:p>
      <w:pPr>
        <w:pStyle w:val="TextBody"/>
        <w:spacing w:lineRule="auto" w:line="288" w:before="160" w:after="160"/>
        <w:ind w:left="0" w:right="0" w:hanging="720"/>
        <w:rPr/>
      </w:pPr>
      <w:r>
        <w:rPr>
          <w:rFonts w:ascii="Times New Roman;sans-serif" w:hAnsi="Times New Roman;sans-serif"/>
          <w:b w:val="false"/>
          <w:color w:val="000000"/>
          <w:sz w:val="10"/>
        </w:rPr>
        <w:t>(A)</w:t>
      </w:r>
      <w:r>
        <w:rPr>
          <w:rFonts w:ascii="Times New Roman;sans-serif" w:hAnsi="Times New Roman;sans-serif"/>
          <w:b w:val="false"/>
          <w:color w:val="000000"/>
          <w:sz w:val="16"/>
        </w:rPr>
        <w:t>Deductions, representing uncollectible accounts written-off, less recoveries of amounts reserved in prior years.</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10.2</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AMENDMENT</w:t>
      </w:r>
    </w:p>
    <w:p>
      <w:pPr>
        <w:pStyle w:val="TextBody"/>
        <w:spacing w:lineRule="auto" w:line="240" w:before="0" w:after="240"/>
        <w:ind w:left="0" w:right="0" w:firstLine="1440"/>
        <w:rPr/>
      </w:pPr>
      <w:r>
        <w:rPr>
          <w:rFonts w:ascii="Times New Roman;sans-serif" w:hAnsi="Times New Roman;sans-serif"/>
          <w:b w:val="false"/>
          <w:color w:val="000000"/>
          <w:sz w:val="22"/>
        </w:rPr>
        <w:t>AMENDMENT, dated as of November 19, 2021 (this “</w:t>
      </w:r>
      <w:r>
        <w:rPr>
          <w:rFonts w:ascii="Times New Roman;sans-serif" w:hAnsi="Times New Roman;sans-serif"/>
          <w:b w:val="false"/>
          <w:color w:val="000000"/>
          <w:sz w:val="22"/>
          <w:u w:val="single"/>
        </w:rPr>
        <w:t>Amendment</w:t>
      </w:r>
      <w:r>
        <w:rPr>
          <w:color w:val="000000"/>
        </w:rPr>
        <w:t>”</w:t>
      </w:r>
      <w:r>
        <w:rPr>
          <w:rFonts w:ascii="Times New Roman;sans-serif" w:hAnsi="Times New Roman;sans-serif"/>
          <w:b w:val="false"/>
          <w:color w:val="000000"/>
          <w:sz w:val="22"/>
        </w:rPr>
        <w:t>), to the CREDIT AGREEMENT, dated as of October 16, 2013 (as amended, amended and restated, supplemented or otherwise modified from time to time, including, without limitation, by that certain Replacement Facility Amendment dated as of June 30, 2015, that certain Foreign Subsidiary Borrowing Agreement and Amendment, dated as of January 10, 2017, that certain Amendment, dated as of March 8, 2017, that certain Replacement Facility Amendment, dated as of September 20, 2017, and that certain Second Replacement Revolving Facility Amendment, dated as of March 29, 2021,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among TRIMAS CORPORATION (“</w:t>
      </w:r>
      <w:r>
        <w:rPr>
          <w:rFonts w:ascii="Times New Roman;sans-serif" w:hAnsi="Times New Roman;sans-serif"/>
          <w:b w:val="false"/>
          <w:color w:val="000000"/>
          <w:sz w:val="22"/>
          <w:u w:val="single"/>
        </w:rPr>
        <w:t>Holdings</w:t>
      </w:r>
      <w:r>
        <w:rPr>
          <w:color w:val="000000"/>
        </w:rPr>
        <w:t>”</w:t>
      </w:r>
      <w:r>
        <w:rPr>
          <w:rFonts w:ascii="Times New Roman;sans-serif" w:hAnsi="Times New Roman;sans-serif"/>
          <w:b w:val="false"/>
          <w:color w:val="000000"/>
          <w:sz w:val="22"/>
        </w:rPr>
        <w:t>), TRIMAS COMPANY LLC, (the “</w:t>
      </w:r>
      <w:r>
        <w:rPr>
          <w:rFonts w:ascii="Times New Roman;sans-serif" w:hAnsi="Times New Roman;sans-serif"/>
          <w:b w:val="false"/>
          <w:color w:val="000000"/>
          <w:sz w:val="22"/>
          <w:u w:val="single"/>
        </w:rPr>
        <w:t>Parent Borrower</w:t>
      </w:r>
      <w:r>
        <w:rPr>
          <w:color w:val="000000"/>
        </w:rPr>
        <w:t>”</w:t>
      </w:r>
      <w:r>
        <w:rPr>
          <w:rFonts w:ascii="Times New Roman;sans-serif" w:hAnsi="Times New Roman;sans-serif"/>
          <w:b w:val="false"/>
          <w:color w:val="000000"/>
          <w:sz w:val="22"/>
        </w:rPr>
        <w:t>), the subsidiary borrowers from time to time parties thereto, the several banks and other financial institutions or entities from time to time parties thereto (the “</w:t>
      </w:r>
      <w:r>
        <w:rPr>
          <w:rFonts w:ascii="Times New Roman;sans-serif" w:hAnsi="Times New Roman;sans-serif"/>
          <w:b w:val="false"/>
          <w:color w:val="000000"/>
          <w:sz w:val="22"/>
          <w:u w:val="single"/>
        </w:rPr>
        <w:t>Lenders</w:t>
      </w:r>
      <w:r>
        <w:rPr>
          <w:color w:val="000000"/>
        </w:rPr>
        <w:t>”</w:t>
      </w:r>
      <w:r>
        <w:rPr>
          <w:rFonts w:ascii="Times New Roman;sans-serif" w:hAnsi="Times New Roman;sans-serif"/>
          <w:b w:val="false"/>
          <w:color w:val="000000"/>
          <w:sz w:val="22"/>
        </w:rPr>
        <w:t>), JPMORGAN CHASE BANK, N.A., as administrative agent (the “</w:t>
      </w:r>
      <w:r>
        <w:rPr>
          <w:rFonts w:ascii="Times New Roman;sans-serif" w:hAnsi="Times New Roman;sans-serif"/>
          <w:b w:val="false"/>
          <w:color w:val="000000"/>
          <w:sz w:val="22"/>
          <w:u w:val="single"/>
        </w:rPr>
        <w:t>Administrative Agent</w:t>
      </w:r>
      <w:r>
        <w:rPr>
          <w:color w:val="000000"/>
        </w:rPr>
        <w:t>”</w:t>
      </w:r>
      <w:r>
        <w:rPr>
          <w:rFonts w:ascii="Times New Roman;sans-serif" w:hAnsi="Times New Roman;sans-serif"/>
          <w:b w:val="false"/>
          <w:color w:val="000000"/>
          <w:sz w:val="22"/>
        </w:rPr>
        <w:t>), and the other agents party thereto.</w:t>
      </w:r>
    </w:p>
    <w:p>
      <w:pPr>
        <w:pStyle w:val="TextBody"/>
        <w:spacing w:lineRule="auto" w:line="240" w:before="0" w:after="240"/>
        <w:jc w:val="center"/>
        <w:rPr/>
      </w:pPr>
      <w:r>
        <w:rPr>
          <w:rFonts w:ascii="Times New Roman;sans-serif" w:hAnsi="Times New Roman;sans-serif"/>
          <w:b w:val="false"/>
          <w:color w:val="000000"/>
          <w:sz w:val="22"/>
          <w:u w:val="single"/>
        </w:rPr>
        <w:t>W I T N E S S E T H</w:t>
      </w:r>
      <w:r>
        <w:rPr>
          <w:rFonts w:ascii="Times New Roman;sans-serif" w:hAnsi="Times New Roman;sans-serif"/>
          <w:b w:val="false"/>
          <w:color w:val="000000"/>
          <w:sz w:val="22"/>
        </w:rPr>
        <w: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WHEREAS, a Benchmark Transition Event has occurred with respect to the LIBO Rate for Loans denominated in Pounds Sterling; </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WHEREAS, the Benchmark Replacement in respect of the LIBO Rate for such Loans has been determined in accordance with the Credit Agreement and the Benchmark Replacement Date shall be January 1, 2022; and</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WHEREAS pursuant to Section 2.14 of the Credit Agreement, the Administrative Agent may make Benchmark Replacement Conforming Changes in connection with the implementation of such Benchmark Replacement;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NOW THEREFORE:</w:t>
      </w:r>
    </w:p>
    <w:p>
      <w:pPr>
        <w:pStyle w:val="TextBody"/>
        <w:spacing w:lineRule="auto" w:line="240" w:before="0" w:after="240"/>
        <w:ind w:left="0" w:right="0" w:firstLine="1440"/>
        <w:rPr/>
      </w:pPr>
      <w:r>
        <w:rPr>
          <w:rFonts w:ascii="Times New Roman;sans-serif" w:hAnsi="Times New Roman;sans-serif"/>
          <w:b w:val="false"/>
          <w:color w:val="010000"/>
          <w:sz w:val="22"/>
        </w:rPr>
        <w:t xml:space="preserve">SECTION 1. </w:t>
      </w:r>
      <w:r>
        <w:rPr>
          <w:rFonts w:ascii="Times New Roman;sans-serif" w:hAnsi="Times New Roman;sans-serif"/>
          <w:b w:val="false"/>
          <w:color w:val="000000"/>
          <w:sz w:val="22"/>
          <w:u w:val="single"/>
        </w:rPr>
        <w:t>Definitions</w:t>
      </w:r>
      <w:r>
        <w:rPr>
          <w:rFonts w:ascii="Times New Roman;sans-serif" w:hAnsi="Times New Roman;sans-serif"/>
          <w:b w:val="false"/>
          <w:color w:val="000000"/>
          <w:sz w:val="22"/>
        </w:rPr>
        <w:t>. Unless otherwise defined herein, terms defined in the Credit Agreement and used herein shall have the meanings given to them in the Credit Agreement.</w:t>
      </w:r>
    </w:p>
    <w:p>
      <w:pPr>
        <w:pStyle w:val="TextBody"/>
        <w:spacing w:lineRule="auto" w:line="240" w:before="0" w:after="240"/>
        <w:ind w:left="0" w:right="0" w:firstLine="1440"/>
        <w:rPr/>
      </w:pPr>
      <w:r>
        <w:rPr>
          <w:rFonts w:ascii="Times New Roman;sans-serif" w:hAnsi="Times New Roman;sans-serif"/>
          <w:b w:val="false"/>
          <w:color w:val="010000"/>
          <w:sz w:val="22"/>
        </w:rPr>
        <w:t xml:space="preserve">SECTION 2. </w:t>
      </w:r>
      <w:r>
        <w:rPr>
          <w:rFonts w:ascii="Times New Roman;sans-serif" w:hAnsi="Times New Roman;sans-serif"/>
          <w:b w:val="false"/>
          <w:color w:val="000000"/>
          <w:sz w:val="22"/>
          <w:u w:val="single"/>
        </w:rPr>
        <w:t>Effective Date</w:t>
      </w:r>
      <w:r>
        <w:rPr>
          <w:rFonts w:ascii="Times New Roman;sans-serif" w:hAnsi="Times New Roman;sans-serif"/>
          <w:b w:val="false"/>
          <w:color w:val="000000"/>
          <w:sz w:val="22"/>
        </w:rPr>
        <w:t>. This Amendment shall become effective on the later of (such later date, the “</w:t>
      </w:r>
      <w:r>
        <w:rPr>
          <w:rFonts w:ascii="Times New Roman;sans-serif" w:hAnsi="Times New Roman;sans-serif"/>
          <w:b w:val="false"/>
          <w:color w:val="000000"/>
          <w:sz w:val="22"/>
          <w:u w:val="single"/>
        </w:rPr>
        <w:t>Effective Date</w:t>
      </w:r>
      <w:r>
        <w:rPr>
          <w:color w:val="000000"/>
        </w:rPr>
        <w:t>”</w:t>
      </w:r>
      <w:r>
        <w:rPr>
          <w:rFonts w:ascii="Times New Roman;sans-serif" w:hAnsi="Times New Roman;sans-serif"/>
          <w:b w:val="false"/>
          <w:color w:val="000000"/>
          <w:sz w:val="22"/>
        </w:rPr>
        <w:t>) (a) January 1, 2022 and (b) the date on which the Administrative Agent (or its counsel) shall have received a counterpart of this Amendment executed by the Administrative Agent.</w:t>
      </w:r>
    </w:p>
    <w:p>
      <w:pPr>
        <w:pStyle w:val="TextBody"/>
        <w:spacing w:lineRule="auto" w:line="240" w:before="0" w:after="240"/>
        <w:ind w:left="0" w:right="0" w:firstLine="1440"/>
        <w:rPr/>
      </w:pPr>
      <w:r>
        <w:rPr>
          <w:rFonts w:ascii="Times New Roman;sans-serif" w:hAnsi="Times New Roman;sans-serif"/>
          <w:b w:val="false"/>
          <w:color w:val="010000"/>
          <w:sz w:val="22"/>
        </w:rPr>
        <w:t xml:space="preserve">SECTION 3. </w:t>
      </w:r>
      <w:r>
        <w:rPr>
          <w:rFonts w:ascii="Times New Roman;sans-serif" w:hAnsi="Times New Roman;sans-serif"/>
          <w:b w:val="false"/>
          <w:color w:val="000000"/>
          <w:sz w:val="22"/>
          <w:u w:val="single"/>
        </w:rPr>
        <w:t>Amendment to Credit Agreement</w:t>
      </w:r>
      <w:r>
        <w:rPr>
          <w:rFonts w:ascii="Times New Roman;sans-serif" w:hAnsi="Times New Roman;sans-serif"/>
          <w:b w:val="false"/>
          <w:color w:val="000000"/>
          <w:sz w:val="22"/>
        </w:rPr>
        <w:t xml:space="preserve">. Effective as of the Effective Date: the Credit Agreement is hereby amended to delete the stricken text (indicated textually in the same manner as the following example: </w:t>
      </w:r>
      <w:r>
        <w:rPr>
          <w:rFonts w:ascii="Times New Roman;sans-serif" w:hAnsi="Times New Roman;sans-serif"/>
          <w:b w:val="false"/>
          <w:strike/>
          <w:color w:val="FF0000"/>
          <w:sz w:val="22"/>
        </w:rPr>
        <w:t>stricken text</w:t>
      </w:r>
      <w:r>
        <w:rPr>
          <w:rFonts w:ascii="Times New Roman;sans-serif" w:hAnsi="Times New Roman;sans-serif"/>
          <w:b w:val="false"/>
          <w:color w:val="000000"/>
          <w:sz w:val="22"/>
        </w:rPr>
        <w:t>)</w:t>
      </w:r>
      <w:r>
        <w:rPr>
          <w:color w:val="FF0000"/>
        </w:rPr>
        <w:t xml:space="preserve"> </w:t>
      </w:r>
      <w:r>
        <w:rPr>
          <w:rFonts w:ascii="Times New Roman;sans-serif" w:hAnsi="Times New Roman;sans-serif"/>
          <w:b w:val="false"/>
          <w:color w:val="000000"/>
          <w:sz w:val="22"/>
        </w:rPr>
        <w:t>and to add the underlined text (indicated textually in the same manner as the following example:</w:t>
      </w:r>
      <w:r>
        <w:rPr>
          <w:color w:val="0070C0"/>
        </w:rPr>
        <w:t xml:space="preserve"> </w:t>
      </w:r>
      <w:r>
        <w:rPr>
          <w:rFonts w:ascii="Times New Roman;sans-serif" w:hAnsi="Times New Roman;sans-serif"/>
          <w:b w:val="false"/>
          <w:color w:val="0070C0"/>
          <w:sz w:val="22"/>
          <w:u w:val="single"/>
        </w:rPr>
        <w:t>underlined text</w:t>
      </w:r>
      <w:r>
        <w:rPr>
          <w:rFonts w:ascii="Times New Roman;sans-serif" w:hAnsi="Times New Roman;sans-serif"/>
          <w:b w:val="false"/>
          <w:color w:val="000000"/>
          <w:sz w:val="22"/>
        </w:rPr>
        <w:t xml:space="preserve">) as set forth in the pages of the Credit Agreement attached as Exhibit A. </w:t>
      </w:r>
    </w:p>
    <w:p>
      <w:pPr>
        <w:pStyle w:val="TextBody"/>
        <w:spacing w:lineRule="auto" w:line="240" w:before="0" w:after="240"/>
        <w:ind w:left="0" w:right="0" w:firstLine="1440"/>
        <w:rPr/>
      </w:pPr>
      <w:r>
        <w:rPr>
          <w:rFonts w:ascii="Times New Roman;sans-serif" w:hAnsi="Times New Roman;sans-serif"/>
          <w:b w:val="false"/>
          <w:color w:val="010000"/>
          <w:sz w:val="22"/>
        </w:rPr>
        <w:t xml:space="preserve">SECTION 4. </w:t>
      </w:r>
      <w:r>
        <w:rPr>
          <w:rFonts w:ascii="Times New Roman;sans-serif" w:hAnsi="Times New Roman;sans-serif"/>
          <w:b w:val="false"/>
          <w:color w:val="000000"/>
          <w:sz w:val="22"/>
          <w:u w:val="single"/>
        </w:rPr>
        <w:t>Effect of Amendment</w:t>
      </w:r>
      <w:r>
        <w:rPr>
          <w:rFonts w:ascii="Times New Roman;sans-serif" w:hAnsi="Times New Roman;sans-serif"/>
          <w:b w:val="false"/>
          <w:color w:val="000000"/>
          <w:sz w:val="22"/>
        </w:rPr>
        <w:t>.</w:t>
      </w:r>
    </w:p>
    <w:p>
      <w:pPr>
        <w:pStyle w:val="TextBody"/>
        <w:spacing w:lineRule="auto" w:line="240" w:before="0" w:after="240"/>
        <w:ind w:left="0" w:right="0" w:firstLine="1440"/>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Except as expressly set forth herein, this Amendment shall not by implication or otherwise limit, impair, constitute a waiver of or otherwise affect the rights and remedies of the Lenders or the Administrative Agent under the Credit Agreement or any other Loan Document, or alter, modify, amend or in any way affect any of the terms, conditions, obligations, guarantees, covenants or agreements contained in the Credit Agreement or any other provision of the Credit Agreement or of any other Loan Document, all of which are ratified and affirmed in all respects and shall continue in full force and affect. </w:t>
      </w:r>
    </w:p>
    <w:p>
      <w:pPr>
        <w:pStyle w:val="TextBody"/>
        <w:spacing w:lineRule="auto" w:line="240" w:before="0" w:after="240"/>
        <w:ind w:left="0" w:right="0" w:firstLine="1440"/>
        <w:rPr/>
      </w:pPr>
      <w:r>
        <w:rPr>
          <w:rFonts w:ascii="Times New Roman;sans-serif" w:hAnsi="Times New Roman;sans-serif"/>
          <w:b w:val="false"/>
          <w:color w:val="000000"/>
          <w:sz w:val="22"/>
        </w:rPr>
        <w:t>(b)</w:t>
      </w:r>
      <w:r>
        <w:rPr>
          <w:rFonts w:ascii="Times New Roman;sans-serif" w:hAnsi="Times New Roman;sans-serif"/>
          <w:b w:val="false"/>
          <w:color w:val="000000"/>
          <w:sz w:val="22"/>
        </w:rPr>
        <w:t>On and after the Effective Date, each reference in the Credit Agreement to “this Agreement”, “hereunder”, “hereof”, “herein”, or words of like import, and each reference to the Credit Agreement in any other Loan Document shall be deemed a reference to the Credit Agreement as amended hereby. This Amendment shall constitute a “Loan Document” for all purposes of the Credit Agreement and the other Loan Documents.</w:t>
      </w:r>
      <w:r>
        <w:br w:type="page"/>
      </w:r>
    </w:p>
    <w:p>
      <w:pPr>
        <w:pStyle w:val="TextBody"/>
        <w:spacing w:before="0" w:after="0"/>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10000"/>
          <w:sz w:val="22"/>
        </w:rPr>
        <w:t xml:space="preserve">SECTION 5. </w:t>
      </w:r>
      <w:r>
        <w:rPr>
          <w:rFonts w:ascii="Times New Roman;sans-serif" w:hAnsi="Times New Roman;sans-serif"/>
          <w:b w:val="false"/>
          <w:color w:val="000000"/>
          <w:sz w:val="22"/>
          <w:u w:val="single"/>
        </w:rPr>
        <w:t>General</w:t>
      </w:r>
      <w:r>
        <w:rPr>
          <w:rFonts w:ascii="Times New Roman;sans-serif" w:hAnsi="Times New Roman;sans-serif"/>
          <w:b w:val="false"/>
          <w:color w:val="000000"/>
          <w:sz w:val="22"/>
        </w:rPr>
        <w:t>.</w:t>
      </w:r>
    </w:p>
    <w:p>
      <w:pPr>
        <w:pStyle w:val="TextBody"/>
        <w:spacing w:lineRule="auto" w:line="240" w:before="0" w:after="240"/>
        <w:ind w:left="0" w:right="0" w:firstLine="1440"/>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xml:space="preserve">. THIS AMENDMENT AND THE RIGHTS AND OBLIGATIONS OF THE PARTIES UNDER THIS AMENDMENT SHALL BE GOVERNED BY, AND CONSTRUED AND INTERPRETED IN ACCORDANCE WITH, THE LAW OF THE STATE OF NEW YORK. </w:t>
      </w:r>
    </w:p>
    <w:p>
      <w:pPr>
        <w:pStyle w:val="TextBody"/>
        <w:spacing w:lineRule="auto" w:line="240" w:before="0" w:after="240"/>
        <w:ind w:left="0" w:right="0" w:firstLine="1440"/>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Amendment may be executed by one or more of the parties to this Amendment on any number of separate counterparts, and all of said counterparts taken together shall be deemed to constitute one and the same instrument. The words “execution,” “signed,” “signature,” “delivery,” and words of like import in or relating to this Amendment and/or any document to be signed in connection with this Amendment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Times New Roman;sans-serif" w:hAnsi="Times New Roman;sans-serif"/>
          <w:b w:val="false"/>
          <w:color w:val="000000"/>
          <w:sz w:val="22"/>
          <w:u w:val="single"/>
        </w:rPr>
        <w:t>Electronic Signatures</w:t>
      </w:r>
      <w:r>
        <w:rPr>
          <w:color w:val="000000"/>
        </w:rPr>
        <w:t xml:space="preserve">” </w:t>
      </w:r>
      <w:r>
        <w:rPr>
          <w:rFonts w:ascii="Times New Roman;sans-serif" w:hAnsi="Times New Roman;sans-serif"/>
          <w:b w:val="false"/>
          <w:color w:val="000000"/>
          <w:sz w:val="22"/>
        </w:rPr>
        <w:t>means any electronic symbol or process attached to, or associated with, any contract or other record and adopted by a person with the intent to sign, authenticate or accept such contract or record. Delivery of an executed signature page of this Amendment by email or facsimile transmission shall be effective as delivery of a manually executed counterpart hereof.</w:t>
      </w:r>
    </w:p>
    <w:p>
      <w:pPr>
        <w:pStyle w:val="TextBody"/>
        <w:spacing w:lineRule="auto" w:line="240" w:before="0" w:after="240"/>
        <w:ind w:left="0" w:right="0" w:firstLine="1440"/>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xml:space="preserve">. The headings of this Amendment are used for convenience of reference only, are not part of this Amendment and shall not affect the construction of, or be taken into consideration in interpreting, this Amendment. </w:t>
      </w:r>
    </w:p>
    <w:p>
      <w:pPr>
        <w:pStyle w:val="TextBody"/>
        <w:spacing w:before="0" w:after="0"/>
        <w:ind w:left="0" w:right="0" w:firstLine="1440"/>
        <w:rPr/>
      </w:pPr>
      <w:r>
        <w:rPr/>
      </w:r>
    </w:p>
    <w:p>
      <w:pPr>
        <w:pStyle w:val="TextBody"/>
        <w:spacing w:lineRule="auto" w:line="556" w:before="0" w:after="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[Remainder of Page Intentionally Left Blank]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p>
                  </w:txbxContent>
                </v:textbox>
              </v:rect>
            </w:pict>
          </mc:Fallback>
        </mc:AlternateContent>
      </w:r>
    </w:p>
    <w:tbl>
      <w:tblPr>
        <w:tblW w:w="6655" w:type="dxa"/>
        <w:jc w:val="left"/>
        <w:tblInd w:w="0" w:type="dxa"/>
        <w:tblCellMar>
          <w:top w:w="28" w:type="dxa"/>
          <w:left w:w="28" w:type="dxa"/>
          <w:bottom w:w="28" w:type="dxa"/>
          <w:right w:w="28" w:type="dxa"/>
        </w:tblCellMar>
      </w:tblPr>
      <w:tblGrid>
        <w:gridCol w:w="124"/>
        <w:gridCol w:w="109"/>
        <w:gridCol w:w="109"/>
        <w:gridCol w:w="144"/>
        <w:gridCol w:w="144"/>
        <w:gridCol w:w="146"/>
        <w:gridCol w:w="1720"/>
        <w:gridCol w:w="1720"/>
        <w:gridCol w:w="24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20" w:type="dxa"/>
            <w:tcBorders/>
            <w:shd w:fill="auto" w:val="clear"/>
            <w:vAlign w:val="center"/>
          </w:tcPr>
          <w:p>
            <w:pPr>
              <w:pStyle w:val="TableContents"/>
              <w:spacing w:before="0" w:after="283"/>
              <w:rPr>
                <w:sz w:val="4"/>
                <w:szCs w:val="4"/>
              </w:rPr>
            </w:pPr>
            <w:r>
              <w:rPr>
                <w:sz w:val="4"/>
                <w:szCs w:val="4"/>
              </w:rPr>
            </w:r>
          </w:p>
        </w:tc>
        <w:tc>
          <w:tcPr>
            <w:tcW w:w="1720" w:type="dxa"/>
            <w:tcBorders/>
            <w:shd w:fill="auto" w:val="clear"/>
            <w:vAlign w:val="center"/>
          </w:tcPr>
          <w:p>
            <w:pPr>
              <w:pStyle w:val="TableContents"/>
              <w:spacing w:before="0" w:after="283"/>
              <w:rPr>
                <w:sz w:val="4"/>
                <w:szCs w:val="4"/>
              </w:rPr>
            </w:pPr>
            <w:r>
              <w:rPr>
                <w:sz w:val="4"/>
                <w:szCs w:val="4"/>
              </w:rPr>
            </w:r>
          </w:p>
        </w:tc>
        <w:tc>
          <w:tcPr>
            <w:tcW w:w="24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JPMORGAN CHASE BANK, N.A., as Administrative Agent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587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 Christopher A. Salek</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Christopher A. Salek</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Executive Director</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35915"/>
                <wp:effectExtent l="0" t="0" r="0" b="0"/>
                <wp:wrapNone/>
                <wp:docPr id="96" name="Frame95"/>
                <a:graphic xmlns:a="http://schemas.openxmlformats.org/drawingml/2006/main">
                  <a:graphicData uri="http://schemas.microsoft.com/office/word/2010/wordprocessingShape">
                    <wps:wsp>
                      <wps:cNvSpPr txBox="1"/>
                      <wps:spPr>
                        <a:xfrm>
                          <a:off x="0" y="0"/>
                          <a:ext cx="6480175" cy="33591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w:t>
                            </w:r>
                          </w:p>
                          <w:p>
                            <w:pPr>
                              <w:pStyle w:val="TextBody"/>
                              <w:spacing w:lineRule="auto" w:line="240"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w:t>
                      </w:r>
                    </w:p>
                    <w:p>
                      <w:pPr>
                        <w:pStyle w:val="TextBody"/>
                        <w:spacing w:lineRule="auto" w:line="240" w:before="0" w:after="0"/>
                        <w:rPr>
                          <w:color w:val="000000"/>
                        </w:rPr>
                      </w:pPr>
                      <w:r>
                        <w:rPr>
                          <w:color w:val="000000"/>
                        </w:rPr>
                        <w:t>        </w:t>
                      </w:r>
                    </w:p>
                  </w:txbxContent>
                </v:textbox>
              </v:rect>
            </w:pict>
          </mc:Fallback>
        </mc:AlternateContent>
      </w:r>
    </w:p>
    <w:p>
      <w:pPr>
        <w:pStyle w:val="TextBody"/>
        <w:spacing w:lineRule="auto" w:line="240"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A</w:t>
      </w:r>
    </w:p>
    <w:p>
      <w:pPr>
        <w:pStyle w:val="TextBody"/>
        <w:spacing w:lineRule="auto" w:line="240"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CREDIT AGREEMENT</w:t>
      </w:r>
    </w:p>
    <w:p>
      <w:pPr>
        <w:pStyle w:val="TextBody"/>
        <w:spacing w:before="0" w:after="0"/>
        <w:jc w:val="right"/>
        <w:rPr/>
      </w:pPr>
      <w:r>
        <w:rPr/>
      </w:r>
    </w:p>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[see attached]</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xecution Version</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50520"/>
                <wp:effectExtent l="0" t="0" r="0" b="0"/>
                <wp:wrapNone/>
                <wp:docPr id="97" name="Frame9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395.5pt;mso-position-horizontal:left;mso-position-horizontal-relative:text">
                <v:textbox>
                  <w:txbxContent>
                    <w:p>
                      <w:pPr>
                        <w:pStyle w:val="TextBody"/>
                        <w:spacing w:before="0" w:after="0"/>
                        <w:jc w:val="center"/>
                        <w:rPr/>
                      </w:pPr>
                      <w:r>
                        <w:rPr/>
                      </w:r>
                    </w:p>
                    <w:p>
                      <w:pPr>
                        <w:pStyle w:val="TextBody"/>
                        <w:spacing w:before="0" w:after="0"/>
                        <w:rPr/>
                      </w:pPr>
                      <w:r>
                        <w:rPr/>
                      </w:r>
                    </w:p>
                  </w:txbxContent>
                </v:textbox>
              </v:rect>
            </w:pict>
          </mc:Fallback>
        </mc:AlternateContent>
      </w:r>
    </w:p>
    <w:p>
      <w:pPr>
        <w:pStyle w:val="TextBody"/>
        <w:spacing w:before="0" w:after="720"/>
        <w:rPr/>
      </w:pPr>
      <w:r>
        <w:rPr/>
      </w:r>
    </w:p>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CREDIT AGREEMENT</w:t>
        <w:br/>
        <w:br/>
        <w:t>dated as of October 16, 2013,</w:t>
        <w:br/>
        <w:br/>
        <w:t>among</w:t>
        <w:br/>
        <w:br/>
        <w:t>TRIMAS CORPORATION,</w:t>
        <w:br/>
        <w:br/>
        <w:t>TRIMAS COMPANY LLC,</w:t>
        <w:br/>
        <w:br/>
        <w:t>The Foreign Subsidiary Borrowers Party Hereto,</w:t>
        <w:br/>
        <w:t>The Lenders Party Hereto,</w:t>
        <w:br/>
        <w:br/>
        <w:t>JPMORGAN CHASE BANK, N.A.,</w:t>
        <w:br/>
        <w:t>as Administrative Agent and Collateral Agent,</w:t>
      </w:r>
    </w:p>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br/>
        <w:t>BANK OF AMERICA, N.A.</w:t>
        <w:br/>
        <w:t>and</w:t>
      </w:r>
    </w:p>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BMO CAPITAL MARKETS CORP.,</w:t>
        <w:br/>
        <w:t>WELLS FARGO BANK, NATIONAL ASSOCIATION,</w:t>
        <w:br/>
        <w:t>as Co-Syndication Agents,</w:t>
      </w:r>
    </w:p>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KEYBANK NATIONAL ASSOCIATION, </w:t>
      </w:r>
    </w:p>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 Documentation Agent</w:t>
      </w:r>
    </w:p>
    <w:p>
      <w:pPr>
        <w:pStyle w:val="TextBody"/>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As Amended as of March 29, 2021</w:t>
      </w:r>
    </w:p>
    <w:p>
      <w:pPr>
        <w:pStyle w:val="TextBody"/>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w:t>
      </w:r>
    </w:p>
    <w:p>
      <w:pPr>
        <w:pStyle w:val="TextBody"/>
        <w:spacing w:lineRule="auto" w:line="240" w:before="0" w:after="720"/>
        <w:jc w:val="center"/>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br/>
        <w:t>BMO CAPITAL MARKETS CORP., BOFA SECURITIES, INC.,</w:t>
        <w:br/>
        <w:t>WELLS FARGO SECURITIES, LLC,</w:t>
        <w:br/>
        <w:t>as Joint Lead Arrangers and Joint Bookrunners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TABLE OF CONTENTS</w:t>
      </w:r>
    </w:p>
    <w:p>
      <w:pPr>
        <w:pStyle w:val="TextBody"/>
        <w:spacing w:lineRule="auto" w:line="240" w:before="0" w:after="480"/>
        <w:ind w:left="0" w:right="0" w:firstLine="1440"/>
        <w:jc w:val="righ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Page</w:t>
      </w:r>
    </w:p>
    <w:p>
      <w:pPr>
        <w:pStyle w:val="TextBody"/>
        <w:spacing w:lineRule="auto" w:line="240"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I</w:t>
        <w:br/>
        <w:br/>
        <w:t>DEFINITIONS</w:t>
      </w:r>
    </w:p>
    <w:p>
      <w:pPr>
        <w:pStyle w:val="TextBody"/>
        <w:spacing w:lineRule="auto" w:line="240" w:before="0" w:after="0"/>
        <w:ind w:left="0" w:right="0" w:hanging="2070"/>
        <w:rPr/>
      </w:pPr>
      <w:r>
        <w:rPr>
          <w:rFonts w:ascii="Times New Roman;sans-serif" w:hAnsi="Times New Roman;sans-serif"/>
          <w:b w:val="false"/>
          <w:color w:val="000000"/>
          <w:sz w:val="22"/>
        </w:rPr>
        <w:t>SECTION 1.01</w:t>
      </w:r>
      <w:r>
        <w:rPr>
          <w:color w:val="000000"/>
        </w:rPr>
        <w:t>    </w:t>
      </w:r>
      <w:r>
        <w:rPr>
          <w:rFonts w:ascii="Times New Roman;sans-serif" w:hAnsi="Times New Roman;sans-serif"/>
          <w:b w:val="false"/>
          <w:color w:val="000000"/>
          <w:sz w:val="22"/>
          <w:u w:val="single"/>
        </w:rPr>
        <w:t>Defined Terms</w:t>
      </w:r>
      <w:r>
        <w:rPr>
          <w:color w:val="000000"/>
        </w:rPr>
        <w:t>    </w:t>
      </w:r>
      <w:r>
        <w:rPr>
          <w:rFonts w:ascii="Times New Roman;sans-serif" w:hAnsi="Times New Roman;sans-serif"/>
          <w:b w:val="false"/>
          <w:color w:val="000000"/>
          <w:sz w:val="22"/>
        </w:rPr>
        <w:t>1</w:t>
      </w:r>
    </w:p>
    <w:p>
      <w:pPr>
        <w:pStyle w:val="TextBody"/>
        <w:spacing w:lineRule="auto" w:line="240" w:before="0" w:after="0"/>
        <w:ind w:left="0" w:right="0" w:hanging="2070"/>
        <w:rPr/>
      </w:pPr>
      <w:r>
        <w:rPr>
          <w:rFonts w:ascii="Times New Roman;sans-serif" w:hAnsi="Times New Roman;sans-serif"/>
          <w:b w:val="false"/>
          <w:color w:val="000000"/>
          <w:sz w:val="22"/>
        </w:rPr>
        <w:t>SECTION 1.02</w:t>
      </w:r>
      <w:r>
        <w:rPr>
          <w:color w:val="000000"/>
        </w:rPr>
        <w:t>    </w:t>
      </w:r>
      <w:r>
        <w:rPr>
          <w:rFonts w:ascii="Times New Roman;sans-serif" w:hAnsi="Times New Roman;sans-serif"/>
          <w:b w:val="false"/>
          <w:color w:val="000000"/>
          <w:sz w:val="22"/>
          <w:u w:val="single"/>
        </w:rPr>
        <w:t>Classification of Loans and Borrowings</w:t>
      </w:r>
      <w:r>
        <w:rPr>
          <w:color w:val="000000"/>
        </w:rPr>
        <w:t>    </w:t>
      </w:r>
      <w:r>
        <w:rPr>
          <w:rFonts w:ascii="Times New Roman;sans-serif" w:hAnsi="Times New Roman;sans-serif"/>
          <w:b w:val="false"/>
          <w:color w:val="000000"/>
          <w:sz w:val="22"/>
        </w:rPr>
        <w:t>48</w:t>
      </w:r>
    </w:p>
    <w:p>
      <w:pPr>
        <w:pStyle w:val="TextBody"/>
        <w:spacing w:lineRule="auto" w:line="240" w:before="0" w:after="0"/>
        <w:ind w:left="0" w:right="0" w:hanging="2070"/>
        <w:rPr/>
      </w:pPr>
      <w:r>
        <w:rPr>
          <w:rFonts w:ascii="Times New Roman;sans-serif" w:hAnsi="Times New Roman;sans-serif"/>
          <w:b w:val="false"/>
          <w:color w:val="000000"/>
          <w:sz w:val="22"/>
        </w:rPr>
        <w:t>SECTION 1.03</w:t>
      </w:r>
      <w:r>
        <w:rPr>
          <w:color w:val="000000"/>
        </w:rPr>
        <w:t>    </w:t>
      </w:r>
      <w:r>
        <w:rPr>
          <w:rFonts w:ascii="Times New Roman;sans-serif" w:hAnsi="Times New Roman;sans-serif"/>
          <w:b w:val="false"/>
          <w:color w:val="000000"/>
          <w:sz w:val="22"/>
          <w:u w:val="single"/>
        </w:rPr>
        <w:t>Terms Generally</w:t>
      </w:r>
      <w:r>
        <w:rPr>
          <w:color w:val="000000"/>
        </w:rPr>
        <w:t>    </w:t>
      </w:r>
      <w:r>
        <w:rPr>
          <w:rFonts w:ascii="Times New Roman;sans-serif" w:hAnsi="Times New Roman;sans-serif"/>
          <w:b w:val="false"/>
          <w:color w:val="000000"/>
          <w:sz w:val="22"/>
        </w:rPr>
        <w:t>49</w:t>
      </w:r>
    </w:p>
    <w:p>
      <w:pPr>
        <w:pStyle w:val="TextBody"/>
        <w:spacing w:lineRule="auto" w:line="240" w:before="0" w:after="0"/>
        <w:ind w:left="0" w:right="0" w:hanging="2070"/>
        <w:rPr/>
      </w:pPr>
      <w:r>
        <w:rPr>
          <w:rFonts w:ascii="Times New Roman;sans-serif" w:hAnsi="Times New Roman;sans-serif"/>
          <w:b w:val="false"/>
          <w:color w:val="000000"/>
          <w:sz w:val="22"/>
        </w:rPr>
        <w:t>SECTION 1.04</w:t>
      </w:r>
      <w:r>
        <w:rPr>
          <w:color w:val="000000"/>
        </w:rPr>
        <w:t>    </w:t>
      </w:r>
      <w:r>
        <w:rPr>
          <w:rFonts w:ascii="Times New Roman;sans-serif" w:hAnsi="Times New Roman;sans-serif"/>
          <w:b w:val="false"/>
          <w:color w:val="000000"/>
          <w:sz w:val="22"/>
          <w:u w:val="single"/>
        </w:rPr>
        <w:t>Accounting Terms; GAAP</w:t>
      </w:r>
      <w:r>
        <w:rPr>
          <w:color w:val="000000"/>
        </w:rPr>
        <w:t>    </w:t>
      </w:r>
      <w:r>
        <w:rPr>
          <w:rFonts w:ascii="Times New Roman;sans-serif" w:hAnsi="Times New Roman;sans-serif"/>
          <w:b w:val="false"/>
          <w:color w:val="000000"/>
          <w:sz w:val="22"/>
        </w:rPr>
        <w:t>49</w:t>
      </w:r>
    </w:p>
    <w:p>
      <w:pPr>
        <w:pStyle w:val="TextBody"/>
        <w:spacing w:lineRule="auto" w:line="240" w:before="0" w:after="0"/>
        <w:ind w:left="0" w:right="0" w:hanging="2070"/>
        <w:rPr/>
      </w:pPr>
      <w:r>
        <w:rPr>
          <w:rFonts w:ascii="Times New Roman;sans-serif" w:hAnsi="Times New Roman;sans-serif"/>
          <w:b w:val="false"/>
          <w:color w:val="000000"/>
          <w:sz w:val="22"/>
        </w:rPr>
        <w:t>SECTION 1.05</w:t>
      </w:r>
      <w:r>
        <w:rPr>
          <w:color w:val="000000"/>
        </w:rPr>
        <w:t>    </w:t>
      </w:r>
      <w:r>
        <w:rPr>
          <w:rFonts w:ascii="Times New Roman;sans-serif" w:hAnsi="Times New Roman;sans-serif"/>
          <w:b w:val="false"/>
          <w:color w:val="000000"/>
          <w:sz w:val="22"/>
          <w:u w:val="single"/>
        </w:rPr>
        <w:t>Limited Conditionality Acquisition</w:t>
      </w:r>
      <w:r>
        <w:rPr>
          <w:color w:val="000000"/>
        </w:rPr>
        <w:t>    </w:t>
      </w:r>
      <w:r>
        <w:rPr>
          <w:rFonts w:ascii="Times New Roman;sans-serif" w:hAnsi="Times New Roman;sans-serif"/>
          <w:b w:val="false"/>
          <w:color w:val="000000"/>
          <w:sz w:val="22"/>
        </w:rPr>
        <w:t>49</w:t>
      </w:r>
    </w:p>
    <w:p>
      <w:pPr>
        <w:pStyle w:val="TextBody"/>
        <w:spacing w:lineRule="auto" w:line="240" w:before="0" w:after="0"/>
        <w:ind w:left="0" w:right="0" w:hanging="2070"/>
        <w:rPr/>
      </w:pPr>
      <w:r>
        <w:rPr>
          <w:rFonts w:ascii="Times New Roman;sans-serif" w:hAnsi="Times New Roman;sans-serif"/>
          <w:b w:val="false"/>
          <w:color w:val="000000"/>
          <w:sz w:val="22"/>
        </w:rPr>
        <w:t>SECTION 1.06</w:t>
      </w:r>
      <w:r>
        <w:rPr>
          <w:color w:val="000000"/>
        </w:rPr>
        <w:t>    </w:t>
      </w:r>
      <w:r>
        <w:rPr>
          <w:rFonts w:ascii="Times New Roman;sans-serif" w:hAnsi="Times New Roman;sans-serif"/>
          <w:b w:val="false"/>
          <w:color w:val="000000"/>
          <w:sz w:val="22"/>
          <w:u w:val="single"/>
        </w:rPr>
        <w:t>Ratio Calculations; Negative Covenant Classifications</w:t>
      </w:r>
      <w:r>
        <w:rPr>
          <w:rFonts w:ascii="Times New Roman;sans-serif" w:hAnsi="Times New Roman;sans-serif"/>
          <w:b w:val="false"/>
          <w:color w:val="000000"/>
          <w:sz w:val="22"/>
        </w:rPr>
        <w:t>.    50</w:t>
      </w:r>
    </w:p>
    <w:p>
      <w:pPr>
        <w:pStyle w:val="TextBody"/>
        <w:spacing w:lineRule="auto" w:line="240" w:before="0" w:after="0"/>
        <w:ind w:left="0" w:right="0" w:hanging="2070"/>
        <w:rPr/>
      </w:pPr>
      <w:r>
        <w:rPr>
          <w:rFonts w:ascii="Times New Roman;sans-serif" w:hAnsi="Times New Roman;sans-serif"/>
          <w:b w:val="false"/>
          <w:color w:val="000000"/>
          <w:sz w:val="22"/>
        </w:rPr>
        <w:t>SECTION 1.07</w:t>
      </w:r>
      <w:r>
        <w:rPr>
          <w:color w:val="000000"/>
        </w:rPr>
        <w:t>    </w:t>
      </w:r>
      <w:r>
        <w:rPr>
          <w:rFonts w:ascii="Times New Roman;sans-serif" w:hAnsi="Times New Roman;sans-serif"/>
          <w:b w:val="false"/>
          <w:color w:val="000000"/>
          <w:sz w:val="22"/>
          <w:u w:val="single"/>
        </w:rPr>
        <w:t>Interest Rates; LIBOR Notification</w:t>
      </w:r>
      <w:r>
        <w:rPr>
          <w:color w:val="000000"/>
        </w:rPr>
        <w:t>    </w:t>
      </w:r>
      <w:r>
        <w:rPr>
          <w:rFonts w:ascii="Times New Roman;sans-serif" w:hAnsi="Times New Roman;sans-serif"/>
          <w:b w:val="false"/>
          <w:color w:val="000000"/>
          <w:sz w:val="22"/>
        </w:rPr>
        <w:t>51</w:t>
      </w:r>
    </w:p>
    <w:p>
      <w:pPr>
        <w:pStyle w:val="TextBody"/>
        <w:spacing w:lineRule="auto" w:line="240" w:before="0" w:after="0"/>
        <w:ind w:left="0" w:right="0" w:hanging="2070"/>
        <w:rPr/>
      </w:pPr>
      <w:r>
        <w:rPr>
          <w:rFonts w:ascii="Times New Roman;sans-serif" w:hAnsi="Times New Roman;sans-serif"/>
          <w:b w:val="false"/>
          <w:color w:val="000000"/>
          <w:sz w:val="22"/>
        </w:rPr>
        <w:t>SECTION 1.08</w:t>
      </w:r>
      <w:r>
        <w:rPr>
          <w:color w:val="000000"/>
        </w:rPr>
        <w:t>    </w:t>
      </w:r>
      <w:r>
        <w:rPr>
          <w:rFonts w:ascii="Times New Roman;sans-serif" w:hAnsi="Times New Roman;sans-serif"/>
          <w:b w:val="false"/>
          <w:color w:val="000000"/>
          <w:sz w:val="22"/>
          <w:u w:val="single"/>
        </w:rPr>
        <w:t>Divisions</w:t>
      </w:r>
      <w:r>
        <w:rPr>
          <w:color w:val="000000"/>
        </w:rPr>
        <w:t>    </w:t>
      </w:r>
      <w:r>
        <w:rPr>
          <w:rFonts w:ascii="Times New Roman;sans-serif" w:hAnsi="Times New Roman;sans-serif"/>
          <w:b w:val="false"/>
          <w:color w:val="000000"/>
          <w:sz w:val="22"/>
        </w:rPr>
        <w:t>51</w:t>
      </w:r>
    </w:p>
    <w:p>
      <w:pPr>
        <w:pStyle w:val="TextBody"/>
        <w:spacing w:lineRule="auto" w:line="240"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II</w:t>
        <w:br/>
        <w:br/>
        <w:t>THE CREDITS</w:t>
      </w:r>
    </w:p>
    <w:p>
      <w:pPr>
        <w:pStyle w:val="TextBody"/>
        <w:spacing w:lineRule="auto" w:line="240" w:before="0" w:after="0"/>
        <w:ind w:left="0" w:right="0" w:hanging="2070"/>
        <w:rPr/>
      </w:pPr>
      <w:r>
        <w:rPr>
          <w:rFonts w:ascii="Times New Roman;sans-serif" w:hAnsi="Times New Roman;sans-serif"/>
          <w:b w:val="false"/>
          <w:color w:val="000000"/>
          <w:sz w:val="22"/>
        </w:rPr>
        <w:t>SECTION 2.01</w:t>
      </w:r>
      <w:r>
        <w:rPr>
          <w:color w:val="000000"/>
        </w:rPr>
        <w:t>    </w:t>
      </w:r>
      <w:r>
        <w:rPr>
          <w:rFonts w:ascii="Times New Roman;sans-serif" w:hAnsi="Times New Roman;sans-serif"/>
          <w:b w:val="false"/>
          <w:color w:val="000000"/>
          <w:sz w:val="22"/>
          <w:u w:val="single"/>
        </w:rPr>
        <w:t>Commitments</w:t>
      </w:r>
      <w:r>
        <w:rPr>
          <w:color w:val="000000"/>
        </w:rPr>
        <w:t>    </w:t>
      </w:r>
      <w:r>
        <w:rPr>
          <w:rFonts w:ascii="Times New Roman;sans-serif" w:hAnsi="Times New Roman;sans-serif"/>
          <w:b w:val="false"/>
          <w:color w:val="000000"/>
          <w:sz w:val="22"/>
        </w:rPr>
        <w:t>52</w:t>
      </w:r>
    </w:p>
    <w:p>
      <w:pPr>
        <w:pStyle w:val="TextBody"/>
        <w:spacing w:lineRule="auto" w:line="240" w:before="0" w:after="0"/>
        <w:ind w:left="0" w:right="0" w:hanging="2070"/>
        <w:rPr/>
      </w:pPr>
      <w:r>
        <w:rPr>
          <w:rFonts w:ascii="Times New Roman;sans-serif" w:hAnsi="Times New Roman;sans-serif"/>
          <w:b w:val="false"/>
          <w:color w:val="000000"/>
          <w:sz w:val="22"/>
        </w:rPr>
        <w:t>SECTION 2.02</w:t>
      </w:r>
      <w:r>
        <w:rPr>
          <w:color w:val="000000"/>
        </w:rPr>
        <w:t>    </w:t>
      </w:r>
      <w:r>
        <w:rPr>
          <w:rFonts w:ascii="Times New Roman;sans-serif" w:hAnsi="Times New Roman;sans-serif"/>
          <w:b w:val="false"/>
          <w:color w:val="000000"/>
          <w:sz w:val="22"/>
          <w:u w:val="single"/>
        </w:rPr>
        <w:t>Loans and Borrowings</w:t>
      </w:r>
      <w:r>
        <w:rPr>
          <w:color w:val="000000"/>
        </w:rPr>
        <w:t>    </w:t>
      </w:r>
      <w:r>
        <w:rPr>
          <w:rFonts w:ascii="Times New Roman;sans-serif" w:hAnsi="Times New Roman;sans-serif"/>
          <w:b w:val="false"/>
          <w:color w:val="000000"/>
          <w:sz w:val="22"/>
        </w:rPr>
        <w:t>52</w:t>
      </w:r>
    </w:p>
    <w:p>
      <w:pPr>
        <w:pStyle w:val="TextBody"/>
        <w:spacing w:lineRule="auto" w:line="240" w:before="0" w:after="0"/>
        <w:ind w:left="0" w:right="0" w:hanging="2070"/>
        <w:rPr/>
      </w:pPr>
      <w:r>
        <w:rPr>
          <w:rFonts w:ascii="Times New Roman;sans-serif" w:hAnsi="Times New Roman;sans-serif"/>
          <w:b w:val="false"/>
          <w:color w:val="000000"/>
          <w:sz w:val="22"/>
        </w:rPr>
        <w:t>SECTION 2.03</w:t>
      </w:r>
      <w:r>
        <w:rPr>
          <w:color w:val="000000"/>
        </w:rPr>
        <w:t>    </w:t>
      </w:r>
      <w:r>
        <w:rPr>
          <w:rFonts w:ascii="Times New Roman;sans-serif" w:hAnsi="Times New Roman;sans-serif"/>
          <w:b w:val="false"/>
          <w:color w:val="000000"/>
          <w:sz w:val="22"/>
          <w:u w:val="single"/>
        </w:rPr>
        <w:t>Requests for Borrowings</w:t>
      </w:r>
      <w:r>
        <w:rPr>
          <w:color w:val="000000"/>
        </w:rPr>
        <w:t>    </w:t>
      </w:r>
      <w:r>
        <w:rPr>
          <w:rFonts w:ascii="Times New Roman;sans-serif" w:hAnsi="Times New Roman;sans-serif"/>
          <w:b w:val="false"/>
          <w:color w:val="000000"/>
          <w:sz w:val="22"/>
        </w:rPr>
        <w:t>53</w:t>
      </w:r>
    </w:p>
    <w:p>
      <w:pPr>
        <w:pStyle w:val="TextBody"/>
        <w:spacing w:lineRule="auto" w:line="240" w:before="0" w:after="0"/>
        <w:ind w:left="0" w:right="0" w:hanging="2070"/>
        <w:rPr/>
      </w:pPr>
      <w:r>
        <w:rPr>
          <w:rFonts w:ascii="Times New Roman;sans-serif" w:hAnsi="Times New Roman;sans-serif"/>
          <w:b w:val="false"/>
          <w:color w:val="000000"/>
          <w:sz w:val="22"/>
        </w:rPr>
        <w:t>SECTION 2.04</w:t>
      </w:r>
      <w:r>
        <w:rPr>
          <w:color w:val="000000"/>
        </w:rPr>
        <w:t>    </w:t>
      </w:r>
      <w:r>
        <w:rPr>
          <w:rFonts w:ascii="Times New Roman;sans-serif" w:hAnsi="Times New Roman;sans-serif"/>
          <w:b w:val="false"/>
          <w:color w:val="000000"/>
          <w:sz w:val="22"/>
          <w:u w:val="single"/>
        </w:rPr>
        <w:t>Swingline Loans</w:t>
      </w:r>
      <w:r>
        <w:rPr>
          <w:color w:val="000000"/>
        </w:rPr>
        <w:t>    </w:t>
      </w:r>
      <w:r>
        <w:rPr>
          <w:rFonts w:ascii="Times New Roman;sans-serif" w:hAnsi="Times New Roman;sans-serif"/>
          <w:b w:val="false"/>
          <w:color w:val="000000"/>
          <w:sz w:val="22"/>
        </w:rPr>
        <w:t>54</w:t>
      </w:r>
    </w:p>
    <w:p>
      <w:pPr>
        <w:pStyle w:val="TextBody"/>
        <w:spacing w:lineRule="auto" w:line="240" w:before="0" w:after="0"/>
        <w:ind w:left="0" w:right="0" w:hanging="2070"/>
        <w:rPr/>
      </w:pPr>
      <w:r>
        <w:rPr>
          <w:rFonts w:ascii="Times New Roman;sans-serif" w:hAnsi="Times New Roman;sans-serif"/>
          <w:b w:val="false"/>
          <w:color w:val="000000"/>
          <w:sz w:val="22"/>
        </w:rPr>
        <w:t>SECTION 2.05</w:t>
      </w:r>
      <w:r>
        <w:rPr>
          <w:color w:val="000000"/>
        </w:rPr>
        <w:t>    </w:t>
      </w:r>
      <w:r>
        <w:rPr>
          <w:rFonts w:ascii="Times New Roman;sans-serif" w:hAnsi="Times New Roman;sans-serif"/>
          <w:b w:val="false"/>
          <w:color w:val="000000"/>
          <w:sz w:val="22"/>
          <w:u w:val="single"/>
        </w:rPr>
        <w:t>Letters of Credit</w:t>
      </w:r>
      <w:r>
        <w:rPr>
          <w:color w:val="000000"/>
        </w:rPr>
        <w:t>    </w:t>
      </w:r>
      <w:r>
        <w:rPr>
          <w:rFonts w:ascii="Times New Roman;sans-serif" w:hAnsi="Times New Roman;sans-serif"/>
          <w:b w:val="false"/>
          <w:color w:val="000000"/>
          <w:sz w:val="22"/>
        </w:rPr>
        <w:t>56</w:t>
      </w:r>
    </w:p>
    <w:p>
      <w:pPr>
        <w:pStyle w:val="TextBody"/>
        <w:spacing w:lineRule="auto" w:line="240" w:before="0" w:after="0"/>
        <w:ind w:left="0" w:right="0" w:hanging="2070"/>
        <w:rPr/>
      </w:pPr>
      <w:r>
        <w:rPr>
          <w:rFonts w:ascii="Times New Roman;sans-serif" w:hAnsi="Times New Roman;sans-serif"/>
          <w:b w:val="false"/>
          <w:color w:val="000000"/>
          <w:sz w:val="22"/>
        </w:rPr>
        <w:t>SECTION 2.06</w:t>
      </w:r>
      <w:r>
        <w:rPr>
          <w:color w:val="000000"/>
        </w:rPr>
        <w:t>    </w:t>
      </w:r>
      <w:r>
        <w:rPr>
          <w:rFonts w:ascii="Times New Roman;sans-serif" w:hAnsi="Times New Roman;sans-serif"/>
          <w:b w:val="false"/>
          <w:color w:val="000000"/>
          <w:sz w:val="22"/>
          <w:u w:val="single"/>
        </w:rPr>
        <w:t>Funding of Borrowings</w:t>
      </w:r>
      <w:r>
        <w:rPr>
          <w:color w:val="000000"/>
        </w:rPr>
        <w:t>    </w:t>
      </w:r>
      <w:r>
        <w:rPr>
          <w:rFonts w:ascii="Times New Roman;sans-serif" w:hAnsi="Times New Roman;sans-serif"/>
          <w:b w:val="false"/>
          <w:color w:val="000000"/>
          <w:sz w:val="22"/>
        </w:rPr>
        <w:t>62</w:t>
      </w:r>
    </w:p>
    <w:p>
      <w:pPr>
        <w:pStyle w:val="TextBody"/>
        <w:spacing w:lineRule="auto" w:line="240" w:before="0" w:after="0"/>
        <w:ind w:left="0" w:right="0" w:hanging="2070"/>
        <w:rPr/>
      </w:pPr>
      <w:r>
        <w:rPr>
          <w:rFonts w:ascii="Times New Roman;sans-serif" w:hAnsi="Times New Roman;sans-serif"/>
          <w:b w:val="false"/>
          <w:color w:val="000000"/>
          <w:sz w:val="22"/>
        </w:rPr>
        <w:t>SECTION 2.07</w:t>
      </w:r>
      <w:r>
        <w:rPr>
          <w:color w:val="000000"/>
        </w:rPr>
        <w:t>    </w:t>
      </w:r>
      <w:r>
        <w:rPr>
          <w:rFonts w:ascii="Times New Roman;sans-serif" w:hAnsi="Times New Roman;sans-serif"/>
          <w:b w:val="false"/>
          <w:color w:val="000000"/>
          <w:sz w:val="22"/>
          <w:u w:val="single"/>
        </w:rPr>
        <w:t>Interest Elections</w:t>
      </w:r>
      <w:r>
        <w:rPr>
          <w:color w:val="000000"/>
        </w:rPr>
        <w:t>    </w:t>
      </w:r>
      <w:r>
        <w:rPr>
          <w:rFonts w:ascii="Times New Roman;sans-serif" w:hAnsi="Times New Roman;sans-serif"/>
          <w:b w:val="false"/>
          <w:color w:val="000000"/>
          <w:sz w:val="22"/>
        </w:rPr>
        <w:t>64</w:t>
      </w:r>
    </w:p>
    <w:p>
      <w:pPr>
        <w:pStyle w:val="TextBody"/>
        <w:spacing w:lineRule="auto" w:line="240" w:before="0" w:after="0"/>
        <w:ind w:left="0" w:right="0" w:hanging="2070"/>
        <w:rPr/>
      </w:pPr>
      <w:r>
        <w:rPr>
          <w:rFonts w:ascii="Times New Roman;sans-serif" w:hAnsi="Times New Roman;sans-serif"/>
          <w:b w:val="false"/>
          <w:color w:val="000000"/>
          <w:sz w:val="22"/>
        </w:rPr>
        <w:t>SECTION 2.08</w:t>
      </w:r>
      <w:r>
        <w:rPr>
          <w:color w:val="000000"/>
        </w:rPr>
        <w:t>    </w:t>
      </w:r>
      <w:r>
        <w:rPr>
          <w:rFonts w:ascii="Times New Roman;sans-serif" w:hAnsi="Times New Roman;sans-serif"/>
          <w:b w:val="false"/>
          <w:color w:val="000000"/>
          <w:sz w:val="22"/>
          <w:u w:val="single"/>
        </w:rPr>
        <w:t>Termination and Reduction of Commitments</w:t>
      </w:r>
      <w:r>
        <w:rPr>
          <w:color w:val="000000"/>
        </w:rPr>
        <w:t>    </w:t>
      </w:r>
      <w:r>
        <w:rPr>
          <w:rFonts w:ascii="Times New Roman;sans-serif" w:hAnsi="Times New Roman;sans-serif"/>
          <w:b w:val="false"/>
          <w:color w:val="000000"/>
          <w:sz w:val="22"/>
        </w:rPr>
        <w:t>65</w:t>
      </w:r>
    </w:p>
    <w:p>
      <w:pPr>
        <w:pStyle w:val="TextBody"/>
        <w:spacing w:lineRule="auto" w:line="240" w:before="0" w:after="0"/>
        <w:ind w:left="0" w:right="0" w:hanging="2070"/>
        <w:rPr/>
      </w:pPr>
      <w:r>
        <w:rPr>
          <w:rFonts w:ascii="Times New Roman;sans-serif" w:hAnsi="Times New Roman;sans-serif"/>
          <w:b w:val="false"/>
          <w:color w:val="000000"/>
          <w:sz w:val="22"/>
        </w:rPr>
        <w:t>SECTION 2.09</w:t>
      </w:r>
      <w:r>
        <w:rPr>
          <w:color w:val="000000"/>
        </w:rPr>
        <w:t>    </w:t>
      </w:r>
      <w:r>
        <w:rPr>
          <w:rFonts w:ascii="Times New Roman;sans-serif" w:hAnsi="Times New Roman;sans-serif"/>
          <w:b w:val="false"/>
          <w:color w:val="000000"/>
          <w:sz w:val="22"/>
          <w:u w:val="single"/>
        </w:rPr>
        <w:t>Repayment of Loans; Evidence of Debt</w:t>
      </w:r>
      <w:r>
        <w:rPr>
          <w:color w:val="000000"/>
        </w:rPr>
        <w:t>    </w:t>
      </w:r>
      <w:r>
        <w:rPr>
          <w:rFonts w:ascii="Times New Roman;sans-serif" w:hAnsi="Times New Roman;sans-serif"/>
          <w:b w:val="false"/>
          <w:color w:val="000000"/>
          <w:sz w:val="22"/>
        </w:rPr>
        <w:t>66</w:t>
      </w:r>
    </w:p>
    <w:p>
      <w:pPr>
        <w:pStyle w:val="TextBody"/>
        <w:spacing w:lineRule="auto" w:line="240" w:before="0" w:after="0"/>
        <w:ind w:left="0" w:right="0" w:hanging="2070"/>
        <w:rPr/>
      </w:pPr>
      <w:r>
        <w:rPr>
          <w:rFonts w:ascii="Times New Roman;sans-serif" w:hAnsi="Times New Roman;sans-serif"/>
          <w:b w:val="false"/>
          <w:color w:val="000000"/>
          <w:sz w:val="22"/>
        </w:rPr>
        <w:t>SECTION 2.10</w:t>
      </w:r>
      <w:r>
        <w:rPr>
          <w:color w:val="000000"/>
        </w:rPr>
        <w:t>    </w:t>
      </w:r>
      <w:r>
        <w:rPr>
          <w:rFonts w:ascii="Times New Roman;sans-serif" w:hAnsi="Times New Roman;sans-serif"/>
          <w:b w:val="false"/>
          <w:color w:val="000000"/>
          <w:sz w:val="22"/>
          <w:u w:val="single"/>
        </w:rPr>
        <w:t>[Reserved]</w:t>
      </w:r>
      <w:r>
        <w:rPr>
          <w:color w:val="000000"/>
        </w:rPr>
        <w:t>    </w:t>
      </w:r>
      <w:r>
        <w:rPr>
          <w:rFonts w:ascii="Times New Roman;sans-serif" w:hAnsi="Times New Roman;sans-serif"/>
          <w:b w:val="false"/>
          <w:color w:val="000000"/>
          <w:sz w:val="22"/>
        </w:rPr>
        <w:t>67</w:t>
      </w:r>
    </w:p>
    <w:p>
      <w:pPr>
        <w:pStyle w:val="TextBody"/>
        <w:spacing w:lineRule="auto" w:line="240" w:before="0" w:after="0"/>
        <w:ind w:left="0" w:right="0" w:hanging="2070"/>
        <w:rPr/>
      </w:pPr>
      <w:r>
        <w:rPr>
          <w:rFonts w:ascii="Times New Roman;sans-serif" w:hAnsi="Times New Roman;sans-serif"/>
          <w:b w:val="false"/>
          <w:color w:val="000000"/>
          <w:sz w:val="22"/>
        </w:rPr>
        <w:t>SECTION 2.11</w:t>
      </w:r>
      <w:r>
        <w:rPr>
          <w:color w:val="000000"/>
        </w:rPr>
        <w:t>    </w:t>
      </w:r>
      <w:r>
        <w:rPr>
          <w:rFonts w:ascii="Times New Roman;sans-serif" w:hAnsi="Times New Roman;sans-serif"/>
          <w:b w:val="false"/>
          <w:color w:val="000000"/>
          <w:sz w:val="22"/>
          <w:u w:val="single"/>
        </w:rPr>
        <w:t>Prepayment of Loans</w:t>
      </w:r>
      <w:r>
        <w:rPr>
          <w:color w:val="000000"/>
        </w:rPr>
        <w:t>    </w:t>
      </w:r>
      <w:r>
        <w:rPr>
          <w:rFonts w:ascii="Times New Roman;sans-serif" w:hAnsi="Times New Roman;sans-serif"/>
          <w:b w:val="false"/>
          <w:color w:val="000000"/>
          <w:sz w:val="22"/>
        </w:rPr>
        <w:t>67</w:t>
      </w:r>
    </w:p>
    <w:p>
      <w:pPr>
        <w:pStyle w:val="TextBody"/>
        <w:spacing w:lineRule="auto" w:line="240" w:before="0" w:after="0"/>
        <w:ind w:left="0" w:right="0" w:hanging="2070"/>
        <w:rPr/>
      </w:pPr>
      <w:r>
        <w:rPr>
          <w:rFonts w:ascii="Times New Roman;sans-serif" w:hAnsi="Times New Roman;sans-serif"/>
          <w:b w:val="false"/>
          <w:color w:val="000000"/>
          <w:sz w:val="22"/>
        </w:rPr>
        <w:t>SECTION 2.12</w:t>
      </w:r>
      <w:r>
        <w:rPr>
          <w:color w:val="000000"/>
        </w:rPr>
        <w:t>    </w:t>
      </w:r>
      <w:r>
        <w:rPr>
          <w:rFonts w:ascii="Times New Roman;sans-serif" w:hAnsi="Times New Roman;sans-serif"/>
          <w:b w:val="false"/>
          <w:color w:val="000000"/>
          <w:sz w:val="22"/>
          <w:u w:val="single"/>
        </w:rPr>
        <w:t>Fees</w:t>
      </w:r>
      <w:r>
        <w:rPr>
          <w:color w:val="000000"/>
        </w:rPr>
        <w:t>    </w:t>
      </w:r>
      <w:r>
        <w:rPr>
          <w:rFonts w:ascii="Times New Roman;sans-serif" w:hAnsi="Times New Roman;sans-serif"/>
          <w:b w:val="false"/>
          <w:color w:val="000000"/>
          <w:sz w:val="22"/>
        </w:rPr>
        <w:t>68</w:t>
      </w:r>
    </w:p>
    <w:p>
      <w:pPr>
        <w:pStyle w:val="TextBody"/>
        <w:spacing w:lineRule="auto" w:line="240" w:before="0" w:after="0"/>
        <w:ind w:left="0" w:right="0" w:hanging="2070"/>
        <w:rPr/>
      </w:pPr>
      <w:r>
        <w:rPr>
          <w:rFonts w:ascii="Times New Roman;sans-serif" w:hAnsi="Times New Roman;sans-serif"/>
          <w:b w:val="false"/>
          <w:color w:val="000000"/>
          <w:sz w:val="22"/>
        </w:rPr>
        <w:t>SECTION 2.13</w:t>
      </w:r>
      <w:r>
        <w:rPr>
          <w:color w:val="000000"/>
        </w:rPr>
        <w:t>    </w:t>
      </w:r>
      <w:r>
        <w:rPr>
          <w:rFonts w:ascii="Times New Roman;sans-serif" w:hAnsi="Times New Roman;sans-serif"/>
          <w:b w:val="false"/>
          <w:color w:val="000000"/>
          <w:sz w:val="22"/>
          <w:u w:val="single"/>
        </w:rPr>
        <w:t>Interest</w:t>
      </w:r>
      <w:r>
        <w:rPr>
          <w:color w:val="000000"/>
        </w:rPr>
        <w:t>    </w:t>
      </w:r>
      <w:r>
        <w:rPr>
          <w:rFonts w:ascii="Times New Roman;sans-serif" w:hAnsi="Times New Roman;sans-serif"/>
          <w:b w:val="false"/>
          <w:color w:val="000000"/>
          <w:sz w:val="22"/>
        </w:rPr>
        <w:t>69</w:t>
      </w:r>
    </w:p>
    <w:p>
      <w:pPr>
        <w:pStyle w:val="TextBody"/>
        <w:spacing w:lineRule="auto" w:line="240" w:before="0" w:after="0"/>
        <w:ind w:left="0" w:right="0" w:hanging="2070"/>
        <w:rPr/>
      </w:pPr>
      <w:r>
        <w:rPr>
          <w:rFonts w:ascii="Times New Roman;sans-serif" w:hAnsi="Times New Roman;sans-serif"/>
          <w:b w:val="false"/>
          <w:color w:val="000000"/>
          <w:sz w:val="22"/>
        </w:rPr>
        <w:t>SECTION 2.14</w:t>
      </w:r>
      <w:r>
        <w:rPr>
          <w:color w:val="000000"/>
        </w:rPr>
        <w:t>    </w:t>
      </w:r>
      <w:r>
        <w:rPr>
          <w:rFonts w:ascii="Times New Roman;sans-serif" w:hAnsi="Times New Roman;sans-serif"/>
          <w:b w:val="false"/>
          <w:color w:val="000000"/>
          <w:sz w:val="22"/>
          <w:u w:val="single"/>
        </w:rPr>
        <w:t>Alternate Rate of Interest</w:t>
      </w:r>
      <w:r>
        <w:rPr>
          <w:color w:val="000000"/>
        </w:rPr>
        <w:t>    </w:t>
      </w:r>
      <w:r>
        <w:rPr>
          <w:rFonts w:ascii="Times New Roman;sans-serif" w:hAnsi="Times New Roman;sans-serif"/>
          <w:b w:val="false"/>
          <w:color w:val="000000"/>
          <w:sz w:val="22"/>
        </w:rPr>
        <w:t>70</w:t>
      </w:r>
    </w:p>
    <w:p>
      <w:pPr>
        <w:pStyle w:val="TextBody"/>
        <w:spacing w:lineRule="auto" w:line="240" w:before="0" w:after="0"/>
        <w:ind w:left="0" w:right="0" w:hanging="2070"/>
        <w:rPr/>
      </w:pPr>
      <w:r>
        <w:rPr>
          <w:rFonts w:ascii="Times New Roman;sans-serif" w:hAnsi="Times New Roman;sans-serif"/>
          <w:b w:val="false"/>
          <w:color w:val="000000"/>
          <w:sz w:val="22"/>
        </w:rPr>
        <w:t>SECTION 2.15</w:t>
      </w:r>
      <w:r>
        <w:rPr>
          <w:color w:val="000000"/>
        </w:rPr>
        <w:t>    </w:t>
      </w:r>
      <w:r>
        <w:rPr>
          <w:rFonts w:ascii="Times New Roman;sans-serif" w:hAnsi="Times New Roman;sans-serif"/>
          <w:b w:val="false"/>
          <w:color w:val="000000"/>
          <w:sz w:val="22"/>
          <w:u w:val="single"/>
        </w:rPr>
        <w:t>Increased Costs</w:t>
      </w:r>
      <w:r>
        <w:rPr>
          <w:color w:val="000000"/>
        </w:rPr>
        <w:t>    </w:t>
      </w:r>
      <w:r>
        <w:rPr>
          <w:rFonts w:ascii="Times New Roman;sans-serif" w:hAnsi="Times New Roman;sans-serif"/>
          <w:b w:val="false"/>
          <w:color w:val="000000"/>
          <w:sz w:val="22"/>
        </w:rPr>
        <w:t>72</w:t>
      </w:r>
    </w:p>
    <w:p>
      <w:pPr>
        <w:pStyle w:val="TextBody"/>
        <w:spacing w:lineRule="auto" w:line="240" w:before="0" w:after="0"/>
        <w:ind w:left="0" w:right="0" w:hanging="2070"/>
        <w:rPr/>
      </w:pPr>
      <w:r>
        <w:rPr>
          <w:rFonts w:ascii="Times New Roman;sans-serif" w:hAnsi="Times New Roman;sans-serif"/>
          <w:b w:val="false"/>
          <w:color w:val="000000"/>
          <w:sz w:val="22"/>
        </w:rPr>
        <w:t>SECTION 2.16</w:t>
      </w:r>
      <w:r>
        <w:rPr>
          <w:color w:val="000000"/>
        </w:rPr>
        <w:t>    </w:t>
      </w:r>
      <w:r>
        <w:rPr>
          <w:rFonts w:ascii="Times New Roman;sans-serif" w:hAnsi="Times New Roman;sans-serif"/>
          <w:b w:val="false"/>
          <w:color w:val="000000"/>
          <w:sz w:val="22"/>
          <w:u w:val="single"/>
        </w:rPr>
        <w:t>Break Funding Payments</w:t>
      </w:r>
      <w:r>
        <w:rPr>
          <w:color w:val="000000"/>
        </w:rPr>
        <w:t>    </w:t>
      </w:r>
      <w:r>
        <w:rPr>
          <w:rFonts w:ascii="Times New Roman;sans-serif" w:hAnsi="Times New Roman;sans-serif"/>
          <w:b w:val="false"/>
          <w:color w:val="000000"/>
          <w:sz w:val="22"/>
        </w:rPr>
        <w:t>74</w:t>
      </w:r>
    </w:p>
    <w:p>
      <w:pPr>
        <w:pStyle w:val="TextBody"/>
        <w:spacing w:lineRule="auto" w:line="240" w:before="0" w:after="0"/>
        <w:ind w:left="0" w:right="0" w:hanging="2070"/>
        <w:rPr/>
      </w:pPr>
      <w:r>
        <w:rPr>
          <w:rFonts w:ascii="Times New Roman;sans-serif" w:hAnsi="Times New Roman;sans-serif"/>
          <w:b w:val="false"/>
          <w:color w:val="000000"/>
          <w:sz w:val="22"/>
        </w:rPr>
        <w:t>SECTION 2.17</w:t>
      </w:r>
      <w:r>
        <w:rPr>
          <w:color w:val="000000"/>
        </w:rPr>
        <w:t>    </w:t>
      </w:r>
      <w:r>
        <w:rPr>
          <w:rFonts w:ascii="Times New Roman;sans-serif" w:hAnsi="Times New Roman;sans-serif"/>
          <w:b w:val="false"/>
          <w:color w:val="000000"/>
          <w:sz w:val="22"/>
          <w:u w:val="single"/>
        </w:rPr>
        <w:t>Taxes</w:t>
      </w:r>
      <w:r>
        <w:rPr>
          <w:color w:val="000000"/>
        </w:rPr>
        <w:t>    </w:t>
      </w:r>
      <w:r>
        <w:rPr>
          <w:rFonts w:ascii="Times New Roman;sans-serif" w:hAnsi="Times New Roman;sans-serif"/>
          <w:b w:val="false"/>
          <w:color w:val="000000"/>
          <w:sz w:val="22"/>
        </w:rPr>
        <w:t>74</w:t>
      </w:r>
    </w:p>
    <w:p>
      <w:pPr>
        <w:pStyle w:val="TextBody"/>
        <w:spacing w:lineRule="auto" w:line="240" w:before="0" w:after="0"/>
        <w:ind w:left="0" w:right="0" w:hanging="2070"/>
        <w:rPr/>
      </w:pPr>
      <w:r>
        <w:rPr>
          <w:rFonts w:ascii="Times New Roman;sans-serif" w:hAnsi="Times New Roman;sans-serif"/>
          <w:b w:val="false"/>
          <w:color w:val="000000"/>
          <w:sz w:val="22"/>
        </w:rPr>
        <w:t>SECTION 2.18</w:t>
      </w:r>
      <w:r>
        <w:rPr>
          <w:color w:val="000000"/>
        </w:rPr>
        <w:t>    </w:t>
      </w:r>
      <w:r>
        <w:rPr>
          <w:rFonts w:ascii="Times New Roman;sans-serif" w:hAnsi="Times New Roman;sans-serif"/>
          <w:b w:val="false"/>
          <w:color w:val="000000"/>
          <w:sz w:val="22"/>
          <w:u w:val="single"/>
        </w:rPr>
        <w:t>Payments Generally; Pro Rata Treatment; Sharing of Set-offs</w:t>
      </w:r>
      <w:r>
        <w:rPr>
          <w:color w:val="000000"/>
        </w:rPr>
        <w:t>    </w:t>
      </w:r>
      <w:r>
        <w:rPr>
          <w:rFonts w:ascii="Times New Roman;sans-serif" w:hAnsi="Times New Roman;sans-serif"/>
          <w:b w:val="false"/>
          <w:color w:val="000000"/>
          <w:sz w:val="22"/>
        </w:rPr>
        <w:t>80</w:t>
      </w:r>
    </w:p>
    <w:p>
      <w:pPr>
        <w:pStyle w:val="TextBody"/>
        <w:spacing w:lineRule="auto" w:line="240" w:before="0" w:after="0"/>
        <w:ind w:left="0" w:right="0" w:hanging="2070"/>
        <w:rPr/>
      </w:pPr>
      <w:r>
        <w:rPr>
          <w:rFonts w:ascii="Times New Roman;sans-serif" w:hAnsi="Times New Roman;sans-serif"/>
          <w:b w:val="false"/>
          <w:color w:val="000000"/>
          <w:sz w:val="22"/>
        </w:rPr>
        <w:t>SECTION 2.19</w:t>
      </w:r>
      <w:r>
        <w:rPr>
          <w:color w:val="000000"/>
        </w:rPr>
        <w:t>    </w:t>
      </w:r>
      <w:r>
        <w:rPr>
          <w:rFonts w:ascii="Times New Roman;sans-serif" w:hAnsi="Times New Roman;sans-serif"/>
          <w:b w:val="false"/>
          <w:color w:val="000000"/>
          <w:sz w:val="22"/>
          <w:u w:val="single"/>
        </w:rPr>
        <w:t>Mitigation Obligations; Replacement of Lenders</w:t>
      </w:r>
      <w:r>
        <w:rPr>
          <w:color w:val="000000"/>
        </w:rPr>
        <w:t>    </w:t>
      </w:r>
      <w:r>
        <w:rPr>
          <w:rFonts w:ascii="Times New Roman;sans-serif" w:hAnsi="Times New Roman;sans-serif"/>
          <w:b w:val="false"/>
          <w:color w:val="000000"/>
          <w:sz w:val="22"/>
        </w:rPr>
        <w:t>82</w:t>
      </w:r>
    </w:p>
    <w:p>
      <w:pPr>
        <w:pStyle w:val="TextBody"/>
        <w:spacing w:lineRule="auto" w:line="240" w:before="0" w:after="0"/>
        <w:ind w:left="0" w:right="0" w:hanging="2070"/>
        <w:rPr/>
      </w:pPr>
      <w:r>
        <w:rPr>
          <w:rFonts w:ascii="Times New Roman;sans-serif" w:hAnsi="Times New Roman;sans-serif"/>
          <w:b w:val="false"/>
          <w:color w:val="000000"/>
          <w:sz w:val="22"/>
        </w:rPr>
        <w:t>SECTION 2.20</w:t>
      </w:r>
      <w:r>
        <w:rPr>
          <w:color w:val="000000"/>
        </w:rPr>
        <w:t>    </w:t>
      </w:r>
      <w:r>
        <w:rPr>
          <w:rFonts w:ascii="Times New Roman;sans-serif" w:hAnsi="Times New Roman;sans-serif"/>
          <w:b w:val="false"/>
          <w:color w:val="000000"/>
          <w:sz w:val="22"/>
          <w:u w:val="single"/>
        </w:rPr>
        <w:t>Designation of Foreign Subsidiary Borrowers</w:t>
      </w:r>
      <w:r>
        <w:rPr>
          <w:color w:val="000000"/>
        </w:rPr>
        <w:t>    </w:t>
      </w:r>
      <w:r>
        <w:rPr>
          <w:rFonts w:ascii="Times New Roman;sans-serif" w:hAnsi="Times New Roman;sans-serif"/>
          <w:b w:val="false"/>
          <w:color w:val="000000"/>
          <w:sz w:val="22"/>
        </w:rPr>
        <w:t>83</w:t>
      </w:r>
    </w:p>
    <w:p>
      <w:pPr>
        <w:pStyle w:val="TextBody"/>
        <w:spacing w:lineRule="auto" w:line="240" w:before="0" w:after="0"/>
        <w:ind w:left="0" w:right="0" w:hanging="2070"/>
        <w:rPr/>
      </w:pPr>
      <w:r>
        <w:rPr>
          <w:rFonts w:ascii="Times New Roman;sans-serif" w:hAnsi="Times New Roman;sans-serif"/>
          <w:b w:val="false"/>
          <w:color w:val="000000"/>
          <w:sz w:val="22"/>
        </w:rPr>
        <w:t>SECTION 2.21</w:t>
      </w:r>
      <w:r>
        <w:rPr>
          <w:color w:val="000000"/>
        </w:rPr>
        <w:t>    </w:t>
      </w:r>
      <w:r>
        <w:rPr>
          <w:rFonts w:ascii="Times New Roman;sans-serif" w:hAnsi="Times New Roman;sans-serif"/>
          <w:b w:val="false"/>
          <w:color w:val="000000"/>
          <w:sz w:val="22"/>
          <w:u w:val="single"/>
        </w:rPr>
        <w:t>Incremental Facilities</w:t>
      </w:r>
      <w:r>
        <w:rPr>
          <w:color w:val="000000"/>
        </w:rPr>
        <w:t>    </w:t>
      </w:r>
      <w:r>
        <w:rPr>
          <w:rFonts w:ascii="Times New Roman;sans-serif" w:hAnsi="Times New Roman;sans-serif"/>
          <w:b w:val="false"/>
          <w:color w:val="000000"/>
          <w:sz w:val="22"/>
        </w:rPr>
        <w:t>84</w:t>
      </w:r>
    </w:p>
    <w:p>
      <w:pPr>
        <w:pStyle w:val="TextBody"/>
        <w:spacing w:lineRule="auto" w:line="240" w:before="0" w:after="0"/>
        <w:ind w:left="0" w:right="0" w:hanging="2070"/>
        <w:rPr/>
      </w:pPr>
      <w:r>
        <w:rPr>
          <w:rFonts w:ascii="Times New Roman;sans-serif" w:hAnsi="Times New Roman;sans-serif"/>
          <w:b w:val="false"/>
          <w:color w:val="000000"/>
          <w:sz w:val="22"/>
        </w:rPr>
        <w:t>SECTION 2.22</w:t>
      </w:r>
      <w:r>
        <w:rPr>
          <w:color w:val="000000"/>
        </w:rPr>
        <w:t>    </w:t>
      </w:r>
      <w:r>
        <w:rPr>
          <w:rFonts w:ascii="Times New Roman;sans-serif" w:hAnsi="Times New Roman;sans-serif"/>
          <w:b w:val="false"/>
          <w:color w:val="000000"/>
          <w:sz w:val="22"/>
          <w:u w:val="single"/>
        </w:rPr>
        <w:t>Defaulting Lenders</w:t>
      </w:r>
      <w:r>
        <w:rPr>
          <w:color w:val="000000"/>
        </w:rPr>
        <w:t>    </w:t>
      </w:r>
      <w:r>
        <w:rPr>
          <w:rFonts w:ascii="Times New Roman;sans-serif" w:hAnsi="Times New Roman;sans-serif"/>
          <w:b w:val="false"/>
          <w:color w:val="000000"/>
          <w:sz w:val="22"/>
        </w:rPr>
        <w:t>85</w:t>
      </w:r>
    </w:p>
    <w:p>
      <w:pPr>
        <w:pStyle w:val="TextBody"/>
        <w:spacing w:lineRule="auto" w:line="240" w:before="0" w:after="0"/>
        <w:ind w:left="0" w:right="0" w:hanging="2070"/>
        <w:rPr/>
      </w:pPr>
      <w:r>
        <w:rPr>
          <w:rFonts w:ascii="Times New Roman;sans-serif" w:hAnsi="Times New Roman;sans-serif"/>
          <w:b w:val="false"/>
          <w:color w:val="000000"/>
          <w:sz w:val="22"/>
        </w:rPr>
        <w:t>SECTION 2.23</w:t>
      </w:r>
      <w:r>
        <w:rPr>
          <w:color w:val="000000"/>
        </w:rPr>
        <w:t>    </w:t>
      </w:r>
      <w:r>
        <w:rPr>
          <w:rFonts w:ascii="Times New Roman;sans-serif" w:hAnsi="Times New Roman;sans-serif"/>
          <w:b w:val="false"/>
          <w:color w:val="000000"/>
          <w:sz w:val="22"/>
          <w:u w:val="single"/>
        </w:rPr>
        <w:t>Extensions</w:t>
      </w:r>
      <w:r>
        <w:rPr>
          <w:color w:val="000000"/>
        </w:rPr>
        <w:t>    </w:t>
      </w:r>
      <w:r>
        <w:rPr>
          <w:rFonts w:ascii="Times New Roman;sans-serif" w:hAnsi="Times New Roman;sans-serif"/>
          <w:b w:val="false"/>
          <w:color w:val="000000"/>
          <w:sz w:val="22"/>
        </w:rPr>
        <w:t>88</w:t>
      </w:r>
    </w:p>
    <w:p>
      <w:pPr>
        <w:pStyle w:val="TextBody"/>
        <w:spacing w:lineRule="auto" w:line="240" w:before="0" w:after="0"/>
        <w:ind w:left="0" w:right="0" w:hanging="2070"/>
        <w:rPr/>
      </w:pPr>
      <w:r>
        <w:rPr>
          <w:rFonts w:ascii="Times New Roman;sans-serif" w:hAnsi="Times New Roman;sans-serif"/>
          <w:b w:val="false"/>
          <w:color w:val="000000"/>
          <w:sz w:val="22"/>
        </w:rPr>
        <w:t>SECTION 2.24</w:t>
      </w:r>
      <w:r>
        <w:rPr>
          <w:color w:val="000000"/>
        </w:rPr>
        <w:t>    </w:t>
      </w:r>
      <w:r>
        <w:rPr>
          <w:rFonts w:ascii="Times New Roman;sans-serif" w:hAnsi="Times New Roman;sans-serif"/>
          <w:b w:val="false"/>
          <w:color w:val="000000"/>
          <w:sz w:val="22"/>
          <w:u w:val="single"/>
        </w:rPr>
        <w:t>Foreign Currency Participations; Conversion of Foreign Currency Loans</w:t>
      </w:r>
      <w:r>
        <w:rPr>
          <w:color w:val="000000"/>
        </w:rPr>
        <w:t>    </w:t>
      </w:r>
      <w:r>
        <w:rPr>
          <w:rFonts w:ascii="Times New Roman;sans-serif" w:hAnsi="Times New Roman;sans-serif"/>
          <w:b w:val="false"/>
          <w:color w:val="000000"/>
          <w:sz w:val="22"/>
        </w:rPr>
        <w:t>89</w:t>
      </w:r>
    </w:p>
    <w:p>
      <w:pPr>
        <w:pStyle w:val="TextBody"/>
        <w:spacing w:lineRule="auto" w:line="240" w:before="0" w:after="0"/>
        <w:ind w:left="0" w:right="0" w:hanging="2070"/>
        <w:rPr/>
      </w:pPr>
      <w:r>
        <w:rPr>
          <w:rFonts w:ascii="Times New Roman;sans-serif" w:hAnsi="Times New Roman;sans-serif"/>
          <w:b w:val="false"/>
          <w:color w:val="000000"/>
          <w:sz w:val="22"/>
        </w:rPr>
        <w:t>SECTION 2.25</w:t>
      </w:r>
      <w:r>
        <w:rPr>
          <w:color w:val="000000"/>
        </w:rPr>
        <w:t>    </w:t>
      </w:r>
      <w:r>
        <w:rPr>
          <w:rFonts w:ascii="Times New Roman;sans-serif" w:hAnsi="Times New Roman;sans-serif"/>
          <w:b w:val="false"/>
          <w:color w:val="000000"/>
          <w:sz w:val="22"/>
          <w:u w:val="single"/>
        </w:rPr>
        <w:t>Currency Fluctuations</w:t>
      </w:r>
      <w:r>
        <w:rPr>
          <w:color w:val="000000"/>
        </w:rPr>
        <w:t>    </w:t>
      </w:r>
      <w:r>
        <w:rPr>
          <w:rFonts w:ascii="Times New Roman;sans-serif" w:hAnsi="Times New Roman;sans-serif"/>
          <w:b w:val="false"/>
          <w:color w:val="000000"/>
          <w:sz w:val="22"/>
        </w:rPr>
        <w:t>91</w:t>
      </w:r>
    </w:p>
    <w:p>
      <w:pPr>
        <w:pStyle w:val="TextBody"/>
        <w:spacing w:lineRule="auto" w:line="240" w:before="0" w:after="0"/>
        <w:ind w:left="0" w:right="0" w:hanging="2070"/>
        <w:rPr/>
      </w:pPr>
      <w:r>
        <w:rPr>
          <w:rFonts w:ascii="Times New Roman;sans-serif" w:hAnsi="Times New Roman;sans-serif"/>
          <w:b w:val="false"/>
          <w:color w:val="000000"/>
          <w:sz w:val="22"/>
        </w:rPr>
        <w:t>SECTION 2.26</w:t>
      </w:r>
      <w:r>
        <w:rPr>
          <w:color w:val="000000"/>
        </w:rPr>
        <w:t>    </w:t>
      </w:r>
      <w:r>
        <w:rPr>
          <w:rFonts w:ascii="Times New Roman;sans-serif" w:hAnsi="Times New Roman;sans-serif"/>
          <w:b w:val="false"/>
          <w:color w:val="000000"/>
          <w:sz w:val="22"/>
          <w:u w:val="single"/>
        </w:rPr>
        <w:t>Illegality</w:t>
      </w:r>
      <w:r>
        <w:rPr>
          <w:color w:val="000000"/>
        </w:rPr>
        <w:t>    </w:t>
      </w:r>
      <w:r>
        <w:rPr>
          <w:rFonts w:ascii="Times New Roman;sans-serif" w:hAnsi="Times New Roman;sans-serif"/>
          <w:b w:val="false"/>
          <w:color w:val="000000"/>
          <w:sz w:val="22"/>
        </w:rPr>
        <w:t>92</w:t>
      </w:r>
    </w:p>
    <w:p>
      <w:pPr>
        <w:pStyle w:val="TextBody"/>
        <w:spacing w:lineRule="auto" w:line="240"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III</w:t>
        <w:br/>
        <w:br/>
        <w:t>REPRESENTATIONS AND WARRANTIES</w:t>
      </w:r>
    </w:p>
    <w:p>
      <w:pPr>
        <w:pStyle w:val="TextBody"/>
        <w:spacing w:lineRule="auto" w:line="240" w:before="0" w:after="0"/>
        <w:ind w:left="0" w:right="0" w:hanging="2070"/>
        <w:rPr/>
      </w:pPr>
      <w:r>
        <w:rPr>
          <w:rFonts w:ascii="Times New Roman;sans-serif" w:hAnsi="Times New Roman;sans-serif"/>
          <w:b w:val="false"/>
          <w:color w:val="000000"/>
          <w:sz w:val="22"/>
        </w:rPr>
        <w:t>SECTION 3.01</w:t>
      </w:r>
      <w:r>
        <w:rPr>
          <w:color w:val="000000"/>
        </w:rPr>
        <w:t>    </w:t>
      </w:r>
      <w:r>
        <w:rPr>
          <w:rFonts w:ascii="Times New Roman;sans-serif" w:hAnsi="Times New Roman;sans-serif"/>
          <w:b w:val="false"/>
          <w:color w:val="000000"/>
          <w:sz w:val="22"/>
          <w:u w:val="single"/>
        </w:rPr>
        <w:t>Organization; Powers</w:t>
      </w:r>
      <w:r>
        <w:rPr>
          <w:color w:val="000000"/>
        </w:rPr>
        <w:t>    </w:t>
      </w:r>
      <w:r>
        <w:rPr>
          <w:rFonts w:ascii="Times New Roman;sans-serif" w:hAnsi="Times New Roman;sans-serif"/>
          <w:b w:val="false"/>
          <w:color w:val="000000"/>
          <w:sz w:val="22"/>
        </w:rPr>
        <w:t>92</w:t>
      </w:r>
    </w:p>
    <w:p>
      <w:pPr>
        <w:pStyle w:val="TextBody"/>
        <w:spacing w:lineRule="auto" w:line="240" w:before="0" w:after="0"/>
        <w:ind w:left="0" w:right="0" w:hanging="2070"/>
        <w:rPr/>
      </w:pPr>
      <w:r>
        <w:rPr>
          <w:rFonts w:ascii="Times New Roman;sans-serif" w:hAnsi="Times New Roman;sans-serif"/>
          <w:b w:val="false"/>
          <w:color w:val="000000"/>
          <w:sz w:val="22"/>
        </w:rPr>
        <w:t>SECTION 3.02</w:t>
      </w:r>
      <w:r>
        <w:rPr>
          <w:color w:val="000000"/>
        </w:rPr>
        <w:t>    </w:t>
      </w:r>
      <w:r>
        <w:rPr>
          <w:rFonts w:ascii="Times New Roman;sans-serif" w:hAnsi="Times New Roman;sans-serif"/>
          <w:b w:val="false"/>
          <w:color w:val="000000"/>
          <w:sz w:val="22"/>
          <w:u w:val="single"/>
        </w:rPr>
        <w:t>Authorization; Enforceability</w:t>
      </w:r>
      <w:r>
        <w:rPr>
          <w:color w:val="000000"/>
        </w:rPr>
        <w:t>    </w:t>
      </w:r>
      <w:r>
        <w:rPr>
          <w:rFonts w:ascii="Times New Roman;sans-serif" w:hAnsi="Times New Roman;sans-serif"/>
          <w:b w:val="false"/>
          <w:color w:val="000000"/>
          <w:sz w:val="22"/>
        </w:rPr>
        <w:t>93</w:t>
      </w:r>
    </w:p>
    <w:p>
      <w:pPr>
        <w:pStyle w:val="TextBody"/>
        <w:spacing w:lineRule="auto" w:line="240" w:before="0" w:after="0"/>
        <w:ind w:left="0" w:right="0" w:hanging="2070"/>
        <w:rPr/>
      </w:pPr>
      <w:r>
        <w:rPr>
          <w:rFonts w:ascii="Times New Roman;sans-serif" w:hAnsi="Times New Roman;sans-serif"/>
          <w:b w:val="false"/>
          <w:color w:val="000000"/>
          <w:sz w:val="22"/>
        </w:rPr>
        <w:t>SECTION 3.03</w:t>
      </w:r>
      <w:r>
        <w:rPr>
          <w:color w:val="000000"/>
        </w:rPr>
        <w:t>    </w:t>
      </w:r>
      <w:r>
        <w:rPr>
          <w:rFonts w:ascii="Times New Roman;sans-serif" w:hAnsi="Times New Roman;sans-serif"/>
          <w:b w:val="false"/>
          <w:color w:val="000000"/>
          <w:sz w:val="22"/>
          <w:u w:val="single"/>
        </w:rPr>
        <w:t>Governmental Approvals; No Conflicts</w:t>
      </w:r>
      <w:r>
        <w:rPr>
          <w:color w:val="000000"/>
        </w:rPr>
        <w:t>    </w:t>
      </w:r>
      <w:r>
        <w:rPr>
          <w:rFonts w:ascii="Times New Roman;sans-serif" w:hAnsi="Times New Roman;sans-serif"/>
          <w:b w:val="false"/>
          <w:color w:val="000000"/>
          <w:sz w:val="22"/>
        </w:rPr>
        <w:t>93</w:t>
      </w:r>
    </w:p>
    <w:p>
      <w:pPr>
        <w:pStyle w:val="TextBody"/>
        <w:spacing w:lineRule="auto" w:line="240"/>
        <w:ind w:left="0" w:right="0" w:hanging="2070"/>
        <w:rPr/>
      </w:pPr>
      <w:r>
        <w:rPr>
          <w:rFonts w:ascii="Times New Roman;sans-serif" w:hAnsi="Times New Roman;sans-serif"/>
          <w:b w:val="false"/>
          <w:color w:val="000000"/>
          <w:sz w:val="22"/>
        </w:rPr>
        <w:t>SECTION 3.04</w:t>
      </w:r>
      <w:r>
        <w:rPr>
          <w:color w:val="000000"/>
        </w:rPr>
        <w:t>    </w:t>
      </w:r>
      <w:r>
        <w:rPr>
          <w:rFonts w:ascii="Times New Roman;sans-serif" w:hAnsi="Times New Roman;sans-serif"/>
          <w:b w:val="false"/>
          <w:color w:val="000000"/>
          <w:sz w:val="22"/>
          <w:u w:val="single"/>
        </w:rPr>
        <w:t>Financial Condition; No Material Adverse Change</w:t>
      </w:r>
      <w:r>
        <w:rPr>
          <w:color w:val="000000"/>
        </w:rPr>
        <w:t>    </w:t>
      </w:r>
      <w:r>
        <w:rPr>
          <w:rFonts w:ascii="Times New Roman;sans-serif" w:hAnsi="Times New Roman;sans-serif"/>
          <w:b w:val="false"/>
          <w:color w:val="000000"/>
          <w:sz w:val="22"/>
        </w:rPr>
        <w:t>93</w:t>
      </w:r>
      <w:r>
        <w:br w:type="page"/>
      </w:r>
    </w:p>
    <w:p>
      <w:pPr>
        <w:pStyle w:val="TextBody"/>
        <w:spacing w:lineRule="auto" w:line="240" w:before="0" w:after="240"/>
        <w:jc w:val="righ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w:t>
      </w:r>
      <w:r>
        <w:rPr>
          <w:rFonts w:ascii="Times New Roman;sans-serif" w:hAnsi="Times New Roman;sans-serif"/>
          <w:b w:val="false"/>
          <w:color w:val="000000"/>
          <w:sz w:val="22"/>
          <w:u w:val="single"/>
        </w:rPr>
        <w:t>age</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35915"/>
                <wp:effectExtent l="0" t="0" r="0" b="0"/>
                <wp:wrapNone/>
                <wp:docPr id="99" name="Frame98"/>
                <a:graphic xmlns:a="http://schemas.openxmlformats.org/drawingml/2006/main">
                  <a:graphicData uri="http://schemas.microsoft.com/office/word/2010/wordprocessingShape">
                    <wps:wsp>
                      <wps:cNvSpPr txBox="1"/>
                      <wps:spPr>
                        <a:xfrm>
                          <a:off x="0" y="0"/>
                          <a:ext cx="6480175" cy="33591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w:t>
                            </w:r>
                          </w:p>
                          <w:p>
                            <w:pPr>
                              <w:pStyle w:val="TextBody"/>
                              <w:spacing w:lineRule="auto" w:line="252" w:before="0" w:after="0"/>
                              <w:rPr/>
                            </w:pPr>
                            <w:r>
                              <w:rPr>
                                <w:rFonts w:ascii="Times New Roman;sans-serif" w:hAnsi="Times New Roman;sans-serif"/>
                                <w:b w:val="false"/>
                                <w:color w:val="000000"/>
                                <w:sz w:val="16"/>
                              </w:rPr>
                              <w:t>NAI-1516871456v2</w:t>
                            </w: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60.6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w:t>
                      </w:r>
                    </w:p>
                    <w:p>
                      <w:pPr>
                        <w:pStyle w:val="TextBody"/>
                        <w:spacing w:lineRule="auto" w:line="252" w:before="0" w:after="0"/>
                        <w:rPr/>
                      </w:pPr>
                      <w:r>
                        <w:rPr>
                          <w:rFonts w:ascii="Times New Roman;sans-serif" w:hAnsi="Times New Roman;sans-serif"/>
                          <w:b w:val="false"/>
                          <w:color w:val="000000"/>
                          <w:sz w:val="16"/>
                        </w:rPr>
                        <w:t>NAI-1516871456v2</w:t>
                      </w:r>
                      <w:r>
                        <w:rPr>
                          <w:color w:val="000000"/>
                        </w:rPr>
                        <w:t xml:space="preserve"> </w:t>
                      </w:r>
                    </w:p>
                  </w:txbxContent>
                </v:textbox>
              </v:rect>
            </w:pict>
          </mc:Fallback>
        </mc:AlternateContent>
      </w:r>
    </w:p>
    <w:p>
      <w:pPr>
        <w:pStyle w:val="TextBody"/>
        <w:spacing w:lineRule="auto" w:line="240" w:before="0" w:after="0"/>
        <w:ind w:left="0" w:right="0" w:hanging="2070"/>
        <w:rPr/>
      </w:pPr>
      <w:r>
        <w:rPr>
          <w:rFonts w:ascii="Times New Roman;sans-serif" w:hAnsi="Times New Roman;sans-serif"/>
          <w:b w:val="false"/>
          <w:color w:val="000000"/>
          <w:sz w:val="22"/>
        </w:rPr>
        <w:t>SECTION 3.05</w:t>
      </w:r>
      <w:r>
        <w:rPr>
          <w:color w:val="000000"/>
        </w:rPr>
        <w:t>    </w:t>
      </w:r>
      <w:r>
        <w:rPr>
          <w:rFonts w:ascii="Times New Roman;sans-serif" w:hAnsi="Times New Roman;sans-serif"/>
          <w:b w:val="false"/>
          <w:color w:val="000000"/>
          <w:sz w:val="22"/>
          <w:u w:val="single"/>
        </w:rPr>
        <w:t>Properties</w:t>
      </w:r>
      <w:r>
        <w:rPr>
          <w:color w:val="000000"/>
        </w:rPr>
        <w:t>    </w:t>
      </w:r>
      <w:r>
        <w:rPr>
          <w:rFonts w:ascii="Times New Roman;sans-serif" w:hAnsi="Times New Roman;sans-serif"/>
          <w:b w:val="false"/>
          <w:color w:val="000000"/>
          <w:sz w:val="22"/>
        </w:rPr>
        <w:t>94</w:t>
      </w:r>
    </w:p>
    <w:p>
      <w:pPr>
        <w:pStyle w:val="TextBody"/>
        <w:spacing w:lineRule="auto" w:line="240" w:before="0" w:after="0"/>
        <w:ind w:left="0" w:right="0" w:hanging="2070"/>
        <w:rPr/>
      </w:pPr>
      <w:r>
        <w:rPr>
          <w:rFonts w:ascii="Times New Roman;sans-serif" w:hAnsi="Times New Roman;sans-serif"/>
          <w:b w:val="false"/>
          <w:color w:val="000000"/>
          <w:sz w:val="22"/>
        </w:rPr>
        <w:t>SECTION 3.06</w:t>
      </w:r>
      <w:r>
        <w:rPr>
          <w:color w:val="000000"/>
        </w:rPr>
        <w:t>    </w:t>
      </w:r>
      <w:r>
        <w:rPr>
          <w:rFonts w:ascii="Times New Roman;sans-serif" w:hAnsi="Times New Roman;sans-serif"/>
          <w:b w:val="false"/>
          <w:color w:val="000000"/>
          <w:sz w:val="22"/>
          <w:u w:val="single"/>
        </w:rPr>
        <w:t>Litigation and Environmental Matters</w:t>
      </w:r>
      <w:r>
        <w:rPr>
          <w:color w:val="000000"/>
        </w:rPr>
        <w:t>    </w:t>
      </w:r>
      <w:r>
        <w:rPr>
          <w:rFonts w:ascii="Times New Roman;sans-serif" w:hAnsi="Times New Roman;sans-serif"/>
          <w:b w:val="false"/>
          <w:color w:val="000000"/>
          <w:sz w:val="22"/>
        </w:rPr>
        <w:t>94</w:t>
      </w:r>
    </w:p>
    <w:p>
      <w:pPr>
        <w:pStyle w:val="TextBody"/>
        <w:spacing w:lineRule="auto" w:line="240" w:before="0" w:after="0"/>
        <w:ind w:left="0" w:right="0" w:hanging="2070"/>
        <w:rPr/>
      </w:pPr>
      <w:r>
        <w:rPr>
          <w:rFonts w:ascii="Times New Roman;sans-serif" w:hAnsi="Times New Roman;sans-serif"/>
          <w:b w:val="false"/>
          <w:color w:val="000000"/>
          <w:sz w:val="22"/>
        </w:rPr>
        <w:t>SECTION 3.07</w:t>
      </w:r>
      <w:r>
        <w:rPr>
          <w:color w:val="000000"/>
        </w:rPr>
        <w:t>    </w:t>
      </w:r>
      <w:r>
        <w:rPr>
          <w:rFonts w:ascii="Times New Roman;sans-serif" w:hAnsi="Times New Roman;sans-serif"/>
          <w:b w:val="false"/>
          <w:color w:val="000000"/>
          <w:sz w:val="22"/>
          <w:u w:val="single"/>
        </w:rPr>
        <w:t>Compliance with Laws and Agreements</w:t>
      </w:r>
      <w:r>
        <w:rPr>
          <w:color w:val="000000"/>
        </w:rPr>
        <w:t>    </w:t>
      </w:r>
      <w:r>
        <w:rPr>
          <w:rFonts w:ascii="Times New Roman;sans-serif" w:hAnsi="Times New Roman;sans-serif"/>
          <w:b w:val="false"/>
          <w:color w:val="000000"/>
          <w:sz w:val="22"/>
        </w:rPr>
        <w:t>94</w:t>
      </w:r>
    </w:p>
    <w:p>
      <w:pPr>
        <w:pStyle w:val="TextBody"/>
        <w:spacing w:lineRule="auto" w:line="240" w:before="0" w:after="0"/>
        <w:ind w:left="0" w:right="0" w:hanging="2070"/>
        <w:rPr/>
      </w:pPr>
      <w:r>
        <w:rPr>
          <w:rFonts w:ascii="Times New Roman;sans-serif" w:hAnsi="Times New Roman;sans-serif"/>
          <w:b w:val="false"/>
          <w:color w:val="000000"/>
          <w:sz w:val="22"/>
        </w:rPr>
        <w:t>SECTION 3.08</w:t>
      </w:r>
      <w:r>
        <w:rPr>
          <w:color w:val="000000"/>
        </w:rPr>
        <w:t>    </w:t>
      </w:r>
      <w:r>
        <w:rPr>
          <w:rFonts w:ascii="Times New Roman;sans-serif" w:hAnsi="Times New Roman;sans-serif"/>
          <w:b w:val="false"/>
          <w:color w:val="000000"/>
          <w:sz w:val="22"/>
          <w:u w:val="single"/>
        </w:rPr>
        <w:t>Investment Company Status</w:t>
      </w:r>
      <w:r>
        <w:rPr>
          <w:color w:val="000000"/>
        </w:rPr>
        <w:t>    </w:t>
      </w:r>
      <w:r>
        <w:rPr>
          <w:rFonts w:ascii="Times New Roman;sans-serif" w:hAnsi="Times New Roman;sans-serif"/>
          <w:b w:val="false"/>
          <w:color w:val="000000"/>
          <w:sz w:val="22"/>
        </w:rPr>
        <w:t>95</w:t>
      </w:r>
    </w:p>
    <w:p>
      <w:pPr>
        <w:pStyle w:val="TextBody"/>
        <w:spacing w:lineRule="auto" w:line="240" w:before="0" w:after="0"/>
        <w:ind w:left="0" w:right="0" w:hanging="2070"/>
        <w:rPr/>
      </w:pPr>
      <w:r>
        <w:rPr>
          <w:rFonts w:ascii="Times New Roman;sans-serif" w:hAnsi="Times New Roman;sans-serif"/>
          <w:b w:val="false"/>
          <w:color w:val="000000"/>
          <w:sz w:val="22"/>
        </w:rPr>
        <w:t>SECTION 3.09</w:t>
      </w:r>
      <w:r>
        <w:rPr>
          <w:color w:val="000000"/>
        </w:rPr>
        <w:t>    </w:t>
      </w:r>
      <w:r>
        <w:rPr>
          <w:rFonts w:ascii="Times New Roman;sans-serif" w:hAnsi="Times New Roman;sans-serif"/>
          <w:b w:val="false"/>
          <w:color w:val="000000"/>
          <w:sz w:val="22"/>
          <w:u w:val="single"/>
        </w:rPr>
        <w:t>Taxes</w:t>
      </w:r>
      <w:r>
        <w:rPr>
          <w:color w:val="000000"/>
        </w:rPr>
        <w:t>    </w:t>
      </w:r>
      <w:r>
        <w:rPr>
          <w:rFonts w:ascii="Times New Roman;sans-serif" w:hAnsi="Times New Roman;sans-serif"/>
          <w:b w:val="false"/>
          <w:color w:val="000000"/>
          <w:sz w:val="22"/>
        </w:rPr>
        <w:t>95</w:t>
      </w:r>
    </w:p>
    <w:p>
      <w:pPr>
        <w:pStyle w:val="TextBody"/>
        <w:spacing w:lineRule="auto" w:line="240" w:before="0" w:after="0"/>
        <w:ind w:left="0" w:right="0" w:hanging="2070"/>
        <w:rPr/>
      </w:pPr>
      <w:r>
        <w:rPr>
          <w:rFonts w:ascii="Times New Roman;sans-serif" w:hAnsi="Times New Roman;sans-serif"/>
          <w:b w:val="false"/>
          <w:color w:val="000000"/>
          <w:sz w:val="22"/>
        </w:rPr>
        <w:t>SECTION 3.10</w:t>
      </w:r>
      <w:r>
        <w:rPr>
          <w:color w:val="000000"/>
        </w:rPr>
        <w:t>    </w:t>
      </w:r>
      <w:r>
        <w:rPr>
          <w:rFonts w:ascii="Times New Roman;sans-serif" w:hAnsi="Times New Roman;sans-serif"/>
          <w:b w:val="false"/>
          <w:color w:val="000000"/>
          <w:sz w:val="22"/>
          <w:u w:val="single"/>
        </w:rPr>
        <w:t>ERISA</w:t>
      </w:r>
      <w:r>
        <w:rPr>
          <w:color w:val="000000"/>
        </w:rPr>
        <w:t>    </w:t>
      </w:r>
      <w:r>
        <w:rPr>
          <w:rFonts w:ascii="Times New Roman;sans-serif" w:hAnsi="Times New Roman;sans-serif"/>
          <w:b w:val="false"/>
          <w:color w:val="000000"/>
          <w:sz w:val="22"/>
        </w:rPr>
        <w:t>95</w:t>
      </w:r>
    </w:p>
    <w:p>
      <w:pPr>
        <w:pStyle w:val="TextBody"/>
        <w:spacing w:lineRule="auto" w:line="240" w:before="0" w:after="0"/>
        <w:ind w:left="0" w:right="0" w:hanging="2070"/>
        <w:rPr/>
      </w:pPr>
      <w:r>
        <w:rPr>
          <w:rFonts w:ascii="Times New Roman;sans-serif" w:hAnsi="Times New Roman;sans-serif"/>
          <w:b w:val="false"/>
          <w:color w:val="000000"/>
          <w:sz w:val="22"/>
        </w:rPr>
        <w:t>SECTION 3.11</w:t>
      </w:r>
      <w:r>
        <w:rPr>
          <w:color w:val="000000"/>
        </w:rPr>
        <w:t>    </w:t>
      </w:r>
      <w:r>
        <w:rPr>
          <w:rFonts w:ascii="Times New Roman;sans-serif" w:hAnsi="Times New Roman;sans-serif"/>
          <w:b w:val="false"/>
          <w:color w:val="000000"/>
          <w:sz w:val="22"/>
          <w:u w:val="single"/>
        </w:rPr>
        <w:t>Disclosure</w:t>
      </w:r>
      <w:r>
        <w:rPr>
          <w:color w:val="000000"/>
        </w:rPr>
        <w:t>    </w:t>
      </w:r>
      <w:r>
        <w:rPr>
          <w:rFonts w:ascii="Times New Roman;sans-serif" w:hAnsi="Times New Roman;sans-serif"/>
          <w:b w:val="false"/>
          <w:color w:val="000000"/>
          <w:sz w:val="22"/>
        </w:rPr>
        <w:t>95</w:t>
      </w:r>
    </w:p>
    <w:p>
      <w:pPr>
        <w:pStyle w:val="TextBody"/>
        <w:spacing w:lineRule="auto" w:line="240" w:before="0" w:after="0"/>
        <w:ind w:left="0" w:right="0" w:hanging="2070"/>
        <w:rPr/>
      </w:pPr>
      <w:r>
        <w:rPr>
          <w:rFonts w:ascii="Times New Roman;sans-serif" w:hAnsi="Times New Roman;sans-serif"/>
          <w:b w:val="false"/>
          <w:color w:val="000000"/>
          <w:sz w:val="22"/>
        </w:rPr>
        <w:t>SECTION 3.12</w:t>
      </w:r>
      <w:r>
        <w:rPr>
          <w:color w:val="000000"/>
        </w:rPr>
        <w:t>    </w:t>
      </w:r>
      <w:r>
        <w:rPr>
          <w:rFonts w:ascii="Times New Roman;sans-serif" w:hAnsi="Times New Roman;sans-serif"/>
          <w:b w:val="false"/>
          <w:color w:val="000000"/>
          <w:sz w:val="22"/>
          <w:u w:val="single"/>
        </w:rPr>
        <w:t>Subsidiaries</w:t>
      </w:r>
      <w:r>
        <w:rPr>
          <w:color w:val="000000"/>
        </w:rPr>
        <w:t>    </w:t>
      </w:r>
      <w:r>
        <w:rPr>
          <w:rFonts w:ascii="Times New Roman;sans-serif" w:hAnsi="Times New Roman;sans-serif"/>
          <w:b w:val="false"/>
          <w:color w:val="000000"/>
          <w:sz w:val="22"/>
        </w:rPr>
        <w:t>95</w:t>
      </w:r>
    </w:p>
    <w:p>
      <w:pPr>
        <w:pStyle w:val="TextBody"/>
        <w:spacing w:lineRule="auto" w:line="240" w:before="0" w:after="0"/>
        <w:ind w:left="0" w:right="0" w:hanging="2070"/>
        <w:rPr/>
      </w:pPr>
      <w:r>
        <w:rPr>
          <w:rFonts w:ascii="Times New Roman;sans-serif" w:hAnsi="Times New Roman;sans-serif"/>
          <w:b w:val="false"/>
          <w:color w:val="000000"/>
          <w:sz w:val="22"/>
        </w:rPr>
        <w:t>SECTION 3.13</w:t>
      </w:r>
      <w:r>
        <w:rPr>
          <w:color w:val="000000"/>
        </w:rPr>
        <w:t>    </w:t>
      </w:r>
      <w:r>
        <w:rPr>
          <w:rFonts w:ascii="Times New Roman;sans-serif" w:hAnsi="Times New Roman;sans-serif"/>
          <w:b w:val="false"/>
          <w:color w:val="000000"/>
          <w:sz w:val="22"/>
          <w:u w:val="single"/>
        </w:rPr>
        <w:t>Insurance</w:t>
      </w:r>
      <w:r>
        <w:rPr>
          <w:color w:val="000000"/>
        </w:rPr>
        <w:t>    </w:t>
      </w:r>
      <w:r>
        <w:rPr>
          <w:rFonts w:ascii="Times New Roman;sans-serif" w:hAnsi="Times New Roman;sans-serif"/>
          <w:b w:val="false"/>
          <w:color w:val="000000"/>
          <w:sz w:val="22"/>
        </w:rPr>
        <w:t>95</w:t>
      </w:r>
    </w:p>
    <w:p>
      <w:pPr>
        <w:pStyle w:val="TextBody"/>
        <w:spacing w:lineRule="auto" w:line="240" w:before="0" w:after="0"/>
        <w:ind w:left="0" w:right="0" w:hanging="2070"/>
        <w:rPr/>
      </w:pPr>
      <w:r>
        <w:rPr>
          <w:rFonts w:ascii="Times New Roman;sans-serif" w:hAnsi="Times New Roman;sans-serif"/>
          <w:b w:val="false"/>
          <w:color w:val="000000"/>
          <w:sz w:val="22"/>
        </w:rPr>
        <w:t>SECTION 3.14</w:t>
      </w:r>
      <w:r>
        <w:rPr>
          <w:color w:val="000000"/>
        </w:rPr>
        <w:t>    </w:t>
      </w:r>
      <w:r>
        <w:rPr>
          <w:rFonts w:ascii="Times New Roman;sans-serif" w:hAnsi="Times New Roman;sans-serif"/>
          <w:b w:val="false"/>
          <w:color w:val="000000"/>
          <w:sz w:val="22"/>
          <w:u w:val="single"/>
        </w:rPr>
        <w:t>Labor Matters</w:t>
      </w:r>
      <w:r>
        <w:rPr>
          <w:color w:val="000000"/>
        </w:rPr>
        <w:t>    </w:t>
      </w:r>
      <w:r>
        <w:rPr>
          <w:rFonts w:ascii="Times New Roman;sans-serif" w:hAnsi="Times New Roman;sans-serif"/>
          <w:b w:val="false"/>
          <w:color w:val="000000"/>
          <w:sz w:val="22"/>
        </w:rPr>
        <w:t>96</w:t>
      </w:r>
    </w:p>
    <w:p>
      <w:pPr>
        <w:pStyle w:val="TextBody"/>
        <w:spacing w:lineRule="auto" w:line="240" w:before="0" w:after="0"/>
        <w:ind w:left="0" w:right="0" w:hanging="2070"/>
        <w:rPr/>
      </w:pPr>
      <w:r>
        <w:rPr>
          <w:rFonts w:ascii="Times New Roman;sans-serif" w:hAnsi="Times New Roman;sans-serif"/>
          <w:b w:val="false"/>
          <w:color w:val="000000"/>
          <w:sz w:val="22"/>
        </w:rPr>
        <w:t>SECTION 3.15</w:t>
      </w:r>
      <w:r>
        <w:rPr>
          <w:color w:val="000000"/>
        </w:rPr>
        <w:t>    </w:t>
      </w:r>
      <w:r>
        <w:rPr>
          <w:rFonts w:ascii="Times New Roman;sans-serif" w:hAnsi="Times New Roman;sans-serif"/>
          <w:b w:val="false"/>
          <w:color w:val="000000"/>
          <w:sz w:val="22"/>
          <w:u w:val="single"/>
        </w:rPr>
        <w:t>Solvency</w:t>
      </w:r>
      <w:r>
        <w:rPr>
          <w:color w:val="000000"/>
        </w:rPr>
        <w:t>    </w:t>
      </w:r>
      <w:r>
        <w:rPr>
          <w:rFonts w:ascii="Times New Roman;sans-serif" w:hAnsi="Times New Roman;sans-serif"/>
          <w:b w:val="false"/>
          <w:color w:val="000000"/>
          <w:sz w:val="22"/>
        </w:rPr>
        <w:t>96</w:t>
      </w:r>
    </w:p>
    <w:p>
      <w:pPr>
        <w:pStyle w:val="TextBody"/>
        <w:spacing w:lineRule="auto" w:line="240" w:before="0" w:after="0"/>
        <w:ind w:left="0" w:right="0" w:hanging="2070"/>
        <w:rPr/>
      </w:pPr>
      <w:r>
        <w:rPr>
          <w:rFonts w:ascii="Times New Roman;sans-serif" w:hAnsi="Times New Roman;sans-serif"/>
          <w:b w:val="false"/>
          <w:color w:val="000000"/>
          <w:sz w:val="22"/>
        </w:rPr>
        <w:t>SECTION 3.16</w:t>
      </w:r>
      <w:r>
        <w:rPr>
          <w:color w:val="000000"/>
        </w:rPr>
        <w:t>    </w:t>
      </w:r>
      <w:r>
        <w:rPr>
          <w:rFonts w:ascii="Times New Roman;sans-serif" w:hAnsi="Times New Roman;sans-serif"/>
          <w:b w:val="false"/>
          <w:color w:val="000000"/>
          <w:sz w:val="22"/>
          <w:u w:val="single"/>
        </w:rPr>
        <w:t>Senior Indebtedness</w:t>
      </w:r>
      <w:r>
        <w:rPr>
          <w:color w:val="000000"/>
        </w:rPr>
        <w:t>    </w:t>
      </w:r>
      <w:r>
        <w:rPr>
          <w:rFonts w:ascii="Times New Roman;sans-serif" w:hAnsi="Times New Roman;sans-serif"/>
          <w:b w:val="false"/>
          <w:color w:val="000000"/>
          <w:sz w:val="22"/>
        </w:rPr>
        <w:t>96</w:t>
      </w:r>
    </w:p>
    <w:p>
      <w:pPr>
        <w:pStyle w:val="TextBody"/>
        <w:spacing w:lineRule="auto" w:line="240" w:before="0" w:after="0"/>
        <w:ind w:left="0" w:right="0" w:hanging="2070"/>
        <w:rPr/>
      </w:pPr>
      <w:r>
        <w:rPr>
          <w:rFonts w:ascii="Times New Roman;sans-serif" w:hAnsi="Times New Roman;sans-serif"/>
          <w:b w:val="false"/>
          <w:color w:val="000000"/>
          <w:sz w:val="22"/>
        </w:rPr>
        <w:t>SECTION 3.17</w:t>
      </w:r>
      <w:r>
        <w:rPr>
          <w:color w:val="000000"/>
        </w:rPr>
        <w:t>    </w:t>
      </w:r>
      <w:r>
        <w:rPr>
          <w:rFonts w:ascii="Times New Roman;sans-serif" w:hAnsi="Times New Roman;sans-serif"/>
          <w:b w:val="false"/>
          <w:color w:val="000000"/>
          <w:sz w:val="22"/>
          <w:u w:val="single"/>
        </w:rPr>
        <w:t>Security Documents</w:t>
      </w:r>
      <w:r>
        <w:rPr>
          <w:color w:val="000000"/>
        </w:rPr>
        <w:t>    </w:t>
      </w:r>
      <w:r>
        <w:rPr>
          <w:rFonts w:ascii="Times New Roman;sans-serif" w:hAnsi="Times New Roman;sans-serif"/>
          <w:b w:val="false"/>
          <w:color w:val="000000"/>
          <w:sz w:val="22"/>
        </w:rPr>
        <w:t>96</w:t>
      </w:r>
    </w:p>
    <w:p>
      <w:pPr>
        <w:pStyle w:val="TextBody"/>
        <w:spacing w:lineRule="auto" w:line="240" w:before="0" w:after="0"/>
        <w:ind w:left="0" w:right="0" w:hanging="2070"/>
        <w:rPr/>
      </w:pPr>
      <w:r>
        <w:rPr>
          <w:rFonts w:ascii="Times New Roman;sans-serif" w:hAnsi="Times New Roman;sans-serif"/>
          <w:b w:val="false"/>
          <w:color w:val="000000"/>
          <w:sz w:val="22"/>
        </w:rPr>
        <w:t>SECTION 3.18</w:t>
      </w:r>
      <w:r>
        <w:rPr>
          <w:color w:val="000000"/>
        </w:rPr>
        <w:t>    </w:t>
      </w:r>
      <w:r>
        <w:rPr>
          <w:rFonts w:ascii="Times New Roman;sans-serif" w:hAnsi="Times New Roman;sans-serif"/>
          <w:b w:val="false"/>
          <w:color w:val="000000"/>
          <w:sz w:val="22"/>
          <w:u w:val="single"/>
        </w:rPr>
        <w:t>Federal Reserve Regulations</w:t>
      </w:r>
      <w:r>
        <w:rPr>
          <w:color w:val="000000"/>
        </w:rPr>
        <w:t>    </w:t>
      </w:r>
      <w:r>
        <w:rPr>
          <w:rFonts w:ascii="Times New Roman;sans-serif" w:hAnsi="Times New Roman;sans-serif"/>
          <w:b w:val="false"/>
          <w:color w:val="000000"/>
          <w:sz w:val="22"/>
        </w:rPr>
        <w:t>97</w:t>
      </w:r>
    </w:p>
    <w:p>
      <w:pPr>
        <w:pStyle w:val="TextBody"/>
        <w:spacing w:lineRule="auto" w:line="240" w:before="0" w:after="0"/>
        <w:ind w:left="0" w:right="0" w:hanging="2070"/>
        <w:rPr/>
      </w:pPr>
      <w:r>
        <w:rPr>
          <w:rFonts w:ascii="Times New Roman;sans-serif" w:hAnsi="Times New Roman;sans-serif"/>
          <w:b w:val="false"/>
          <w:color w:val="000000"/>
          <w:sz w:val="22"/>
        </w:rPr>
        <w:t>SECTION 3.19</w:t>
      </w:r>
      <w:r>
        <w:rPr>
          <w:color w:val="000000"/>
        </w:rPr>
        <w:t>    </w:t>
      </w:r>
      <w:r>
        <w:rPr>
          <w:rFonts w:ascii="Times New Roman;sans-serif" w:hAnsi="Times New Roman;sans-serif"/>
          <w:b w:val="false"/>
          <w:color w:val="000000"/>
          <w:sz w:val="22"/>
          <w:u w:val="single"/>
        </w:rPr>
        <w:t>Anti-Corruption Laws and Sanctions</w:t>
      </w:r>
      <w:r>
        <w:rPr>
          <w:color w:val="000000"/>
        </w:rPr>
        <w:t>    </w:t>
      </w:r>
      <w:r>
        <w:rPr>
          <w:rFonts w:ascii="Times New Roman;sans-serif" w:hAnsi="Times New Roman;sans-serif"/>
          <w:b w:val="false"/>
          <w:color w:val="000000"/>
          <w:sz w:val="22"/>
        </w:rPr>
        <w:t>97</w:t>
      </w:r>
    </w:p>
    <w:p>
      <w:pPr>
        <w:pStyle w:val="TextBody"/>
        <w:spacing w:lineRule="auto" w:line="240" w:before="0" w:after="0"/>
        <w:ind w:left="0" w:right="0" w:hanging="2070"/>
        <w:rPr/>
      </w:pPr>
      <w:r>
        <w:rPr>
          <w:rFonts w:ascii="Times New Roman;sans-serif" w:hAnsi="Times New Roman;sans-serif"/>
          <w:b w:val="false"/>
          <w:color w:val="000000"/>
          <w:sz w:val="22"/>
        </w:rPr>
        <w:t>SECTION 3.20</w:t>
      </w:r>
      <w:r>
        <w:rPr>
          <w:color w:val="000000"/>
        </w:rPr>
        <w:t>    </w:t>
      </w:r>
      <w:r>
        <w:rPr>
          <w:rFonts w:ascii="Times New Roman;sans-serif" w:hAnsi="Times New Roman;sans-serif"/>
          <w:b w:val="false"/>
          <w:color w:val="000000"/>
          <w:sz w:val="22"/>
          <w:u w:val="single"/>
        </w:rPr>
        <w:t>Affected Financial Institutions</w:t>
      </w:r>
      <w:r>
        <w:rPr>
          <w:color w:val="000000"/>
        </w:rPr>
        <w:t>    </w:t>
      </w:r>
      <w:r>
        <w:rPr>
          <w:rFonts w:ascii="Times New Roman;sans-serif" w:hAnsi="Times New Roman;sans-serif"/>
          <w:b w:val="false"/>
          <w:color w:val="000000"/>
          <w:sz w:val="22"/>
        </w:rPr>
        <w:t>98</w:t>
      </w:r>
    </w:p>
    <w:p>
      <w:pPr>
        <w:pStyle w:val="TextBody"/>
        <w:spacing w:lineRule="auto" w:line="240" w:before="0" w:after="0"/>
        <w:ind w:left="0" w:right="0" w:hanging="2070"/>
        <w:rPr/>
      </w:pPr>
      <w:r>
        <w:rPr>
          <w:rFonts w:ascii="Times New Roman;sans-serif" w:hAnsi="Times New Roman;sans-serif"/>
          <w:b w:val="false"/>
          <w:color w:val="000000"/>
          <w:sz w:val="22"/>
        </w:rPr>
        <w:t>SECTION 3.21</w:t>
      </w:r>
      <w:r>
        <w:rPr>
          <w:color w:val="000000"/>
        </w:rPr>
        <w:t>    </w:t>
      </w:r>
      <w:r>
        <w:rPr>
          <w:rFonts w:ascii="Times New Roman;sans-serif" w:hAnsi="Times New Roman;sans-serif"/>
          <w:b w:val="false"/>
          <w:color w:val="000000"/>
          <w:sz w:val="22"/>
          <w:u w:val="single"/>
        </w:rPr>
        <w:t>Persons of Significant Control</w:t>
      </w:r>
      <w:r>
        <w:rPr>
          <w:color w:val="000000"/>
        </w:rPr>
        <w:t>    </w:t>
      </w:r>
      <w:r>
        <w:rPr>
          <w:rFonts w:ascii="Times New Roman;sans-serif" w:hAnsi="Times New Roman;sans-serif"/>
          <w:b w:val="false"/>
          <w:color w:val="000000"/>
          <w:sz w:val="22"/>
        </w:rPr>
        <w:t>98</w:t>
      </w:r>
    </w:p>
    <w:p>
      <w:pPr>
        <w:pStyle w:val="TextBody"/>
        <w:spacing w:lineRule="auto" w:line="240"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IV</w:t>
        <w:br/>
        <w:br/>
        <w:t>CONDITIONS</w:t>
      </w:r>
    </w:p>
    <w:p>
      <w:pPr>
        <w:pStyle w:val="TextBody"/>
        <w:spacing w:lineRule="auto" w:line="240" w:before="0" w:after="0"/>
        <w:ind w:left="0" w:right="0" w:hanging="2070"/>
        <w:rPr/>
      </w:pPr>
      <w:r>
        <w:rPr>
          <w:rFonts w:ascii="Times New Roman;sans-serif" w:hAnsi="Times New Roman;sans-serif"/>
          <w:b w:val="false"/>
          <w:color w:val="000000"/>
          <w:sz w:val="22"/>
        </w:rPr>
        <w:t>SECTION 4.01</w:t>
      </w:r>
      <w:r>
        <w:rPr>
          <w:color w:val="000000"/>
        </w:rPr>
        <w:t>    </w:t>
      </w:r>
      <w:r>
        <w:rPr>
          <w:rFonts w:ascii="Times New Roman;sans-serif" w:hAnsi="Times New Roman;sans-serif"/>
          <w:b w:val="false"/>
          <w:color w:val="000000"/>
          <w:sz w:val="22"/>
          <w:u w:val="single"/>
        </w:rPr>
        <w:t>Closing Date</w:t>
      </w:r>
      <w:r>
        <w:rPr>
          <w:color w:val="000000"/>
        </w:rPr>
        <w:t>    </w:t>
      </w:r>
      <w:r>
        <w:rPr>
          <w:rFonts w:ascii="Times New Roman;sans-serif" w:hAnsi="Times New Roman;sans-serif"/>
          <w:b w:val="false"/>
          <w:color w:val="000000"/>
          <w:sz w:val="22"/>
        </w:rPr>
        <w:t>98</w:t>
      </w:r>
    </w:p>
    <w:p>
      <w:pPr>
        <w:pStyle w:val="TextBody"/>
        <w:spacing w:lineRule="auto" w:line="240" w:before="0" w:after="0"/>
        <w:ind w:left="0" w:right="0" w:hanging="2070"/>
        <w:rPr/>
      </w:pPr>
      <w:r>
        <w:rPr>
          <w:rFonts w:ascii="Times New Roman;sans-serif" w:hAnsi="Times New Roman;sans-serif"/>
          <w:b w:val="false"/>
          <w:color w:val="000000"/>
          <w:sz w:val="22"/>
        </w:rPr>
        <w:t>SECTION 4.02</w:t>
      </w:r>
      <w:r>
        <w:rPr>
          <w:color w:val="000000"/>
        </w:rPr>
        <w:t>    </w:t>
      </w:r>
      <w:r>
        <w:rPr>
          <w:rFonts w:ascii="Times New Roman;sans-serif" w:hAnsi="Times New Roman;sans-serif"/>
          <w:b w:val="false"/>
          <w:color w:val="000000"/>
          <w:sz w:val="22"/>
          <w:u w:val="single"/>
        </w:rPr>
        <w:t>Each Credit Event</w:t>
      </w:r>
      <w:r>
        <w:rPr>
          <w:color w:val="000000"/>
        </w:rPr>
        <w:t>    </w:t>
      </w:r>
      <w:r>
        <w:rPr>
          <w:rFonts w:ascii="Times New Roman;sans-serif" w:hAnsi="Times New Roman;sans-serif"/>
          <w:b w:val="false"/>
          <w:color w:val="000000"/>
          <w:sz w:val="22"/>
        </w:rPr>
        <w:t>100</w:t>
      </w:r>
    </w:p>
    <w:p>
      <w:pPr>
        <w:pStyle w:val="TextBody"/>
        <w:spacing w:lineRule="auto" w:line="240" w:before="0" w:after="0"/>
        <w:ind w:left="0" w:right="0" w:hanging="2070"/>
        <w:rPr/>
      </w:pPr>
      <w:r>
        <w:rPr>
          <w:rFonts w:ascii="Times New Roman;sans-serif" w:hAnsi="Times New Roman;sans-serif"/>
          <w:b w:val="false"/>
          <w:color w:val="000000"/>
          <w:sz w:val="22"/>
        </w:rPr>
        <w:t>SECTION 4.03</w:t>
      </w:r>
      <w:r>
        <w:rPr>
          <w:color w:val="000000"/>
        </w:rPr>
        <w:t>    </w:t>
      </w:r>
      <w:r>
        <w:rPr>
          <w:rFonts w:ascii="Times New Roman;sans-serif" w:hAnsi="Times New Roman;sans-serif"/>
          <w:b w:val="false"/>
          <w:color w:val="000000"/>
          <w:sz w:val="22"/>
          <w:u w:val="single"/>
        </w:rPr>
        <w:t>Credit Events Relating to Foreign Subsidiary Borrowers</w:t>
      </w:r>
      <w:r>
        <w:rPr>
          <w:color w:val="000000"/>
        </w:rPr>
        <w:t>    </w:t>
      </w:r>
      <w:r>
        <w:rPr>
          <w:rFonts w:ascii="Times New Roman;sans-serif" w:hAnsi="Times New Roman;sans-serif"/>
          <w:b w:val="false"/>
          <w:color w:val="000000"/>
          <w:sz w:val="22"/>
        </w:rPr>
        <w:t>100</w:t>
      </w:r>
    </w:p>
    <w:p>
      <w:pPr>
        <w:pStyle w:val="TextBody"/>
        <w:spacing w:lineRule="auto" w:line="240" w:before="0" w:after="0"/>
        <w:ind w:left="0" w:right="0" w:hanging="2070"/>
        <w:rPr/>
      </w:pPr>
      <w:r>
        <w:rPr>
          <w:rFonts w:ascii="Times New Roman;sans-serif" w:hAnsi="Times New Roman;sans-serif"/>
          <w:b w:val="false"/>
          <w:color w:val="000000"/>
          <w:sz w:val="22"/>
        </w:rPr>
        <w:t>SECTION 4.04</w:t>
      </w:r>
      <w:r>
        <w:rPr>
          <w:color w:val="000000"/>
        </w:rPr>
        <w:t>    </w:t>
      </w:r>
      <w:r>
        <w:rPr>
          <w:rFonts w:ascii="Times New Roman;sans-serif" w:hAnsi="Times New Roman;sans-serif"/>
          <w:b w:val="false"/>
          <w:color w:val="000000"/>
          <w:sz w:val="22"/>
          <w:u w:val="single"/>
        </w:rPr>
        <w:t>Conditions to the Second Restatement Date</w:t>
      </w:r>
      <w:r>
        <w:rPr>
          <w:color w:val="000000"/>
        </w:rPr>
        <w:t>    </w:t>
      </w:r>
      <w:r>
        <w:rPr>
          <w:rFonts w:ascii="Times New Roman;sans-serif" w:hAnsi="Times New Roman;sans-serif"/>
          <w:b w:val="false"/>
          <w:color w:val="000000"/>
          <w:sz w:val="22"/>
        </w:rPr>
        <w:t>100</w:t>
      </w:r>
    </w:p>
    <w:p>
      <w:pPr>
        <w:pStyle w:val="TextBody"/>
        <w:spacing w:lineRule="auto" w:line="240"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V</w:t>
        <w:br/>
        <w:br/>
        <w:t>AFFIRMATIVE COVENANTS</w:t>
      </w:r>
    </w:p>
    <w:p>
      <w:pPr>
        <w:pStyle w:val="TextBody"/>
        <w:spacing w:lineRule="auto" w:line="240" w:before="0" w:after="0"/>
        <w:ind w:left="0" w:right="0" w:hanging="2070"/>
        <w:rPr/>
      </w:pPr>
      <w:r>
        <w:rPr>
          <w:rFonts w:ascii="Times New Roman;sans-serif" w:hAnsi="Times New Roman;sans-serif"/>
          <w:b w:val="false"/>
          <w:color w:val="000000"/>
          <w:sz w:val="22"/>
        </w:rPr>
        <w:t>SECTION 5.01</w:t>
      </w:r>
      <w:r>
        <w:rPr>
          <w:color w:val="000000"/>
        </w:rPr>
        <w:t>    </w:t>
      </w:r>
      <w:r>
        <w:rPr>
          <w:rFonts w:ascii="Times New Roman;sans-serif" w:hAnsi="Times New Roman;sans-serif"/>
          <w:b w:val="false"/>
          <w:color w:val="000000"/>
          <w:sz w:val="22"/>
          <w:u w:val="single"/>
        </w:rPr>
        <w:t>Financial Statements and Other Information</w:t>
      </w:r>
      <w:r>
        <w:rPr>
          <w:color w:val="000000"/>
        </w:rPr>
        <w:t>    </w:t>
      </w:r>
      <w:r>
        <w:rPr>
          <w:rFonts w:ascii="Times New Roman;sans-serif" w:hAnsi="Times New Roman;sans-serif"/>
          <w:b w:val="false"/>
          <w:color w:val="000000"/>
          <w:sz w:val="22"/>
        </w:rPr>
        <w:t>102</w:t>
      </w:r>
    </w:p>
    <w:p>
      <w:pPr>
        <w:pStyle w:val="TextBody"/>
        <w:spacing w:lineRule="auto" w:line="240" w:before="0" w:after="0"/>
        <w:ind w:left="0" w:right="0" w:hanging="2070"/>
        <w:rPr/>
      </w:pPr>
      <w:r>
        <w:rPr>
          <w:rFonts w:ascii="Times New Roman;sans-serif" w:hAnsi="Times New Roman;sans-serif"/>
          <w:b w:val="false"/>
          <w:color w:val="000000"/>
          <w:sz w:val="22"/>
        </w:rPr>
        <w:t>SECTION 5.02</w:t>
      </w:r>
      <w:r>
        <w:rPr>
          <w:color w:val="000000"/>
        </w:rPr>
        <w:t>    </w:t>
      </w:r>
      <w:r>
        <w:rPr>
          <w:rFonts w:ascii="Times New Roman;sans-serif" w:hAnsi="Times New Roman;sans-serif"/>
          <w:b w:val="false"/>
          <w:color w:val="000000"/>
          <w:sz w:val="22"/>
          <w:u w:val="single"/>
        </w:rPr>
        <w:t>Notices of Material Events</w:t>
      </w:r>
      <w:r>
        <w:rPr>
          <w:color w:val="000000"/>
        </w:rPr>
        <w:t>    </w:t>
      </w:r>
      <w:r>
        <w:rPr>
          <w:rFonts w:ascii="Times New Roman;sans-serif" w:hAnsi="Times New Roman;sans-serif"/>
          <w:b w:val="false"/>
          <w:color w:val="000000"/>
          <w:sz w:val="22"/>
        </w:rPr>
        <w:t>104</w:t>
      </w:r>
    </w:p>
    <w:p>
      <w:pPr>
        <w:pStyle w:val="TextBody"/>
        <w:spacing w:lineRule="auto" w:line="240" w:before="0" w:after="0"/>
        <w:ind w:left="0" w:right="0" w:hanging="2070"/>
        <w:rPr/>
      </w:pPr>
      <w:r>
        <w:rPr>
          <w:rFonts w:ascii="Times New Roman;sans-serif" w:hAnsi="Times New Roman;sans-serif"/>
          <w:b w:val="false"/>
          <w:color w:val="000000"/>
          <w:sz w:val="22"/>
        </w:rPr>
        <w:t>SECTION 5.03</w:t>
      </w:r>
      <w:r>
        <w:rPr>
          <w:color w:val="000000"/>
        </w:rPr>
        <w:t>    </w:t>
      </w:r>
      <w:r>
        <w:rPr>
          <w:rFonts w:ascii="Times New Roman;sans-serif" w:hAnsi="Times New Roman;sans-serif"/>
          <w:b w:val="false"/>
          <w:color w:val="000000"/>
          <w:sz w:val="22"/>
          <w:u w:val="single"/>
        </w:rPr>
        <w:t>Information Regarding Collateral</w:t>
      </w:r>
      <w:r>
        <w:rPr>
          <w:color w:val="000000"/>
        </w:rPr>
        <w:t>    </w:t>
      </w:r>
      <w:r>
        <w:rPr>
          <w:rFonts w:ascii="Times New Roman;sans-serif" w:hAnsi="Times New Roman;sans-serif"/>
          <w:b w:val="false"/>
          <w:color w:val="000000"/>
          <w:sz w:val="22"/>
        </w:rPr>
        <w:t>104</w:t>
      </w:r>
    </w:p>
    <w:p>
      <w:pPr>
        <w:pStyle w:val="TextBody"/>
        <w:spacing w:lineRule="auto" w:line="240" w:before="0" w:after="0"/>
        <w:ind w:left="0" w:right="0" w:hanging="2070"/>
        <w:rPr/>
      </w:pPr>
      <w:r>
        <w:rPr>
          <w:rFonts w:ascii="Times New Roman;sans-serif" w:hAnsi="Times New Roman;sans-serif"/>
          <w:b w:val="false"/>
          <w:color w:val="000000"/>
          <w:sz w:val="22"/>
        </w:rPr>
        <w:t>SECTION 5.04</w:t>
      </w:r>
      <w:r>
        <w:rPr>
          <w:color w:val="000000"/>
        </w:rPr>
        <w:t>    </w:t>
      </w:r>
      <w:r>
        <w:rPr>
          <w:rFonts w:ascii="Times New Roman;sans-serif" w:hAnsi="Times New Roman;sans-serif"/>
          <w:b w:val="false"/>
          <w:color w:val="000000"/>
          <w:sz w:val="22"/>
          <w:u w:val="single"/>
        </w:rPr>
        <w:t>Existence; Conduct of Business</w:t>
      </w:r>
      <w:r>
        <w:rPr>
          <w:color w:val="000000"/>
        </w:rPr>
        <w:t>    </w:t>
      </w:r>
      <w:r>
        <w:rPr>
          <w:rFonts w:ascii="Times New Roman;sans-serif" w:hAnsi="Times New Roman;sans-serif"/>
          <w:b w:val="false"/>
          <w:color w:val="000000"/>
          <w:sz w:val="22"/>
        </w:rPr>
        <w:t>105</w:t>
      </w:r>
    </w:p>
    <w:p>
      <w:pPr>
        <w:pStyle w:val="TextBody"/>
        <w:spacing w:lineRule="auto" w:line="240" w:before="0" w:after="0"/>
        <w:ind w:left="0" w:right="0" w:hanging="2070"/>
        <w:rPr/>
      </w:pPr>
      <w:r>
        <w:rPr>
          <w:rFonts w:ascii="Times New Roman;sans-serif" w:hAnsi="Times New Roman;sans-serif"/>
          <w:b w:val="false"/>
          <w:color w:val="000000"/>
          <w:sz w:val="22"/>
        </w:rPr>
        <w:t>SECTION 5.05</w:t>
      </w:r>
      <w:r>
        <w:rPr>
          <w:color w:val="000000"/>
        </w:rPr>
        <w:t>    </w:t>
      </w:r>
      <w:r>
        <w:rPr>
          <w:rFonts w:ascii="Times New Roman;sans-serif" w:hAnsi="Times New Roman;sans-serif"/>
          <w:b w:val="false"/>
          <w:color w:val="000000"/>
          <w:sz w:val="22"/>
          <w:u w:val="single"/>
        </w:rPr>
        <w:t>Payment of Obligations</w:t>
      </w:r>
      <w:r>
        <w:rPr>
          <w:color w:val="000000"/>
        </w:rPr>
        <w:t>    </w:t>
      </w:r>
      <w:r>
        <w:rPr>
          <w:rFonts w:ascii="Times New Roman;sans-serif" w:hAnsi="Times New Roman;sans-serif"/>
          <w:b w:val="false"/>
          <w:color w:val="000000"/>
          <w:sz w:val="22"/>
        </w:rPr>
        <w:t>105</w:t>
      </w:r>
    </w:p>
    <w:p>
      <w:pPr>
        <w:pStyle w:val="TextBody"/>
        <w:spacing w:lineRule="auto" w:line="240" w:before="0" w:after="0"/>
        <w:ind w:left="0" w:right="0" w:hanging="2070"/>
        <w:rPr/>
      </w:pPr>
      <w:r>
        <w:rPr>
          <w:rFonts w:ascii="Times New Roman;sans-serif" w:hAnsi="Times New Roman;sans-serif"/>
          <w:b w:val="false"/>
          <w:color w:val="000000"/>
          <w:sz w:val="22"/>
        </w:rPr>
        <w:t>SECTION 5.06</w:t>
      </w:r>
      <w:r>
        <w:rPr>
          <w:color w:val="000000"/>
        </w:rPr>
        <w:t>    </w:t>
      </w:r>
      <w:r>
        <w:rPr>
          <w:rFonts w:ascii="Times New Roman;sans-serif" w:hAnsi="Times New Roman;sans-serif"/>
          <w:b w:val="false"/>
          <w:color w:val="000000"/>
          <w:sz w:val="22"/>
          <w:u w:val="single"/>
        </w:rPr>
        <w:t>Maintenance of Properties</w:t>
      </w:r>
      <w:r>
        <w:rPr>
          <w:color w:val="000000"/>
        </w:rPr>
        <w:t>    </w:t>
      </w:r>
      <w:r>
        <w:rPr>
          <w:rFonts w:ascii="Times New Roman;sans-serif" w:hAnsi="Times New Roman;sans-serif"/>
          <w:b w:val="false"/>
          <w:color w:val="000000"/>
          <w:sz w:val="22"/>
        </w:rPr>
        <w:t>105</w:t>
      </w:r>
    </w:p>
    <w:p>
      <w:pPr>
        <w:pStyle w:val="TextBody"/>
        <w:spacing w:lineRule="auto" w:line="240" w:before="0" w:after="0"/>
        <w:ind w:left="0" w:right="0" w:hanging="2070"/>
        <w:rPr/>
      </w:pPr>
      <w:r>
        <w:rPr>
          <w:rFonts w:ascii="Times New Roman;sans-serif" w:hAnsi="Times New Roman;sans-serif"/>
          <w:b w:val="false"/>
          <w:color w:val="000000"/>
          <w:sz w:val="22"/>
        </w:rPr>
        <w:t>SECTION 5.07</w:t>
      </w:r>
      <w:r>
        <w:rPr>
          <w:color w:val="000000"/>
        </w:rPr>
        <w:t>    </w:t>
      </w:r>
      <w:r>
        <w:rPr>
          <w:rFonts w:ascii="Times New Roman;sans-serif" w:hAnsi="Times New Roman;sans-serif"/>
          <w:b w:val="false"/>
          <w:color w:val="000000"/>
          <w:sz w:val="22"/>
          <w:u w:val="single"/>
        </w:rPr>
        <w:t>Insurance</w:t>
      </w:r>
      <w:r>
        <w:rPr>
          <w:color w:val="000000"/>
        </w:rPr>
        <w:t>    </w:t>
      </w:r>
      <w:r>
        <w:rPr>
          <w:rFonts w:ascii="Times New Roman;sans-serif" w:hAnsi="Times New Roman;sans-serif"/>
          <w:b w:val="false"/>
          <w:color w:val="000000"/>
          <w:sz w:val="22"/>
        </w:rPr>
        <w:t>105</w:t>
      </w:r>
    </w:p>
    <w:p>
      <w:pPr>
        <w:pStyle w:val="TextBody"/>
        <w:spacing w:lineRule="auto" w:line="240" w:before="0" w:after="0"/>
        <w:ind w:left="0" w:right="0" w:hanging="2070"/>
        <w:rPr/>
      </w:pPr>
      <w:r>
        <w:rPr>
          <w:rFonts w:ascii="Times New Roman;sans-serif" w:hAnsi="Times New Roman;sans-serif"/>
          <w:b w:val="false"/>
          <w:color w:val="000000"/>
          <w:sz w:val="22"/>
        </w:rPr>
        <w:t>SECTION 5.08</w:t>
      </w:r>
      <w:r>
        <w:rPr>
          <w:color w:val="000000"/>
        </w:rPr>
        <w:t>    </w:t>
      </w:r>
      <w:r>
        <w:rPr>
          <w:rFonts w:ascii="Times New Roman;sans-serif" w:hAnsi="Times New Roman;sans-serif"/>
          <w:b w:val="false"/>
          <w:color w:val="000000"/>
          <w:sz w:val="22"/>
          <w:u w:val="single"/>
        </w:rPr>
        <w:t>Casualty and Condemnation</w:t>
      </w:r>
      <w:r>
        <w:rPr>
          <w:color w:val="000000"/>
        </w:rPr>
        <w:t>    </w:t>
      </w:r>
      <w:r>
        <w:rPr>
          <w:rFonts w:ascii="Times New Roman;sans-serif" w:hAnsi="Times New Roman;sans-serif"/>
          <w:b w:val="false"/>
          <w:color w:val="000000"/>
          <w:sz w:val="22"/>
        </w:rPr>
        <w:t>106</w:t>
      </w:r>
    </w:p>
    <w:p>
      <w:pPr>
        <w:pStyle w:val="TextBody"/>
        <w:spacing w:lineRule="auto" w:line="240" w:before="0" w:after="0"/>
        <w:ind w:left="0" w:right="0" w:hanging="2070"/>
        <w:rPr/>
      </w:pPr>
      <w:r>
        <w:rPr>
          <w:rFonts w:ascii="Times New Roman;sans-serif" w:hAnsi="Times New Roman;sans-serif"/>
          <w:b w:val="false"/>
          <w:color w:val="000000"/>
          <w:sz w:val="22"/>
        </w:rPr>
        <w:t>SECTION 5.09</w:t>
      </w:r>
      <w:r>
        <w:rPr>
          <w:color w:val="000000"/>
        </w:rPr>
        <w:t>    </w:t>
      </w:r>
      <w:r>
        <w:rPr>
          <w:rFonts w:ascii="Times New Roman;sans-serif" w:hAnsi="Times New Roman;sans-serif"/>
          <w:b w:val="false"/>
          <w:color w:val="000000"/>
          <w:sz w:val="22"/>
          <w:u w:val="single"/>
        </w:rPr>
        <w:t>Books and Records; Inspection and Audit Rights</w:t>
      </w:r>
      <w:r>
        <w:rPr>
          <w:color w:val="000000"/>
        </w:rPr>
        <w:t>    </w:t>
      </w:r>
      <w:r>
        <w:rPr>
          <w:rFonts w:ascii="Times New Roman;sans-serif" w:hAnsi="Times New Roman;sans-serif"/>
          <w:b w:val="false"/>
          <w:color w:val="000000"/>
          <w:sz w:val="22"/>
        </w:rPr>
        <w:t>106</w:t>
      </w:r>
    </w:p>
    <w:p>
      <w:pPr>
        <w:pStyle w:val="TextBody"/>
        <w:spacing w:lineRule="auto" w:line="240" w:before="0" w:after="0"/>
        <w:ind w:left="0" w:right="0" w:hanging="2070"/>
        <w:rPr/>
      </w:pPr>
      <w:r>
        <w:rPr>
          <w:rFonts w:ascii="Times New Roman;sans-serif" w:hAnsi="Times New Roman;sans-serif"/>
          <w:b w:val="false"/>
          <w:color w:val="000000"/>
          <w:sz w:val="22"/>
        </w:rPr>
        <w:t>SECTION 5.10</w:t>
      </w:r>
      <w:r>
        <w:rPr>
          <w:color w:val="000000"/>
        </w:rPr>
        <w:t>    </w:t>
      </w:r>
      <w:r>
        <w:rPr>
          <w:rFonts w:ascii="Times New Roman;sans-serif" w:hAnsi="Times New Roman;sans-serif"/>
          <w:b w:val="false"/>
          <w:color w:val="000000"/>
          <w:sz w:val="22"/>
          <w:u w:val="single"/>
        </w:rPr>
        <w:t>Compliance with Laws</w:t>
      </w:r>
      <w:r>
        <w:rPr>
          <w:color w:val="000000"/>
        </w:rPr>
        <w:t>    </w:t>
      </w:r>
      <w:r>
        <w:rPr>
          <w:rFonts w:ascii="Times New Roman;sans-serif" w:hAnsi="Times New Roman;sans-serif"/>
          <w:b w:val="false"/>
          <w:color w:val="000000"/>
          <w:sz w:val="22"/>
        </w:rPr>
        <w:t>106</w:t>
      </w:r>
    </w:p>
    <w:p>
      <w:pPr>
        <w:pStyle w:val="TextBody"/>
        <w:spacing w:lineRule="auto" w:line="240" w:before="0" w:after="0"/>
        <w:ind w:left="0" w:right="0" w:hanging="2070"/>
        <w:rPr/>
      </w:pPr>
      <w:r>
        <w:rPr>
          <w:rFonts w:ascii="Times New Roman;sans-serif" w:hAnsi="Times New Roman;sans-serif"/>
          <w:b w:val="false"/>
          <w:color w:val="000000"/>
          <w:sz w:val="22"/>
        </w:rPr>
        <w:t>SECTION 5.11</w:t>
      </w:r>
      <w:r>
        <w:rPr>
          <w:color w:val="000000"/>
        </w:rPr>
        <w:t>    </w:t>
      </w:r>
      <w:r>
        <w:rPr>
          <w:rFonts w:ascii="Times New Roman;sans-serif" w:hAnsi="Times New Roman;sans-serif"/>
          <w:b w:val="false"/>
          <w:color w:val="000000"/>
          <w:sz w:val="22"/>
          <w:u w:val="single"/>
        </w:rPr>
        <w:t>Use of Proceeds and Letters of Credit</w:t>
      </w:r>
      <w:r>
        <w:rPr>
          <w:color w:val="000000"/>
        </w:rPr>
        <w:t>    </w:t>
      </w:r>
      <w:r>
        <w:rPr>
          <w:rFonts w:ascii="Times New Roman;sans-serif" w:hAnsi="Times New Roman;sans-serif"/>
          <w:b w:val="false"/>
          <w:color w:val="000000"/>
          <w:sz w:val="22"/>
        </w:rPr>
        <w:t>106</w:t>
      </w:r>
    </w:p>
    <w:p>
      <w:pPr>
        <w:pStyle w:val="TextBody"/>
        <w:spacing w:lineRule="auto" w:line="240" w:before="0" w:after="0"/>
        <w:ind w:left="0" w:right="0" w:hanging="2070"/>
        <w:rPr/>
      </w:pPr>
      <w:r>
        <w:rPr>
          <w:rFonts w:ascii="Times New Roman;sans-serif" w:hAnsi="Times New Roman;sans-serif"/>
          <w:b w:val="false"/>
          <w:color w:val="000000"/>
          <w:sz w:val="22"/>
        </w:rPr>
        <w:t>SECTION 5.12</w:t>
      </w:r>
      <w:r>
        <w:rPr>
          <w:color w:val="000000"/>
        </w:rPr>
        <w:t>    </w:t>
      </w:r>
      <w:r>
        <w:rPr>
          <w:rFonts w:ascii="Times New Roman;sans-serif" w:hAnsi="Times New Roman;sans-serif"/>
          <w:b w:val="false"/>
          <w:color w:val="000000"/>
          <w:sz w:val="22"/>
          <w:u w:val="single"/>
        </w:rPr>
        <w:t>Additional Subsidiaries</w:t>
      </w:r>
      <w:r>
        <w:rPr>
          <w:color w:val="000000"/>
        </w:rPr>
        <w:t>    </w:t>
      </w:r>
      <w:r>
        <w:rPr>
          <w:rFonts w:ascii="Times New Roman;sans-serif" w:hAnsi="Times New Roman;sans-serif"/>
          <w:b w:val="false"/>
          <w:color w:val="000000"/>
          <w:sz w:val="22"/>
        </w:rPr>
        <w:t>106</w:t>
      </w:r>
    </w:p>
    <w:p>
      <w:pPr>
        <w:pStyle w:val="TextBody"/>
        <w:spacing w:lineRule="auto" w:line="240" w:before="0" w:after="0"/>
        <w:ind w:left="0" w:right="0" w:hanging="2070"/>
        <w:rPr/>
      </w:pPr>
      <w:r>
        <w:rPr>
          <w:rFonts w:ascii="Times New Roman;sans-serif" w:hAnsi="Times New Roman;sans-serif"/>
          <w:b w:val="false"/>
          <w:color w:val="000000"/>
          <w:sz w:val="22"/>
        </w:rPr>
        <w:t>SECTION 5.13</w:t>
      </w:r>
      <w:r>
        <w:rPr>
          <w:color w:val="000000"/>
        </w:rPr>
        <w:t>    </w:t>
      </w:r>
      <w:r>
        <w:rPr>
          <w:rFonts w:ascii="Times New Roman;sans-serif" w:hAnsi="Times New Roman;sans-serif"/>
          <w:b w:val="false"/>
          <w:color w:val="000000"/>
          <w:sz w:val="22"/>
          <w:u w:val="single"/>
        </w:rPr>
        <w:t>Further Assurances</w:t>
      </w:r>
      <w:r>
        <w:rPr>
          <w:color w:val="000000"/>
        </w:rPr>
        <w:t>    </w:t>
      </w:r>
      <w:r>
        <w:rPr>
          <w:rFonts w:ascii="Times New Roman;sans-serif" w:hAnsi="Times New Roman;sans-serif"/>
          <w:b w:val="false"/>
          <w:color w:val="000000"/>
          <w:sz w:val="22"/>
        </w:rPr>
        <w:t>107</w:t>
      </w:r>
    </w:p>
    <w:p>
      <w:pPr>
        <w:pStyle w:val="TextBody"/>
        <w:spacing w:lineRule="auto" w:line="240"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VI</w:t>
        <w:br/>
        <w:br/>
        <w:t>NEGATIVE COVENANTS</w:t>
      </w:r>
    </w:p>
    <w:p>
      <w:pPr>
        <w:pStyle w:val="TextBody"/>
        <w:spacing w:lineRule="auto" w:line="240" w:before="0" w:after="0"/>
        <w:ind w:left="0" w:right="0" w:hanging="2070"/>
        <w:rPr/>
      </w:pPr>
      <w:r>
        <w:rPr>
          <w:rFonts w:ascii="Times New Roman;sans-serif" w:hAnsi="Times New Roman;sans-serif"/>
          <w:b w:val="false"/>
          <w:color w:val="000000"/>
          <w:sz w:val="22"/>
        </w:rPr>
        <w:t>SECTION 6.01</w:t>
      </w:r>
      <w:r>
        <w:rPr>
          <w:color w:val="000000"/>
        </w:rPr>
        <w:t>    </w:t>
      </w:r>
      <w:r>
        <w:rPr>
          <w:rFonts w:ascii="Times New Roman;sans-serif" w:hAnsi="Times New Roman;sans-serif"/>
          <w:b w:val="false"/>
          <w:color w:val="000000"/>
          <w:sz w:val="22"/>
          <w:u w:val="single"/>
        </w:rPr>
        <w:t>Indebtedness; Certain Equity Securities</w:t>
      </w:r>
      <w:r>
        <w:rPr>
          <w:color w:val="000000"/>
        </w:rPr>
        <w:t>    </w:t>
      </w:r>
      <w:r>
        <w:rPr>
          <w:rFonts w:ascii="Times New Roman;sans-serif" w:hAnsi="Times New Roman;sans-serif"/>
          <w:b w:val="false"/>
          <w:color w:val="000000"/>
          <w:sz w:val="22"/>
        </w:rPr>
        <w:t>108</w:t>
      </w:r>
    </w:p>
    <w:p>
      <w:pPr>
        <w:pStyle w:val="TextBody"/>
        <w:spacing w:lineRule="auto" w:line="240" w:before="0" w:after="0"/>
        <w:ind w:left="0" w:right="0" w:hanging="2070"/>
        <w:rPr/>
      </w:pPr>
      <w:r>
        <w:rPr>
          <w:rFonts w:ascii="Times New Roman;sans-serif" w:hAnsi="Times New Roman;sans-serif"/>
          <w:b w:val="false"/>
          <w:color w:val="000000"/>
          <w:sz w:val="22"/>
        </w:rPr>
        <w:t>SECTION 6.02</w:t>
      </w:r>
      <w:r>
        <w:rPr>
          <w:color w:val="000000"/>
        </w:rPr>
        <w:t>    </w:t>
      </w:r>
      <w:r>
        <w:rPr>
          <w:rFonts w:ascii="Times New Roman;sans-serif" w:hAnsi="Times New Roman;sans-serif"/>
          <w:b w:val="false"/>
          <w:color w:val="000000"/>
          <w:sz w:val="22"/>
          <w:u w:val="single"/>
        </w:rPr>
        <w:t>Liens</w:t>
      </w:r>
      <w:r>
        <w:rPr>
          <w:color w:val="000000"/>
        </w:rPr>
        <w:t>    </w:t>
      </w:r>
      <w:r>
        <w:rPr>
          <w:rFonts w:ascii="Times New Roman;sans-serif" w:hAnsi="Times New Roman;sans-serif"/>
          <w:b w:val="false"/>
          <w:color w:val="000000"/>
          <w:sz w:val="22"/>
        </w:rPr>
        <w:t>111</w:t>
      </w:r>
    </w:p>
    <w:p>
      <w:pPr>
        <w:pStyle w:val="TextBody"/>
        <w:spacing w:lineRule="auto" w:line="240" w:before="0" w:after="0"/>
        <w:ind w:left="0" w:right="0" w:hanging="2070"/>
        <w:rPr/>
      </w:pPr>
      <w:r>
        <w:rPr>
          <w:rFonts w:ascii="Times New Roman;sans-serif" w:hAnsi="Times New Roman;sans-serif"/>
          <w:b w:val="false"/>
          <w:color w:val="000000"/>
          <w:sz w:val="22"/>
        </w:rPr>
        <w:t>SECTION 6.03</w:t>
      </w:r>
      <w:r>
        <w:rPr>
          <w:color w:val="000000"/>
        </w:rPr>
        <w:t>    </w:t>
      </w:r>
      <w:r>
        <w:rPr>
          <w:rFonts w:ascii="Times New Roman;sans-serif" w:hAnsi="Times New Roman;sans-serif"/>
          <w:b w:val="false"/>
          <w:color w:val="000000"/>
          <w:sz w:val="22"/>
          <w:u w:val="single"/>
        </w:rPr>
        <w:t>Fundamental Changes</w:t>
      </w:r>
      <w:r>
        <w:rPr>
          <w:color w:val="000000"/>
        </w:rPr>
        <w:t>    </w:t>
      </w:r>
      <w:r>
        <w:rPr>
          <w:rFonts w:ascii="Times New Roman;sans-serif" w:hAnsi="Times New Roman;sans-serif"/>
          <w:b w:val="false"/>
          <w:color w:val="000000"/>
          <w:sz w:val="22"/>
        </w:rPr>
        <w:t>113</w:t>
      </w:r>
    </w:p>
    <w:p>
      <w:pPr>
        <w:pStyle w:val="TextBody"/>
        <w:spacing w:lineRule="auto" w:line="240" w:before="0" w:after="0"/>
        <w:ind w:left="0" w:right="0" w:hanging="2070"/>
        <w:rPr/>
      </w:pPr>
      <w:r>
        <w:rPr>
          <w:rFonts w:ascii="Times New Roman;sans-serif" w:hAnsi="Times New Roman;sans-serif"/>
          <w:b w:val="false"/>
          <w:color w:val="000000"/>
          <w:sz w:val="22"/>
        </w:rPr>
        <w:t>SECTION 6.04</w:t>
      </w:r>
      <w:r>
        <w:rPr>
          <w:color w:val="000000"/>
        </w:rPr>
        <w:t>    </w:t>
      </w:r>
      <w:r>
        <w:rPr>
          <w:rFonts w:ascii="Times New Roman;sans-serif" w:hAnsi="Times New Roman;sans-serif"/>
          <w:b w:val="false"/>
          <w:color w:val="000000"/>
          <w:sz w:val="22"/>
          <w:u w:val="single"/>
        </w:rPr>
        <w:t>Investments, Loans, Advances, Guarantees and Acquisitions</w:t>
      </w:r>
      <w:r>
        <w:rPr>
          <w:color w:val="000000"/>
        </w:rPr>
        <w:t>    </w:t>
      </w:r>
      <w:r>
        <w:rPr>
          <w:rFonts w:ascii="Times New Roman;sans-serif" w:hAnsi="Times New Roman;sans-serif"/>
          <w:b w:val="false"/>
          <w:color w:val="000000"/>
          <w:sz w:val="22"/>
        </w:rPr>
        <w:t>114</w:t>
      </w:r>
    </w:p>
    <w:p>
      <w:pPr>
        <w:pStyle w:val="TextBody"/>
        <w:spacing w:lineRule="auto" w:line="240" w:before="0" w:after="0"/>
        <w:ind w:left="0" w:right="0" w:hanging="2070"/>
        <w:rPr/>
      </w:pPr>
      <w:r>
        <w:rPr>
          <w:rFonts w:ascii="Times New Roman;sans-serif" w:hAnsi="Times New Roman;sans-serif"/>
          <w:b w:val="false"/>
          <w:color w:val="000000"/>
          <w:sz w:val="22"/>
        </w:rPr>
        <w:t>SECTION 6.05</w:t>
      </w:r>
      <w:r>
        <w:rPr>
          <w:color w:val="000000"/>
        </w:rPr>
        <w:t>    </w:t>
      </w:r>
      <w:r>
        <w:rPr>
          <w:rFonts w:ascii="Times New Roman;sans-serif" w:hAnsi="Times New Roman;sans-serif"/>
          <w:b w:val="false"/>
          <w:color w:val="000000"/>
          <w:sz w:val="22"/>
          <w:u w:val="single"/>
        </w:rPr>
        <w:t>Asset Sales</w:t>
      </w:r>
      <w:r>
        <w:rPr>
          <w:color w:val="000000"/>
        </w:rPr>
        <w:t>    </w:t>
      </w:r>
      <w:r>
        <w:rPr>
          <w:rFonts w:ascii="Times New Roman;sans-serif" w:hAnsi="Times New Roman;sans-serif"/>
          <w:b w:val="false"/>
          <w:color w:val="000000"/>
          <w:sz w:val="22"/>
        </w:rPr>
        <w:t>116</w:t>
      </w:r>
    </w:p>
    <w:p>
      <w:pPr>
        <w:pStyle w:val="TextBody"/>
        <w:spacing w:lineRule="auto" w:line="240" w:before="0" w:after="0"/>
        <w:ind w:left="0" w:right="0" w:hanging="2070"/>
        <w:rPr/>
      </w:pPr>
      <w:r>
        <w:rPr>
          <w:rFonts w:ascii="Times New Roman;sans-serif" w:hAnsi="Times New Roman;sans-serif"/>
          <w:b w:val="false"/>
          <w:color w:val="000000"/>
          <w:sz w:val="22"/>
        </w:rPr>
        <w:t>SECTION 6.06</w:t>
      </w:r>
      <w:r>
        <w:rPr>
          <w:color w:val="000000"/>
        </w:rPr>
        <w:t>    </w:t>
      </w:r>
      <w:r>
        <w:rPr>
          <w:rFonts w:ascii="Times New Roman;sans-serif" w:hAnsi="Times New Roman;sans-serif"/>
          <w:b w:val="false"/>
          <w:color w:val="000000"/>
          <w:sz w:val="22"/>
          <w:u w:val="single"/>
        </w:rPr>
        <w:t>Sale and Leaseback Transactions</w:t>
      </w:r>
      <w:r>
        <w:rPr>
          <w:color w:val="000000"/>
        </w:rPr>
        <w:t>    </w:t>
      </w:r>
      <w:r>
        <w:rPr>
          <w:rFonts w:ascii="Times New Roman;sans-serif" w:hAnsi="Times New Roman;sans-serif"/>
          <w:b w:val="false"/>
          <w:color w:val="000000"/>
          <w:sz w:val="22"/>
        </w:rPr>
        <w:t>117</w:t>
      </w:r>
    </w:p>
    <w:p>
      <w:pPr>
        <w:pStyle w:val="TextBody"/>
        <w:spacing w:lineRule="auto" w:line="240" w:before="0" w:after="0"/>
        <w:ind w:left="0" w:right="0" w:hanging="2070"/>
        <w:rPr/>
      </w:pPr>
      <w:r>
        <w:rPr>
          <w:rFonts w:ascii="Times New Roman;sans-serif" w:hAnsi="Times New Roman;sans-serif"/>
          <w:b w:val="false"/>
          <w:color w:val="000000"/>
          <w:sz w:val="22"/>
        </w:rPr>
        <w:t>SECTION 6.07</w:t>
      </w:r>
      <w:r>
        <w:rPr>
          <w:color w:val="000000"/>
        </w:rPr>
        <w:t>    </w:t>
      </w:r>
      <w:r>
        <w:rPr>
          <w:rFonts w:ascii="Times New Roman;sans-serif" w:hAnsi="Times New Roman;sans-serif"/>
          <w:b w:val="false"/>
          <w:color w:val="000000"/>
          <w:sz w:val="22"/>
          <w:u w:val="single"/>
        </w:rPr>
        <w:t>Hedging Agreements</w:t>
      </w:r>
      <w:r>
        <w:rPr>
          <w:color w:val="000000"/>
        </w:rPr>
        <w:t>    </w:t>
      </w:r>
      <w:r>
        <w:rPr>
          <w:rFonts w:ascii="Times New Roman;sans-serif" w:hAnsi="Times New Roman;sans-serif"/>
          <w:b w:val="false"/>
          <w:color w:val="000000"/>
          <w:sz w:val="22"/>
        </w:rPr>
        <w:t>118</w:t>
      </w:r>
    </w:p>
    <w:p>
      <w:pPr>
        <w:pStyle w:val="TextBody"/>
        <w:spacing w:lineRule="auto" w:line="240"/>
        <w:ind w:left="0" w:right="0" w:hanging="2070"/>
        <w:rPr/>
      </w:pPr>
      <w:r>
        <w:rPr>
          <w:rFonts w:ascii="Times New Roman;sans-serif" w:hAnsi="Times New Roman;sans-serif"/>
          <w:b w:val="false"/>
          <w:color w:val="000000"/>
          <w:sz w:val="22"/>
        </w:rPr>
        <w:t>SECTION 6.08</w:t>
      </w:r>
      <w:r>
        <w:rPr>
          <w:color w:val="000000"/>
        </w:rPr>
        <w:t>    </w:t>
      </w:r>
      <w:r>
        <w:rPr>
          <w:rFonts w:ascii="Times New Roman;sans-serif" w:hAnsi="Times New Roman;sans-serif"/>
          <w:b w:val="false"/>
          <w:color w:val="000000"/>
          <w:sz w:val="22"/>
          <w:u w:val="single"/>
        </w:rPr>
        <w:t>Restricted Payments; Certain Payments of Indebtedness</w:t>
      </w:r>
      <w:r>
        <w:rPr>
          <w:color w:val="000000"/>
        </w:rPr>
        <w:t>    </w:t>
      </w:r>
      <w:r>
        <w:rPr>
          <w:rFonts w:ascii="Times New Roman;sans-serif" w:hAnsi="Times New Roman;sans-serif"/>
          <w:b w:val="false"/>
          <w:color w:val="000000"/>
          <w:sz w:val="22"/>
        </w:rPr>
        <w:t>118</w:t>
      </w:r>
      <w:r>
        <w:br w:type="page"/>
      </w:r>
    </w:p>
    <w:p>
      <w:pPr>
        <w:pStyle w:val="TextBody"/>
        <w:spacing w:lineRule="auto" w:line="240" w:before="0" w:after="240"/>
        <w:jc w:val="righ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w:t>
      </w:r>
      <w:r>
        <w:rPr>
          <w:rFonts w:ascii="Times New Roman;sans-serif" w:hAnsi="Times New Roman;sans-serif"/>
          <w:b w:val="false"/>
          <w:color w:val="000000"/>
          <w:sz w:val="22"/>
          <w:u w:val="single"/>
        </w:rPr>
        <w:t>age</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60655"/>
                <wp:effectExtent l="0" t="0" r="0" b="0"/>
                <wp:wrapNone/>
                <wp:docPr id="100" name="Frame9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60.6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w:t>
                      </w:r>
                    </w:p>
                  </w:txbxContent>
                </v:textbox>
              </v:rect>
            </w:pict>
          </mc:Fallback>
        </mc:AlternateContent>
      </w:r>
    </w:p>
    <w:p>
      <w:pPr>
        <w:pStyle w:val="TextBody"/>
        <w:spacing w:lineRule="auto" w:line="240" w:before="0" w:after="0"/>
        <w:ind w:left="0" w:right="0" w:hanging="2070"/>
        <w:rPr/>
      </w:pPr>
      <w:r>
        <w:rPr>
          <w:rFonts w:ascii="Times New Roman;sans-serif" w:hAnsi="Times New Roman;sans-serif"/>
          <w:b w:val="false"/>
          <w:color w:val="000000"/>
          <w:sz w:val="22"/>
        </w:rPr>
        <w:t>SECTION 6.09</w:t>
      </w:r>
      <w:r>
        <w:rPr>
          <w:color w:val="000000"/>
        </w:rPr>
        <w:t>    </w:t>
      </w:r>
      <w:r>
        <w:rPr>
          <w:rFonts w:ascii="Times New Roman;sans-serif" w:hAnsi="Times New Roman;sans-serif"/>
          <w:b w:val="false"/>
          <w:color w:val="000000"/>
          <w:sz w:val="22"/>
          <w:u w:val="single"/>
        </w:rPr>
        <w:t>Transactions with Affiliates</w:t>
      </w:r>
      <w:r>
        <w:rPr>
          <w:color w:val="000000"/>
        </w:rPr>
        <w:t>    </w:t>
      </w:r>
      <w:r>
        <w:rPr>
          <w:rFonts w:ascii="Times New Roman;sans-serif" w:hAnsi="Times New Roman;sans-serif"/>
          <w:b w:val="false"/>
          <w:color w:val="000000"/>
          <w:sz w:val="22"/>
        </w:rPr>
        <w:t>121</w:t>
      </w:r>
    </w:p>
    <w:p>
      <w:pPr>
        <w:pStyle w:val="TextBody"/>
        <w:spacing w:lineRule="auto" w:line="240" w:before="0" w:after="0"/>
        <w:ind w:left="0" w:right="0" w:hanging="2070"/>
        <w:rPr/>
      </w:pPr>
      <w:r>
        <w:rPr>
          <w:rFonts w:ascii="Times New Roman;sans-serif" w:hAnsi="Times New Roman;sans-serif"/>
          <w:b w:val="false"/>
          <w:color w:val="000000"/>
          <w:sz w:val="22"/>
        </w:rPr>
        <w:t>SECTION 6.10</w:t>
      </w:r>
      <w:r>
        <w:rPr>
          <w:color w:val="000000"/>
        </w:rPr>
        <w:t>    </w:t>
      </w:r>
      <w:r>
        <w:rPr>
          <w:rFonts w:ascii="Times New Roman;sans-serif" w:hAnsi="Times New Roman;sans-serif"/>
          <w:b w:val="false"/>
          <w:color w:val="000000"/>
          <w:sz w:val="22"/>
          <w:u w:val="single"/>
        </w:rPr>
        <w:t>Restrictive Agreements</w:t>
      </w:r>
      <w:r>
        <w:rPr>
          <w:color w:val="000000"/>
        </w:rPr>
        <w:t>    </w:t>
      </w:r>
      <w:r>
        <w:rPr>
          <w:rFonts w:ascii="Times New Roman;sans-serif" w:hAnsi="Times New Roman;sans-serif"/>
          <w:b w:val="false"/>
          <w:color w:val="000000"/>
          <w:sz w:val="22"/>
        </w:rPr>
        <w:t>122</w:t>
      </w:r>
    </w:p>
    <w:p>
      <w:pPr>
        <w:pStyle w:val="TextBody"/>
        <w:spacing w:lineRule="auto" w:line="240" w:before="0" w:after="0"/>
        <w:ind w:left="0" w:right="0" w:hanging="2070"/>
        <w:rPr/>
      </w:pPr>
      <w:r>
        <w:rPr>
          <w:rFonts w:ascii="Times New Roman;sans-serif" w:hAnsi="Times New Roman;sans-serif"/>
          <w:b w:val="false"/>
          <w:color w:val="000000"/>
          <w:sz w:val="22"/>
        </w:rPr>
        <w:t>SECTION 6.11</w:t>
      </w:r>
      <w:r>
        <w:rPr>
          <w:color w:val="000000"/>
        </w:rPr>
        <w:t>    </w:t>
      </w:r>
      <w:r>
        <w:rPr>
          <w:rFonts w:ascii="Times New Roman;sans-serif" w:hAnsi="Times New Roman;sans-serif"/>
          <w:b w:val="false"/>
          <w:color w:val="000000"/>
          <w:sz w:val="22"/>
          <w:u w:val="single"/>
        </w:rPr>
        <w:t>Amendment of Material Documents</w:t>
      </w:r>
      <w:r>
        <w:rPr>
          <w:color w:val="000000"/>
        </w:rPr>
        <w:t>    </w:t>
      </w:r>
      <w:r>
        <w:rPr>
          <w:rFonts w:ascii="Times New Roman;sans-serif" w:hAnsi="Times New Roman;sans-serif"/>
          <w:b w:val="false"/>
          <w:color w:val="000000"/>
          <w:sz w:val="22"/>
        </w:rPr>
        <w:t>123</w:t>
      </w:r>
    </w:p>
    <w:p>
      <w:pPr>
        <w:pStyle w:val="TextBody"/>
        <w:spacing w:lineRule="auto" w:line="240" w:before="0" w:after="0"/>
        <w:ind w:left="0" w:right="0" w:hanging="2070"/>
        <w:rPr/>
      </w:pPr>
      <w:r>
        <w:rPr>
          <w:rFonts w:ascii="Times New Roman;sans-serif" w:hAnsi="Times New Roman;sans-serif"/>
          <w:b w:val="false"/>
          <w:color w:val="000000"/>
          <w:sz w:val="22"/>
        </w:rPr>
        <w:t>SECTION 6.12</w:t>
      </w:r>
      <w:r>
        <w:rPr>
          <w:color w:val="000000"/>
        </w:rPr>
        <w:t>    </w:t>
      </w:r>
      <w:r>
        <w:rPr>
          <w:rFonts w:ascii="Times New Roman;sans-serif" w:hAnsi="Times New Roman;sans-serif"/>
          <w:b w:val="false"/>
          <w:color w:val="000000"/>
          <w:sz w:val="22"/>
          <w:u w:val="single"/>
        </w:rPr>
        <w:t>Interest Expense Coverage Ratio</w:t>
      </w:r>
      <w:r>
        <w:rPr>
          <w:color w:val="000000"/>
        </w:rPr>
        <w:t>    </w:t>
      </w:r>
      <w:r>
        <w:rPr>
          <w:rFonts w:ascii="Times New Roman;sans-serif" w:hAnsi="Times New Roman;sans-serif"/>
          <w:b w:val="false"/>
          <w:color w:val="000000"/>
          <w:sz w:val="22"/>
        </w:rPr>
        <w:t>123</w:t>
      </w:r>
    </w:p>
    <w:p>
      <w:pPr>
        <w:pStyle w:val="TextBody"/>
        <w:spacing w:lineRule="auto" w:line="240" w:before="0" w:after="0"/>
        <w:ind w:left="0" w:right="0" w:hanging="2070"/>
        <w:rPr/>
      </w:pPr>
      <w:r>
        <w:rPr>
          <w:rFonts w:ascii="Times New Roman;sans-serif" w:hAnsi="Times New Roman;sans-serif"/>
          <w:b w:val="false"/>
          <w:color w:val="000000"/>
          <w:sz w:val="22"/>
        </w:rPr>
        <w:t>SECTION 6.13</w:t>
      </w:r>
      <w:r>
        <w:rPr>
          <w:color w:val="000000"/>
        </w:rPr>
        <w:t>    </w:t>
      </w:r>
      <w:r>
        <w:rPr>
          <w:rFonts w:ascii="Times New Roman;sans-serif" w:hAnsi="Times New Roman;sans-serif"/>
          <w:b w:val="false"/>
          <w:color w:val="000000"/>
          <w:sz w:val="22"/>
          <w:u w:val="single"/>
        </w:rPr>
        <w:t>Total Net Leverage Ratio</w:t>
      </w:r>
      <w:r>
        <w:rPr>
          <w:color w:val="000000"/>
        </w:rPr>
        <w:t>    </w:t>
      </w:r>
      <w:r>
        <w:rPr>
          <w:rFonts w:ascii="Times New Roman;sans-serif" w:hAnsi="Times New Roman;sans-serif"/>
          <w:b w:val="false"/>
          <w:color w:val="000000"/>
          <w:sz w:val="22"/>
        </w:rPr>
        <w:t>123</w:t>
      </w:r>
    </w:p>
    <w:p>
      <w:pPr>
        <w:pStyle w:val="TextBody"/>
        <w:spacing w:lineRule="auto" w:line="240" w:before="0" w:after="0"/>
        <w:ind w:left="0" w:right="0" w:hanging="2070"/>
        <w:rPr/>
      </w:pPr>
      <w:r>
        <w:rPr>
          <w:rFonts w:ascii="Times New Roman;sans-serif" w:hAnsi="Times New Roman;sans-serif"/>
          <w:b w:val="false"/>
          <w:color w:val="000000"/>
          <w:sz w:val="22"/>
        </w:rPr>
        <w:t>SECTION 6.14</w:t>
      </w:r>
      <w:r>
        <w:rPr>
          <w:color w:val="000000"/>
        </w:rPr>
        <w:t>    </w:t>
      </w:r>
      <w:r>
        <w:rPr>
          <w:rFonts w:ascii="Times New Roman;sans-serif" w:hAnsi="Times New Roman;sans-serif"/>
          <w:b w:val="false"/>
          <w:color w:val="000000"/>
          <w:sz w:val="22"/>
          <w:u w:val="single"/>
        </w:rPr>
        <w:t>Use of Proceeds</w:t>
      </w:r>
      <w:r>
        <w:rPr>
          <w:color w:val="000000"/>
        </w:rPr>
        <w:t>    </w:t>
      </w:r>
      <w:r>
        <w:rPr>
          <w:rFonts w:ascii="Times New Roman;sans-serif" w:hAnsi="Times New Roman;sans-serif"/>
          <w:b w:val="false"/>
          <w:color w:val="000000"/>
          <w:sz w:val="22"/>
        </w:rPr>
        <w:t>124</w:t>
      </w:r>
    </w:p>
    <w:p>
      <w:pPr>
        <w:pStyle w:val="TextBody"/>
        <w:spacing w:lineRule="auto" w:line="240"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VII</w:t>
        <w:br/>
        <w:br/>
        <w:t>EVENTS OF DEFAULT</w:t>
      </w:r>
    </w:p>
    <w:p>
      <w:pPr>
        <w:pStyle w:val="TextBody"/>
        <w:spacing w:lineRule="auto" w:line="240"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VIII</w:t>
        <w:br/>
        <w:br/>
        <w:t>THE AGENTS</w:t>
      </w:r>
    </w:p>
    <w:p>
      <w:pPr>
        <w:pStyle w:val="TextBody"/>
        <w:spacing w:lineRule="auto" w:line="240"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IX</w:t>
        <w:br/>
        <w:br/>
        <w:t>[RESERVED]</w:t>
      </w:r>
    </w:p>
    <w:p>
      <w:pPr>
        <w:pStyle w:val="TextBody"/>
        <w:spacing w:lineRule="auto" w:line="240"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X</w:t>
        <w:br/>
        <w:br/>
        <w:t>MISCELLANEOUS</w:t>
      </w:r>
    </w:p>
    <w:p>
      <w:pPr>
        <w:pStyle w:val="TextBody"/>
        <w:spacing w:lineRule="auto" w:line="240" w:before="0" w:after="0"/>
        <w:ind w:left="0" w:right="0" w:hanging="2070"/>
        <w:rPr/>
      </w:pPr>
      <w:r>
        <w:rPr>
          <w:rFonts w:ascii="Times New Roman;sans-serif" w:hAnsi="Times New Roman;sans-serif"/>
          <w:b w:val="false"/>
          <w:color w:val="000000"/>
          <w:sz w:val="22"/>
        </w:rPr>
        <w:t>SECTION 10.01</w:t>
      </w:r>
      <w:r>
        <w:rPr>
          <w:color w:val="000000"/>
        </w:rPr>
        <w:t>    </w:t>
      </w:r>
      <w:r>
        <w:rPr>
          <w:rFonts w:ascii="Times New Roman;sans-serif" w:hAnsi="Times New Roman;sans-serif"/>
          <w:b w:val="false"/>
          <w:color w:val="000000"/>
          <w:sz w:val="22"/>
          <w:u w:val="single"/>
        </w:rPr>
        <w:t>Notices</w:t>
      </w:r>
      <w:r>
        <w:rPr>
          <w:color w:val="000000"/>
        </w:rPr>
        <w:t>    </w:t>
      </w:r>
      <w:r>
        <w:rPr>
          <w:rFonts w:ascii="Times New Roman;sans-serif" w:hAnsi="Times New Roman;sans-serif"/>
          <w:b w:val="false"/>
          <w:color w:val="000000"/>
          <w:sz w:val="22"/>
        </w:rPr>
        <w:t>130</w:t>
      </w:r>
    </w:p>
    <w:p>
      <w:pPr>
        <w:pStyle w:val="TextBody"/>
        <w:spacing w:lineRule="auto" w:line="240" w:before="0" w:after="0"/>
        <w:ind w:left="0" w:right="0" w:hanging="2070"/>
        <w:rPr/>
      </w:pPr>
      <w:r>
        <w:rPr>
          <w:rFonts w:ascii="Times New Roman;sans-serif" w:hAnsi="Times New Roman;sans-serif"/>
          <w:b w:val="false"/>
          <w:color w:val="000000"/>
          <w:sz w:val="22"/>
        </w:rPr>
        <w:t>SECTION 10.02</w:t>
      </w:r>
      <w:r>
        <w:rPr>
          <w:color w:val="000000"/>
        </w:rPr>
        <w:t>    </w:t>
      </w:r>
      <w:r>
        <w:rPr>
          <w:rFonts w:ascii="Times New Roman;sans-serif" w:hAnsi="Times New Roman;sans-serif"/>
          <w:b w:val="false"/>
          <w:color w:val="000000"/>
          <w:sz w:val="22"/>
          <w:u w:val="single"/>
        </w:rPr>
        <w:t>Waivers; Amendments</w:t>
      </w:r>
      <w:r>
        <w:rPr>
          <w:color w:val="000000"/>
        </w:rPr>
        <w:t>    </w:t>
      </w:r>
      <w:r>
        <w:rPr>
          <w:rFonts w:ascii="Times New Roman;sans-serif" w:hAnsi="Times New Roman;sans-serif"/>
          <w:b w:val="false"/>
          <w:color w:val="000000"/>
          <w:sz w:val="22"/>
        </w:rPr>
        <w:t>131</w:t>
      </w:r>
    </w:p>
    <w:p>
      <w:pPr>
        <w:pStyle w:val="TextBody"/>
        <w:spacing w:lineRule="auto" w:line="240" w:before="0" w:after="0"/>
        <w:ind w:left="0" w:right="0" w:hanging="2070"/>
        <w:rPr/>
      </w:pPr>
      <w:r>
        <w:rPr>
          <w:rFonts w:ascii="Times New Roman;sans-serif" w:hAnsi="Times New Roman;sans-serif"/>
          <w:b w:val="false"/>
          <w:color w:val="000000"/>
          <w:sz w:val="22"/>
        </w:rPr>
        <w:t>SECTION 10.03</w:t>
      </w:r>
      <w:r>
        <w:rPr>
          <w:color w:val="000000"/>
        </w:rPr>
        <w:t>    </w:t>
      </w:r>
      <w:r>
        <w:rPr>
          <w:rFonts w:ascii="Times New Roman;sans-serif" w:hAnsi="Times New Roman;sans-serif"/>
          <w:b w:val="false"/>
          <w:color w:val="000000"/>
          <w:sz w:val="22"/>
          <w:u w:val="single"/>
        </w:rPr>
        <w:t>Expenses; Indemnity; Damage Waiver</w:t>
      </w:r>
      <w:r>
        <w:rPr>
          <w:color w:val="000000"/>
        </w:rPr>
        <w:t>    </w:t>
      </w:r>
      <w:r>
        <w:rPr>
          <w:rFonts w:ascii="Times New Roman;sans-serif" w:hAnsi="Times New Roman;sans-serif"/>
          <w:b w:val="false"/>
          <w:color w:val="000000"/>
          <w:sz w:val="22"/>
        </w:rPr>
        <w:t>134</w:t>
      </w:r>
    </w:p>
    <w:p>
      <w:pPr>
        <w:pStyle w:val="TextBody"/>
        <w:spacing w:lineRule="auto" w:line="240" w:before="0" w:after="0"/>
        <w:ind w:left="0" w:right="0" w:hanging="2070"/>
        <w:rPr/>
      </w:pPr>
      <w:r>
        <w:rPr>
          <w:rFonts w:ascii="Times New Roman;sans-serif" w:hAnsi="Times New Roman;sans-serif"/>
          <w:b w:val="false"/>
          <w:color w:val="000000"/>
          <w:sz w:val="22"/>
        </w:rPr>
        <w:t>SECTION 10.04</w:t>
      </w:r>
      <w:r>
        <w:rPr>
          <w:color w:val="000000"/>
        </w:rPr>
        <w:t>    </w:t>
      </w:r>
      <w:r>
        <w:rPr>
          <w:rFonts w:ascii="Times New Roman;sans-serif" w:hAnsi="Times New Roman;sans-serif"/>
          <w:b w:val="false"/>
          <w:color w:val="000000"/>
          <w:sz w:val="22"/>
          <w:u w:val="single"/>
        </w:rPr>
        <w:t>Successors and Assigns</w:t>
      </w:r>
      <w:r>
        <w:rPr>
          <w:color w:val="000000"/>
        </w:rPr>
        <w:t>    </w:t>
      </w:r>
      <w:r>
        <w:rPr>
          <w:rFonts w:ascii="Times New Roman;sans-serif" w:hAnsi="Times New Roman;sans-serif"/>
          <w:b w:val="false"/>
          <w:color w:val="000000"/>
          <w:sz w:val="22"/>
        </w:rPr>
        <w:t>135</w:t>
      </w:r>
    </w:p>
    <w:p>
      <w:pPr>
        <w:pStyle w:val="TextBody"/>
        <w:spacing w:lineRule="auto" w:line="240" w:before="0" w:after="0"/>
        <w:ind w:left="0" w:right="0" w:hanging="2070"/>
        <w:rPr/>
      </w:pPr>
      <w:r>
        <w:rPr>
          <w:rFonts w:ascii="Times New Roman;sans-serif" w:hAnsi="Times New Roman;sans-serif"/>
          <w:b w:val="false"/>
          <w:color w:val="000000"/>
          <w:sz w:val="22"/>
        </w:rPr>
        <w:t>SECTION 10.05</w:t>
      </w:r>
      <w:r>
        <w:rPr>
          <w:color w:val="000000"/>
        </w:rPr>
        <w:t>    </w:t>
      </w:r>
      <w:r>
        <w:rPr>
          <w:rFonts w:ascii="Times New Roman;sans-serif" w:hAnsi="Times New Roman;sans-serif"/>
          <w:b w:val="false"/>
          <w:color w:val="000000"/>
          <w:sz w:val="22"/>
          <w:u w:val="single"/>
        </w:rPr>
        <w:t>Survival</w:t>
      </w:r>
      <w:r>
        <w:rPr>
          <w:color w:val="000000"/>
        </w:rPr>
        <w:t>    </w:t>
      </w:r>
      <w:r>
        <w:rPr>
          <w:rFonts w:ascii="Times New Roman;sans-serif" w:hAnsi="Times New Roman;sans-serif"/>
          <w:b w:val="false"/>
          <w:color w:val="000000"/>
          <w:sz w:val="22"/>
        </w:rPr>
        <w:t>138</w:t>
      </w:r>
    </w:p>
    <w:p>
      <w:pPr>
        <w:pStyle w:val="TextBody"/>
        <w:spacing w:lineRule="auto" w:line="240" w:before="0" w:after="0"/>
        <w:ind w:left="0" w:right="0" w:hanging="2070"/>
        <w:rPr/>
      </w:pPr>
      <w:r>
        <w:rPr>
          <w:rFonts w:ascii="Times New Roman;sans-serif" w:hAnsi="Times New Roman;sans-serif"/>
          <w:b w:val="false"/>
          <w:color w:val="000000"/>
          <w:sz w:val="22"/>
        </w:rPr>
        <w:t>SECTION 10.06</w:t>
      </w:r>
      <w:r>
        <w:rPr>
          <w:color w:val="000000"/>
        </w:rPr>
        <w:t>    </w:t>
      </w:r>
      <w:r>
        <w:rPr>
          <w:rFonts w:ascii="Times New Roman;sans-serif" w:hAnsi="Times New Roman;sans-serif"/>
          <w:b w:val="false"/>
          <w:color w:val="000000"/>
          <w:sz w:val="22"/>
          <w:u w:val="single"/>
        </w:rPr>
        <w:t>Counterparts; Integration; Effectiveness</w:t>
      </w:r>
      <w:r>
        <w:rPr>
          <w:color w:val="000000"/>
        </w:rPr>
        <w:t>    </w:t>
      </w:r>
      <w:r>
        <w:rPr>
          <w:rFonts w:ascii="Times New Roman;sans-serif" w:hAnsi="Times New Roman;sans-serif"/>
          <w:b w:val="false"/>
          <w:color w:val="000000"/>
          <w:sz w:val="22"/>
        </w:rPr>
        <w:t>139</w:t>
      </w:r>
    </w:p>
    <w:p>
      <w:pPr>
        <w:pStyle w:val="TextBody"/>
        <w:spacing w:lineRule="auto" w:line="240" w:before="0" w:after="0"/>
        <w:ind w:left="0" w:right="0" w:hanging="2070"/>
        <w:rPr/>
      </w:pPr>
      <w:r>
        <w:rPr>
          <w:rFonts w:ascii="Times New Roman;sans-serif" w:hAnsi="Times New Roman;sans-serif"/>
          <w:b w:val="false"/>
          <w:color w:val="000000"/>
          <w:sz w:val="22"/>
        </w:rPr>
        <w:t>SECTION 10.07</w:t>
      </w:r>
      <w:r>
        <w:rPr>
          <w:color w:val="000000"/>
        </w:rPr>
        <w:t>    </w:t>
      </w:r>
      <w:r>
        <w:rPr>
          <w:rFonts w:ascii="Times New Roman;sans-serif" w:hAnsi="Times New Roman;sans-serif"/>
          <w:b w:val="false"/>
          <w:color w:val="000000"/>
          <w:sz w:val="22"/>
          <w:u w:val="single"/>
        </w:rPr>
        <w:t>Severability</w:t>
      </w:r>
      <w:r>
        <w:rPr>
          <w:color w:val="000000"/>
        </w:rPr>
        <w:t>    </w:t>
      </w:r>
      <w:r>
        <w:rPr>
          <w:rFonts w:ascii="Times New Roman;sans-serif" w:hAnsi="Times New Roman;sans-serif"/>
          <w:b w:val="false"/>
          <w:color w:val="000000"/>
          <w:sz w:val="22"/>
        </w:rPr>
        <w:t>139</w:t>
      </w:r>
    </w:p>
    <w:p>
      <w:pPr>
        <w:pStyle w:val="TextBody"/>
        <w:spacing w:lineRule="auto" w:line="240" w:before="0" w:after="0"/>
        <w:ind w:left="0" w:right="0" w:hanging="2070"/>
        <w:rPr/>
      </w:pPr>
      <w:r>
        <w:rPr>
          <w:rFonts w:ascii="Times New Roman;sans-serif" w:hAnsi="Times New Roman;sans-serif"/>
          <w:b w:val="false"/>
          <w:color w:val="000000"/>
          <w:sz w:val="22"/>
        </w:rPr>
        <w:t>SECTION 10.08</w:t>
      </w:r>
      <w:r>
        <w:rPr>
          <w:color w:val="000000"/>
        </w:rPr>
        <w:t>    </w:t>
      </w:r>
      <w:r>
        <w:rPr>
          <w:rFonts w:ascii="Times New Roman;sans-serif" w:hAnsi="Times New Roman;sans-serif"/>
          <w:b w:val="false"/>
          <w:color w:val="000000"/>
          <w:sz w:val="22"/>
          <w:u w:val="single"/>
        </w:rPr>
        <w:t>Right of Setoff</w:t>
      </w:r>
      <w:r>
        <w:rPr>
          <w:color w:val="000000"/>
        </w:rPr>
        <w:t>    </w:t>
      </w:r>
      <w:r>
        <w:rPr>
          <w:rFonts w:ascii="Times New Roman;sans-serif" w:hAnsi="Times New Roman;sans-serif"/>
          <w:b w:val="false"/>
          <w:color w:val="000000"/>
          <w:sz w:val="22"/>
        </w:rPr>
        <w:t>139</w:t>
      </w:r>
    </w:p>
    <w:p>
      <w:pPr>
        <w:pStyle w:val="TextBody"/>
        <w:spacing w:lineRule="auto" w:line="240" w:before="0" w:after="0"/>
        <w:ind w:left="0" w:right="0" w:hanging="2070"/>
        <w:rPr/>
      </w:pPr>
      <w:r>
        <w:rPr>
          <w:rFonts w:ascii="Times New Roman;sans-serif" w:hAnsi="Times New Roman;sans-serif"/>
          <w:b w:val="false"/>
          <w:color w:val="000000"/>
          <w:sz w:val="22"/>
        </w:rPr>
        <w:t>SECTION 10.09</w:t>
      </w:r>
      <w:r>
        <w:rPr>
          <w:color w:val="000000"/>
        </w:rPr>
        <w:t>    </w:t>
      </w:r>
      <w:r>
        <w:rPr>
          <w:rFonts w:ascii="Times New Roman;sans-serif" w:hAnsi="Times New Roman;sans-serif"/>
          <w:b w:val="false"/>
          <w:color w:val="000000"/>
          <w:sz w:val="22"/>
          <w:u w:val="single"/>
        </w:rPr>
        <w:t>Governing Law; Jurisdiction; Consent to Service of Process</w:t>
      </w:r>
      <w:r>
        <w:rPr>
          <w:color w:val="000000"/>
        </w:rPr>
        <w:t>    </w:t>
      </w:r>
      <w:r>
        <w:rPr>
          <w:rFonts w:ascii="Times New Roman;sans-serif" w:hAnsi="Times New Roman;sans-serif"/>
          <w:b w:val="false"/>
          <w:color w:val="000000"/>
          <w:sz w:val="22"/>
        </w:rPr>
        <w:t>139</w:t>
      </w:r>
    </w:p>
    <w:p>
      <w:pPr>
        <w:pStyle w:val="TextBody"/>
        <w:spacing w:lineRule="auto" w:line="240" w:before="0" w:after="0"/>
        <w:ind w:left="0" w:right="0" w:hanging="2070"/>
        <w:rPr/>
      </w:pPr>
      <w:r>
        <w:rPr>
          <w:rFonts w:ascii="Times New Roman;sans-serif" w:hAnsi="Times New Roman;sans-serif"/>
          <w:b w:val="false"/>
          <w:color w:val="000000"/>
          <w:sz w:val="22"/>
        </w:rPr>
        <w:t>SECTION 10.10</w:t>
      </w:r>
      <w:r>
        <w:rPr>
          <w:color w:val="000000"/>
        </w:rPr>
        <w:t>    </w:t>
      </w:r>
      <w:r>
        <w:rPr>
          <w:rFonts w:ascii="Times New Roman;sans-serif" w:hAnsi="Times New Roman;sans-serif"/>
          <w:b w:val="false"/>
          <w:color w:val="000000"/>
          <w:sz w:val="22"/>
          <w:u w:val="single"/>
        </w:rPr>
        <w:t>WAIVER OF JURY TRIAL</w:t>
      </w:r>
      <w:r>
        <w:rPr>
          <w:color w:val="000000"/>
        </w:rPr>
        <w:t>    </w:t>
      </w:r>
      <w:r>
        <w:rPr>
          <w:rFonts w:ascii="Times New Roman;sans-serif" w:hAnsi="Times New Roman;sans-serif"/>
          <w:b w:val="false"/>
          <w:color w:val="000000"/>
          <w:sz w:val="22"/>
        </w:rPr>
        <w:t>140</w:t>
      </w:r>
    </w:p>
    <w:p>
      <w:pPr>
        <w:pStyle w:val="TextBody"/>
        <w:spacing w:lineRule="auto" w:line="240" w:before="0" w:after="0"/>
        <w:ind w:left="0" w:right="0" w:hanging="2070"/>
        <w:rPr/>
      </w:pPr>
      <w:r>
        <w:rPr>
          <w:rFonts w:ascii="Times New Roman;sans-serif" w:hAnsi="Times New Roman;sans-serif"/>
          <w:b w:val="false"/>
          <w:color w:val="000000"/>
          <w:sz w:val="22"/>
        </w:rPr>
        <w:t>SECTION 10.11</w:t>
      </w:r>
      <w:r>
        <w:rPr>
          <w:color w:val="000000"/>
        </w:rPr>
        <w:t>    </w:t>
      </w:r>
      <w:r>
        <w:rPr>
          <w:rFonts w:ascii="Times New Roman;sans-serif" w:hAnsi="Times New Roman;sans-serif"/>
          <w:b w:val="false"/>
          <w:color w:val="000000"/>
          <w:sz w:val="22"/>
          <w:u w:val="single"/>
        </w:rPr>
        <w:t>Headings</w:t>
      </w:r>
      <w:r>
        <w:rPr>
          <w:color w:val="000000"/>
        </w:rPr>
        <w:t>    </w:t>
      </w:r>
      <w:r>
        <w:rPr>
          <w:rFonts w:ascii="Times New Roman;sans-serif" w:hAnsi="Times New Roman;sans-serif"/>
          <w:b w:val="false"/>
          <w:color w:val="000000"/>
          <w:sz w:val="22"/>
        </w:rPr>
        <w:t>140</w:t>
      </w:r>
    </w:p>
    <w:p>
      <w:pPr>
        <w:pStyle w:val="TextBody"/>
        <w:spacing w:lineRule="auto" w:line="240" w:before="0" w:after="0"/>
        <w:ind w:left="0" w:right="0" w:hanging="2070"/>
        <w:rPr/>
      </w:pPr>
      <w:r>
        <w:rPr>
          <w:rFonts w:ascii="Times New Roman;sans-serif" w:hAnsi="Times New Roman;sans-serif"/>
          <w:b w:val="false"/>
          <w:color w:val="000000"/>
          <w:sz w:val="22"/>
        </w:rPr>
        <w:t>SECTION 10.12</w:t>
      </w:r>
      <w:r>
        <w:rPr>
          <w:color w:val="000000"/>
        </w:rPr>
        <w:t>    </w:t>
      </w:r>
      <w:r>
        <w:rPr>
          <w:rFonts w:ascii="Times New Roman;sans-serif" w:hAnsi="Times New Roman;sans-serif"/>
          <w:b w:val="false"/>
          <w:color w:val="000000"/>
          <w:sz w:val="22"/>
          <w:u w:val="single"/>
        </w:rPr>
        <w:t>Confidentiality</w:t>
      </w:r>
      <w:r>
        <w:rPr>
          <w:color w:val="000000"/>
        </w:rPr>
        <w:t>    </w:t>
      </w:r>
      <w:r>
        <w:rPr>
          <w:rFonts w:ascii="Times New Roman;sans-serif" w:hAnsi="Times New Roman;sans-serif"/>
          <w:b w:val="false"/>
          <w:color w:val="000000"/>
          <w:sz w:val="22"/>
        </w:rPr>
        <w:t>140</w:t>
      </w:r>
    </w:p>
    <w:p>
      <w:pPr>
        <w:pStyle w:val="TextBody"/>
        <w:spacing w:lineRule="auto" w:line="240" w:before="0" w:after="0"/>
        <w:ind w:left="0" w:right="0" w:hanging="2070"/>
        <w:rPr/>
      </w:pPr>
      <w:r>
        <w:rPr>
          <w:rFonts w:ascii="Times New Roman;sans-serif" w:hAnsi="Times New Roman;sans-serif"/>
          <w:b w:val="false"/>
          <w:color w:val="000000"/>
          <w:sz w:val="22"/>
        </w:rPr>
        <w:t>SECTION 10.13</w:t>
      </w:r>
      <w:r>
        <w:rPr>
          <w:color w:val="000000"/>
        </w:rPr>
        <w:t>    </w:t>
      </w:r>
      <w:r>
        <w:rPr>
          <w:rFonts w:ascii="Times New Roman;sans-serif" w:hAnsi="Times New Roman;sans-serif"/>
          <w:b w:val="false"/>
          <w:color w:val="000000"/>
          <w:sz w:val="22"/>
          <w:u w:val="single"/>
        </w:rPr>
        <w:t>Interest Rate Limitation</w:t>
      </w:r>
      <w:r>
        <w:rPr>
          <w:color w:val="000000"/>
        </w:rPr>
        <w:t>    </w:t>
      </w:r>
      <w:r>
        <w:rPr>
          <w:rFonts w:ascii="Times New Roman;sans-serif" w:hAnsi="Times New Roman;sans-serif"/>
          <w:b w:val="false"/>
          <w:color w:val="000000"/>
          <w:sz w:val="22"/>
        </w:rPr>
        <w:t>141</w:t>
      </w:r>
    </w:p>
    <w:p>
      <w:pPr>
        <w:pStyle w:val="TextBody"/>
        <w:spacing w:lineRule="auto" w:line="240" w:before="0" w:after="0"/>
        <w:ind w:left="0" w:right="0" w:hanging="2070"/>
        <w:rPr/>
      </w:pPr>
      <w:r>
        <w:rPr>
          <w:rFonts w:ascii="Times New Roman;sans-serif" w:hAnsi="Times New Roman;sans-serif"/>
          <w:b w:val="false"/>
          <w:color w:val="000000"/>
          <w:sz w:val="22"/>
        </w:rPr>
        <w:t>SECTION 10.14</w:t>
      </w:r>
      <w:r>
        <w:rPr>
          <w:color w:val="000000"/>
        </w:rPr>
        <w:t>    </w:t>
      </w:r>
      <w:r>
        <w:rPr>
          <w:rFonts w:ascii="Times New Roman;sans-serif" w:hAnsi="Times New Roman;sans-serif"/>
          <w:b w:val="false"/>
          <w:color w:val="000000"/>
          <w:sz w:val="22"/>
          <w:u w:val="single"/>
        </w:rPr>
        <w:t>Judgment Currency</w:t>
      </w:r>
      <w:r>
        <w:rPr>
          <w:color w:val="000000"/>
        </w:rPr>
        <w:t>    </w:t>
      </w:r>
      <w:r>
        <w:rPr>
          <w:rFonts w:ascii="Times New Roman;sans-serif" w:hAnsi="Times New Roman;sans-serif"/>
          <w:b w:val="false"/>
          <w:color w:val="000000"/>
          <w:sz w:val="22"/>
        </w:rPr>
        <w:t>141</w:t>
      </w:r>
    </w:p>
    <w:p>
      <w:pPr>
        <w:pStyle w:val="TextBody"/>
        <w:spacing w:lineRule="auto" w:line="240" w:before="0" w:after="0"/>
        <w:ind w:left="0" w:right="0" w:hanging="2070"/>
        <w:rPr/>
      </w:pPr>
      <w:r>
        <w:rPr>
          <w:rFonts w:ascii="Times New Roman;sans-serif" w:hAnsi="Times New Roman;sans-serif"/>
          <w:b w:val="false"/>
          <w:color w:val="000000"/>
          <w:sz w:val="22"/>
        </w:rPr>
        <w:t>SECTION 10.15</w:t>
      </w:r>
      <w:r>
        <w:rPr>
          <w:color w:val="000000"/>
        </w:rPr>
        <w:t>    </w:t>
      </w:r>
      <w:r>
        <w:rPr>
          <w:rFonts w:ascii="Times New Roman;sans-serif" w:hAnsi="Times New Roman;sans-serif"/>
          <w:b w:val="false"/>
          <w:color w:val="000000"/>
          <w:sz w:val="22"/>
          <w:u w:val="single"/>
        </w:rPr>
        <w:t>[Reserved]</w:t>
      </w:r>
      <w:r>
        <w:rPr>
          <w:color w:val="000000"/>
        </w:rPr>
        <w:t>    </w:t>
      </w:r>
      <w:r>
        <w:rPr>
          <w:rFonts w:ascii="Times New Roman;sans-serif" w:hAnsi="Times New Roman;sans-serif"/>
          <w:b w:val="false"/>
          <w:color w:val="000000"/>
          <w:sz w:val="22"/>
        </w:rPr>
        <w:t>142</w:t>
      </w:r>
    </w:p>
    <w:p>
      <w:pPr>
        <w:pStyle w:val="TextBody"/>
        <w:spacing w:lineRule="auto" w:line="240" w:before="0" w:after="0"/>
        <w:ind w:left="0" w:right="0" w:hanging="2070"/>
        <w:rPr/>
      </w:pPr>
      <w:r>
        <w:rPr>
          <w:rFonts w:ascii="Times New Roman;sans-serif" w:hAnsi="Times New Roman;sans-serif"/>
          <w:b w:val="false"/>
          <w:color w:val="000000"/>
          <w:sz w:val="22"/>
        </w:rPr>
        <w:t>SECTION 10.16</w:t>
      </w:r>
      <w:r>
        <w:rPr>
          <w:color w:val="000000"/>
        </w:rPr>
        <w:t>    </w:t>
      </w:r>
      <w:r>
        <w:rPr>
          <w:rFonts w:ascii="Times New Roman;sans-serif" w:hAnsi="Times New Roman;sans-serif"/>
          <w:b w:val="false"/>
          <w:color w:val="000000"/>
          <w:sz w:val="22"/>
          <w:u w:val="single"/>
        </w:rPr>
        <w:t>PATRIOT Act</w:t>
      </w:r>
      <w:r>
        <w:rPr>
          <w:color w:val="000000"/>
        </w:rPr>
        <w:t>    </w:t>
      </w:r>
      <w:r>
        <w:rPr>
          <w:rFonts w:ascii="Times New Roman;sans-serif" w:hAnsi="Times New Roman;sans-serif"/>
          <w:b w:val="false"/>
          <w:color w:val="000000"/>
          <w:sz w:val="22"/>
        </w:rPr>
        <w:t>142</w:t>
      </w:r>
    </w:p>
    <w:p>
      <w:pPr>
        <w:pStyle w:val="TextBody"/>
        <w:spacing w:lineRule="auto" w:line="240" w:before="0" w:after="0"/>
        <w:ind w:left="0" w:right="0" w:hanging="2070"/>
        <w:rPr/>
      </w:pPr>
      <w:r>
        <w:rPr>
          <w:rFonts w:ascii="Times New Roman;sans-serif" w:hAnsi="Times New Roman;sans-serif"/>
          <w:b w:val="false"/>
          <w:color w:val="000000"/>
          <w:sz w:val="22"/>
        </w:rPr>
        <w:t>SECTION 10.17</w:t>
      </w:r>
      <w:r>
        <w:rPr>
          <w:color w:val="000000"/>
        </w:rPr>
        <w:t>    </w:t>
      </w:r>
      <w:r>
        <w:rPr>
          <w:rFonts w:ascii="Times New Roman;sans-serif" w:hAnsi="Times New Roman;sans-serif"/>
          <w:b w:val="false"/>
          <w:color w:val="000000"/>
          <w:sz w:val="22"/>
          <w:u w:val="single"/>
        </w:rPr>
        <w:t>No Fiduciary Duty</w:t>
      </w:r>
      <w:r>
        <w:rPr>
          <w:color w:val="000000"/>
        </w:rPr>
        <w:t>    </w:t>
      </w:r>
      <w:r>
        <w:rPr>
          <w:rFonts w:ascii="Times New Roman;sans-serif" w:hAnsi="Times New Roman;sans-serif"/>
          <w:b w:val="false"/>
          <w:color w:val="000000"/>
          <w:sz w:val="22"/>
        </w:rPr>
        <w:t>142</w:t>
      </w:r>
    </w:p>
    <w:p>
      <w:pPr>
        <w:pStyle w:val="TextBody"/>
        <w:spacing w:lineRule="auto" w:line="240" w:before="0" w:after="0"/>
        <w:ind w:left="0" w:right="0" w:hanging="2070"/>
        <w:rPr/>
      </w:pPr>
      <w:r>
        <w:rPr>
          <w:rFonts w:ascii="Times New Roman;sans-serif" w:hAnsi="Times New Roman;sans-serif"/>
          <w:b w:val="false"/>
          <w:color w:val="000000"/>
          <w:sz w:val="22"/>
        </w:rPr>
        <w:t>SECTION 10.18</w:t>
      </w:r>
      <w:r>
        <w:rPr>
          <w:color w:val="000000"/>
        </w:rPr>
        <w:t>    </w:t>
      </w:r>
      <w:r>
        <w:rPr>
          <w:rFonts w:ascii="Times New Roman;sans-serif" w:hAnsi="Times New Roman;sans-serif"/>
          <w:b w:val="false"/>
          <w:color w:val="000000"/>
          <w:sz w:val="22"/>
          <w:u w:val="single"/>
        </w:rPr>
        <w:t>Parallel Debt</w:t>
      </w:r>
      <w:r>
        <w:rPr>
          <w:color w:val="000000"/>
        </w:rPr>
        <w:t>    </w:t>
      </w:r>
      <w:r>
        <w:rPr>
          <w:rFonts w:ascii="Times New Roman;sans-serif" w:hAnsi="Times New Roman;sans-serif"/>
          <w:b w:val="false"/>
          <w:color w:val="000000"/>
          <w:sz w:val="22"/>
        </w:rPr>
        <w:t>142</w:t>
      </w:r>
    </w:p>
    <w:p>
      <w:pPr>
        <w:pStyle w:val="TextBody"/>
        <w:spacing w:lineRule="auto" w:line="240" w:before="0" w:after="0"/>
        <w:ind w:left="0" w:right="0" w:hanging="2070"/>
        <w:rPr/>
      </w:pPr>
      <w:r>
        <w:rPr>
          <w:rFonts w:ascii="Times New Roman;sans-serif" w:hAnsi="Times New Roman;sans-serif"/>
          <w:b w:val="false"/>
          <w:color w:val="000000"/>
          <w:sz w:val="22"/>
        </w:rPr>
        <w:t>SECTION 10.19</w:t>
      </w:r>
      <w:r>
        <w:rPr>
          <w:color w:val="000000"/>
        </w:rPr>
        <w:t>    </w:t>
      </w:r>
      <w:r>
        <w:rPr>
          <w:rFonts w:ascii="Times New Roman;sans-serif" w:hAnsi="Times New Roman;sans-serif"/>
          <w:b w:val="false"/>
          <w:color w:val="000000"/>
          <w:sz w:val="22"/>
          <w:u w:val="single"/>
        </w:rPr>
        <w:t>No Novation</w:t>
      </w:r>
      <w:r>
        <w:rPr>
          <w:color w:val="000000"/>
        </w:rPr>
        <w:t>    </w:t>
      </w:r>
      <w:r>
        <w:rPr>
          <w:rFonts w:ascii="Times New Roman;sans-serif" w:hAnsi="Times New Roman;sans-serif"/>
          <w:b w:val="false"/>
          <w:color w:val="000000"/>
          <w:sz w:val="22"/>
        </w:rPr>
        <w:t>144</w:t>
      </w:r>
    </w:p>
    <w:p>
      <w:pPr>
        <w:pStyle w:val="TextBody"/>
        <w:spacing w:lineRule="auto" w:line="240" w:before="0" w:after="0"/>
        <w:ind w:left="0" w:right="0" w:hanging="2070"/>
        <w:rPr/>
      </w:pPr>
      <w:r>
        <w:rPr>
          <w:rFonts w:ascii="Times New Roman;sans-serif" w:hAnsi="Times New Roman;sans-serif"/>
          <w:b w:val="false"/>
          <w:color w:val="000000"/>
          <w:sz w:val="22"/>
        </w:rPr>
        <w:t>SECTION 10.20</w:t>
      </w:r>
      <w:r>
        <w:rPr>
          <w:color w:val="000000"/>
        </w:rPr>
        <w:t>    </w:t>
      </w:r>
      <w:r>
        <w:rPr>
          <w:rFonts w:ascii="Times New Roman;sans-serif" w:hAnsi="Times New Roman;sans-serif"/>
          <w:b w:val="false"/>
          <w:color w:val="000000"/>
          <w:sz w:val="22"/>
          <w:u w:val="single"/>
        </w:rPr>
        <w:t>Acknowledgement and Consent to Bail-In of Affected Financial Institutions</w:t>
      </w:r>
      <w:r>
        <w:rPr>
          <w:color w:val="000000"/>
        </w:rPr>
        <w:t>    </w:t>
      </w:r>
      <w:r>
        <w:rPr>
          <w:rFonts w:ascii="Times New Roman;sans-serif" w:hAnsi="Times New Roman;sans-serif"/>
          <w:b w:val="false"/>
          <w:color w:val="000000"/>
          <w:sz w:val="22"/>
        </w:rPr>
        <w:t>144</w:t>
      </w:r>
    </w:p>
    <w:p>
      <w:pPr>
        <w:pStyle w:val="TextBody"/>
        <w:spacing w:lineRule="auto" w:line="240" w:before="0" w:after="0"/>
        <w:ind w:left="0" w:right="0" w:hanging="2070"/>
        <w:rPr/>
      </w:pPr>
      <w:r>
        <w:rPr>
          <w:rFonts w:ascii="Times New Roman;sans-serif" w:hAnsi="Times New Roman;sans-serif"/>
          <w:b w:val="false"/>
          <w:color w:val="000000"/>
          <w:sz w:val="22"/>
        </w:rPr>
        <w:t>SECTION 10.21</w:t>
      </w:r>
      <w:r>
        <w:rPr>
          <w:color w:val="000000"/>
        </w:rPr>
        <w:t>    </w:t>
      </w:r>
      <w:r>
        <w:rPr>
          <w:rFonts w:ascii="Times New Roman;sans-serif" w:hAnsi="Times New Roman;sans-serif"/>
          <w:b w:val="false"/>
          <w:color w:val="000000"/>
          <w:sz w:val="22"/>
          <w:u w:val="single"/>
        </w:rPr>
        <w:t>MIRE Events</w:t>
      </w:r>
      <w:r>
        <w:rPr>
          <w:color w:val="000000"/>
        </w:rPr>
        <w:t>    </w:t>
      </w:r>
      <w:r>
        <w:rPr>
          <w:rFonts w:ascii="Times New Roman;sans-serif" w:hAnsi="Times New Roman;sans-serif"/>
          <w:b w:val="false"/>
          <w:color w:val="000000"/>
          <w:sz w:val="22"/>
        </w:rPr>
        <w:t>144</w:t>
      </w:r>
    </w:p>
    <w:p>
      <w:pPr>
        <w:pStyle w:val="TextBody"/>
        <w:spacing w:lineRule="auto" w:line="240" w:before="0" w:after="0"/>
        <w:ind w:left="0" w:right="0" w:hanging="2070"/>
        <w:rPr/>
      </w:pPr>
      <w:r>
        <w:rPr>
          <w:rFonts w:ascii="Times New Roman;sans-serif" w:hAnsi="Times New Roman;sans-serif"/>
          <w:b w:val="false"/>
          <w:color w:val="000000"/>
          <w:sz w:val="22"/>
        </w:rPr>
        <w:t>SECTION 10.22</w:t>
      </w:r>
      <w:r>
        <w:rPr>
          <w:color w:val="000000"/>
        </w:rPr>
        <w:t>    </w:t>
      </w:r>
      <w:r>
        <w:rPr>
          <w:rFonts w:ascii="Times New Roman;sans-serif" w:hAnsi="Times New Roman;sans-serif"/>
          <w:b w:val="false"/>
          <w:color w:val="000000"/>
          <w:sz w:val="22"/>
          <w:u w:val="single"/>
        </w:rPr>
        <w:t>Acknowledgement Regarding Any Supported QFCs</w:t>
      </w:r>
      <w:r>
        <w:rPr>
          <w:color w:val="000000"/>
        </w:rPr>
        <w:t>    </w:t>
      </w:r>
      <w:r>
        <w:rPr>
          <w:rFonts w:ascii="Times New Roman;sans-serif" w:hAnsi="Times New Roman;sans-serif"/>
          <w:b w:val="false"/>
          <w:color w:val="000000"/>
          <w:sz w:val="22"/>
        </w:rPr>
        <w:t>144</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60655"/>
                <wp:effectExtent l="0" t="0" r="0" b="0"/>
                <wp:wrapNone/>
                <wp:docPr id="101" name="Frame10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-iii-</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SCHEDULES</w:t>
      </w:r>
      <w:r>
        <w:rPr>
          <w:rFonts w:ascii="Times New Roman;sans-serif" w:hAnsi="Times New Roman;sans-serif"/>
          <w:b w:val="false"/>
          <w:color w:val="000000"/>
          <w:sz w:val="22"/>
        </w:rPr>
        <w:t>:</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Schedule 1.01(a)    –    Existing Letters of Credit</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Schedule 1.01(b)    –    Administrative Schedule</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Schedule 1.01(c)    –    Foreign Currency Lenders</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Schedule 2.01    –    Commitments</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Schedule 3.05    –    Real Property</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Schedule 3.06    –    Disclosed Matters</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Schedule 3.12    –    Subsidiaries</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Schedule 3.13    –    Insurance</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Schedule 6.01    –    Existing Indebtedness</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Schedule 6.02    –    Existing Liens</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Schedule 6.04    –    Existing Investments</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Schedule 6.05    –    Asset Sales</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Schedule 6.09    –    Existing Affiliate Transactions</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Schedule 6.10    –    Existing Restrictions</w:t>
      </w:r>
    </w:p>
    <w:p>
      <w:pPr>
        <w:pStyle w:val="TextBody"/>
        <w:spacing w:lineRule="auto" w:line="240" w:before="0" w:after="240"/>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EXHIBITS</w:t>
      </w:r>
      <w:r>
        <w:rPr>
          <w:rFonts w:ascii="Times New Roman;sans-serif" w:hAnsi="Times New Roman;sans-serif"/>
          <w:b w:val="false"/>
          <w:color w:val="000000"/>
          <w:sz w:val="22"/>
        </w:rPr>
        <w:t>:</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Exhibit A    –    Form of Assignment and Assumption</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Exhibit B    –    Form of Borrowing Request</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Exhibit C    –    Form of Foreign Subsidiary Borrowing Agreement</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Exhibit D    –    Form of Guarantee Agreement</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Exhibit E    –    Form of Indemnity, Subrogation and Contribution Agreement</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Exhibit F    –    Form of Mortgage</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Exhibit G    –    Form of Pledge Agreement</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Exhibit H    –    Form of Security Agreement</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Exhibit I    –    Form of U.S. Tax Certificate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60655"/>
                <wp:effectExtent l="0" t="0" r="0" b="0"/>
                <wp:wrapNone/>
                <wp:docPr id="102" name="Frame10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-iv-</w:t>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00000"/>
          <w:sz w:val="22"/>
        </w:rPr>
        <w:t>CREDIT AGREEMENT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dated as of October 16, 2013, as amended as of March 29, 2021, among TRIMAS COMPANY LLC, TRIMAS CORPORATION, the FOREIGN SUBSIDIARY BORROWERS party hereto, the LENDERS party hereto, and JPMORGAN CHASE BANK, N.A., as Administrative Agent and Collateral Agent.</w:t>
      </w:r>
    </w:p>
    <w:p>
      <w:pPr>
        <w:pStyle w:val="TextBody"/>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RECITALS:</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In consideration of the premises and the agreements, provisions and covenants herein contained, the parties hereto hereby agree as follows:</w:t>
      </w:r>
    </w:p>
    <w:p>
      <w:pPr>
        <w:pStyle w:val="TextBody"/>
        <w:spacing w:lineRule="auto" w:line="240" w:before="0" w:after="240"/>
        <w:jc w:val="center"/>
        <w:rPr/>
      </w:pPr>
      <w:r>
        <w:rPr>
          <w:rFonts w:ascii="Times New Roman;sans-serif" w:hAnsi="Times New Roman;sans-serif"/>
          <w:b w:val="false"/>
          <w:color w:val="000000"/>
          <w:sz w:val="22"/>
        </w:rPr>
        <w:t>ARTICLE I</w:t>
      </w:r>
      <w:r>
        <w:rPr>
          <w:rFonts w:ascii="Times New Roman;sans-serif" w:hAnsi="Times New Roman;sans-serif"/>
          <w:b w:val="false"/>
          <w:color w:val="000000"/>
          <w:sz w:val="22"/>
          <w:u w:val="single"/>
        </w:rPr>
        <w:br/>
        <w:br/>
        <w:t>Definitions</w:t>
      </w:r>
    </w:p>
    <w:p>
      <w:pPr>
        <w:pStyle w:val="TextBody"/>
        <w:spacing w:lineRule="auto" w:line="240" w:before="0" w:after="240"/>
        <w:ind w:left="0" w:right="0" w:firstLine="1440"/>
        <w:rPr/>
      </w:pPr>
      <w:r>
        <w:rPr>
          <w:rFonts w:ascii="Times New Roman;sans-serif" w:hAnsi="Times New Roman;sans-serif"/>
          <w:b w:val="false"/>
          <w:color w:val="000000"/>
          <w:sz w:val="22"/>
        </w:rPr>
        <w:t>SECTION 1.01    </w:t>
      </w:r>
      <w:r>
        <w:rPr>
          <w:rFonts w:ascii="Times New Roman;sans-serif" w:hAnsi="Times New Roman;sans-serif"/>
          <w:b w:val="false"/>
          <w:color w:val="000000"/>
          <w:sz w:val="22"/>
          <w:u w:val="single"/>
        </w:rPr>
        <w:t>Defined Terms</w:t>
      </w:r>
      <w:r>
        <w:rPr>
          <w:rFonts w:ascii="Times New Roman;sans-serif" w:hAnsi="Times New Roman;sans-serif"/>
          <w:b w:val="false"/>
          <w:color w:val="000000"/>
          <w:sz w:val="22"/>
        </w:rPr>
        <w:t>. As used in this Agreement, the following terms have the meanings specified below:</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2025 Notes</w:t>
      </w:r>
      <w:r>
        <w:rPr>
          <w:color w:val="000000"/>
        </w:rPr>
        <w:t xml:space="preserve">” </w:t>
      </w:r>
      <w:r>
        <w:rPr>
          <w:rFonts w:ascii="Times New Roman;sans-serif" w:hAnsi="Times New Roman;sans-serif"/>
          <w:b w:val="false"/>
          <w:color w:val="000000"/>
          <w:sz w:val="22"/>
        </w:rPr>
        <w:t xml:space="preserve">means the 4.875% Senior Notes due 2025 of Holdings, issued pursuant to the Indenture, dated as of September 20, 2017, among Holdings, as issuer, the guarantors party thereto from time to time and Wells Fargo Bank, National Association, as trustee.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ABR</w:t>
      </w:r>
      <w:r>
        <w:rPr>
          <w:rFonts w:ascii="Times New Roman;sans-serif" w:hAnsi="Times New Roman;sans-serif"/>
          <w:b w:val="false"/>
          <w:color w:val="000000"/>
          <w:sz w:val="22"/>
        </w:rPr>
        <w:t>,” when used in reference to any Loan or Borrowing, refers to whether such Loan, or the Loans comprising such Borrowing, are bearing interest at a rate determined by reference to the Alternate Base Rate.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Acquisition Lease Financing</w:t>
      </w:r>
      <w:r>
        <w:rPr>
          <w:color w:val="000000"/>
        </w:rPr>
        <w:t xml:space="preserve">” </w:t>
      </w:r>
      <w:r>
        <w:rPr>
          <w:rFonts w:ascii="Times New Roman;sans-serif" w:hAnsi="Times New Roman;sans-serif"/>
          <w:b w:val="false"/>
          <w:color w:val="000000"/>
          <w:sz w:val="22"/>
        </w:rPr>
        <w:t>means any sale or transfer by the Parent Borrower or any Subsidiary of any property, real or personal, that is acquired pursuant to a Permitted Acquisition, in an aggregate amount not to exceed $75,000,000 at any time after the Second Restatement Date, which property is rented or leased by the Parent Borrower or such Subsidiary from the purchaser or transferee of such property, so long as the proceeds from such transaction consist solely of cash.</w:t>
      </w:r>
    </w:p>
    <w:p>
      <w:pPr>
        <w:pStyle w:val="TextBody"/>
        <w:spacing w:lineRule="auto" w:line="240" w:before="0" w:after="240"/>
        <w:ind w:left="0" w:right="0" w:firstLine="1440"/>
        <w:rPr/>
      </w:pPr>
      <w:r>
        <w:rPr>
          <w:color w:val="0000FF"/>
          <w:highlight w:val="lightGray"/>
          <w:u w:val="single"/>
        </w:rPr>
        <w:t>“</w:t>
      </w:r>
      <w:r>
        <w:rPr>
          <w:rFonts w:ascii="Times New Roman;sans-serif" w:hAnsi="Times New Roman;sans-serif"/>
          <w:b w:val="false"/>
          <w:color w:val="0000FF"/>
          <w:sz w:val="22"/>
          <w:highlight w:val="lightGray"/>
          <w:u w:val="single"/>
        </w:rPr>
        <w:t>Adjusted Daily Simple RFR” means, with respect to any RFR</w:t>
      </w:r>
      <w:r>
        <w:rPr>
          <w:color w:val="000000"/>
        </w:rPr>
        <w:t xml:space="preserve"> </w:t>
      </w:r>
      <w:r>
        <w:rPr>
          <w:rFonts w:ascii="Times New Roman;sans-serif" w:hAnsi="Times New Roman;sans-serif"/>
          <w:b w:val="false"/>
          <w:color w:val="008000"/>
          <w:sz w:val="22"/>
          <w:u w:val="single"/>
        </w:rPr>
        <w:t xml:space="preserve">Borrowing denominated in Pounds Sterling, </w:t>
      </w:r>
      <w:r>
        <w:rPr>
          <w:rFonts w:ascii="Times New Roman;sans-serif" w:hAnsi="Times New Roman;sans-serif"/>
          <w:b w:val="false"/>
          <w:color w:val="0000FF"/>
          <w:sz w:val="22"/>
          <w:highlight w:val="lightGray"/>
          <w:u w:val="single"/>
        </w:rPr>
        <w:t xml:space="preserve">an interest rate per annum equal to (a) the Daily Simple RFR for Pounds Sterling, </w:t>
      </w:r>
      <w:r>
        <w:rPr>
          <w:rFonts w:ascii="Times New Roman;sans-serif" w:hAnsi="Times New Roman;sans-serif"/>
          <w:b w:val="false"/>
          <w:i/>
          <w:color w:val="0000FF"/>
          <w:sz w:val="22"/>
          <w:highlight w:val="lightGray"/>
          <w:u w:val="single"/>
        </w:rPr>
        <w:t>plus</w:t>
      </w:r>
      <w:r>
        <w:rPr>
          <w:color w:val="0000FF"/>
          <w:highlight w:val="lightGray"/>
          <w:u w:val="single"/>
        </w:rPr>
        <w:t xml:space="preserve"> </w:t>
      </w:r>
      <w:r>
        <w:rPr>
          <w:rFonts w:ascii="Times New Roman;sans-serif" w:hAnsi="Times New Roman;sans-serif"/>
          <w:b w:val="false"/>
          <w:color w:val="0000FF"/>
          <w:sz w:val="22"/>
          <w:highlight w:val="lightGray"/>
          <w:u w:val="single"/>
        </w:rPr>
        <w:t>(b) 0.0326%; provided that if the Adjusted Daily Simple RFR Rate as so determined is less than the Floor, it shall be deemed to be equal to the Floor for purposes of this Agreement.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Adjusted LIBO Rate</w:t>
      </w:r>
      <w:r>
        <w:rPr>
          <w:color w:val="000000"/>
        </w:rPr>
        <w:t xml:space="preserve">” </w:t>
      </w:r>
      <w:r>
        <w:rPr>
          <w:rFonts w:ascii="Times New Roman;sans-serif" w:hAnsi="Times New Roman;sans-serif"/>
          <w:b w:val="false"/>
          <w:color w:val="000000"/>
          <w:sz w:val="22"/>
        </w:rPr>
        <w:t xml:space="preserve">means, with respect to any Eurocurrency Borrowing for any Interest Period, an interest rate per annum equal to (a) the LIBO Rate for such Interest Period multiplied by (b) the Statutory Reserve Rate;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Adjusted LIBO Rate is less than zero, it shall be deemed to be zero for purposes of this Agreement.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Administrative Agent</w:t>
      </w:r>
      <w:r>
        <w:rPr>
          <w:color w:val="000000"/>
        </w:rPr>
        <w:t xml:space="preserve">” </w:t>
      </w:r>
      <w:r>
        <w:rPr>
          <w:rFonts w:ascii="Times New Roman;sans-serif" w:hAnsi="Times New Roman;sans-serif"/>
          <w:b w:val="false"/>
          <w:color w:val="000000"/>
          <w:sz w:val="22"/>
        </w:rPr>
        <w:t>means JPMCB, in its capacity as administrative agent for the Lenders hereunder.</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Administrative Schedule</w:t>
      </w:r>
      <w:r>
        <w:rPr>
          <w:color w:val="000000"/>
        </w:rPr>
        <w:t xml:space="preserve">” </w:t>
      </w:r>
      <w:r>
        <w:rPr>
          <w:rFonts w:ascii="Times New Roman;sans-serif" w:hAnsi="Times New Roman;sans-serif"/>
          <w:b w:val="false"/>
          <w:color w:val="000000"/>
          <w:sz w:val="22"/>
        </w:rPr>
        <w:t>means Schedule 1.01(b) to this Agreement, which contains administrative information in respect of (i) each Foreign Currency and each Foreign Currency Loan and (ii) each L/C Foreign Currency and each Letter of Credit denominated in an L/C Foreign Currency.</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Administrative Questionnaire</w:t>
      </w:r>
      <w:r>
        <w:rPr>
          <w:color w:val="000000"/>
        </w:rPr>
        <w:t xml:space="preserve">” </w:t>
      </w:r>
      <w:r>
        <w:rPr>
          <w:rFonts w:ascii="Times New Roman;sans-serif" w:hAnsi="Times New Roman;sans-serif"/>
          <w:b w:val="false"/>
          <w:color w:val="000000"/>
          <w:sz w:val="22"/>
        </w:rPr>
        <w:t>means an Administrative Questionnaire in a form supplied by the Administrative Agent.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Affected Financial Institution</w:t>
      </w:r>
      <w:r>
        <w:rPr>
          <w:color w:val="000000"/>
        </w:rPr>
        <w:t xml:space="preserve">” </w:t>
      </w:r>
      <w:r>
        <w:rPr>
          <w:rFonts w:ascii="Times New Roman;sans-serif" w:hAnsi="Times New Roman;sans-serif"/>
          <w:b w:val="false"/>
          <w:color w:val="000000"/>
          <w:sz w:val="22"/>
        </w:rPr>
        <w:t xml:space="preserve">means (a) any EEA Financial Institution or (b) any UK Financial Institution.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Affiliate</w:t>
      </w:r>
      <w:r>
        <w:rPr>
          <w:color w:val="000000"/>
        </w:rPr>
        <w:t xml:space="preserve">” </w:t>
      </w:r>
      <w:r>
        <w:rPr>
          <w:rFonts w:ascii="Times New Roman;sans-serif" w:hAnsi="Times New Roman;sans-serif"/>
          <w:b w:val="false"/>
          <w:color w:val="000000"/>
          <w:sz w:val="22"/>
        </w:rPr>
        <w:t>means, with respect to a specified Person, another Person that directly, or indirectly through one or more intermediaries, Controls or is Controlled by or is under common Control with the Person specified.</w:t>
      </w:r>
      <w:r>
        <w:br w:type="page"/>
      </w:r>
    </w:p>
    <w:p>
      <w:pPr>
        <w:pStyle w:val="TextBody"/>
        <w:spacing w:before="0" w:after="0"/>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r>
                    </w:p>
                  </w:txbxContent>
                </v:textbox>
              </v:rect>
            </w:pict>
          </mc:Fallback>
        </mc:AlternateConten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Agents</w:t>
      </w:r>
      <w:r>
        <w:rPr>
          <w:color w:val="000000"/>
        </w:rPr>
        <w:t xml:space="preserve">” </w:t>
      </w:r>
      <w:r>
        <w:rPr>
          <w:rFonts w:ascii="Times New Roman;sans-serif" w:hAnsi="Times New Roman;sans-serif"/>
          <w:b w:val="false"/>
          <w:color w:val="000000"/>
          <w:sz w:val="22"/>
        </w:rPr>
        <w:t>means, collectively, the Administrative Agent, the Collateral Agent, the Syndication Agents and the Documentation Agents.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Agreed Currency</w:t>
      </w:r>
      <w:r>
        <w:rPr>
          <w:color w:val="000000"/>
        </w:rPr>
        <w:t xml:space="preserve">” </w:t>
      </w:r>
      <w:r>
        <w:rPr>
          <w:rFonts w:ascii="Times New Roman;sans-serif" w:hAnsi="Times New Roman;sans-serif"/>
          <w:b w:val="false"/>
          <w:color w:val="000000"/>
          <w:sz w:val="22"/>
        </w:rPr>
        <w:t>means dollars or any Foreign Currency.</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Agreement</w:t>
      </w:r>
      <w:r>
        <w:rPr>
          <w:color w:val="000000"/>
        </w:rPr>
        <w:t xml:space="preserve">” </w:t>
      </w:r>
      <w:r>
        <w:rPr>
          <w:rFonts w:ascii="Times New Roman;sans-serif" w:hAnsi="Times New Roman;sans-serif"/>
          <w:b w:val="false"/>
          <w:color w:val="000000"/>
          <w:sz w:val="22"/>
        </w:rPr>
        <w:t>has the meaning assigned to such term in the preamble hereto.</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Alternate Base Rate</w:t>
      </w:r>
      <w:r>
        <w:rPr>
          <w:color w:val="000000"/>
        </w:rPr>
        <w:t xml:space="preserve">” </w:t>
      </w:r>
      <w:r>
        <w:rPr>
          <w:rFonts w:ascii="Times New Roman;sans-serif" w:hAnsi="Times New Roman;sans-serif"/>
          <w:b w:val="false"/>
          <w:color w:val="000000"/>
          <w:sz w:val="22"/>
        </w:rPr>
        <w:t xml:space="preserve">means, for any day, a rate per annum equal to the greatest of (a) the Prime Rate in effect on such day, (b) the NYFRB Rate in effect on such day plus ½ of 1% and (c) the Adjusted LIBO Rate for a one month Interest Period on such day (or if such day is not a Business Day, the immediately preceding Business Day) plus 1%, provided that for the purpose of this definition, the Adjusted LIBO Rate for any day shall be based on the LIBOR Screen Rate (or if the LIBOR Screen Rate is not available for such one month Interest Period, the Interpolated Rate) at approximately 11:00 a.m. London time on such day. Any change in the Alternate Base Rate due to a change in the Prime Rate, the NYFRB Rate or the Adjusted LIBO Rate shall be effective from and including the effective date of such change in the Prime Rate, the NYFRB Rate or the Adjusted LIBO Rate, respectively. If the Alternate Base Rate is being used as an alternate rate of interest pursuant to Section 2.14 hereof (for the avoidance of doubt, only until the Benchmark Replacement has been determined pursuant to Section 2.14(b)), then the Alternate Base Rate shall be the greater of clause (a) and (b) above and shall be determined without reference to clause (c) above. For the avoidance of doubt, if the Alternate Base Rate shall be less than 1.00%, such rate shall be deemed to be 1.00% for purposes of this Agreement.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Anti-Corruption Laws</w:t>
      </w:r>
      <w:r>
        <w:rPr>
          <w:color w:val="000000"/>
        </w:rPr>
        <w:t xml:space="preserve">” </w:t>
      </w:r>
      <w:r>
        <w:rPr>
          <w:rFonts w:ascii="Times New Roman;sans-serif" w:hAnsi="Times New Roman;sans-serif"/>
          <w:b w:val="false"/>
          <w:color w:val="000000"/>
          <w:sz w:val="22"/>
        </w:rPr>
        <w:t>means all laws, rules, and regulations of any jurisdiction applicable to Holdings or its Subsidiaries from time to time concerning or relating to bribery or corruption.</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Applicable Borrower</w:t>
      </w:r>
      <w:r>
        <w:rPr>
          <w:color w:val="000000"/>
        </w:rPr>
        <w:t xml:space="preserve">” </w:t>
      </w:r>
      <w:r>
        <w:rPr>
          <w:rFonts w:ascii="Times New Roman;sans-serif" w:hAnsi="Times New Roman;sans-serif"/>
          <w:b w:val="false"/>
          <w:color w:val="000000"/>
          <w:sz w:val="22"/>
        </w:rPr>
        <w:t>has the meaning assigned to such term in Section 2.17(a).</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Applicable Percentage</w:t>
      </w:r>
      <w:r>
        <w:rPr>
          <w:color w:val="000000"/>
        </w:rPr>
        <w:t xml:space="preserve">” </w:t>
      </w:r>
      <w:r>
        <w:rPr>
          <w:rFonts w:ascii="Times New Roman;sans-serif" w:hAnsi="Times New Roman;sans-serif"/>
          <w:b w:val="false"/>
          <w:color w:val="000000"/>
          <w:sz w:val="22"/>
        </w:rPr>
        <w:t>means, at any time, with respect to any Revolving Lender, the percentage of the total Revolving Commitments represented by such Lender’s Revolving Commitment. If the Revolving Commitments have terminated or expired, the Applicable Percentages shall be determined based upon the Revolving Commitments most recently in effect, giving effect to any assignments.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Applicable Rate</w:t>
      </w:r>
      <w:r>
        <w:rPr>
          <w:color w:val="000000"/>
        </w:rPr>
        <w:t xml:space="preserve">” </w:t>
      </w:r>
      <w:r>
        <w:rPr>
          <w:rFonts w:ascii="Times New Roman;sans-serif" w:hAnsi="Times New Roman;sans-serif"/>
          <w:b w:val="false"/>
          <w:color w:val="000000"/>
          <w:sz w:val="22"/>
        </w:rPr>
        <w:t>means, for any day, (a) with respect to the Commitment Fees, the applicable rate per annum set forth under the caption “Commitment Fee Rate” based upon the Leverage Ratio as of the most recent determination date, (b) with respect to any Swingline Loan, the applicable rate per annum set forth below under the caption “ABR Spread” based upon the Leverage Ratio as of the most recent determination date and (c) with respect to any ABR Revolving Loan</w:t>
      </w:r>
      <w:r>
        <w:rPr>
          <w:strike/>
          <w:color w:val="FF0000"/>
        </w:rPr>
        <w:t xml:space="preserve"> </w:t>
      </w:r>
      <w:r>
        <w:rPr>
          <w:rFonts w:ascii="Times New Roman;sans-serif" w:hAnsi="Times New Roman;sans-serif"/>
          <w:b w:val="false"/>
          <w:strike/>
          <w:color w:val="FF0000"/>
          <w:sz w:val="22"/>
        </w:rPr>
        <w:t>or</w:t>
      </w:r>
      <w:r>
        <w:rPr>
          <w:rFonts w:ascii="Times New Roman;sans-serif" w:hAnsi="Times New Roman;sans-serif"/>
          <w:b w:val="false"/>
          <w:color w:val="0000FF"/>
          <w:sz w:val="22"/>
          <w:highlight w:val="lightGray"/>
          <w:u w:val="single"/>
        </w:rPr>
        <w:t>,</w:t>
      </w:r>
      <w:r>
        <w:rPr>
          <w:color w:val="000000"/>
        </w:rPr>
        <w:t xml:space="preserve"> </w:t>
      </w:r>
      <w:r>
        <w:rPr>
          <w:rFonts w:ascii="Times New Roman;sans-serif" w:hAnsi="Times New Roman;sans-serif"/>
          <w:b w:val="false"/>
          <w:color w:val="000000"/>
          <w:sz w:val="22"/>
        </w:rPr>
        <w:t xml:space="preserve">Eurocurrency </w:t>
      </w:r>
      <w:r>
        <w:rPr>
          <w:rFonts w:ascii="Times New Roman;sans-serif" w:hAnsi="Times New Roman;sans-serif"/>
          <w:b w:val="false"/>
          <w:color w:val="0000FF"/>
          <w:sz w:val="22"/>
          <w:highlight w:val="lightGray"/>
          <w:u w:val="single"/>
        </w:rPr>
        <w:t>Revolving Loan or an RFR</w:t>
      </w:r>
      <w:r>
        <w:rPr>
          <w:color w:val="000000"/>
        </w:rPr>
        <w:t xml:space="preserve"> </w:t>
      </w:r>
      <w:r>
        <w:rPr>
          <w:rFonts w:ascii="Times New Roman;sans-serif" w:hAnsi="Times New Roman;sans-serif"/>
          <w:b w:val="false"/>
          <w:color w:val="000000"/>
          <w:sz w:val="22"/>
        </w:rPr>
        <w:t>Revolving Loan, the applicable rate per annum set forth below under the caption “ABR Spread”</w:t>
      </w:r>
      <w:r>
        <w:rPr>
          <w:strike/>
          <w:color w:val="FF0000"/>
        </w:rPr>
        <w:t xml:space="preserve"> </w:t>
      </w:r>
      <w:r>
        <w:rPr>
          <w:rFonts w:ascii="Times New Roman;sans-serif" w:hAnsi="Times New Roman;sans-serif"/>
          <w:b w:val="false"/>
          <w:strike/>
          <w:color w:val="FF0000"/>
          <w:sz w:val="22"/>
        </w:rPr>
        <w:t>or</w:t>
      </w:r>
      <w:r>
        <w:rPr>
          <w:rFonts w:ascii="Times New Roman;sans-serif" w:hAnsi="Times New Roman;sans-serif"/>
          <w:b w:val="false"/>
          <w:color w:val="0000FF"/>
          <w:sz w:val="22"/>
          <w:highlight w:val="lightGray"/>
          <w:u w:val="single"/>
        </w:rPr>
        <w:t>,</w:t>
      </w:r>
      <w:r>
        <w:rPr>
          <w:color w:val="000000"/>
        </w:rPr>
        <w:t xml:space="preserve"> “</w:t>
      </w:r>
      <w:r>
        <w:rPr>
          <w:rFonts w:ascii="Times New Roman;sans-serif" w:hAnsi="Times New Roman;sans-serif"/>
          <w:b w:val="false"/>
          <w:color w:val="000000"/>
          <w:sz w:val="22"/>
        </w:rPr>
        <w:t>Eurocurrency Spread</w:t>
      </w:r>
      <w:r>
        <w:rPr>
          <w:rFonts w:ascii="Times New Roman;sans-serif" w:hAnsi="Times New Roman;sans-serif"/>
          <w:b w:val="false"/>
          <w:strike/>
          <w:color w:val="FF0000"/>
          <w:sz w:val="22"/>
        </w:rPr>
        <w:t>,</w:t>
      </w:r>
      <w:r>
        <w:rPr>
          <w:color w:val="0000FF"/>
          <w:highlight w:val="lightGray"/>
          <w:u w:val="single"/>
        </w:rPr>
        <w:t xml:space="preserve">” </w:t>
      </w:r>
      <w:r>
        <w:rPr>
          <w:rFonts w:ascii="Times New Roman;sans-serif" w:hAnsi="Times New Roman;sans-serif"/>
          <w:b w:val="false"/>
          <w:color w:val="0000FF"/>
          <w:sz w:val="22"/>
          <w:highlight w:val="lightGray"/>
          <w:u w:val="single"/>
        </w:rPr>
        <w:t>or “RFR Spread</w:t>
      </w:r>
      <w:r>
        <w:rPr>
          <w:color w:val="000000"/>
        </w:rPr>
        <w:t xml:space="preserve">” </w:t>
      </w:r>
      <w:r>
        <w:rPr>
          <w:rFonts w:ascii="Times New Roman;sans-serif" w:hAnsi="Times New Roman;sans-serif"/>
          <w:b w:val="false"/>
          <w:color w:val="000000"/>
          <w:sz w:val="22"/>
        </w:rPr>
        <w:t xml:space="preserve">as the case may be, based upon the Leverage Ratio as of the most recent determination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for purposes of clauses (a), (b) and (c), from the Second Restatement Date until the date of delivery of the consolidated financial statements pursuant to Section 5.01(b) as of and for the first fiscal quarter ended after the Second Restatement Date, the Applicable Rate shall be based on the rates per annum set forth in Category 4:</w:t>
      </w:r>
      <w:r>
        <w:br w:type="page"/>
      </w:r>
    </w:p>
    <w:p>
      <w:pPr>
        <w:pStyle w:val="TextBody"/>
        <w:spacing w:before="0" w:after="0"/>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60655"/>
                <wp:effectExtent l="0" t="0" r="0" b="0"/>
                <wp:wrapNone/>
                <wp:docPr id="104" name="Frame10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774"/>
        <w:gridCol w:w="1555"/>
        <w:gridCol w:w="1564"/>
        <w:gridCol w:w="270"/>
        <w:gridCol w:w="270"/>
        <w:gridCol w:w="272"/>
        <w:gridCol w:w="652"/>
        <w:gridCol w:w="652"/>
        <w:gridCol w:w="654"/>
        <w:gridCol w:w="375"/>
        <w:gridCol w:w="375"/>
        <w:gridCol w:w="376"/>
        <w:gridCol w:w="413"/>
        <w:gridCol w:w="413"/>
        <w:gridCol w:w="590"/>
      </w:tblGrid>
      <w:tr>
        <w:trPr/>
        <w:tc>
          <w:tcPr>
            <w:tcW w:w="1774" w:type="dxa"/>
            <w:tcBorders/>
            <w:shd w:fill="auto" w:val="clear"/>
            <w:vAlign w:val="center"/>
          </w:tcPr>
          <w:p>
            <w:pPr>
              <w:pStyle w:val="TableContents"/>
              <w:spacing w:before="0" w:after="283"/>
              <w:rPr>
                <w:sz w:val="4"/>
                <w:szCs w:val="4"/>
              </w:rPr>
            </w:pPr>
            <w:r>
              <w:rPr>
                <w:sz w:val="4"/>
                <w:szCs w:val="4"/>
              </w:rPr>
            </w:r>
          </w:p>
        </w:tc>
        <w:tc>
          <w:tcPr>
            <w:tcW w:w="1555" w:type="dxa"/>
            <w:tcBorders/>
            <w:shd w:fill="auto" w:val="clear"/>
            <w:vAlign w:val="center"/>
          </w:tcPr>
          <w:p>
            <w:pPr>
              <w:pStyle w:val="TableContents"/>
              <w:spacing w:before="0" w:after="283"/>
              <w:rPr>
                <w:sz w:val="4"/>
                <w:szCs w:val="4"/>
              </w:rPr>
            </w:pPr>
            <w:r>
              <w:rPr>
                <w:sz w:val="4"/>
                <w:szCs w:val="4"/>
              </w:rPr>
            </w:r>
          </w:p>
        </w:tc>
        <w:tc>
          <w:tcPr>
            <w:tcW w:w="1564"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r>
      <w:tr>
        <w:trPr/>
        <w:tc>
          <w:tcPr>
            <w:tcW w:w="4893"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Leverage Ratio</w:t>
            </w:r>
          </w:p>
        </w:tc>
        <w:tc>
          <w:tcPr>
            <w:tcW w:w="81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ABR</w:t>
              <w:br/>
              <w:t>Spread</w:t>
            </w:r>
          </w:p>
        </w:tc>
        <w:tc>
          <w:tcPr>
            <w:tcW w:w="1958"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Eurocurrency Spread</w:t>
            </w:r>
          </w:p>
        </w:tc>
        <w:tc>
          <w:tcPr>
            <w:tcW w:w="1126" w:type="dxa"/>
            <w:gridSpan w:val="3"/>
            <w:tcBorders>
              <w:top w:val="single" w:sz="4" w:space="0" w:color="000000"/>
              <w:left w:val="single" w:sz="4" w:space="0" w:color="000000"/>
            </w:tcBorders>
            <w:shd w:fill="99CC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FF"/>
                <w:sz w:val="22"/>
                <w:u w:val="single"/>
              </w:rPr>
            </w:pPr>
            <w:r>
              <w:rPr>
                <w:rFonts w:ascii="Times New Roman;sans-serif" w:hAnsi="Times New Roman;sans-serif"/>
                <w:b/>
                <w:color w:val="0000FF"/>
                <w:sz w:val="22"/>
                <w:u w:val="single"/>
              </w:rPr>
              <w:t>RFR Spread</w:t>
            </w:r>
          </w:p>
        </w:tc>
        <w:tc>
          <w:tcPr>
            <w:tcW w:w="1416"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Commitment</w:t>
              <w:br/>
              <w:t>Fee Rate</w:t>
            </w:r>
          </w:p>
        </w:tc>
      </w:tr>
      <w:tr>
        <w:trPr/>
        <w:tc>
          <w:tcPr>
            <w:tcW w:w="4893"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Category 1: Greater than or equal to 3.25 to 1.00</w:t>
            </w:r>
          </w:p>
        </w:tc>
        <w:tc>
          <w:tcPr>
            <w:tcW w:w="81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1958"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2.00%</w:t>
            </w:r>
          </w:p>
        </w:tc>
        <w:tc>
          <w:tcPr>
            <w:tcW w:w="1126" w:type="dxa"/>
            <w:gridSpan w:val="3"/>
            <w:tcBorders>
              <w:top w:val="single" w:sz="4" w:space="0" w:color="000000"/>
              <w:left w:val="single" w:sz="4" w:space="0" w:color="000000"/>
            </w:tcBorders>
            <w:shd w:fill="99CC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FF"/>
                <w:sz w:val="22"/>
                <w:u w:val="single"/>
              </w:rPr>
            </w:pPr>
            <w:r>
              <w:rPr>
                <w:rFonts w:ascii="Times New Roman;sans-serif" w:hAnsi="Times New Roman;sans-serif"/>
                <w:b w:val="false"/>
                <w:color w:val="0000FF"/>
                <w:sz w:val="22"/>
                <w:u w:val="single"/>
              </w:rPr>
              <w:t>2.00%</w:t>
            </w:r>
          </w:p>
        </w:tc>
        <w:tc>
          <w:tcPr>
            <w:tcW w:w="1416"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0.30%</w:t>
            </w:r>
          </w:p>
        </w:tc>
      </w:tr>
      <w:tr>
        <w:trPr/>
        <w:tc>
          <w:tcPr>
            <w:tcW w:w="4893"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Category 2: Greater than or equal to 2.75 to 1.00 but less than 3.25 to 1.00</w:t>
            </w:r>
          </w:p>
        </w:tc>
        <w:tc>
          <w:tcPr>
            <w:tcW w:w="81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0.75%</w:t>
            </w:r>
          </w:p>
        </w:tc>
        <w:tc>
          <w:tcPr>
            <w:tcW w:w="1958"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1.75%</w:t>
            </w:r>
          </w:p>
        </w:tc>
        <w:tc>
          <w:tcPr>
            <w:tcW w:w="1126" w:type="dxa"/>
            <w:gridSpan w:val="3"/>
            <w:tcBorders>
              <w:top w:val="single" w:sz="4" w:space="0" w:color="000000"/>
              <w:left w:val="single" w:sz="4" w:space="0" w:color="000000"/>
            </w:tcBorders>
            <w:shd w:fill="99CC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FF"/>
                <w:sz w:val="22"/>
                <w:u w:val="single"/>
              </w:rPr>
            </w:pPr>
            <w:r>
              <w:rPr>
                <w:rFonts w:ascii="Times New Roman;sans-serif" w:hAnsi="Times New Roman;sans-serif"/>
                <w:b w:val="false"/>
                <w:color w:val="0000FF"/>
                <w:sz w:val="22"/>
                <w:u w:val="single"/>
              </w:rPr>
              <w:t>1.75%</w:t>
            </w:r>
          </w:p>
        </w:tc>
        <w:tc>
          <w:tcPr>
            <w:tcW w:w="1416"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0.25%</w:t>
            </w:r>
          </w:p>
        </w:tc>
      </w:tr>
      <w:tr>
        <w:trPr/>
        <w:tc>
          <w:tcPr>
            <w:tcW w:w="4893"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Category 3: Greater than or equal to 2.25 to 1.00 but less than 2.75 to 1.00</w:t>
            </w:r>
          </w:p>
        </w:tc>
        <w:tc>
          <w:tcPr>
            <w:tcW w:w="81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0.625%</w:t>
            </w:r>
          </w:p>
        </w:tc>
        <w:tc>
          <w:tcPr>
            <w:tcW w:w="1958"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1.625%</w:t>
            </w:r>
          </w:p>
        </w:tc>
        <w:tc>
          <w:tcPr>
            <w:tcW w:w="1126" w:type="dxa"/>
            <w:gridSpan w:val="3"/>
            <w:tcBorders>
              <w:top w:val="single" w:sz="4" w:space="0" w:color="000000"/>
              <w:left w:val="single" w:sz="4" w:space="0" w:color="000000"/>
            </w:tcBorders>
            <w:shd w:fill="99CC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FF"/>
                <w:sz w:val="22"/>
                <w:u w:val="single"/>
              </w:rPr>
            </w:pPr>
            <w:r>
              <w:rPr>
                <w:rFonts w:ascii="Times New Roman;sans-serif" w:hAnsi="Times New Roman;sans-serif"/>
                <w:b w:val="false"/>
                <w:color w:val="0000FF"/>
                <w:sz w:val="22"/>
                <w:u w:val="single"/>
              </w:rPr>
              <w:t>1.625%</w:t>
            </w:r>
          </w:p>
        </w:tc>
        <w:tc>
          <w:tcPr>
            <w:tcW w:w="1416"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0.225%</w:t>
            </w:r>
          </w:p>
        </w:tc>
      </w:tr>
      <w:tr>
        <w:trPr/>
        <w:tc>
          <w:tcPr>
            <w:tcW w:w="4893"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Category 4: Greater than or equal to 1.50 to 1.00 but less than 2.25 to 1.00</w:t>
            </w:r>
          </w:p>
        </w:tc>
        <w:tc>
          <w:tcPr>
            <w:tcW w:w="81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0.50%</w:t>
            </w:r>
          </w:p>
        </w:tc>
        <w:tc>
          <w:tcPr>
            <w:tcW w:w="1958"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1.50%</w:t>
            </w:r>
          </w:p>
        </w:tc>
        <w:tc>
          <w:tcPr>
            <w:tcW w:w="1126" w:type="dxa"/>
            <w:gridSpan w:val="3"/>
            <w:tcBorders>
              <w:top w:val="single" w:sz="4" w:space="0" w:color="000000"/>
              <w:left w:val="single" w:sz="4" w:space="0" w:color="000000"/>
            </w:tcBorders>
            <w:shd w:fill="99CC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FF"/>
                <w:sz w:val="22"/>
                <w:u w:val="single"/>
              </w:rPr>
            </w:pPr>
            <w:r>
              <w:rPr>
                <w:rFonts w:ascii="Times New Roman;sans-serif" w:hAnsi="Times New Roman;sans-serif"/>
                <w:b w:val="false"/>
                <w:color w:val="0000FF"/>
                <w:sz w:val="22"/>
                <w:u w:val="single"/>
              </w:rPr>
              <w:t>1.50%</w:t>
            </w:r>
          </w:p>
        </w:tc>
        <w:tc>
          <w:tcPr>
            <w:tcW w:w="1416"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0.20%</w:t>
            </w:r>
          </w:p>
        </w:tc>
      </w:tr>
      <w:tr>
        <w:trPr/>
        <w:tc>
          <w:tcPr>
            <w:tcW w:w="4893"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Category 5: Less than 1.50 to 1.00</w:t>
            </w:r>
          </w:p>
        </w:tc>
        <w:tc>
          <w:tcPr>
            <w:tcW w:w="812"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0.375%</w:t>
            </w:r>
          </w:p>
        </w:tc>
        <w:tc>
          <w:tcPr>
            <w:tcW w:w="1958"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1.375%</w:t>
            </w:r>
          </w:p>
        </w:tc>
        <w:tc>
          <w:tcPr>
            <w:tcW w:w="1126" w:type="dxa"/>
            <w:gridSpan w:val="3"/>
            <w:tcBorders>
              <w:top w:val="single" w:sz="4" w:space="0" w:color="000000"/>
              <w:left w:val="single" w:sz="4" w:space="0" w:color="000000"/>
              <w:bottom w:val="single" w:sz="4" w:space="0" w:color="000000"/>
            </w:tcBorders>
            <w:shd w:fill="99CCFF"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FF"/>
                <w:sz w:val="22"/>
                <w:u w:val="single"/>
              </w:rPr>
            </w:pPr>
            <w:r>
              <w:rPr>
                <w:rFonts w:ascii="Times New Roman;sans-serif" w:hAnsi="Times New Roman;sans-serif"/>
                <w:b w:val="false"/>
                <w:color w:val="0000FF"/>
                <w:sz w:val="22"/>
                <w:u w:val="single"/>
              </w:rPr>
              <w:t>1.375%</w:t>
            </w:r>
          </w:p>
        </w:tc>
        <w:tc>
          <w:tcPr>
            <w:tcW w:w="1416"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0.175%</w:t>
            </w:r>
          </w:p>
        </w:tc>
      </w:tr>
    </w:tbl>
    <w:p>
      <w:pPr>
        <w:pStyle w:val="TextBody"/>
        <w:spacing w:before="0" w:after="0"/>
        <w:rPr/>
      </w:pPr>
      <w:r>
        <w:rPr/>
      </w:r>
    </w:p>
    <w:p>
      <w:pPr>
        <w:pStyle w:val="TextBody"/>
        <w:spacing w:lineRule="auto" w:line="240" w:before="0" w:after="240"/>
        <w:ind w:left="0" w:right="0" w:firstLine="1440"/>
        <w:rPr/>
      </w:pPr>
      <w:r>
        <w:rPr>
          <w:rFonts w:ascii="Times New Roman;sans-serif" w:hAnsi="Times New Roman;sans-serif"/>
          <w:b w:val="false"/>
          <w:color w:val="000000"/>
          <w:sz w:val="22"/>
        </w:rPr>
        <w:t xml:space="preserve">For purposes of the foregoing clauses (a), (b) and (c), (i) the Leverage Ratio shall be determined as of the end of each fiscal quarter of the Parent Borrower’s fiscal year based upon Holdings’ consolidated financial statements delivered pursuant to Section 5.01(a) or (b) and (ii) each change in the Applicable Rate resulting from a change in the Leverage Ratio shall be effective during the period commencing on and including the date of delivery to the Administrative Agent of such consolidated financial statements indicating such change and ending on the date immediately preceding the effective date of the next such change;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Leverage Ratio shall be deemed to be in Category 1 (A) at any time that an Event of Default has occurred and is continuing or (B) if Holdings or the Parent Borrower fails to deliver the consolidated financial statements required to be delivered by it pursuant to Section 5.01(a) or (b), during the period from the expiration of the time for delivery thereof until such consolidated financial statements are delivered.</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Applicable UK Payment</w:t>
      </w:r>
      <w:r>
        <w:rPr>
          <w:color w:val="000000"/>
        </w:rPr>
        <w:t xml:space="preserve">” </w:t>
      </w:r>
      <w:r>
        <w:rPr>
          <w:rFonts w:ascii="Times New Roman;sans-serif" w:hAnsi="Times New Roman;sans-serif"/>
          <w:b w:val="false"/>
          <w:color w:val="000000"/>
          <w:sz w:val="22"/>
        </w:rPr>
        <w:t>has the meaning assigned to such term in Section 2.17(k).</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Applicable U.S. Borrower</w:t>
      </w:r>
      <w:r>
        <w:rPr>
          <w:color w:val="000000"/>
        </w:rPr>
        <w:t xml:space="preserve">” </w:t>
      </w:r>
      <w:r>
        <w:rPr>
          <w:rFonts w:ascii="Times New Roman;sans-serif" w:hAnsi="Times New Roman;sans-serif"/>
          <w:b w:val="false"/>
          <w:color w:val="000000"/>
          <w:sz w:val="22"/>
        </w:rPr>
        <w:t>has the meaning assigned to such term in Section 2.17(f).</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Approved Fund</w:t>
      </w:r>
      <w:r>
        <w:rPr>
          <w:color w:val="000000"/>
        </w:rPr>
        <w:t xml:space="preserve">” </w:t>
      </w:r>
      <w:r>
        <w:rPr>
          <w:rFonts w:ascii="Times New Roman;sans-serif" w:hAnsi="Times New Roman;sans-serif"/>
          <w:b w:val="false"/>
          <w:color w:val="000000"/>
          <w:sz w:val="22"/>
        </w:rPr>
        <w:t>means any Person (other than a natural person) that is engaged in making, purchasing, holding or investing in bank loans and similar extensions of credit in the ordinary course and that is administered or managed by (a) a Lender, (b) an Affiliate of a Lender or (c) an entity or an Affiliate of an entity that administers or manages a Lender.</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Assignment and Assumption</w:t>
      </w:r>
      <w:r>
        <w:rPr>
          <w:color w:val="000000"/>
        </w:rPr>
        <w:t xml:space="preserve">” </w:t>
      </w:r>
      <w:r>
        <w:rPr>
          <w:rFonts w:ascii="Times New Roman;sans-serif" w:hAnsi="Times New Roman;sans-serif"/>
          <w:b w:val="false"/>
          <w:color w:val="000000"/>
          <w:sz w:val="22"/>
        </w:rPr>
        <w:t>means an assignment and assumption entered into by a Lender and an assignee (with the consent of any Person whose consent is required by Section 10.04), and accepted by the Administrative Agent, in the form of Exhibit A or any other form approved by the Administrative Agent.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Assumed Preferred Stock</w:t>
      </w:r>
      <w:r>
        <w:rPr>
          <w:color w:val="000000"/>
        </w:rPr>
        <w:t xml:space="preserve">” </w:t>
      </w:r>
      <w:r>
        <w:rPr>
          <w:rFonts w:ascii="Times New Roman;sans-serif" w:hAnsi="Times New Roman;sans-serif"/>
          <w:b w:val="false"/>
          <w:color w:val="000000"/>
          <w:sz w:val="22"/>
        </w:rPr>
        <w:t xml:space="preserve">means any preferred stock or preferred Equity Interests of any Person that becomes a Subsidiary after the Second Restatement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such preferred stock or preferred Equity Interests exist at the time such Person becomes a Subsidiary and are not created in contemplation of or in connection with such Person becoming a Subsidiary and (b) the aggregate liquidation value of all such outstanding preferred stock and preferred Equity Interests shall not exceed $40,000,000 at any time outstanding, less the aggregate principal amount of Indebtedness incurred and outstanding pursuant to Section 6.01(a)(x).</w:t>
      </w:r>
      <w:r>
        <w:br w:type="page"/>
      </w:r>
    </w:p>
    <w:p>
      <w:pPr>
        <w:pStyle w:val="TextBody"/>
        <w:spacing w:before="0" w:after="0"/>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60655"/>
                <wp:effectExtent l="0" t="0" r="0" b="0"/>
                <wp:wrapNone/>
                <wp:docPr id="105" name="Frame10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v:rect>
            </w:pict>
          </mc:Fallback>
        </mc:AlternateConten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Available Amount</w:t>
      </w:r>
      <w:r>
        <w:rPr>
          <w:color w:val="000000"/>
        </w:rPr>
        <w:t xml:space="preserve">” </w:t>
      </w:r>
      <w:r>
        <w:rPr>
          <w:rFonts w:ascii="Times New Roman;sans-serif" w:hAnsi="Times New Roman;sans-serif"/>
          <w:b w:val="false"/>
          <w:color w:val="000000"/>
          <w:sz w:val="22"/>
        </w:rPr>
        <w:t>means, as of any date of determination, an amount equal to:</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    the sum of (without duplication):</w:t>
      </w:r>
    </w:p>
    <w:p>
      <w:pPr>
        <w:pStyle w:val="TextBody"/>
        <w:spacing w:lineRule="auto" w:line="240" w:before="0" w:after="240"/>
        <w:rPr>
          <w:color w:val="000000"/>
        </w:rPr>
      </w:pPr>
      <w:r>
        <w:rPr>
          <w:color w:val="000000"/>
        </w:rPr>
        <w:t>    </w:t>
      </w:r>
      <w:r>
        <w:rPr>
          <w:rFonts w:ascii="Times New Roman;sans-serif" w:hAnsi="Times New Roman;sans-serif"/>
          <w:b w:val="false"/>
          <w:color w:val="000000"/>
          <w:sz w:val="22"/>
        </w:rPr>
        <w:t>(i)    $160,000,000;</w:t>
      </w:r>
    </w:p>
    <w:p>
      <w:pPr>
        <w:pStyle w:val="TextBody"/>
        <w:spacing w:lineRule="auto" w:line="240" w:before="0" w:after="240"/>
        <w:ind w:left="0" w:right="0" w:firstLine="810"/>
        <w:rPr>
          <w:color w:val="000000"/>
        </w:rPr>
      </w:pPr>
      <w:r>
        <w:rPr>
          <w:color w:val="000000"/>
        </w:rPr>
        <w:t>    </w:t>
      </w:r>
      <w:r>
        <w:rPr>
          <w:rFonts w:ascii="Times New Roman;sans-serif" w:hAnsi="Times New Roman;sans-serif"/>
          <w:b w:val="false"/>
          <w:color w:val="000000"/>
          <w:sz w:val="22"/>
        </w:rPr>
        <w:t xml:space="preserve">(ii)    if positive, equal to 50% of the cumulative Consolidated Net Income of the Parent Borrower for the period (taken as one accounting period) commencing from April 1, 2021 to the end of the fiscal quarter most recently ended in respect of which consolidated financial statements have been delivered pursuant to Section 5.01(a) or (b); </w:t>
      </w:r>
    </w:p>
    <w:p>
      <w:pPr>
        <w:pStyle w:val="TextBody"/>
        <w:spacing w:lineRule="auto" w:line="240" w:before="0" w:after="240"/>
        <w:rPr>
          <w:color w:val="000000"/>
        </w:rPr>
      </w:pPr>
      <w:r>
        <w:rPr>
          <w:color w:val="000000"/>
        </w:rPr>
        <w:t>    </w:t>
      </w:r>
      <w:r>
        <w:rPr>
          <w:rFonts w:ascii="Times New Roman;sans-serif" w:hAnsi="Times New Roman;sans-serif"/>
          <w:b w:val="false"/>
          <w:color w:val="000000"/>
          <w:sz w:val="22"/>
        </w:rPr>
        <w:t xml:space="preserve">(iii)    the Net Proceeds Not Otherwise Applied received by Holdings after the Restatement Date from (A) cash contributions (other than from the Parent Borrower or a Subsidiary) to Holdings or (B) the issuance and sale of its Equity Interests (other than a sale to the Parent Borrower or a Subsidiary and other than an issuance or sale of Disqualified Equity Interests); </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(iv)    the principal amount of any Indebtedness of the Parent Borrower or any Subsidiary issued after the Restatement Date which has been converted into or exchanged for Equity Interests (other than Disqualified Equity Interests) in Holdings or any direct or indirect parent of Holdings; and</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(v)     in the event that all or a portion of the Available Amount has been applied to make an investment pursuant to Section 6.04(s), an amount (not to exceed the original amount of such Investment) equal to the aggregate amount received by the Parent Borrower or any Subsidiary in cash and Permitted Investments, or the fair market value of any property received by the Parent Borrower or any Subsidiary, from: (i) the sale (other than to the Parent Borrower or any Subsidiary) of any such investment less any amounts that would be deducted pursuant to clause (b) of the definition of Net Proceeds, (ii) any dividend or other distribution received in respect of any such investment and (iii) interest, returns of principal, repayments and similar payments received in respect of any such investment;</w:t>
      </w:r>
    </w:p>
    <w:p>
      <w:pPr>
        <w:pStyle w:val="TextBody"/>
        <w:spacing w:lineRule="auto" w:line="240" w:before="0" w:after="240"/>
        <w:ind w:left="0" w:right="0" w:firstLine="1440"/>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minus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     the amount of any investments made after the Restatement Date in reliance on Section 6.04(s) prior to such date, any Restricted Payments made after the Restatement Date in reliance on Section 6.08(a)(v) (solely in respect of dividends on Qualified Holdings Preferred Stock issued pursuant to clause (c) of the definition thereof) or Section 6.08(a)(vii) and any prepayments of Indebtedness made after the Restatement Date in reliance on Section 6.08(b)(vii) prior to such date.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Available Tenor</w:t>
      </w:r>
      <w:r>
        <w:rPr>
          <w:color w:val="000000"/>
        </w:rPr>
        <w:t xml:space="preserve">” </w:t>
      </w:r>
      <w:r>
        <w:rPr>
          <w:rFonts w:ascii="Times New Roman;sans-serif" w:hAnsi="Times New Roman;sans-serif"/>
          <w:b w:val="false"/>
          <w:color w:val="000000"/>
          <w:sz w:val="22"/>
        </w:rPr>
        <w:t>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(f) of Section 2.14.</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Bail-In Action</w:t>
      </w:r>
      <w:r>
        <w:rPr>
          <w:color w:val="000000"/>
        </w:rPr>
        <w:t xml:space="preserve">” </w:t>
      </w:r>
      <w:r>
        <w:rPr>
          <w:rFonts w:ascii="Times New Roman;sans-serif" w:hAnsi="Times New Roman;sans-serif"/>
          <w:b w:val="false"/>
          <w:color w:val="000000"/>
          <w:sz w:val="22"/>
        </w:rPr>
        <w:t>means the exercise of any Write-Down and Conversion Powers by the applicable Resolution Authority in respect of any liability of an Affected Financial Institution.</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Bail-In Legislation</w:t>
      </w:r>
      <w:r>
        <w:rPr>
          <w:color w:val="000000"/>
        </w:rPr>
        <w:t xml:space="preserve">” </w:t>
      </w:r>
      <w:r>
        <w:rPr>
          <w:rFonts w:ascii="Times New Roman;sans-serif" w:hAnsi="Times New Roman;sans-serif"/>
          <w:b w:val="false"/>
          <w:color w:val="000000"/>
          <w:sz w:val="22"/>
        </w:rPr>
        <w:t xml:space="preserve">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w:t>
      </w:r>
      <w:r>
        <w:br w:type="page"/>
      </w:r>
    </w:p>
    <w:p>
      <w:pPr>
        <w:pStyle w:val="TextBody"/>
        <w:spacing w:before="0" w:after="0"/>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60655"/>
                <wp:effectExtent l="0" t="0" r="0" b="0"/>
                <wp:wrapNone/>
                <wp:docPr id="106" name="Frame10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banks, investment firms or other financial institutions or their affiliates (other than through liquidation, administration or other insolvency proceedings).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Bankruptcy Event</w:t>
      </w:r>
      <w:r>
        <w:rPr>
          <w:color w:val="000000"/>
        </w:rPr>
        <w:t xml:space="preserve">” </w:t>
      </w:r>
      <w:r>
        <w:rPr>
          <w:rFonts w:ascii="Times New Roman;sans-serif" w:hAnsi="Times New Roman;sans-serif"/>
          <w:b w:val="false"/>
          <w:color w:val="000000"/>
          <w:sz w:val="22"/>
        </w:rPr>
        <w:t xml:space="preserve">means, with respect to any Person, that such Person has become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Bankruptcy Event shall not result solely by virtue of any ownership interest, or the acquisition of any ownership interest, in such Person by a Governmental Authority;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such ownership interest does not result in or provide such Person with immunity from the jurisdiction of courts within the United States of America or from the enforcement of judgments or writs of attachment on its assets or permit such Person (or such Governmental Authority) to reject, repudiate, disavow or disaffirm any agreements made by such Person.</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Benchmark</w:t>
      </w:r>
      <w:r>
        <w:rPr>
          <w:color w:val="000000"/>
        </w:rPr>
        <w:t xml:space="preserve">” </w:t>
      </w:r>
      <w:r>
        <w:rPr>
          <w:rFonts w:ascii="Times New Roman;sans-serif" w:hAnsi="Times New Roman;sans-serif"/>
          <w:b w:val="false"/>
          <w:color w:val="000000"/>
          <w:sz w:val="22"/>
        </w:rPr>
        <w:t xml:space="preserve">means, initially, </w:t>
      </w:r>
      <w:r>
        <w:rPr>
          <w:rFonts w:ascii="Times New Roman;sans-serif" w:hAnsi="Times New Roman;sans-serif"/>
          <w:b w:val="false"/>
          <w:color w:val="0000FF"/>
          <w:sz w:val="22"/>
          <w:highlight w:val="lightGray"/>
          <w:u w:val="single"/>
        </w:rPr>
        <w:t>with respect to any (i) Eurocurrency Rate Loan,</w:t>
      </w:r>
      <w:r>
        <w:rPr>
          <w:color w:val="000000"/>
        </w:rPr>
        <w:t xml:space="preserve"> </w:t>
      </w:r>
      <w:r>
        <w:rPr>
          <w:rFonts w:ascii="Times New Roman;sans-serif" w:hAnsi="Times New Roman;sans-serif"/>
          <w:b w:val="false"/>
          <w:color w:val="000000"/>
          <w:sz w:val="22"/>
        </w:rPr>
        <w:t>LIBO Rate</w:t>
      </w:r>
      <w:r>
        <w:rPr>
          <w:color w:val="0000FF"/>
          <w:highlight w:val="lightGray"/>
          <w:u w:val="single"/>
        </w:rPr>
        <w:t xml:space="preserve"> </w:t>
      </w:r>
      <w:r>
        <w:rPr>
          <w:rFonts w:ascii="Times New Roman;sans-serif" w:hAnsi="Times New Roman;sans-serif"/>
          <w:b w:val="false"/>
          <w:color w:val="0000FF"/>
          <w:sz w:val="22"/>
          <w:highlight w:val="lightGray"/>
          <w:u w:val="single"/>
        </w:rPr>
        <w:t>and (2) RFR Loan, Adjusted Daily Simple RFR</w:t>
      </w:r>
      <w:r>
        <w:rPr>
          <w:rFonts w:ascii="Times New Roman;sans-serif" w:hAnsi="Times New Roman;sans-serif"/>
          <w:b w:val="false"/>
          <w:color w:val="000000"/>
          <w:sz w:val="22"/>
        </w:rPr>
        <w:t>; provided that if a Benchmark Transition Event, a Term SOFR Transition Event, a Term ESTR Transition Event or an Early Opt-in Election, as applicable, and its related Benchmark Replacement Date have occurred with respect to the LIBO Rate or the then-current Benchmark, then “Benchmark” means the applicable Benchmark Replacement to the extent that such Benchmark Replacement has replaced such prior benchmark rate pursuant to clause (b) or clause (c) of Section 2.14.</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Benchmark Replacement</w:t>
      </w:r>
      <w:r>
        <w:rPr>
          <w:color w:val="000000"/>
        </w:rPr>
        <w:t xml:space="preserve">” </w:t>
      </w:r>
      <w:r>
        <w:rPr>
          <w:rFonts w:ascii="Times New Roman;sans-serif" w:hAnsi="Times New Roman;sans-serif"/>
          <w:b w:val="false"/>
          <w:color w:val="000000"/>
          <w:sz w:val="22"/>
        </w:rPr>
        <w:t>means, for any Available Tenor, the first alternative set forth in the order below that can be determined by the Administrative Agent for the applicable Benchmark Replacement Date:</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(1) </w:t>
      </w:r>
    </w:p>
    <w:p>
      <w:pPr>
        <w:pStyle w:val="TextBody"/>
        <w:spacing w:lineRule="auto" w:line="240" w:before="0" w:after="240"/>
        <w:ind w:left="0" w:right="0" w:firstLine="720"/>
        <w:rPr/>
      </w:pPr>
      <w:r>
        <w:rPr>
          <w:rFonts w:ascii="Times New Roman;sans-serif" w:hAnsi="Times New Roman;sans-serif"/>
          <w:b w:val="false"/>
          <w:color w:val="000000"/>
          <w:sz w:val="22"/>
        </w:rPr>
        <w:t xml:space="preserve">(x) in the case of Eurocurrency Loans denominated in dollars, the sum of: (a) Term SOFR and (b) the related Benchmark Replacement Adjustment; </w:t>
      </w:r>
      <w:r>
        <w:rPr>
          <w:rFonts w:ascii="Times New Roman;sans-serif" w:hAnsi="Times New Roman;sans-serif"/>
          <w:b w:val="false"/>
          <w:color w:val="0000FF"/>
          <w:sz w:val="22"/>
          <w:highlight w:val="lightGray"/>
          <w:u w:val="single"/>
        </w:rPr>
        <w:t>or</w:t>
      </w:r>
    </w:p>
    <w:p>
      <w:pPr>
        <w:pStyle w:val="TextBody"/>
        <w:spacing w:lineRule="auto" w:line="240" w:before="0" w:after="240"/>
        <w:ind w:left="0" w:right="0" w:firstLine="720"/>
        <w:rPr/>
      </w:pPr>
      <w:r>
        <w:rPr>
          <w:rFonts w:ascii="Times New Roman;sans-serif" w:hAnsi="Times New Roman;sans-serif"/>
          <w:b w:val="false"/>
          <w:color w:val="000000"/>
          <w:sz w:val="22"/>
        </w:rPr>
        <w:t xml:space="preserve">(y) in the case of Eurocurrency Loans denominated in Euros, the sum of: (a) Term ESTR and (b) the related Benchmark Replacement Adjustment; </w:t>
      </w:r>
      <w:r>
        <w:rPr>
          <w:rFonts w:ascii="Times New Roman;sans-serif" w:hAnsi="Times New Roman;sans-serif"/>
          <w:b w:val="false"/>
          <w:strike/>
          <w:color w:val="FF0000"/>
          <w:sz w:val="22"/>
        </w:rPr>
        <w:t xml:space="preserve">or </w:t>
      </w:r>
    </w:p>
    <w:p>
      <w:pPr>
        <w:pStyle w:val="TextBody"/>
        <w:spacing w:lineRule="auto" w:line="240" w:before="0" w:after="240"/>
        <w:ind w:left="0" w:right="0" w:firstLine="720"/>
        <w:rPr>
          <w:rFonts w:ascii="Times New Roman;sans-serif" w:hAnsi="Times New Roman;sans-serif"/>
          <w:b w:val="false"/>
          <w:strike/>
          <w:color w:val="FF0000"/>
          <w:sz w:val="22"/>
        </w:rPr>
      </w:pPr>
      <w:r>
        <w:rPr>
          <w:rFonts w:ascii="Times New Roman;sans-serif" w:hAnsi="Times New Roman;sans-serif"/>
          <w:b w:val="false"/>
          <w:strike/>
          <w:color w:val="FF0000"/>
          <w:sz w:val="22"/>
        </w:rPr>
        <w:t>(z) in the case of Eurocurrency Loans denominated in Pounds Sterling, the sum of: (a) Daily Simple SONIA and (b) the related Benchmark Replacement Adjustment;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(2) </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(x) in the case of Eurocurrency Loans denominated in dollars, the sum of: (a) Daily Simple SOFR and (b) the related Benchmark Replacement Adjustment; </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(y) in the case of Eurocurrency Loans denominated in Euros, the sum of: (a) Daily Simple ESTR and (b) the related Benchmark Replacement Adjustment;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(3) the sum of: (a) the alternate benchmark rate that has been selected by the Administrative Agent and the Parent Borrower as the replacement for the then-current Benchmark for the applicable Corresponding Tenor giving due consideration to (i) any selection or recommendation of a replacement benchmark rate or the mechanism for determining such a rate by the Relevant Governmental Body and (ii) any evolving or then-prevailing market convention for determining a benchmark rate as a replacement for the then-current Benchmark for syndicated credit facilities denominated in the applicable Agreed Currency at such time and (b) the related Benchmark Replacement Adjustment;</w:t>
      </w:r>
    </w:p>
    <w:p>
      <w:pPr>
        <w:pStyle w:val="TextBody"/>
        <w:spacing w:lineRule="auto" w:line="240" w:before="0" w:after="240"/>
        <w:ind w:left="0" w:right="0" w:firstLine="1440"/>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the case of clause (1)(x) or (1)(y), such Unadjusted Benchmark Replacement is displayed on a screen or other information service that publishes such rate from time to time as selected by the Administrative Agent in its reasonable discretion; provided further that, (x) with </w:t>
      </w:r>
      <w:r>
        <w:br w:type="page"/>
      </w:r>
    </w:p>
    <w:p>
      <w:pPr>
        <w:pStyle w:val="TextBody"/>
        <w:spacing w:before="0" w:after="0"/>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60655"/>
                <wp:effectExtent l="0" t="0" r="0" b="0"/>
                <wp:wrapNone/>
                <wp:docPr id="107" name="Frame10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respect to a Eurocurrency Loan denominated in dollars,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(1)(x) of this definition (subject to the first proviso above) and (y) with respect to a Eurocurrency Loan denominated in Euros, notwithstanding anything to the contrary in this Agreement or in any other Loan Document, upon the occurrence of a Term ESTR Transition Event, and the delivery of a Term ESTR Notice, on the applicable Benchmark Replacement Date the “Benchmark Replacement” shall revert to and shall be deemed to be the sum of (a) Term ESTR and (b) the related Benchmark Replacement Adjustment, as set forth in clause (1)(y) of this definition (subject to the first proviso above).</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If the Benchmark Replacement as determined pursuant to clause (1), (2) or (3) above would be less than the Floor, the Benchmark Replacement will be deemed to be the Floor for the purposes of this Agreement and the other Loan Documents.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Benchmark Replacement Adjustment</w:t>
      </w:r>
      <w:r>
        <w:rPr>
          <w:color w:val="000000"/>
        </w:rPr>
        <w:t xml:space="preserve">” </w:t>
      </w:r>
      <w:r>
        <w:rPr>
          <w:rFonts w:ascii="Times New Roman;sans-serif" w:hAnsi="Times New Roman;sans-serif"/>
          <w:b w:val="false"/>
          <w:color w:val="000000"/>
          <w:sz w:val="22"/>
        </w:rPr>
        <w:t>means, with respect to any replacement of the then-current Benchmark with an Unadjusted Benchmark Replacement for any applicable Interest Period and Available Tenor for any setting of such Unadjusted Benchmark Replacement: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(1) for purposes of clauses (1) and (2) of the definition of “Benchmark Replacement,” the first alternative set forth in the order below that can be determined by the Administrative Agent: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(a) 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(b) 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(2) for purposes of clause (3) of the definition of “Benchmark Replacement,” the spread adjustment, or method for calculating or determining such spread adjustment, (which may be a positive or negative value or zero) that has been selected by the Administrative Agent and the Parent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w:t>
      </w:r>
    </w:p>
    <w:p>
      <w:pPr>
        <w:pStyle w:val="TextBody"/>
        <w:spacing w:lineRule="auto" w:line="240" w:before="0" w:after="240"/>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the case of clause (1) above, such adjustment is displayed on a screen or other information service that publishes such Benchmark Replacement Adjustment from time to time as selected by the Administrative Agent in its reasonable discretion.</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Benchmark Replacement Conforming Changes</w:t>
      </w:r>
      <w:r>
        <w:rPr>
          <w:color w:val="000000"/>
        </w:rPr>
        <w:t xml:space="preserve">” </w:t>
      </w:r>
      <w:r>
        <w:rPr>
          <w:rFonts w:ascii="Times New Roman;sans-serif" w:hAnsi="Times New Roman;sans-serif"/>
          <w:b w:val="false"/>
          <w:color w:val="000000"/>
          <w:sz w:val="22"/>
        </w:rPr>
        <w:t>means, with respect to any Benchmark Replacement, any technical, administrative or operational changes (including changes to the definition of “Alternate Base Rate,” the definition of “Business Day,” the definition of “</w:t>
      </w:r>
      <w:r>
        <w:rPr>
          <w:rFonts w:ascii="Times New Roman;sans-serif" w:hAnsi="Times New Roman;sans-serif"/>
          <w:b w:val="false"/>
          <w:color w:val="0000FF"/>
          <w:sz w:val="22"/>
          <w:highlight w:val="lightGray"/>
          <w:u w:val="single"/>
        </w:rPr>
        <w:t>RFR Business Day”, the definition of “</w:t>
      </w:r>
      <w:r>
        <w:rPr>
          <w:rFonts w:ascii="Times New Roman;sans-serif" w:hAnsi="Times New Roman;sans-serif"/>
          <w:b w:val="false"/>
          <w:color w:val="000000"/>
          <w:sz w:val="22"/>
        </w:rPr>
        <w:t xml:space="preserve">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may be appropriate to reflect the adoption and implementation of such Benchmark Replacement and to permit the </w:t>
      </w:r>
      <w:r>
        <w:br w:type="page"/>
      </w:r>
    </w:p>
    <w:p>
      <w:pPr>
        <w:pStyle w:val="TextBody"/>
        <w:spacing w:before="0" w:after="0"/>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60655"/>
                <wp:effectExtent l="0" t="0" r="0" b="0"/>
                <wp:wrapNone/>
                <wp:docPr id="108" name="Frame10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Benchmark Replacement Date</w:t>
      </w:r>
      <w:r>
        <w:rPr>
          <w:color w:val="000000"/>
        </w:rPr>
        <w:t xml:space="preserve">” </w:t>
      </w:r>
      <w:r>
        <w:rPr>
          <w:rFonts w:ascii="Times New Roman;sans-serif" w:hAnsi="Times New Roman;sans-serif"/>
          <w:b w:val="false"/>
          <w:color w:val="000000"/>
          <w:sz w:val="22"/>
        </w:rPr>
        <w:t>means, with respect to any Benchmark, the earliest to occur of the following events with respect to such then-current Benchmark:</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(2) in the case of clause (3) of the definition of “Benchmark Transition Event,” the date of the public statement or publication of information referenced therein; or</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(3) in the case of a Term SOFR Transition Event or a Term ESTR Transition, as applicable, the date that is thirty (30) days after the date a Term SOFR Notice or a Term ESTR Notice, as applicable is provided to the Lenders and the Parent Borrower pursuant to Section 2.14(c); or </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(4) 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Benchmark Transition Event</w:t>
      </w:r>
      <w:r>
        <w:rPr>
          <w:color w:val="000000"/>
        </w:rPr>
        <w:t xml:space="preserve">” </w:t>
      </w:r>
      <w:r>
        <w:rPr>
          <w:rFonts w:ascii="Times New Roman;sans-serif" w:hAnsi="Times New Roman;sans-serif"/>
          <w:b w:val="false"/>
          <w:color w:val="000000"/>
          <w:sz w:val="22"/>
        </w:rPr>
        <w:t>means, with respect to any Benchmark, the occurrence of one or more of the following events with respect to such then-current Benchmark:</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(2) 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r>
        <w:br w:type="page"/>
      </w:r>
    </w:p>
    <w:p>
      <w:pPr>
        <w:pStyle w:val="TextBody"/>
        <w:spacing w:before="0" w:after="0"/>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60655"/>
                <wp:effectExtent l="0" t="0" r="0" b="0"/>
                <wp:wrapNone/>
                <wp:docPr id="109" name="Frame10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v:rect>
            </w:pict>
          </mc:Fallback>
        </mc:AlternateConten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(3) 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Benchmark Unavailability Period</w:t>
      </w:r>
      <w:r>
        <w:rPr>
          <w:color w:val="000000"/>
        </w:rPr>
        <w:t xml:space="preserve">” </w:t>
      </w:r>
      <w:r>
        <w:rPr>
          <w:rFonts w:ascii="Times New Roman;sans-serif" w:hAnsi="Times New Roman;sans-serif"/>
          <w:b w:val="false"/>
          <w:color w:val="000000"/>
          <w:sz w:val="22"/>
        </w:rPr>
        <w:t xml:space="preserve">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Beneficial Ownership Certification</w:t>
      </w:r>
      <w:r>
        <w:rPr>
          <w:color w:val="000000"/>
        </w:rPr>
        <w:t xml:space="preserve">” </w:t>
      </w:r>
      <w:r>
        <w:rPr>
          <w:rFonts w:ascii="Times New Roman;sans-serif" w:hAnsi="Times New Roman;sans-serif"/>
          <w:b w:val="false"/>
          <w:color w:val="000000"/>
          <w:sz w:val="22"/>
        </w:rPr>
        <w:t>means a certification regarding beneficial ownership or control to the extent required by the Beneficial Ownership Regulation.</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Beneficial Ownership Regulation</w:t>
      </w:r>
      <w:r>
        <w:rPr>
          <w:color w:val="000000"/>
        </w:rPr>
        <w:t xml:space="preserve">” </w:t>
      </w:r>
      <w:r>
        <w:rPr>
          <w:rFonts w:ascii="Times New Roman;sans-serif" w:hAnsi="Times New Roman;sans-serif"/>
          <w:b w:val="false"/>
          <w:color w:val="000000"/>
          <w:sz w:val="22"/>
        </w:rPr>
        <w:t>means 31 C.F.R. § 1010.230.</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Benefit Plan</w:t>
      </w:r>
      <w:r>
        <w:rPr>
          <w:color w:val="000000"/>
        </w:rPr>
        <w:t xml:space="preserve">” </w:t>
      </w:r>
      <w:r>
        <w:rPr>
          <w:rFonts w:ascii="Times New Roman;sans-serif" w:hAnsi="Times New Roman;sans-serif"/>
          <w:b w:val="false"/>
          <w:color w:val="000000"/>
          <w:sz w:val="22"/>
        </w:rPr>
        <w:t>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pStyle w:val="TextBody"/>
        <w:spacing w:lineRule="auto" w:line="240" w:before="0" w:after="220"/>
        <w:ind w:left="0" w:right="0" w:firstLine="1440"/>
        <w:jc w:val="both"/>
        <w:rPr/>
      </w:pPr>
      <w:r>
        <w:rPr>
          <w:color w:val="000000"/>
        </w:rPr>
        <w:t>“</w:t>
      </w:r>
      <w:r>
        <w:rPr>
          <w:rFonts w:ascii="Times New Roman;sans-serif" w:hAnsi="Times New Roman;sans-serif"/>
          <w:b w:val="false"/>
          <w:color w:val="000000"/>
          <w:sz w:val="22"/>
          <w:u w:val="single"/>
        </w:rPr>
        <w:t>BHC Act Affiliate</w:t>
      </w:r>
      <w:r>
        <w:rPr>
          <w:color w:val="000000"/>
        </w:rPr>
        <w:t xml:space="preserve">” </w:t>
      </w:r>
      <w:r>
        <w:rPr>
          <w:rFonts w:ascii="Times New Roman;sans-serif" w:hAnsi="Times New Roman;sans-serif"/>
          <w:b w:val="false"/>
          <w:color w:val="000000"/>
          <w:sz w:val="22"/>
        </w:rPr>
        <w:t>means a party means an “affiliate’ (as such term is defined under, and interpreted in accordance with, 12 U.S.C. 1841(k)) of such party.</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Board</w:t>
      </w:r>
      <w:r>
        <w:rPr>
          <w:color w:val="000000"/>
        </w:rPr>
        <w:t xml:space="preserve">” </w:t>
      </w:r>
      <w:r>
        <w:rPr>
          <w:rFonts w:ascii="Times New Roman;sans-serif" w:hAnsi="Times New Roman;sans-serif"/>
          <w:b w:val="false"/>
          <w:color w:val="000000"/>
          <w:sz w:val="22"/>
        </w:rPr>
        <w:t>means the Board of Governors of the Federal Reserve System of the United States of America.</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Borrowing</w:t>
      </w:r>
      <w:r>
        <w:rPr>
          <w:color w:val="000000"/>
        </w:rPr>
        <w:t xml:space="preserve">” </w:t>
      </w:r>
      <w:r>
        <w:rPr>
          <w:rFonts w:ascii="Times New Roman;sans-serif" w:hAnsi="Times New Roman;sans-serif"/>
          <w:b w:val="false"/>
          <w:color w:val="000000"/>
          <w:sz w:val="22"/>
        </w:rPr>
        <w:t xml:space="preserve">means (a) Loans of the same Class and Type, made, converted or continued on the same date and (i) in the case of Eurocurrency Loans denominated in dollars, as to which a single Interest Period is in effect and (ii) in the case of </w:t>
      </w:r>
      <w:r>
        <w:rPr>
          <w:rFonts w:ascii="Times New Roman;sans-serif" w:hAnsi="Times New Roman;sans-serif"/>
          <w:b w:val="false"/>
          <w:color w:val="0000FF"/>
          <w:sz w:val="22"/>
          <w:highlight w:val="lightGray"/>
          <w:u w:val="single"/>
        </w:rPr>
        <w:t>Eurocurrency Loans denominated in a</w:t>
      </w:r>
      <w:r>
        <w:rPr>
          <w:color w:val="000000"/>
        </w:rPr>
        <w:t xml:space="preserve"> </w:t>
      </w:r>
      <w:r>
        <w:rPr>
          <w:rFonts w:ascii="Times New Roman;sans-serif" w:hAnsi="Times New Roman;sans-serif"/>
          <w:b w:val="false"/>
          <w:color w:val="000000"/>
          <w:sz w:val="22"/>
        </w:rPr>
        <w:t>Foreign Currency</w:t>
      </w:r>
      <w:r>
        <w:rPr>
          <w:strike/>
          <w:color w:val="FF0000"/>
        </w:rPr>
        <w:t xml:space="preserve"> </w:t>
      </w:r>
      <w:r>
        <w:rPr>
          <w:rFonts w:ascii="Times New Roman;sans-serif" w:hAnsi="Times New Roman;sans-serif"/>
          <w:b w:val="false"/>
          <w:strike/>
          <w:color w:val="FF0000"/>
          <w:sz w:val="22"/>
        </w:rPr>
        <w:t>Loans</w:t>
      </w:r>
      <w:r>
        <w:rPr>
          <w:rFonts w:ascii="Times New Roman;sans-serif" w:hAnsi="Times New Roman;sans-serif"/>
          <w:b w:val="false"/>
          <w:color w:val="000000"/>
          <w:sz w:val="22"/>
        </w:rPr>
        <w:t>, Loans in a single currency and as to which a single Interest Period is in effect or (b) a Swingline Loan.</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Borrowing Request</w:t>
      </w:r>
      <w:r>
        <w:rPr>
          <w:color w:val="000000"/>
        </w:rPr>
        <w:t xml:space="preserve">” </w:t>
      </w:r>
      <w:r>
        <w:rPr>
          <w:rFonts w:ascii="Times New Roman;sans-serif" w:hAnsi="Times New Roman;sans-serif"/>
          <w:b w:val="false"/>
          <w:color w:val="000000"/>
          <w:sz w:val="22"/>
        </w:rPr>
        <w:t>means a request by the Parent Borrower or a Foreign Subsidiary Borrower, as the case may be, for a Borrowing in accordance with Section 2.03 or 2.04, as applicable, which shall be, in the case of any such written request, in the form of Exhibit B or any other form approved by the Administrative Agent.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Business Day</w:t>
      </w:r>
      <w:r>
        <w:rPr>
          <w:color w:val="000000"/>
        </w:rPr>
        <w:t xml:space="preserve">” </w:t>
      </w:r>
      <w:r>
        <w:rPr>
          <w:rFonts w:ascii="Times New Roman;sans-serif" w:hAnsi="Times New Roman;sans-serif"/>
          <w:b w:val="false"/>
          <w:color w:val="000000"/>
          <w:sz w:val="22"/>
        </w:rPr>
        <w:t xml:space="preserve">means any day that is not a Saturday, Sunday or other day on which commercial banks in New York City are authorized or required by law to remain closed;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when used in connection with any Eurocurrency Loan denominated in dollars, the term “Business Day” shall also exclude any day on which banks are not open for dealings in dollar deposits in the London interbank market</w:t>
      </w:r>
      <w:r>
        <w:rPr>
          <w:strike/>
          <w:color w:val="FF0000"/>
        </w:rPr>
        <w:t xml:space="preserve"> </w:t>
      </w:r>
      <w:r>
        <w:rPr>
          <w:rFonts w:ascii="Times New Roman;sans-serif" w:hAnsi="Times New Roman;sans-serif"/>
          <w:b w:val="false"/>
          <w:strike/>
          <w:color w:val="FF0000"/>
          <w:sz w:val="22"/>
        </w:rPr>
        <w:t>and</w:t>
      </w:r>
      <w:r>
        <w:rPr>
          <w:rFonts w:ascii="Times New Roman;sans-serif" w:hAnsi="Times New Roman;sans-serif"/>
          <w:b w:val="false"/>
          <w:color w:val="0000FF"/>
          <w:sz w:val="22"/>
          <w:highlight w:val="lightGray"/>
          <w:u w:val="single"/>
        </w:rPr>
        <w:t>,</w:t>
      </w:r>
      <w:r>
        <w:rPr>
          <w:color w:val="000000"/>
        </w:rPr>
        <w:t xml:space="preserve"> </w:t>
      </w:r>
      <w:r>
        <w:rPr>
          <w:rFonts w:ascii="Times New Roman;sans-serif" w:hAnsi="Times New Roman;sans-serif"/>
          <w:b w:val="false"/>
          <w:color w:val="000000"/>
          <w:sz w:val="22"/>
        </w:rPr>
        <w:t xml:space="preserve">(ii) when used in connection with </w:t>
      </w:r>
      <w:r>
        <w:rPr>
          <w:rFonts w:ascii="Times New Roman;sans-serif" w:hAnsi="Times New Roman;sans-serif"/>
          <w:b w:val="false"/>
          <w:strike/>
          <w:color w:val="FF0000"/>
          <w:sz w:val="22"/>
        </w:rPr>
        <w:t>any</w:t>
      </w:r>
      <w:r>
        <w:rPr>
          <w:rFonts w:ascii="Times New Roman;sans-serif" w:hAnsi="Times New Roman;sans-serif"/>
          <w:b w:val="false"/>
          <w:color w:val="0000FF"/>
          <w:sz w:val="22"/>
          <w:highlight w:val="lightGray"/>
          <w:u w:val="single"/>
        </w:rPr>
        <w:t>a Eurocurrency Loan denominated in a</w:t>
      </w:r>
      <w:r>
        <w:rPr>
          <w:color w:val="000000"/>
        </w:rPr>
        <w:t xml:space="preserve"> </w:t>
      </w:r>
      <w:r>
        <w:rPr>
          <w:rFonts w:ascii="Times New Roman;sans-serif" w:hAnsi="Times New Roman;sans-serif"/>
          <w:b w:val="false"/>
          <w:color w:val="000000"/>
          <w:sz w:val="22"/>
        </w:rPr>
        <w:t>Foreign Currency</w:t>
      </w:r>
      <w:r>
        <w:rPr>
          <w:strike/>
          <w:color w:val="FF0000"/>
        </w:rPr>
        <w:t xml:space="preserve"> </w:t>
      </w:r>
      <w:r>
        <w:rPr>
          <w:rFonts w:ascii="Times New Roman;sans-serif" w:hAnsi="Times New Roman;sans-serif"/>
          <w:b w:val="false"/>
          <w:strike/>
          <w:color w:val="FF0000"/>
          <w:sz w:val="22"/>
        </w:rPr>
        <w:t>Loan</w:t>
      </w:r>
      <w:r>
        <w:rPr>
          <w:rFonts w:ascii="Times New Roman;sans-serif" w:hAnsi="Times New Roman;sans-serif"/>
          <w:b w:val="false"/>
          <w:color w:val="000000"/>
          <w:sz w:val="22"/>
        </w:rPr>
        <w:t xml:space="preserve">, the term “Business Day” shall also exclude (x) any day which is not a day for trading by and between banks in deposits for the applicable currency in the interbank eurocurrency market, (y) with respect to Foreign Currency Loans denominated in </w:t>
      </w:r>
      <w:r>
        <w:rPr>
          <w:rFonts w:ascii="Times New Roman;sans-serif" w:hAnsi="Times New Roman;sans-serif"/>
          <w:b w:val="false"/>
          <w:color w:val="0000FF"/>
          <w:sz w:val="22"/>
          <w:highlight w:val="lightGray"/>
          <w:u w:val="single"/>
        </w:rPr>
        <w:t>Pounds Sterling, any day on which banks are not open for business in London and (z) with respect to Foreign Currency Loans denominated in</w:t>
      </w:r>
      <w:r>
        <w:rPr>
          <w:color w:val="000000"/>
        </w:rPr>
        <w:t xml:space="preserve"> </w:t>
      </w:r>
      <w:r>
        <w:rPr>
          <w:rFonts w:ascii="Times New Roman;sans-serif" w:hAnsi="Times New Roman;sans-serif"/>
          <w:b w:val="false"/>
          <w:color w:val="000000"/>
          <w:sz w:val="22"/>
        </w:rPr>
        <w:t>Euros, any day which is not also a TARGET Day (as determined by the Administrative Agent) and (</w:t>
      </w:r>
      <w:r>
        <w:rPr>
          <w:rFonts w:ascii="Times New Roman;sans-serif" w:hAnsi="Times New Roman;sans-serif"/>
          <w:b w:val="false"/>
          <w:strike/>
          <w:color w:val="FF0000"/>
          <w:sz w:val="22"/>
        </w:rPr>
        <w:t>z) with respect to</w:t>
      </w:r>
      <w:r>
        <w:rPr>
          <w:rFonts w:ascii="Times New Roman;sans-serif" w:hAnsi="Times New Roman;sans-serif"/>
          <w:b w:val="false"/>
          <w:color w:val="0000FF"/>
          <w:sz w:val="22"/>
          <w:highlight w:val="lightGray"/>
          <w:u w:val="single"/>
        </w:rPr>
        <w:t>iii) when used in connection with an RFR Loan and any interest rate settings, fundings, disbursements, settlements or payments of any such RFR Loan, or any other dealings in the applicable</w:t>
      </w:r>
      <w:r>
        <w:rPr>
          <w:color w:val="000000"/>
        </w:rPr>
        <w:t xml:space="preserve"> </w:t>
      </w:r>
      <w:r>
        <w:rPr>
          <w:rFonts w:ascii="Times New Roman;sans-serif" w:hAnsi="Times New Roman;sans-serif"/>
          <w:b w:val="false"/>
          <w:color w:val="000000"/>
          <w:sz w:val="22"/>
        </w:rPr>
        <w:t xml:space="preserve">Foreign Currency </w:t>
      </w:r>
      <w:r>
        <w:rPr>
          <w:rFonts w:ascii="Times New Roman;sans-serif" w:hAnsi="Times New Roman;sans-serif"/>
          <w:b w:val="false"/>
          <w:color w:val="0000FF"/>
          <w:sz w:val="22"/>
          <w:highlight w:val="lightGray"/>
          <w:u w:val="single"/>
        </w:rPr>
        <w:t>of such RFR</w:t>
      </w:r>
      <w:r>
        <w:rPr>
          <w:color w:val="000000"/>
        </w:rPr>
        <w:t xml:space="preserve"> </w:t>
      </w:r>
      <w:r>
        <w:rPr>
          <w:rFonts w:ascii="Times New Roman;sans-serif" w:hAnsi="Times New Roman;sans-serif"/>
          <w:b w:val="false"/>
          <w:color w:val="000000"/>
          <w:sz w:val="22"/>
        </w:rPr>
        <w:t>Loan</w:t>
      </w:r>
      <w:r>
        <w:rPr>
          <w:rFonts w:ascii="Times New Roman;sans-serif" w:hAnsi="Times New Roman;sans-serif"/>
          <w:b w:val="false"/>
          <w:strike/>
          <w:color w:val="FF0000"/>
          <w:sz w:val="22"/>
        </w:rPr>
        <w:t xml:space="preserve">s in a Foreign Currency other than Euros, any day which is not also </w:t>
      </w:r>
      <w:r>
        <w:rPr>
          <w:rFonts w:ascii="Times New Roman;sans-serif" w:hAnsi="Times New Roman;sans-serif"/>
          <w:b w:val="false"/>
          <w:strike/>
          <w:color w:val="008000"/>
          <w:sz w:val="22"/>
        </w:rPr>
        <w:t xml:space="preserve">a </w:t>
      </w:r>
      <w:r>
        <w:br w:type="page"/>
      </w:r>
    </w:p>
    <w:p>
      <w:pPr>
        <w:pStyle w:val="TextBody"/>
        <w:spacing w:before="0" w:after="0"/>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60655"/>
                <wp:effectExtent l="0" t="0" r="0" b="0"/>
                <wp:wrapNone/>
                <wp:docPr id="110" name="Frame10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v:rect>
            </w:pict>
          </mc:Fallback>
        </mc:AlternateContent>
      </w:r>
    </w:p>
    <w:p>
      <w:pPr>
        <w:pStyle w:val="TextBody"/>
        <w:spacing w:lineRule="auto" w:line="240" w:before="0" w:after="240"/>
        <w:rPr/>
      </w:pPr>
      <w:r>
        <w:rPr>
          <w:rFonts w:ascii="Times New Roman;sans-serif" w:hAnsi="Times New Roman;sans-serif"/>
          <w:b w:val="false"/>
          <w:strike/>
          <w:color w:val="008000"/>
          <w:sz w:val="22"/>
        </w:rPr>
        <w:t xml:space="preserve">day on which banks are </w:t>
      </w:r>
      <w:r>
        <w:rPr>
          <w:rFonts w:ascii="Times New Roman;sans-serif" w:hAnsi="Times New Roman;sans-serif"/>
          <w:b w:val="false"/>
          <w:strike/>
          <w:color w:val="FF0000"/>
          <w:sz w:val="22"/>
        </w:rPr>
        <w:t>open for dealings in such currency in the Principal Financial Center for the applicable currency</w:t>
      </w:r>
      <w:r>
        <w:rPr>
          <w:rFonts w:ascii="Times New Roman;sans-serif" w:hAnsi="Times New Roman;sans-serif"/>
          <w:b w:val="false"/>
          <w:color w:val="0000FF"/>
          <w:sz w:val="22"/>
          <w:highlight w:val="lightGray"/>
          <w:u w:val="single"/>
        </w:rPr>
        <w:t>, any such day that is only an RFR Business Day</w:t>
      </w:r>
      <w:r>
        <w:rPr>
          <w:rFonts w:ascii="Times New Roman;sans-serif" w:hAnsi="Times New Roman;sans-serif"/>
          <w:b w:val="false"/>
          <w:color w:val="000000"/>
          <w:sz w:val="22"/>
        </w:rPr>
        <w: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Calculation Date</w:t>
      </w:r>
      <w:r>
        <w:rPr>
          <w:color w:val="000000"/>
        </w:rPr>
        <w:t xml:space="preserve">” </w:t>
      </w:r>
      <w:r>
        <w:rPr>
          <w:rFonts w:ascii="Times New Roman;sans-serif" w:hAnsi="Times New Roman;sans-serif"/>
          <w:b w:val="false"/>
          <w:color w:val="000000"/>
          <w:sz w:val="22"/>
        </w:rPr>
        <w:t xml:space="preserve">means the last Business Day of each calendar quarter (or any other day selected by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the second Business Day preceding (or such other Business Day as the Administrative Agent shall deem applicable with respect to any Foreign Currency in accordance with rate-setting convention for such currency) (i) the date of each Borrowing of Foreign Currency Loans or (ii) any date on which a Foreign Currency Loan is continued shall also be a “Calculation Date,” (b) the date of each Borrowing of any other Loan made hereunder shall also be a “Calculation Date”</w:t>
      </w:r>
      <w:r>
        <w:rPr>
          <w:strike/>
          <w:color w:val="FF0000"/>
        </w:rPr>
        <w:t xml:space="preserve"> </w:t>
      </w:r>
      <w:r>
        <w:rPr>
          <w:rFonts w:ascii="Times New Roman;sans-serif" w:hAnsi="Times New Roman;sans-serif"/>
          <w:b w:val="false"/>
          <w:strike/>
          <w:color w:val="FF0000"/>
          <w:sz w:val="22"/>
        </w:rPr>
        <w:t>and</w:t>
      </w:r>
      <w:r>
        <w:rPr>
          <w:rFonts w:ascii="Times New Roman;sans-serif" w:hAnsi="Times New Roman;sans-serif"/>
          <w:b w:val="false"/>
          <w:color w:val="0000FF"/>
          <w:sz w:val="22"/>
          <w:highlight w:val="lightGray"/>
          <w:u w:val="single"/>
        </w:rPr>
        <w:t>,</w:t>
      </w:r>
      <w:r>
        <w:rPr>
          <w:color w:val="000000"/>
        </w:rPr>
        <w:t xml:space="preserve"> </w:t>
      </w:r>
      <w:r>
        <w:rPr>
          <w:rFonts w:ascii="Times New Roman;sans-serif" w:hAnsi="Times New Roman;sans-serif"/>
          <w:b w:val="false"/>
          <w:color w:val="000000"/>
          <w:sz w:val="22"/>
        </w:rPr>
        <w:t>(c</w:t>
      </w:r>
      <w:r>
        <w:rPr>
          <w:rFonts w:ascii="Times New Roman;sans-serif" w:hAnsi="Times New Roman;sans-serif"/>
          <w:b w:val="false"/>
          <w:color w:val="0000FF"/>
          <w:sz w:val="22"/>
          <w:highlight w:val="lightGray"/>
          <w:u w:val="single"/>
        </w:rPr>
        <w:t>) with respect to any RFR Loan, each date that is on the numerically corresponding day in each calendar month that is one month after the borrowing of such Loan (or, if there is no such numerically corresponding day in such month, then the last day of such month) shall also be a “Calculation Date” and (d</w:t>
      </w:r>
      <w:r>
        <w:rPr>
          <w:rFonts w:ascii="Times New Roman;sans-serif" w:hAnsi="Times New Roman;sans-serif"/>
          <w:b w:val="false"/>
          <w:color w:val="000000"/>
          <w:sz w:val="22"/>
        </w:rPr>
        <w:t>) the date of issuance, amendment, renewal or extension of a Letter of Credit, or any other date determined by the applicable Issuing Bank, shall also be a Calculation Date.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Capital Expenditures</w:t>
      </w:r>
      <w:r>
        <w:rPr>
          <w:color w:val="000000"/>
        </w:rPr>
        <w:t xml:space="preserve">” </w:t>
      </w:r>
      <w:r>
        <w:rPr>
          <w:rFonts w:ascii="Times New Roman;sans-serif" w:hAnsi="Times New Roman;sans-serif"/>
          <w:b w:val="false"/>
          <w:color w:val="000000"/>
          <w:sz w:val="22"/>
        </w:rPr>
        <w:t>means, for any period, without duplication, (a) the additions to property, plant and equipment and other capital expenditures of Holdings, the Parent Borrower and its consolidated Subsidiaries (including the Receivables Subsidiary) that are (or would be) set forth in a consolidated statement of cash flows of Holdings for such period prepared in accordance with GAAP other than (x) such additions and expenditures classified as Permitted Acquisitions and (y) such additions and expenditures made with Net Proceeds from any casualty or other insured damage or condemnation or similar awards and (b) Financing Lease Obligations incurred by Holdings, the Parent Borrower and its consolidated Subsidiaries (including the Receivables Subsidiary) during such period.</w:t>
      </w:r>
    </w:p>
    <w:p>
      <w:pPr>
        <w:pStyle w:val="TextBody"/>
        <w:spacing w:lineRule="auto" w:line="240" w:before="0" w:after="240"/>
        <w:ind w:left="0" w:right="0" w:firstLine="1440"/>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CBR Loan” means a Loan that bears interest at a rate determined by reference to the Central Bank Rate.</w:t>
      </w:r>
    </w:p>
    <w:p>
      <w:pPr>
        <w:pStyle w:val="TextBody"/>
        <w:spacing w:lineRule="auto" w:line="240" w:before="0" w:after="240"/>
        <w:ind w:left="0" w:right="0" w:firstLine="1440"/>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CBR Spread” means the Applicable Rate, applicable to such Loan that is replaced by a CBR Loan.</w:t>
      </w:r>
    </w:p>
    <w:p>
      <w:pPr>
        <w:pStyle w:val="TextBody"/>
        <w:spacing w:lineRule="auto" w:line="240" w:before="0" w:after="240"/>
        <w:ind w:left="0" w:right="0" w:firstLine="1440"/>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Central Bank Rate” means, (A) the greater of (i) for any Loan denominated in Pounds Sterling, the Bank of England (or any successor thereto)’s “Bank Rate” as published by the Bank of England (or any successor thereto) from time to time and (ii) the Floor; plus (B) the applicable Central Bank Rate Adjustment.</w:t>
      </w:r>
    </w:p>
    <w:p>
      <w:pPr>
        <w:pStyle w:val="TextBody"/>
        <w:spacing w:lineRule="auto" w:line="240" w:before="0" w:after="240"/>
        <w:ind w:left="0" w:right="0" w:firstLine="1440"/>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Central Bank Rate Adjustment” means, for any day, for any Loan denominated in Pounds Sterling, a rate equal to the difference (which may be a positive or negative value or zero) of (i) the average of Adjusted Daily Simple RFR for Loans denominated in Pounds Sterling for the five most recent RFR Business Days preceding such day for which SONIA was available (excluding, from such averaging, the highest and the lowest such Adjusted Daily Simple RFR applicable during such period of five RFR Business Days) minus (ii) the Central Bank Rate in respect of Pounds Sterling in effect on the last RFR Business Day in such period. For purposes of this definition, the term Central Bank Rate shall be determined disregarding clause (B) of the definition of such term.</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CFC</w:t>
      </w:r>
      <w:r>
        <w:rPr>
          <w:color w:val="000000"/>
        </w:rPr>
        <w:t xml:space="preserve">” </w:t>
      </w:r>
      <w:r>
        <w:rPr>
          <w:rFonts w:ascii="Times New Roman;sans-serif" w:hAnsi="Times New Roman;sans-serif"/>
          <w:b w:val="false"/>
          <w:color w:val="000000"/>
          <w:sz w:val="22"/>
        </w:rPr>
        <w:t>means a “controlled foreign corporation” within the meaning of Section 957 of the Code.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CFC Holdco</w:t>
      </w:r>
      <w:r>
        <w:rPr>
          <w:color w:val="000000"/>
        </w:rPr>
        <w:t xml:space="preserve">” </w:t>
      </w:r>
      <w:r>
        <w:rPr>
          <w:rFonts w:ascii="Times New Roman;sans-serif" w:hAnsi="Times New Roman;sans-serif"/>
          <w:b w:val="false"/>
          <w:color w:val="000000"/>
          <w:sz w:val="22"/>
        </w:rPr>
        <w:t>means any Domestic Subsidiary substantially all the assets of which consist of Equity Interests of one or more CFCs.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Change in Control</w:t>
      </w:r>
      <w:r>
        <w:rPr>
          <w:color w:val="000000"/>
        </w:rPr>
        <w:t xml:space="preserve">” </w:t>
      </w:r>
      <w:r>
        <w:rPr>
          <w:rFonts w:ascii="Times New Roman;sans-serif" w:hAnsi="Times New Roman;sans-serif"/>
          <w:b w:val="false"/>
          <w:color w:val="000000"/>
          <w:sz w:val="22"/>
        </w:rPr>
        <w:t xml:space="preserve">means (a) the acquisition by any Person other than Holdings of any direct Equity Interest in the Parent Borrower, (b) the acquisition of beneficial ownership, directly or indirectly, by any Person or group (within the meaning of the Exchange Act), of Equity Interests representing more than 35% of the aggregate ordinary voting power represented by the issued and outstanding Equity Interests in Holdings, (d) the board of directors of Holdings shall cease to consist of a majority of Continuing Directors or (e) the occurrence of any change in control (or similar event, however denominated) with respect to Holdings or the Parent Borrower under (i) any indenture or other agreement in respect of Material Indebtedness to which Holdings, the Parent Borrower or any Subsidiary is a party, </w:t>
      </w:r>
      <w:r>
        <w:br w:type="page"/>
      </w:r>
    </w:p>
    <w:p>
      <w:pPr>
        <w:pStyle w:val="TextBody"/>
        <w:spacing w:before="0" w:after="0"/>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60655"/>
                <wp:effectExtent l="0" t="0" r="0" b="0"/>
                <wp:wrapNone/>
                <wp:docPr id="111" name="Frame11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(ii) any instrument governing any preferred stock of Holdings, the Parent Borrower or any Subsidiary having a liquidation value or redemption value in excess of $10,000,000 or (iii) the Permitted Receivables Financing.</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Notwithstanding the preceding or any provision of Rule 13d-3 of the Exchange Act,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Change in Law</w:t>
      </w:r>
      <w:r>
        <w:rPr>
          <w:color w:val="000000"/>
        </w:rPr>
        <w:t xml:space="preserve">” </w:t>
      </w:r>
      <w:r>
        <w:rPr>
          <w:rFonts w:ascii="Times New Roman;sans-serif" w:hAnsi="Times New Roman;sans-serif"/>
          <w:b w:val="false"/>
          <w:color w:val="000000"/>
          <w:sz w:val="22"/>
        </w:rPr>
        <w:t xml:space="preserve">means (a) the adoption of any law, rule or regulation after the Second Restatement Date, (b) any change in any law, rule or regulation or in the interpretation or application thereof by any Governmental Authority after the Second Restatement Date or (c) compliance by any Lender or the Issuing Bank (or, for purposes of Section 2.15(b), by any lending office of such Lender or by such Lender’s or the Issuing Bank’s holding company, if any) with any request, guideline or directive (whether or not having the force of law) of any Governmental Authority made or issued after the Second Restatement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w:t>
      </w:r>
      <w:r>
        <w:rPr>
          <w:rFonts w:ascii="Times New Roman;sans-serif" w:hAnsi="Times New Roman;sans-serif"/>
          <w:b w:val="false"/>
          <w:color w:val="000000"/>
          <w:sz w:val="22"/>
          <w:u w:val="single"/>
        </w:rPr>
        <w:t>Change in Law</w:t>
      </w:r>
      <w:r>
        <w:rPr>
          <w:rFonts w:ascii="Times New Roman;sans-serif" w:hAnsi="Times New Roman;sans-serif"/>
          <w:b w:val="false"/>
          <w:color w:val="000000"/>
          <w:sz w:val="22"/>
        </w:rPr>
        <w:t>,” regardless of the date enacted, adopted, promulgated or issued.</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Class</w:t>
      </w:r>
      <w:r>
        <w:rPr>
          <w:color w:val="000000"/>
        </w:rPr>
        <w:t xml:space="preserve">” </w:t>
      </w:r>
      <w:r>
        <w:rPr>
          <w:rFonts w:ascii="Times New Roman;sans-serif" w:hAnsi="Times New Roman;sans-serif"/>
          <w:b w:val="false"/>
          <w:color w:val="000000"/>
          <w:sz w:val="22"/>
        </w:rPr>
        <w:t xml:space="preserve">when used in reference to (a) any Loan or Borrowing, refers to whether such Loan, or the Loans comprising such Borrowing, are Revolving Loans of a particular tranche of Revolving Commitments, (b) any Commitment, refers to whether such Commitment is a Commitment in respect of a particular tranche of Revolving Commitments and (c) any Lender, refers to whether such Lender has a Loan or Commitment under a particular tranche of Revolving Commitments. Each tranche of Extended Revolving Commitments shall constitute a separate Class.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Closing Date</w:t>
      </w:r>
      <w:r>
        <w:rPr>
          <w:color w:val="000000"/>
        </w:rPr>
        <w:t xml:space="preserve">” </w:t>
      </w:r>
      <w:r>
        <w:rPr>
          <w:rFonts w:ascii="Times New Roman;sans-serif" w:hAnsi="Times New Roman;sans-serif"/>
          <w:b w:val="false"/>
          <w:color w:val="000000"/>
          <w:sz w:val="22"/>
        </w:rPr>
        <w:t>means the date on which the conditions specified in Section 4.01 were satisfied, which date was October 16, 2013.</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Code</w:t>
      </w:r>
      <w:r>
        <w:rPr>
          <w:color w:val="000000"/>
        </w:rPr>
        <w:t xml:space="preserve">” </w:t>
      </w:r>
      <w:r>
        <w:rPr>
          <w:rFonts w:ascii="Times New Roman;sans-serif" w:hAnsi="Times New Roman;sans-serif"/>
          <w:b w:val="false"/>
          <w:color w:val="000000"/>
          <w:sz w:val="22"/>
        </w:rPr>
        <w:t>means the Internal Revenue Code of 1986, as amended from time to time.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Collateral</w:t>
      </w:r>
      <w:r>
        <w:rPr>
          <w:color w:val="000000"/>
        </w:rPr>
        <w:t xml:space="preserve">” </w:t>
      </w:r>
      <w:r>
        <w:rPr>
          <w:rFonts w:ascii="Times New Roman;sans-serif" w:hAnsi="Times New Roman;sans-serif"/>
          <w:b w:val="false"/>
          <w:color w:val="000000"/>
          <w:sz w:val="22"/>
        </w:rPr>
        <w:t>means any and all “</w:t>
      </w:r>
      <w:r>
        <w:rPr>
          <w:rFonts w:ascii="Times New Roman;sans-serif" w:hAnsi="Times New Roman;sans-serif"/>
          <w:b w:val="false"/>
          <w:color w:val="000000"/>
          <w:sz w:val="22"/>
          <w:u w:val="single"/>
        </w:rPr>
        <w:t>Collateral</w:t>
      </w:r>
      <w:r>
        <w:rPr>
          <w:rFonts w:ascii="Times New Roman;sans-serif" w:hAnsi="Times New Roman;sans-serif"/>
          <w:b w:val="false"/>
          <w:color w:val="000000"/>
          <w:sz w:val="22"/>
        </w:rPr>
        <w:t>,” as defined in any applicable Security Document.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Collateral Agent</w:t>
      </w:r>
      <w:r>
        <w:rPr>
          <w:color w:val="000000"/>
        </w:rPr>
        <w:t xml:space="preserve">” </w:t>
      </w:r>
      <w:r>
        <w:rPr>
          <w:rFonts w:ascii="Times New Roman;sans-serif" w:hAnsi="Times New Roman;sans-serif"/>
          <w:b w:val="false"/>
          <w:color w:val="000000"/>
          <w:sz w:val="22"/>
        </w:rPr>
        <w:t xml:space="preserve">means JPMCB, in its capacity as collateral agent for the Lenders under the Security Documents.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Collateral and Guarantee Requirement</w:t>
      </w:r>
      <w:r>
        <w:rPr>
          <w:color w:val="000000"/>
        </w:rPr>
        <w:t xml:space="preserve">” </w:t>
      </w:r>
      <w:r>
        <w:rPr>
          <w:rFonts w:ascii="Times New Roman;sans-serif" w:hAnsi="Times New Roman;sans-serif"/>
          <w:b w:val="false"/>
          <w:color w:val="000000"/>
          <w:sz w:val="22"/>
        </w:rPr>
        <w:t>means the requirement that:</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    the Collateral Agent shall have received from each party thereto (other than the Collateral Agent) either (i) a counterpart of (A) the Guarantee Agreement, (B) the Indemnity, Subrogation and Contribution Agreement, (C) the Pledge Agreement and (D) the Security Agreement in each case duly executed and delivered on behalf of such Loan Party, or (ii) in the case of any Person that becomes a Subsidiary Loan Party after the Closing Date, a supplement to each of the Guarantee Agreement, the Indemnity, Subrogation and Contribution Agreement, the Pledge Agreement and the Security Agreement, in each case in the form specified therein, duly executed and delivered on behalf of such Subsidiary Loan Party;</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(b)    all outstanding Equity Interests of the Parent Borrower and each Subsidiary (including the Receivables Subsidiary) owned by or on behalf of any Loan Party shall have been pledged pursuant to the Pledge Agreement (except that the Loan Parties shall not be required to pledge more than 65% of the outstanding voting Equity Interests of any Foreign Subsidiary, any CFC or any CFC Holdco), it being understood that this exception shall not limit the application of </w:t>
      </w:r>
      <w:r>
        <w:br w:type="page"/>
      </w:r>
    </w:p>
    <w:p>
      <w:pPr>
        <w:pStyle w:val="TextBody"/>
        <w:spacing w:before="0" w:after="0"/>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60655"/>
                <wp:effectExtent l="0" t="0" r="0" b="0"/>
                <wp:wrapNone/>
                <wp:docPr id="112" name="Frame11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Foreign Security Collateral and Guarantee Requirement) and the Collateral Agent shall have received certificates or other instruments representing all such Equity Interests, together with stock powers or other instruments of transfer with respect thereto endorsed in blank;</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    all Indebtedness of Holdings, the Parent Borrower and each Subsidiary in an aggregate principal amount that exceeds $500,000 that is owing to any Loan Party shall be evidenced by a promissory note and shall have been pledged pursuant to the Pledge Agreement and the Collateral Agent shall have received all such promissory notes, together with instruments of transfer with respect thereto endorsed in blank;</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(d)    all documents and instruments, including Uniform Commercial Code financing statements, required by law or reasonably requested by the Collateral Agent to be filed, registered or recorded to create the Liens intended to be created by the Security Agreement and the Pledge Agreement and perfect such Liens to the extent required by, and with the priority required by, the Security Agreement and the Pledge Agreement, shall have been filed, registered or recorded or delivered to the Collateral Agent for filing, registration or recording;</w:t>
      </w:r>
    </w:p>
    <w:p>
      <w:pPr>
        <w:pStyle w:val="TextBody"/>
        <w:spacing w:lineRule="auto" w:line="240" w:before="0" w:after="240"/>
        <w:ind w:left="0" w:right="0" w:firstLine="720"/>
        <w:rPr/>
      </w:pPr>
      <w:r>
        <w:rPr>
          <w:rFonts w:ascii="Times New Roman;sans-serif" w:hAnsi="Times New Roman;sans-serif"/>
          <w:b w:val="false"/>
          <w:color w:val="000000"/>
          <w:sz w:val="22"/>
        </w:rPr>
        <w:t>(e)    the Collateral Agent shall have received (i) counterparts of a Mortgage with respect to any Mortgaged Property duly executed and delivered by the record owner of such Mortgaged Property, (ii) a policy or policies of title insurance issued by a nationally recognized title insurance company in an amount and form reasonably acceptable to the Administrative Agent insuring the Lien of each such Mortgage as a valid first Lien on the Mortgaged Property described therein, free of any other Liens except as expressly permitted by Section 6.02, together with such endorsements, coinsurance and reinsurance as the Administrative Agent or the Required Lenders may reasonably request, but only to the extent such endorsements are (A) available in the relevant jurisdiction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in no event shall the Collateral Agent request a creditors’ rights endorsement) and (B) available at commercially reasonable rates, (iii) a completed Life of Loan flood hazard determination and, if any improved Mortgaged Property is located in an area determined by the Federal Emergency Management Agency to have special flood hazards, a notice about special flood hazard area status duly executed by the Parent Brower and the applicable Loan Party and evidence of flood insurance as may be required under the Flood Laws, and (iv) such abstracts, legal opinions and other documents as the Administrative Agent or the Required Lenders may reasonably request with respect to any such Mortgage or Mortgaged Property;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in no event shall surveys be required to be obtained with respect to any Mortgaged Property; and</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    each Loan Party (other than the Foreign Subsidiary Borrowers) shall have obtained all consents and approvals required to be obtained by it in connection with the execution and delivery of all Security Documents to which it is a party, the performance of its obligations thereunder and the granting by it of the Liens thereunder.</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Commission</w:t>
      </w:r>
      <w:r>
        <w:rPr>
          <w:color w:val="000000"/>
        </w:rPr>
        <w:t xml:space="preserve">” </w:t>
      </w:r>
      <w:r>
        <w:rPr>
          <w:rFonts w:ascii="Times New Roman;sans-serif" w:hAnsi="Times New Roman;sans-serif"/>
          <w:b w:val="false"/>
          <w:color w:val="000000"/>
          <w:sz w:val="22"/>
        </w:rPr>
        <w:t>means the Securities and Exchange Commission or any Governmental Authority succeeding to any or all of the functions of said Commission.</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Commitment</w:t>
      </w:r>
      <w:r>
        <w:rPr>
          <w:color w:val="000000"/>
        </w:rPr>
        <w:t xml:space="preserve">” </w:t>
      </w:r>
      <w:r>
        <w:rPr>
          <w:rFonts w:ascii="Times New Roman;sans-serif" w:hAnsi="Times New Roman;sans-serif"/>
          <w:b w:val="false"/>
          <w:color w:val="000000"/>
          <w:sz w:val="22"/>
        </w:rPr>
        <w:t>means a Revolving Commitment.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Commitment Fee</w:t>
      </w:r>
      <w:r>
        <w:rPr>
          <w:color w:val="000000"/>
        </w:rPr>
        <w:t xml:space="preserve">” </w:t>
      </w:r>
      <w:r>
        <w:rPr>
          <w:rFonts w:ascii="Times New Roman;sans-serif" w:hAnsi="Times New Roman;sans-serif"/>
          <w:b w:val="false"/>
          <w:color w:val="000000"/>
          <w:sz w:val="22"/>
        </w:rPr>
        <w:t>has the meaning assigned to such term in Section 2.12(a).</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Commodity Exchange Act</w:t>
      </w:r>
      <w:r>
        <w:rPr>
          <w:color w:val="000000"/>
        </w:rPr>
        <w:t xml:space="preserve">” </w:t>
      </w:r>
      <w:r>
        <w:rPr>
          <w:rFonts w:ascii="Times New Roman;sans-serif" w:hAnsi="Times New Roman;sans-serif"/>
          <w:b w:val="false"/>
          <w:color w:val="000000"/>
          <w:sz w:val="22"/>
        </w:rPr>
        <w:t>means the Commodity Exchange Act (7 U.S.C. § 1 et seq.), as amended from time to time, and any successor statute.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Consolidated Cash Interest Expense</w:t>
      </w:r>
      <w:r>
        <w:rPr>
          <w:color w:val="000000"/>
        </w:rPr>
        <w:t xml:space="preserve">” </w:t>
      </w:r>
      <w:r>
        <w:rPr>
          <w:rFonts w:ascii="Times New Roman;sans-serif" w:hAnsi="Times New Roman;sans-serif"/>
          <w:b w:val="false"/>
          <w:color w:val="000000"/>
          <w:sz w:val="22"/>
        </w:rPr>
        <w:t xml:space="preserve">means, for any period, the excess of (a) the sum, without duplication, of (i) the interest expense (including imputed interest expense in respect of Financing Lease Obligations) of Holdings, the Parent Borrower and the Subsidiaries (including the Receivables Subsidiary) for such period, determined on a consolidated basis in accordance with GAAP, plus (ii) any interest accrued during such period in respect of Indebtedness of Holdings, the Parent Borrower or any Subsidiary (including the Receivables Subsidiary) that is required to be capitalized rather than included in consolidated interest expense for such period in accordance with GAAP, plus (iii) any cash payments </w:t>
      </w:r>
      <w:r>
        <w:br w:type="page"/>
      </w:r>
    </w:p>
    <w:p>
      <w:pPr>
        <w:pStyle w:val="TextBody"/>
        <w:spacing w:before="0" w:after="0"/>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60655"/>
                <wp:effectExtent l="0" t="0" r="0" b="0"/>
                <wp:wrapNone/>
                <wp:docPr id="113" name="Frame11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made during such period in respect of obligations referred to in clause (b)(iii) below that were amortized or accrued in a previous period, plus (iv) interest-equivalent costs associated with any Permitted Receivables Financing or Specified Vendor Receivables Financing, whether accounted for as interest expense or loss on the sale of receivables, minus (b) the sum of, without duplication, (i) interest income of Holdings, the Parent Borrower and the Subsidiaries (including the Receivables Subsidiary) for such period, determined on a consolidated basis in accordance with GAAP, plus (ii) to the extent included in such consolidated interest expense for such period, noncash amounts attributable to amortization of financing costs paid in a previous period, plus (iii) to the extent included in such consolidated interest expense for such period, noncash amounts attributable to amortization of debt discounts or accrued interest payable in kind for such period, plus (iv) to the extent included in such consolidated interest expense for such period, all financing fees incurred in connection with the Transactions, plus (v) annual agency fees paid to the administrative agents and collateral agents under any permitted credit facility of Holdings, the Parent Borrower or any Subsidiary, plus (vi) costs associated with obtaining Hedging Agreements, plus (vii) any expense resulting from the discounting of any Indebtedness in connection with the application of recapitalization accounting or, if applicable, purchase accounting in connection with any acquisition, plus (viii) penalties and interest relating to taxes, plus (ix) any expensing of bridge, commitment and other financing fees and any other fees related to any acquisitions after the Second Restatement Date, plus (x) interest expense resulting from push-down accounting, plus (xi) any lease, rental or other expense in connection with a Non-Financing Lease Obligation.</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Consolidated EBITDA</w:t>
      </w:r>
      <w:r>
        <w:rPr>
          <w:color w:val="000000"/>
        </w:rPr>
        <w:t xml:space="preserve">” </w:t>
      </w:r>
      <w:r>
        <w:rPr>
          <w:rFonts w:ascii="Times New Roman;sans-serif" w:hAnsi="Times New Roman;sans-serif"/>
          <w:b w:val="false"/>
          <w:color w:val="000000"/>
          <w:sz w:val="22"/>
        </w:rPr>
        <w:t xml:space="preserve">means, for any period, Consolidated Net Income for such period plus (a) without duplication and to the extent deducted in determining such Consolidated Net Income (other than with respect to clause (ix) below), the sum of (i) consolidated interest expense for such period, (ii) consolidated income tax expense for such period (including all single business tax expenses imposed by state law), (iii) all amounts attributable to depreciation and amortization for such period, (iv) interest-equivalent costs associated with any Permitted Receivables Financing or Specified Vendor Receivables Financing for such period, whether accounted for as interest expense or loss on the sale of receivables, and all Preferred Dividends, (v) the aggregate amount of deferred financing expenses for such period, (vi) all other noncash expenses or losses of Holdings, the Parent Borrower or any of the Subsidiaries for such period (excluding any such charge that constitutes an accrual of or a reserve for cash charges for any future period), (vii) losses associated with the prepayment of leases (whether operating leases or capital leases) outstanding on January 1, 2017 from discontinued operations, (viii) any costs or expense incurred pursuant to any management equity plan or stock option plan or any other management or employee benefit plan or agreement or any stock subscription or shareholder agreement, to the extent that such cost or expenses are funded with cash proceeds contributed to the common capital of Holdings or any Loan Party (other than from Holdings or a Subsidiary) or Net Proceeds of an issuance of Equity Interests of Holdings (other than Disqualified Equity Interests and other than any issuance to the Parent Borrower or a Subsidiary), in each case, Not Otherwise Applied and (ix) the amount of “run rate” cost savings, operating expense reductions and cost synergies related to mergers and other business combinations, acquisitions, divestitures, restructurings, cost savings initiatives and other similar transactions or initiatives consummated after the Second Restatement Date that are reasonably identifiable and factually supportable and projected by the Parent Borrower to result within 12 months after such merger or other business combination, acquisition, divestiture, restructuring, cost savings initiative or other transaction or initiative is consummated, net of the amount of actual benefits realized during such period from such actions,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aggregate amount of any such cost savings, operating expense reductions and cost synergies added pursuant to this clause (ix) for any period of four consecutive fiscal quarters of Holdings shall not exceed 20% of Consolidated EBITDA for such period (calculated prior to giving effect to any add-backs pursuant to this clause (ix)) minus (b) without duplication and to the extent included in determining such Consolidated Net Income, (i) any gains realized from the retirement of Indebtedness after the Second Restatement Date, all determined on a consolidated basis in accordance with GAAP and (ii) consolidated income tax benefits for such period (excluding, for purposes of this clause (ii), any such benefits received in a fiscal quarter ended prior to the Second Restatement Date). If the Parent Borrower or any Subsidiary has made any Permitted Acquisition or Significant Investment or any sale, transfer, lease or other disposition of assets outside of the ordinary course of business permitted by Section 6.05 during the relevant period for determining the Leverage Ratio, the Total Net Leverage Ratio or the Senior Secured Net Leverage Ratio and the Interest Expense Coverage Ratio, Consolidated EBITDA for the relevant period shall be calculated only for purposes of determining the Leverage Ratio, the Total Net Leverage Ratio, the Senior Secured Net Leverage Ratio and the Interest Expense Coverage </w:t>
      </w:r>
      <w:r>
        <w:br w:type="page"/>
      </w:r>
    </w:p>
    <w:p>
      <w:pPr>
        <w:pStyle w:val="TextBody"/>
        <w:spacing w:before="0" w:after="0"/>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60655"/>
                <wp:effectExtent l="0" t="0" r="0" b="0"/>
                <wp:wrapNone/>
                <wp:docPr id="114" name="Frame11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2"/>
        </w:rPr>
        <w:t xml:space="preserve">Ratio after giving pro forma effect thereto, as if such Permitted Acquisition or Significant Investment or sale, transfer, lease or other disposition of assets (and, in each case, any related incurrence, repayment or assumption of Indebtedness, with any new Indebtedness being deemed to be amortized over the relevant period in accordance with its terms, and assuming that any Revolving Loans borrowed in connection with such acquisition are repaid with excess cash balances when available) had occurred on the first day of the relevant period for determining Consolidated EBITDA;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with respect to any Significant Investment, (x) any pro forma adjustment made to Consolidated EBITDA shall be in proportion to the percentage ownership of the Parent Borrower or such Subsidiary, as applicable, in the Subject Person (e.g. if the Parent Borrower acquires 70% of the Equity Interests of the Subject Person, a pro forma adjustment to Consolidated EBITDA shall be made with respect to no more than 70% of the EBITDA of the Subject Person) and (y) pro forma effect shall only be given to such Significant Investment if the Indebtedness of the Subject Person is included in Total Indebtedness for purposes of calculating the Leverage Ratio, the Total Net Leverage Ratio and the Senior Secured Net Leverage Ratio and the Subject Person is included as a Subsidiary in the calculation of Consolidated Cash Interest Expense for purposes of calculating the Interest Expense Coverage Ratio, in each case in proportion to the percentage ownership of the Parent Borrower or such Subsidiary, as applicable, in such Subject Person. Any such pro forma calculations may include operating and other expense reductions and other adjustments for such period resulting from any Permitted Acquisition, or sale, transfer, lease or other disposition of assets that is being given pro forma effect to the extent that such operating and other expense reductions and other adjustments (a) would be permitted pursuant to Article XI of Regulation S-X under the Securities Act of 1933 (“</w:t>
      </w:r>
      <w:r>
        <w:rPr>
          <w:rFonts w:ascii="Times New Roman;sans-serif" w:hAnsi="Times New Roman;sans-serif"/>
          <w:b w:val="false"/>
          <w:color w:val="000000"/>
          <w:sz w:val="22"/>
          <w:u w:val="single"/>
        </w:rPr>
        <w:t>Regulation S-X</w:t>
      </w:r>
      <w:r>
        <w:rPr>
          <w:color w:val="000000"/>
        </w:rPr>
        <w:t>”</w:t>
      </w:r>
      <w:r>
        <w:rPr>
          <w:rFonts w:ascii="Times New Roman;sans-serif" w:hAnsi="Times New Roman;sans-serif"/>
          <w:b w:val="false"/>
          <w:color w:val="000000"/>
          <w:sz w:val="22"/>
        </w:rPr>
        <w:t>), (b) are reasonably consistent with the purpose of Regulation S-X as determined in good faith by the Parent Borrower in consultation with the Administrative Agent or (c) are otherwise appropriate, in the reasonable good faith determination of the Parent Borrower as set forth in an officer’s certificate, to reflect operating and other expense reductions reasonably expected to result from the applicable event within 12 months of the date the applicable event is consummated and, in each case, calculated in accordance with and subject to the provisions of clause (a)(ix) of this definition.</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Consolidated Net Income</w:t>
      </w:r>
      <w:r>
        <w:rPr>
          <w:color w:val="000000"/>
        </w:rPr>
        <w:t xml:space="preserve">” </w:t>
      </w:r>
      <w:r>
        <w:rPr>
          <w:rFonts w:ascii="Times New Roman;sans-serif" w:hAnsi="Times New Roman;sans-serif"/>
          <w:b w:val="false"/>
          <w:color w:val="000000"/>
          <w:sz w:val="22"/>
        </w:rPr>
        <w:t xml:space="preserve">means, for any period, the net income or loss of Holdings, the Parent Borrower and the Subsidiaries (including the Receivables Subsidiary) for such period, determined on a consolidated basis in accordance with GAAP;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there shall be excluded:</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(a)     the income of any Person (other than the Parent Borrower or a Significant Investment) in which any other Person (other than the Parent Borrower or any Subsidiary or any director holding qualifying shares in compliance with applicable law) owns an Equity Interest, except to the extent of the amount of dividends or other distributions actually paid to the Parent Borrower or any of the Subsidiaries during such period; </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(b)     the income or loss of any Person accrued prior to the date it becomes a Subsidiary or is merged into or consolidated with the Parent Borrower or any Subsidiary or the date that such Person’s assets are acquired by the Parent Borrower or any Subsidiary; </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(c)     the cumulative effect of a change in accounting principles during such period to the extent included in Consolidated Net Income;</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(d)    any net extraordinary, nonrecurring or unusual gains or losses (less all fees and expenses relating thereto);</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(e)    (i) any severance expenses, relocation expenses, restructuring expenses, curtailments or modifications to pension and post-retirement employee benefit plans, excess pension charges, any expenses related to any reconstruction, decommissioning, recommissioning or reconfiguration of fixed assets for alternate uses and fees, expenses or charges relating to facilities closing costs, acquisition integration costs, facilities opening costs, project start-up costs, business optimization costs, signing, retention or completion bonuses, expenses or charges related to any issuance of Equity Interests, investment, acquisition, disposition, recapitalization or issuance, repayment, refinancing, amendment or modification of Indebtedness (in each case, whether or not successful), (ii) any net income or loss from disposed, abandoned, transferred, closed or discontinued operations or fixed assets and any net gains or losses on disposal of disposed, abandoned, transferred, closed or discontinued operations or fixed assets, (iii) any net gains or losses (less all fees and expenses or charges relating thereto) attributable </w:t>
      </w:r>
      <w:r>
        <w:br w:type="page"/>
      </w:r>
    </w:p>
    <w:p>
      <w:pPr>
        <w:pStyle w:val="TextBody"/>
        <w:spacing w:before="0" w:after="0"/>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60655"/>
                <wp:effectExtent l="0" t="0" r="0" b="0"/>
                <wp:wrapNone/>
                <wp:docPr id="115" name="Frame11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2"/>
        </w:rPr>
        <w:t xml:space="preserve">to business dispositions or asset dispositions other than in the ordinary course of business (as determined in good faith by the Parent Borrower) and (iv) costs or expenses realized in connection with or resulting from stock appreciation or similar rights, stock options or other rights existing on the Second Restatement Date of officers, directors and employees, in each case of such Person or any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aggregate amount of any charges, expenses, losses or costs excluded pursuant to this clause (e) for any period of four consecutive fiscal quarters of Holdings (or, with respect to any calculation of clause (a)(i) of the Available Amount, (w) for the first fiscal quarter ended after the Closing Date, for such fiscal quarter, (x) for the second fiscal quarter ended after the Closing Date, for the period of two fiscal quarters then ended, (y) for the third fiscal quarter ended after the Closing Date, for the period of three fiscal quarters then ended and (z) for the fourth fiscal quarter ended after the Closing Date and thereafter, for the period of four consecutive fiscal quarters of Holdings most recently ended) shall not exceed 20% of Consolidated EBITDA for such period (calculated prior to giving effect to exclusions pursuant to this clause (e)); </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(f)    any fees, expenses, or charges related to the Transactions (including any transaction expenses incurred before, on or after the Second Restatement Date);</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(g)    effects of purchase accounting adjustments (including the effects of such adjustments pushed down to such Person and such Subsidiaries and including, without limitation, the effects of adjustments to (A) Financing Lease Obligations or (B) any other deferrals of income) in amounts required or permitted by GAAP, resulting from the application of purchase accounting or the amortization or write-off of any amounts thereof;</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(h)    any net gains or losses (less all fees and expenses or charges relating thereto) attributable to the early extinguishment of Indebtedness, Hedging Agreements or other derivative instruments;</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(i)    any impairment charges or asset write-offs, in each case pursuant to GAAP, and the amortization of intangibles and other fair value adjustments arising pursuant to GAAP; </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(j)    any non-cash expense realized or resulting from stock option plans, employee benefit plans or post-employment benefit plans, or grants or sales of stock, stock appreciation or similar rights, stock options, restricted stock, preferred stock or other rights; </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(k)    any non-cash compensation charges; </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(l)    accruals and reserves that are established or adjusted within 12 months after the Second Restatement Date and that are so required to be established or adjusted in accordance with GAAP or as a result of adoption or modification of accounting policies; </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(m)    non-cash gains, losses, income and expenses resulting from fair value accounting required by the applicable standard under GAAP and related interpretations;</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(n)    any currency gains and losses; </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(o)     to the extent covered by insurance and actually reimbursed, or, so long as such Person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and</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(p)    non-cash charges for deferred tax asset valuation allowances;</w:t>
      </w:r>
    </w:p>
    <w:p>
      <w:pPr>
        <w:pStyle w:val="TextBody"/>
        <w:spacing w:lineRule="auto" w:line="240" w:before="0" w:after="240"/>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 xml:space="preserve">that there shall be included amounts actually received from insurance in respect of lost revenues or earnings in respect of liability or casualty events or business interruption, and reimbursements of any expenses and charges pursuant to indemnification or other reimbursement provisions in connection </w:t>
      </w:r>
      <w:r>
        <w:br w:type="page"/>
      </w:r>
    </w:p>
    <w:p>
      <w:pPr>
        <w:pStyle w:val="TextBody"/>
        <w:spacing w:before="0" w:after="0"/>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60655"/>
                <wp:effectExtent l="0" t="0" r="0" b="0"/>
                <wp:wrapNone/>
                <wp:docPr id="116" name="Frame11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with any investment permitted under this Agreement or any sale, conveyance, transfer or other disposition of assets permitted under this Agreement.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Consolidated Total Assets</w:t>
      </w:r>
      <w:r>
        <w:rPr>
          <w:color w:val="000000"/>
        </w:rPr>
        <w:t xml:space="preserve">” </w:t>
      </w:r>
      <w:r>
        <w:rPr>
          <w:rFonts w:ascii="Times New Roman;sans-serif" w:hAnsi="Times New Roman;sans-serif"/>
          <w:b w:val="false"/>
          <w:color w:val="000000"/>
          <w:sz w:val="22"/>
        </w:rPr>
        <w:t xml:space="preserve">means, at any date of determination with respect to any Person, the total assets of such Person, determined on a consolidated basis in accordance with GAAP, as shown on the most recent balance sheet of such Person.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Continuing Directors</w:t>
      </w:r>
      <w:r>
        <w:rPr>
          <w:color w:val="000000"/>
        </w:rPr>
        <w:t xml:space="preserve">” </w:t>
      </w:r>
      <w:r>
        <w:rPr>
          <w:rFonts w:ascii="Times New Roman;sans-serif" w:hAnsi="Times New Roman;sans-serif"/>
          <w:b w:val="false"/>
          <w:color w:val="000000"/>
          <w:sz w:val="22"/>
        </w:rPr>
        <w:t>means the directors of Holdings on the Second Restatement Date, and each other director, if, in each case, such other director’s nomination for election to the board of directors of Holdings is approved by at least a majority of the then Continuing Directors.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Control</w:t>
      </w:r>
      <w:r>
        <w:rPr>
          <w:color w:val="000000"/>
        </w:rPr>
        <w:t xml:space="preserve">” </w:t>
      </w:r>
      <w:r>
        <w:rPr>
          <w:rFonts w:ascii="Times New Roman;sans-serif" w:hAnsi="Times New Roman;sans-serif"/>
          <w:b w:val="false"/>
          <w:color w:val="000000"/>
          <w:sz w:val="22"/>
        </w:rPr>
        <w:t>means the possession, directly or indirectly, of the power to direct or cause the direction of the management or policies of a Person, whether through the ability to exercise voting power, by contract or otherwise. “</w:t>
      </w:r>
      <w:r>
        <w:rPr>
          <w:rFonts w:ascii="Times New Roman;sans-serif" w:hAnsi="Times New Roman;sans-serif"/>
          <w:b w:val="false"/>
          <w:color w:val="000000"/>
          <w:sz w:val="22"/>
          <w:u w:val="single"/>
        </w:rPr>
        <w:t>Controlling</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Controlled</w:t>
      </w:r>
      <w:r>
        <w:rPr>
          <w:color w:val="000000"/>
        </w:rPr>
        <w:t xml:space="preserve">” </w:t>
      </w:r>
      <w:r>
        <w:rPr>
          <w:rFonts w:ascii="Times New Roman;sans-serif" w:hAnsi="Times New Roman;sans-serif"/>
          <w:b w:val="false"/>
          <w:color w:val="000000"/>
          <w:sz w:val="22"/>
        </w:rPr>
        <w:t>have meanings correlative thereto.</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Corresponding Tenor</w:t>
      </w:r>
      <w:r>
        <w:rPr>
          <w:color w:val="000000"/>
        </w:rPr>
        <w:t xml:space="preserve">” </w:t>
      </w:r>
      <w:r>
        <w:rPr>
          <w:rFonts w:ascii="Times New Roman;sans-serif" w:hAnsi="Times New Roman;sans-serif"/>
          <w:b w:val="false"/>
          <w:color w:val="000000"/>
          <w:sz w:val="22"/>
        </w:rPr>
        <w:t xml:space="preserve">with respect to any Available Tenor means, as applicable, either a tenor (including overnight) or an interest payment period having approximately the same length (disregarding business day adjustment) as such Available Tenor.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Covenant Holiday Acquisition</w:t>
      </w:r>
      <w:r>
        <w:rPr>
          <w:color w:val="000000"/>
        </w:rPr>
        <w:t xml:space="preserve">” </w:t>
      </w:r>
      <w:r>
        <w:rPr>
          <w:rFonts w:ascii="Times New Roman;sans-serif" w:hAnsi="Times New Roman;sans-serif"/>
          <w:b w:val="false"/>
          <w:color w:val="000000"/>
          <w:sz w:val="22"/>
        </w:rPr>
        <w:t xml:space="preserve">means a Permitted Acquisition for which (i) the cash consideration in respect of such acquisition is $50,000,000 or more and (ii) the Parent Borrower delivers to the Administrative Agent an officers’ certificate designating such Permitted Acquisition as a “Covenant Holiday Acquisition”;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no event shall there be more than two Covenant Holiday Acquisitions.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Covenant Holiday Period</w:t>
      </w:r>
      <w:r>
        <w:rPr>
          <w:color w:val="000000"/>
        </w:rPr>
        <w:t xml:space="preserve">” </w:t>
      </w:r>
      <w:r>
        <w:rPr>
          <w:rFonts w:ascii="Times New Roman;sans-serif" w:hAnsi="Times New Roman;sans-serif"/>
          <w:b w:val="false"/>
          <w:color w:val="000000"/>
          <w:sz w:val="22"/>
        </w:rPr>
        <w:t xml:space="preserve">means the period of four consecutive fiscal quarters commencing on the first day of the fiscal quarter in which the consummation of a Covenant Holiday Acquisition occurs;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applicable, the two Covenant Holiday Periods shall be separated by a period of at least two full fiscal quarters during which no Covenant Holiday Period is in effect.</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2"/>
          <w:u w:val="single"/>
        </w:rPr>
        <w:t>Covered Entity</w:t>
      </w:r>
      <w:r>
        <w:rPr>
          <w:color w:val="000000"/>
        </w:rPr>
        <w:t xml:space="preserve">” </w:t>
      </w:r>
      <w:r>
        <w:rPr>
          <w:rFonts w:ascii="Times New Roman;sans-serif" w:hAnsi="Times New Roman;sans-serif"/>
          <w:b w:val="false"/>
          <w:color w:val="000000"/>
          <w:sz w:val="22"/>
        </w:rPr>
        <w:t>means any of the following:</w:t>
      </w:r>
    </w:p>
    <w:p>
      <w:pPr>
        <w:pStyle w:val="TextBody"/>
        <w:spacing w:lineRule="auto" w:line="240" w:before="0" w:after="24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(i)    a “covered entity” as that term is defined in, and interpreted in accordance with, 12 C.F.R. § 252.82(b);</w:t>
      </w:r>
    </w:p>
    <w:p>
      <w:pPr>
        <w:pStyle w:val="TextBody"/>
        <w:spacing w:lineRule="auto" w:line="240" w:before="0" w:after="24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(ii)    a “covered bank” as that term is defined in, and interpreted in accordance with, 12 C.F.R. § 47.3(b); or</w:t>
      </w:r>
    </w:p>
    <w:p>
      <w:pPr>
        <w:pStyle w:val="TextBody"/>
        <w:spacing w:lineRule="auto" w:line="240" w:before="0" w:after="24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(iii)    a “covered FSI” as that term is defined in, and interpreted in accordance with, 12 C.F.R. § 382.2(b).</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Covered Party</w:t>
      </w:r>
      <w:r>
        <w:rPr>
          <w:color w:val="000000"/>
        </w:rPr>
        <w:t xml:space="preserve">” </w:t>
      </w:r>
      <w:r>
        <w:rPr>
          <w:rFonts w:ascii="Times New Roman;sans-serif" w:hAnsi="Times New Roman;sans-serif"/>
          <w:b w:val="false"/>
          <w:color w:val="000000"/>
          <w:sz w:val="22"/>
        </w:rPr>
        <w:t xml:space="preserve">has the meaning assigned to such term in Section 10.22.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CTA</w:t>
      </w:r>
      <w:r>
        <w:rPr>
          <w:color w:val="000000"/>
        </w:rPr>
        <w:t xml:space="preserve">” </w:t>
      </w:r>
      <w:r>
        <w:rPr>
          <w:rFonts w:ascii="Times New Roman;sans-serif" w:hAnsi="Times New Roman;sans-serif"/>
          <w:b w:val="false"/>
          <w:color w:val="000000"/>
          <w:sz w:val="22"/>
        </w:rPr>
        <w:t>means the UK Corporation Tax Act 2009.</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Daily Simple ESTR</w:t>
      </w:r>
      <w:r>
        <w:rPr>
          <w:color w:val="000000"/>
        </w:rPr>
        <w:t xml:space="preserve">” </w:t>
      </w:r>
      <w:r>
        <w:rPr>
          <w:rFonts w:ascii="Times New Roman;sans-serif" w:hAnsi="Times New Roman;sans-serif"/>
          <w:b w:val="false"/>
          <w:color w:val="000000"/>
          <w:sz w:val="22"/>
        </w:rPr>
        <w:t>means, for any day, ESTR, with the conventions for this rate (which may include a lookback) being established by the Administrative Agent in accordance with the conventions for this rate selected or recommended by the Relevant Governmental Body for determining “Daily Simple ESTR” for business loans or conventions that are otherwise used in the United States syndicated lending market for syndicated loans denominated in Euros; provided, that if the Administrative Agent decides that any such convention is not administratively feasible for the Administrative Agent, then the Administrative Agent may establish another convention in its reasonable discretion.</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 xml:space="preserve">Daily Simple </w:t>
      </w:r>
      <w:r>
        <w:rPr>
          <w:rFonts w:ascii="Times New Roman;sans-serif" w:hAnsi="Times New Roman;sans-serif"/>
          <w:b w:val="false"/>
          <w:strike/>
          <w:color w:val="FF0000"/>
          <w:sz w:val="22"/>
          <w:u w:val="single"/>
        </w:rPr>
        <w:t>SO</w:t>
      </w:r>
      <w:r>
        <w:rPr>
          <w:rFonts w:ascii="Times New Roman;sans-serif" w:hAnsi="Times New Roman;sans-serif"/>
          <w:b w:val="false"/>
          <w:color w:val="0000FF"/>
          <w:sz w:val="22"/>
          <w:highlight w:val="lightGray"/>
          <w:u w:val="single"/>
        </w:rPr>
        <w:t>R</w:t>
      </w:r>
      <w:r>
        <w:rPr>
          <w:rFonts w:ascii="Times New Roman;sans-serif" w:hAnsi="Times New Roman;sans-serif"/>
          <w:b w:val="false"/>
          <w:color w:val="000000"/>
          <w:sz w:val="22"/>
          <w:u w:val="single"/>
        </w:rPr>
        <w:t>FR</w:t>
      </w:r>
      <w:r>
        <w:rPr>
          <w:color w:val="000000"/>
        </w:rPr>
        <w:t xml:space="preserve">” </w:t>
      </w:r>
      <w:r>
        <w:rPr>
          <w:rFonts w:ascii="Times New Roman;sans-serif" w:hAnsi="Times New Roman;sans-serif"/>
          <w:b w:val="false"/>
          <w:color w:val="000000"/>
          <w:sz w:val="22"/>
        </w:rPr>
        <w:t>means, for any day</w:t>
      </w:r>
      <w:r>
        <w:rPr>
          <w:rFonts w:ascii="Times New Roman;sans-serif" w:hAnsi="Times New Roman;sans-serif"/>
          <w:b w:val="false"/>
          <w:strike/>
          <w:color w:val="FF0000"/>
          <w:sz w:val="22"/>
        </w:rPr>
        <w:t xml:space="preserve">, SOFR, with the conventions for this rate (which may include a lookback) being established by the Administrative Agent in accordance with the conventions for this rate selected or recommended by the Relevant Governmental Body for determining “Daily Simple SOFR” for business loans; provided, that if the Administrative Agent decides that any such </w:t>
      </w:r>
      <w:r>
        <w:br w:type="page"/>
      </w:r>
    </w:p>
    <w:p>
      <w:pPr>
        <w:pStyle w:val="TextBody"/>
        <w:spacing w:before="0" w:after="0"/>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60655"/>
                <wp:effectExtent l="0" t="0" r="0" b="0"/>
                <wp:wrapNone/>
                <wp:docPr id="117" name="Frame11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v:rect>
            </w:pict>
          </mc:Fallback>
        </mc:AlternateContent>
      </w:r>
    </w:p>
    <w:p>
      <w:pPr>
        <w:pStyle w:val="TextBody"/>
        <w:spacing w:lineRule="auto" w:line="240" w:before="0" w:after="240"/>
        <w:rPr/>
      </w:pPr>
      <w:r>
        <w:rPr>
          <w:rFonts w:ascii="Times New Roman;sans-serif" w:hAnsi="Times New Roman;sans-serif"/>
          <w:b w:val="false"/>
          <w:strike/>
          <w:color w:val="FF0000"/>
          <w:sz w:val="22"/>
        </w:rPr>
        <w:t>convention is not administratively feasible for the Administrative Agent, then the Administrative Agent may establish another convention in its reasonable discretion.</w:t>
      </w:r>
      <w:r>
        <w:rPr>
          <w:color w:val="000000"/>
        </w:rPr>
        <w:t xml:space="preserve"> </w:t>
      </w:r>
      <w:r>
        <w:rPr>
          <w:rFonts w:ascii="Times New Roman;sans-serif" w:hAnsi="Times New Roman;sans-serif"/>
          <w:b w:val="false"/>
          <w:color w:val="0000FF"/>
          <w:sz w:val="22"/>
          <w:highlight w:val="lightGray"/>
          <w:u w:val="single"/>
        </w:rPr>
        <w:t xml:space="preserve">(an “RFR Interest Day”), an interest rate per annum equal to, for any RFR Loan denominated in Pounds Sterling, SONIA for the day that is five RFR Business Days prior to (a) if such RFR Interest Day is an RFR Business Day, such RFR Interest Day or (b) if such RFR Interest Day is not an RFR Business Day, the RFR Business Day immediately preceding such RFR Interest Day.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 xml:space="preserve">Daily Simple </w:t>
      </w:r>
      <w:r>
        <w:rPr>
          <w:rFonts w:ascii="Times New Roman;sans-serif" w:hAnsi="Times New Roman;sans-serif"/>
          <w:b w:val="false"/>
          <w:strike/>
          <w:color w:val="FF0000"/>
          <w:sz w:val="22"/>
          <w:u w:val="single"/>
        </w:rPr>
        <w:t>SONIA</w:t>
      </w:r>
      <w:r>
        <w:rPr>
          <w:rFonts w:ascii="Times New Roman;sans-serif" w:hAnsi="Times New Roman;sans-serif"/>
          <w:b w:val="false"/>
          <w:color w:val="0000FF"/>
          <w:sz w:val="22"/>
          <w:highlight w:val="lightGray"/>
          <w:u w:val="single"/>
        </w:rPr>
        <w:t>SOFR</w:t>
      </w:r>
      <w:r>
        <w:rPr>
          <w:color w:val="000000"/>
        </w:rPr>
        <w:t xml:space="preserve">” </w:t>
      </w:r>
      <w:r>
        <w:rPr>
          <w:rFonts w:ascii="Times New Roman;sans-serif" w:hAnsi="Times New Roman;sans-serif"/>
          <w:b w:val="false"/>
          <w:color w:val="000000"/>
          <w:sz w:val="22"/>
        </w:rPr>
        <w:t xml:space="preserve">means, for any day, </w:t>
      </w:r>
      <w:r>
        <w:rPr>
          <w:rFonts w:ascii="Times New Roman;sans-serif" w:hAnsi="Times New Roman;sans-serif"/>
          <w:b w:val="false"/>
          <w:strike/>
          <w:color w:val="FF0000"/>
          <w:sz w:val="22"/>
        </w:rPr>
        <w:t>SONIA</w:t>
      </w:r>
      <w:r>
        <w:rPr>
          <w:rFonts w:ascii="Times New Roman;sans-serif" w:hAnsi="Times New Roman;sans-serif"/>
          <w:b w:val="false"/>
          <w:color w:val="0000FF"/>
          <w:sz w:val="22"/>
          <w:highlight w:val="lightGray"/>
          <w:u w:val="single"/>
        </w:rPr>
        <w:t>SOFR</w:t>
      </w:r>
      <w:r>
        <w:rPr>
          <w:rFonts w:ascii="Times New Roman;sans-serif" w:hAnsi="Times New Roman;sans-serif"/>
          <w:b w:val="false"/>
          <w:color w:val="000000"/>
          <w:sz w:val="22"/>
        </w:rPr>
        <w:t xml:space="preserve">, with the conventions for this rate (which may include a lookback) being established by the Administrative Agent in accordance with the conventions for this rate selected or recommended by the Relevant Governmental Body for determining “Daily Simple </w:t>
      </w:r>
      <w:r>
        <w:rPr>
          <w:rFonts w:ascii="Times New Roman;sans-serif" w:hAnsi="Times New Roman;sans-serif"/>
          <w:b w:val="false"/>
          <w:strike/>
          <w:color w:val="FF0000"/>
          <w:sz w:val="22"/>
        </w:rPr>
        <w:t>SONIA</w:t>
      </w:r>
      <w:r>
        <w:rPr>
          <w:rFonts w:ascii="Times New Roman;sans-serif" w:hAnsi="Times New Roman;sans-serif"/>
          <w:b w:val="false"/>
          <w:color w:val="0000FF"/>
          <w:sz w:val="22"/>
          <w:highlight w:val="lightGray"/>
          <w:u w:val="single"/>
        </w:rPr>
        <w:t>SOFR</w:t>
      </w:r>
      <w:r>
        <w:rPr>
          <w:color w:val="000000"/>
        </w:rPr>
        <w:t xml:space="preserve">” </w:t>
      </w:r>
      <w:r>
        <w:rPr>
          <w:rFonts w:ascii="Times New Roman;sans-serif" w:hAnsi="Times New Roman;sans-serif"/>
          <w:b w:val="false"/>
          <w:color w:val="000000"/>
          <w:sz w:val="22"/>
        </w:rPr>
        <w:t>for business loans</w:t>
      </w:r>
      <w:r>
        <w:rPr>
          <w:strike/>
          <w:color w:val="FF0000"/>
        </w:rPr>
        <w:t xml:space="preserve"> </w:t>
      </w:r>
      <w:r>
        <w:rPr>
          <w:rFonts w:ascii="Times New Roman;sans-serif" w:hAnsi="Times New Roman;sans-serif"/>
          <w:b w:val="false"/>
          <w:strike/>
          <w:color w:val="FF0000"/>
          <w:sz w:val="22"/>
        </w:rPr>
        <w:t>or conventions that are otherwise used in the United States syndicated lending market for syndicated loans denominated in Pounds Sterling</w:t>
      </w:r>
      <w:r>
        <w:rPr>
          <w:rFonts w:ascii="Times New Roman;sans-serif" w:hAnsi="Times New Roman;sans-serif"/>
          <w:b w:val="false"/>
          <w:color w:val="000000"/>
          <w:sz w:val="22"/>
        </w:rPr>
        <w:t>; provided</w:t>
      </w:r>
      <w:r>
        <w:rPr>
          <w:rFonts w:ascii="Times New Roman;sans-serif" w:hAnsi="Times New Roman;sans-serif"/>
          <w:b w:val="false"/>
          <w:color w:val="0000FF"/>
          <w:sz w:val="22"/>
          <w:highlight w:val="lightGray"/>
          <w:u w:val="single"/>
        </w:rPr>
        <w:t>,</w:t>
      </w:r>
      <w:r>
        <w:rPr>
          <w:color w:val="000000"/>
        </w:rPr>
        <w:t xml:space="preserve"> </w:t>
      </w:r>
      <w:r>
        <w:rPr>
          <w:rFonts w:ascii="Times New Roman;sans-serif" w:hAnsi="Times New Roman;sans-serif"/>
          <w:b w:val="false"/>
          <w:color w:val="000000"/>
          <w:sz w:val="22"/>
        </w:rPr>
        <w:t>that</w:t>
      </w:r>
      <w:r>
        <w:rPr>
          <w:rFonts w:ascii="Times New Roman;sans-serif" w:hAnsi="Times New Roman;sans-serif"/>
          <w:b w:val="false"/>
          <w:strike/>
          <w:color w:val="FF0000"/>
          <w:sz w:val="22"/>
        </w:rPr>
        <w:t>,</w:t>
      </w:r>
      <w:r>
        <w:rPr>
          <w:color w:val="000000"/>
        </w:rPr>
        <w:t xml:space="preserve"> </w:t>
      </w:r>
      <w:r>
        <w:rPr>
          <w:rFonts w:ascii="Times New Roman;sans-serif" w:hAnsi="Times New Roman;sans-serif"/>
          <w:b w:val="false"/>
          <w:color w:val="000000"/>
          <w:sz w:val="22"/>
        </w:rPr>
        <w:t>if the Administrative Agent decides that any such convention is not administratively feasible for the Administrative Agent, then the Administrative Agent may establish another convention in its reasonable discretion.</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Debt Repayment Period</w:t>
      </w:r>
      <w:r>
        <w:rPr>
          <w:color w:val="000000"/>
        </w:rPr>
        <w:t xml:space="preserve">” </w:t>
      </w:r>
      <w:r>
        <w:rPr>
          <w:rFonts w:ascii="Times New Roman;sans-serif" w:hAnsi="Times New Roman;sans-serif"/>
          <w:b w:val="false"/>
          <w:color w:val="000000"/>
          <w:sz w:val="22"/>
        </w:rPr>
        <w:t xml:space="preserve">has the meaning assigned to such term in Section 6.08(b)(viii).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Default</w:t>
      </w:r>
      <w:r>
        <w:rPr>
          <w:color w:val="000000"/>
        </w:rPr>
        <w:t xml:space="preserve">” </w:t>
      </w:r>
      <w:r>
        <w:rPr>
          <w:rFonts w:ascii="Times New Roman;sans-serif" w:hAnsi="Times New Roman;sans-serif"/>
          <w:b w:val="false"/>
          <w:color w:val="000000"/>
          <w:sz w:val="22"/>
        </w:rPr>
        <w:t>means any event or condition which constitutes an Event of Default or which upon notice, lapse of time or both would, unless cured or waived, become an Event of Default.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Default Right</w:t>
      </w:r>
      <w:r>
        <w:rPr>
          <w:color w:val="000000"/>
        </w:rPr>
        <w:t xml:space="preserve">” </w:t>
      </w:r>
      <w:r>
        <w:rPr>
          <w:rFonts w:ascii="Times New Roman;sans-serif" w:hAnsi="Times New Roman;sans-serif"/>
          <w:b w:val="false"/>
          <w:color w:val="000000"/>
          <w:sz w:val="22"/>
        </w:rPr>
        <w:t xml:space="preserve">has the meaning assigned to that term in, and shall be interpreted in accordance with, 12 C.F.R. §§ 252.81, 47.2 or 382.1, as applicable.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Defaulting Lender</w:t>
      </w:r>
      <w:r>
        <w:rPr>
          <w:color w:val="000000"/>
        </w:rPr>
        <w:t xml:space="preserve">” </w:t>
      </w:r>
      <w:r>
        <w:rPr>
          <w:rFonts w:ascii="Times New Roman;sans-serif" w:hAnsi="Times New Roman;sans-serif"/>
          <w:b w:val="false"/>
          <w:color w:val="000000"/>
          <w:sz w:val="22"/>
        </w:rPr>
        <w:t xml:space="preserve">means any Revolving Lender that (a) has failed, within two Business Days of the date required to be funded or paid, (i) to fund any portion of its Loans, (ii) to fund any portion of its participations in Letters of Credit, Swingline Loans or Fronted Foreign Currency Loans or (iii) to pay to the Administrative Agent, the Issuing Bank, the Swingline Lenders, the Fronting Lender any other Lender or any Loan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in such writing, including, if applicable, by reference to a specific Default) has not been satisfied, (b) has notified the Administrative Agent, the Issuing Bank, the Swingline Lenders, the Fronting Lender, any other Lender, Holdings, the Parent Borrower or any Loan Party in writing, or has made a public statement, to the effect that it does not intend or expect to comply with any of its funding obligations under this Agreement (unless such writing or public statement indicates that such position is based on such Lender’s good-faith determination that a condition precedent (specifically identified in such writing, including, if applicable, by reference to a specific Default) to funding a Loan cannot be satisfied) or generally under other agreements in which it commits to extend credit, (c) has failed, within three Business Days after request by the Administrative Agent or any Loan Party made in good faith to provide a certification in writing from an authorized officer of such Lender that it will comply with its obligations (and is financially able to meet such obligations) to fund prospective Loans and participations in then outstanding Letters of Credit, Swingline Loans and Fronted Foreign Currency Loans;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Lender shall cease to be a Defaulting Lender pursuant to this clause (c) upon such Person’s receipt of such certification in form and substance satisfactory to it and the Administrative Agent, or (d) has become the subject of a Bankruptcy Event or a Bail-In Action.</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Designated Non-Cash Consideration</w:t>
      </w:r>
      <w:r>
        <w:rPr>
          <w:color w:val="000000"/>
        </w:rPr>
        <w:t xml:space="preserve">” </w:t>
      </w:r>
      <w:r>
        <w:rPr>
          <w:rFonts w:ascii="Times New Roman;sans-serif" w:hAnsi="Times New Roman;sans-serif"/>
          <w:b w:val="false"/>
          <w:color w:val="000000"/>
          <w:sz w:val="22"/>
        </w:rPr>
        <w:t xml:space="preserve">means the fair market value (as determined in good faith by the Parent Borrower) of non-cash consideration received by the Parent Borrower or a Subsidiary in connection with any sale, transfer, lease or other disposition of assets permitted by this Agreement that is so designated as Designated Non-Cash Consideration pursuant to an officer’s certificate of the Parent Borrower, setting forth such valuation, less the amount of cash or Permitted Investments received in connection with a subsequent sale of such Designated Non-cash Consideration within 180 days of receipt thereof.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Direction</w:t>
      </w:r>
      <w:r>
        <w:rPr>
          <w:color w:val="000000"/>
        </w:rPr>
        <w:t xml:space="preserve">” </w:t>
      </w:r>
      <w:r>
        <w:rPr>
          <w:rFonts w:ascii="Times New Roman;sans-serif" w:hAnsi="Times New Roman;sans-serif"/>
          <w:b w:val="false"/>
          <w:color w:val="000000"/>
          <w:sz w:val="22"/>
        </w:rPr>
        <w:t>has the meaning assigned to such term in Section 2.17(k)(ii)(A).</w:t>
      </w:r>
      <w:r>
        <w:br w:type="page"/>
      </w:r>
    </w:p>
    <w:p>
      <w:pPr>
        <w:pStyle w:val="TextBody"/>
        <w:spacing w:before="0" w:after="0"/>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60655"/>
                <wp:effectExtent l="0" t="0" r="0" b="0"/>
                <wp:wrapNone/>
                <wp:docPr id="118" name="Frame11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v:rect>
            </w:pict>
          </mc:Fallback>
        </mc:AlternateConten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Disclosed Matters</w:t>
      </w:r>
      <w:r>
        <w:rPr>
          <w:color w:val="000000"/>
        </w:rPr>
        <w:t xml:space="preserve">” </w:t>
      </w:r>
      <w:r>
        <w:rPr>
          <w:rFonts w:ascii="Times New Roman;sans-serif" w:hAnsi="Times New Roman;sans-serif"/>
          <w:b w:val="false"/>
          <w:color w:val="000000"/>
          <w:sz w:val="22"/>
        </w:rPr>
        <w:t>means the actions, suits and proceedings and the environmental matters disclosed in Schedule 3.06.</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Disqualified Equity Interest</w:t>
      </w:r>
      <w:r>
        <w:rPr>
          <w:color w:val="000000"/>
        </w:rPr>
        <w:t>”</w:t>
      </w:r>
      <w:r>
        <w:rPr>
          <w:rFonts w:ascii="Times New Roman;sans-serif" w:hAnsi="Times New Roman;sans-serif"/>
          <w:b w:val="false"/>
          <w:color w:val="000000"/>
          <w:sz w:val="22"/>
        </w:rPr>
        <w:t>: with respect to any Person, any Equity Interest of such Person that by its terms (or by the terms of any security into which it is convertible or for which it is exchangeable, either mandatorily or at the option of the holder thereof), or upon the happening of any event or condition: </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(a)    matures or is mandatorily redeemable (other than solely for Equity Interests of such Person that do not constitute Disqualified Equity Interests and cash in lieu of fractional shares of such Equity Interest) whether pursuant to a sinking fund obligation or otherwise;  </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(b)    is convertible or exchangeable, either mandatorily or at the option of the holder thereof, for Indebtedness or Equity Interests (other than solely for Equity Interests of such Person that do not constitute Disqualified Equity Interests and cash in lieu of fractional shares of such Equity Interest); or </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(c)    is redeemable (other than solely for Equity Interests of such Person that do not constitute Disqualified Equity Interests and cash in lieu of fractional shares of such Equity Interest) or is required to be repurchased by Holdings, the Parent Borrower or any Subsidiary, in whole or in part, at the option of the holder thereof; </w:t>
      </w:r>
    </w:p>
    <w:p>
      <w:pPr>
        <w:pStyle w:val="TextBody"/>
        <w:spacing w:lineRule="auto" w:line="240" w:before="0" w:after="240"/>
        <w:ind w:left="0" w:right="0" w:firstLine="1440"/>
        <w:rPr/>
      </w:pPr>
      <w:r>
        <w:rPr>
          <w:rFonts w:ascii="Times New Roman;sans-serif" w:hAnsi="Times New Roman;sans-serif"/>
          <w:b w:val="false"/>
          <w:color w:val="000000"/>
          <w:sz w:val="22"/>
        </w:rPr>
        <w:t xml:space="preserve">in each case, on or prior to the date that is 91 days after the latest Maturity Date in effect at the time of issuance of such Equity Interest;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(i) Equity Interests of any Person that would not constitute Disqualified Equity Interests but for terms thereof giving holders thereof the right to require such Person to redeem or purchase such Equity Interests upon the occurrence of an “asset sale” or a “change of control” (or similar event, however denominated) shall not constitute Disqualified Equity Interests if any such requirement becomes operative only after repayment in full of all the Loans and all other Obligations that are accrued and payable and (ii) Equity Interests of any Person that are issued to any employee or to any plan for the benefit of employees or by any such plan to such employees shall not constitute Disqualified Equity Interests solely because they may be required to be repurchased by such Person or any of its subsidiaries in order to satisfy applicable statutory or regulatory obligations or as a result of such employee’s termination, death or disability.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Documentation Agents</w:t>
      </w:r>
      <w:r>
        <w:rPr>
          <w:color w:val="000000"/>
        </w:rPr>
        <w:t xml:space="preserve">” </w:t>
      </w:r>
      <w:r>
        <w:rPr>
          <w:rFonts w:ascii="Times New Roman;sans-serif" w:hAnsi="Times New Roman;sans-serif"/>
          <w:b w:val="false"/>
          <w:color w:val="000000"/>
          <w:sz w:val="22"/>
        </w:rPr>
        <w:t xml:space="preserve">means the Co-Documentation Agents identified on the cover page of this Agreement.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Dollar Equivalent</w:t>
      </w:r>
      <w:r>
        <w:rPr>
          <w:color w:val="000000"/>
        </w:rPr>
        <w:t xml:space="preserve">” </w:t>
      </w:r>
      <w:r>
        <w:rPr>
          <w:rFonts w:ascii="Times New Roman;sans-serif" w:hAnsi="Times New Roman;sans-serif"/>
          <w:b w:val="false"/>
          <w:color w:val="000000"/>
          <w:sz w:val="22"/>
        </w:rPr>
        <w:t>of any amount means, at the time of determination thereof, (a) if such amount is expressed in dollars, such amount, (b) if such amount is expressed in a Foreign Currency, the equivalent of such amount in dollars determined by using the rate of exchange for the purchase of dollars with the Foreign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Foreign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(other than dollars or a Foreign Currency), the equivalent of such amount in dollars as determined by the Administrative Agent using any method of determination it deems appropriate in its sole discretion.</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dollars</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w:t>
      </w:r>
      <w:r>
        <w:rPr>
          <w:color w:val="000000"/>
        </w:rPr>
        <w:t xml:space="preserve">” </w:t>
      </w:r>
      <w:r>
        <w:rPr>
          <w:rFonts w:ascii="Times New Roman;sans-serif" w:hAnsi="Times New Roman;sans-serif"/>
          <w:b w:val="false"/>
          <w:color w:val="000000"/>
          <w:sz w:val="22"/>
        </w:rPr>
        <w:t>refers to lawful money of the United States of America.</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Domestic Loan Party</w:t>
      </w:r>
      <w:r>
        <w:rPr>
          <w:color w:val="000000"/>
        </w:rPr>
        <w:t xml:space="preserve">” </w:t>
      </w:r>
      <w:r>
        <w:rPr>
          <w:rFonts w:ascii="Times New Roman;sans-serif" w:hAnsi="Times New Roman;sans-serif"/>
          <w:b w:val="false"/>
          <w:color w:val="000000"/>
          <w:sz w:val="22"/>
        </w:rPr>
        <w:t>means any Loan Party, other than a Loan Party that is a Foreign Subsidiary.</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Domestic Subsidiary</w:t>
      </w:r>
      <w:r>
        <w:rPr>
          <w:color w:val="000000"/>
        </w:rPr>
        <w:t xml:space="preserve">” </w:t>
      </w:r>
      <w:r>
        <w:rPr>
          <w:rFonts w:ascii="Times New Roman;sans-serif" w:hAnsi="Times New Roman;sans-serif"/>
          <w:b w:val="false"/>
          <w:color w:val="000000"/>
          <w:sz w:val="22"/>
        </w:rPr>
        <w:t>means any Subsidiary, other than the Foreign Subsidiaries.</w:t>
      </w:r>
      <w:r>
        <w:br w:type="page"/>
      </w:r>
    </w:p>
    <w:p>
      <w:pPr>
        <w:pStyle w:val="TextBody"/>
        <w:spacing w:before="0" w:after="0"/>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60655"/>
                <wp:effectExtent l="0" t="0" r="0" b="0"/>
                <wp:wrapNone/>
                <wp:docPr id="119" name="Frame11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v:rect>
            </w:pict>
          </mc:Fallback>
        </mc:AlternateConten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Early Opt-in Election</w:t>
      </w:r>
      <w:r>
        <w:rPr>
          <w:color w:val="000000"/>
        </w:rPr>
        <w:t xml:space="preserve">” </w:t>
      </w:r>
      <w:r>
        <w:rPr>
          <w:rFonts w:ascii="Times New Roman;sans-serif" w:hAnsi="Times New Roman;sans-serif"/>
          <w:b w:val="false"/>
          <w:color w:val="000000"/>
          <w:sz w:val="22"/>
        </w:rPr>
        <w:t>means, with respect to any Agreed Currency, the occurrence of:</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(1)    (i) a notification by the Administrative Agent to the Parent Borrower or (ii) a notification by the Required Lenders to the Administrative Agent (with a copy to the Parent Borrower) that the Administrative Agent or the Required Lenders, as the case may be, have determined that syndicated credit facilities denominated in the applicable Agreed Currency being executed at such time, or that include language similar to that contained in Section 2.14 are being executed or amended, as applicable, to incorporate or adopt a new benchmark interest rate to replace the LIBO Rate, and</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(2)    (i) the joint election by the Administrative Agent and the Parent Borrower or (ii) the election by the Required Lenders to declare that an Early Opt-in Election for such Agreed Currency has occurred and the provision, as applicable, by the Administrative Agent of written notice of such election to the Parent Borrower and the Lenders or by the Required Lenders of written notice of such election to the Administrative Agent.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EEA Financial Institution</w:t>
      </w:r>
      <w:r>
        <w:rPr>
          <w:color w:val="000000"/>
        </w:rPr>
        <w:t xml:space="preserve">” </w:t>
      </w:r>
      <w:r>
        <w:rPr>
          <w:rFonts w:ascii="Times New Roman;sans-serif" w:hAnsi="Times New Roman;sans-serif"/>
          <w:b w:val="false"/>
          <w:color w:val="000000"/>
          <w:sz w:val="22"/>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EEA Member Country</w:t>
      </w:r>
      <w:r>
        <w:rPr>
          <w:color w:val="000000"/>
        </w:rPr>
        <w:t xml:space="preserve">” </w:t>
      </w:r>
      <w:r>
        <w:rPr>
          <w:rFonts w:ascii="Times New Roman;sans-serif" w:hAnsi="Times New Roman;sans-serif"/>
          <w:b w:val="false"/>
          <w:color w:val="000000"/>
          <w:sz w:val="22"/>
        </w:rPr>
        <w:t>means any of the member states of the European Union, Iceland, Liechtenstein, and Norway.</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EEA Resolution Authority</w:t>
      </w:r>
      <w:r>
        <w:rPr>
          <w:color w:val="000000"/>
        </w:rPr>
        <w:t xml:space="preserve">” </w:t>
      </w:r>
      <w:r>
        <w:rPr>
          <w:rFonts w:ascii="Times New Roman;sans-serif" w:hAnsi="Times New Roman;sans-serif"/>
          <w:b w:val="false"/>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Environmental Laws</w:t>
      </w:r>
      <w:r>
        <w:rPr>
          <w:color w:val="000000"/>
        </w:rPr>
        <w:t xml:space="preserve">” </w:t>
      </w:r>
      <w:r>
        <w:rPr>
          <w:rFonts w:ascii="Times New Roman;sans-serif" w:hAnsi="Times New Roman;sans-serif"/>
          <w:b w:val="false"/>
          <w:color w:val="000000"/>
          <w:sz w:val="22"/>
        </w:rPr>
        <w:t>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Environmental Liability</w:t>
      </w:r>
      <w:r>
        <w:rPr>
          <w:color w:val="000000"/>
        </w:rPr>
        <w:t xml:space="preserve">” </w:t>
      </w:r>
      <w:r>
        <w:rPr>
          <w:rFonts w:ascii="Times New Roman;sans-serif" w:hAnsi="Times New Roman;sans-serif"/>
          <w:b w:val="false"/>
          <w:color w:val="000000"/>
          <w:sz w:val="22"/>
        </w:rPr>
        <w:t>means any liabilities, obligations, damages, losses, claims, actions, suits, judgments, or orders, contingent or otherwise (including any liability for damages, costs of environmental remediation, costs of administrative oversight, fines, natural resource damages, penalties or indemnities), directly or indirectly resulting from or relating to (a) compliance or non-compliance with any Environmental Law, (b) the generation, use, handling, transportation, storage, treatment or disposal of any Hazardous Materials, (c) any actual or alleged exposure to any Hazardous Materials, (d) the Release or threatened Release of any Hazardous Materials or (e) any contract, agreement or other consensual arrangement pursuant to which liability is assumed or imposed with respect to any of the foregoing.</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Equity Interests</w:t>
      </w:r>
      <w:r>
        <w:rPr>
          <w:color w:val="000000"/>
        </w:rPr>
        <w:t xml:space="preserve">” </w:t>
      </w:r>
      <w:r>
        <w:rPr>
          <w:rFonts w:ascii="Times New Roman;sans-serif" w:hAnsi="Times New Roman;sans-serif"/>
          <w:b w:val="false"/>
          <w:color w:val="000000"/>
          <w:sz w:val="22"/>
        </w:rPr>
        <w:t>means shares of capital stock, partnership interests, membership interests in a limited liability company, beneficial interests in a trust or other equity ownership interests in a Person or any warrants, options or other rights to acquire such interests.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ERISA</w:t>
      </w:r>
      <w:r>
        <w:rPr>
          <w:color w:val="000000"/>
        </w:rPr>
        <w:t xml:space="preserve">” </w:t>
      </w:r>
      <w:r>
        <w:rPr>
          <w:rFonts w:ascii="Times New Roman;sans-serif" w:hAnsi="Times New Roman;sans-serif"/>
          <w:b w:val="false"/>
          <w:color w:val="000000"/>
          <w:sz w:val="22"/>
        </w:rPr>
        <w:t>means the Employee Retirement Income Security Act of 1974, as amended from time to time.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ERISA Affiliate</w:t>
      </w:r>
      <w:r>
        <w:rPr>
          <w:color w:val="000000"/>
        </w:rPr>
        <w:t xml:space="preserve">” </w:t>
      </w:r>
      <w:r>
        <w:rPr>
          <w:rFonts w:ascii="Times New Roman;sans-serif" w:hAnsi="Times New Roman;sans-serif"/>
          <w:b w:val="false"/>
          <w:color w:val="000000"/>
          <w:sz w:val="22"/>
        </w:rPr>
        <w:t>means any trade or business (whether or not incorporated) that, together with the Parent Borrower, is treated as a single employer under Section 414(b) or (c) of the Code or, solely for purposes of Section 302 of ERISA and Section 412 of the Code, is treated as a single employer under Section 414(b), (c), (m) or (o) of the Code.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ERISA Event</w:t>
      </w:r>
      <w:r>
        <w:rPr>
          <w:color w:val="000000"/>
        </w:rPr>
        <w:t xml:space="preserve">” </w:t>
      </w:r>
      <w:r>
        <w:rPr>
          <w:rFonts w:ascii="Times New Roman;sans-serif" w:hAnsi="Times New Roman;sans-serif"/>
          <w:b w:val="false"/>
          <w:color w:val="000000"/>
          <w:sz w:val="22"/>
        </w:rPr>
        <w:t>means (a) any “</w:t>
      </w:r>
      <w:r>
        <w:rPr>
          <w:rFonts w:ascii="Times New Roman;sans-serif" w:hAnsi="Times New Roman;sans-serif"/>
          <w:b w:val="false"/>
          <w:color w:val="000000"/>
          <w:sz w:val="22"/>
          <w:u w:val="single"/>
        </w:rPr>
        <w:t>reportable event</w:t>
      </w:r>
      <w:r>
        <w:rPr>
          <w:rFonts w:ascii="Times New Roman;sans-serif" w:hAnsi="Times New Roman;sans-serif"/>
          <w:b w:val="false"/>
          <w:color w:val="000000"/>
          <w:sz w:val="22"/>
        </w:rPr>
        <w:t xml:space="preserve">,” as defined in Section 4043 of ERISA or the regulations issued thereunder with respect to a Plan (other than an event for which the 30 day </w:t>
      </w:r>
      <w:r>
        <w:br w:type="page"/>
      </w:r>
    </w:p>
    <w:p>
      <w:pPr>
        <w:pStyle w:val="TextBody"/>
        <w:spacing w:before="0" w:after="0"/>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60655"/>
                <wp:effectExtent l="0" t="0" r="0" b="0"/>
                <wp:wrapNone/>
                <wp:docPr id="120" name="Frame11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2"/>
        </w:rPr>
        <w:t>notice period is waived); (b) a failure by any Plan to satisfy the minimum funding standards (as defined in Section 412 of the Code or Section 302 of ERISA) applicable to such Plan in each instance, whether or not waived; (c) the filing pursuant to Section 412(c) of the Code or Section 302(c) of ERISA of an application for a waiver of the minimum funding standard with respect to any Plan; (d) a determination that any Plan is, or is expected to be, in “</w:t>
      </w:r>
      <w:r>
        <w:rPr>
          <w:rFonts w:ascii="Times New Roman;sans-serif" w:hAnsi="Times New Roman;sans-serif"/>
          <w:b w:val="false"/>
          <w:color w:val="000000"/>
          <w:sz w:val="22"/>
          <w:u w:val="single"/>
        </w:rPr>
        <w:t>at risk</w:t>
      </w:r>
      <w:r>
        <w:rPr>
          <w:color w:val="000000"/>
        </w:rPr>
        <w:t xml:space="preserve">” </w:t>
      </w:r>
      <w:r>
        <w:rPr>
          <w:rFonts w:ascii="Times New Roman;sans-serif" w:hAnsi="Times New Roman;sans-serif"/>
          <w:b w:val="false"/>
          <w:color w:val="000000"/>
          <w:sz w:val="22"/>
        </w:rPr>
        <w:t>status (as defined in Section 430(i)(4) of the Code or Section 303(i)(4) of ERISA; (e) the incurrence by the Parent Borrower or any of its ERISA Affiliates of any liability under Title IV of ERISA with respect to the termination of any Plan; (f) the receipt by the Parent Borrower or any ERISA Affiliate from the PBGC or a plan administrator of any notice relating to an intention to terminate any Plan or Plans or to appoint a trustee to administer any Plan; (g) the incurrence by the Parent Borrower or any of its ERISA Affiliates of any liability with respect to the withdrawal or partial withdrawal from any Plan or Multiemployer Plan; or (h) the receipt by the Parent Borrower or any ERISA Affiliate of any notice, or the receipt by any Multiemployer Plan from the Parent Borrower or any ERISA Affiliate of any notice, concerning the imposition of Withdrawal Liability or a determination that a Multiemployer Plan is, or is expected to be, insolvent, within the meaning of Title IV of ERISA or in “</w:t>
      </w:r>
      <w:r>
        <w:rPr>
          <w:rFonts w:ascii="Times New Roman;sans-serif" w:hAnsi="Times New Roman;sans-serif"/>
          <w:b w:val="false"/>
          <w:color w:val="000000"/>
          <w:sz w:val="22"/>
          <w:u w:val="single"/>
        </w:rPr>
        <w:t>endangered</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critical</w:t>
      </w:r>
      <w:r>
        <w:rPr>
          <w:color w:val="000000"/>
        </w:rPr>
        <w:t xml:space="preserve">” </w:t>
      </w:r>
      <w:r>
        <w:rPr>
          <w:rFonts w:ascii="Times New Roman;sans-serif" w:hAnsi="Times New Roman;sans-serif"/>
          <w:b w:val="false"/>
          <w:color w:val="000000"/>
          <w:sz w:val="22"/>
        </w:rPr>
        <w:t>status (within the meaning of Section 432 of the Code or Section 305 of ERISA).</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ESTR</w:t>
      </w:r>
      <w:r>
        <w:rPr>
          <w:color w:val="000000"/>
        </w:rPr>
        <w:t xml:space="preserve">” </w:t>
      </w:r>
      <w:r>
        <w:rPr>
          <w:rFonts w:ascii="Times New Roman;sans-serif" w:hAnsi="Times New Roman;sans-serif"/>
          <w:b w:val="false"/>
          <w:color w:val="000000"/>
          <w:sz w:val="22"/>
        </w:rPr>
        <w:t>means, with respect to any Business Day, a rate per annum equal to the Euro Short Term Rate for such Business Day published by the ESTR Administrator on the ESTR Administrator’s Website.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ESTR Administrator</w:t>
      </w:r>
      <w:r>
        <w:rPr>
          <w:color w:val="000000"/>
        </w:rPr>
        <w:t xml:space="preserve">” </w:t>
      </w:r>
      <w:r>
        <w:rPr>
          <w:rFonts w:ascii="Times New Roman;sans-serif" w:hAnsi="Times New Roman;sans-serif"/>
          <w:b w:val="false"/>
          <w:color w:val="000000"/>
          <w:sz w:val="22"/>
        </w:rPr>
        <w:t xml:space="preserve">means the European Central Bank (or any successor administrator of the Euro Short Term Rate).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ESTR Administrator’s Website</w:t>
      </w:r>
      <w:r>
        <w:rPr>
          <w:color w:val="000000"/>
        </w:rPr>
        <w:t xml:space="preserve">” </w:t>
      </w:r>
      <w:r>
        <w:rPr>
          <w:rFonts w:ascii="Times New Roman;sans-serif" w:hAnsi="Times New Roman;sans-serif"/>
          <w:b w:val="false"/>
          <w:color w:val="000000"/>
          <w:sz w:val="22"/>
        </w:rPr>
        <w:t xml:space="preserve">means the European Central Bank’s website, currently at http://www.ecb.europa.eu, or any successor source for the Euro Short Term Rate identified as such by the ESTR Administrator from time to time.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EU Bail-In Legislation Schedule</w:t>
      </w:r>
      <w:r>
        <w:rPr>
          <w:color w:val="000000"/>
        </w:rPr>
        <w:t xml:space="preserve">” </w:t>
      </w:r>
      <w:r>
        <w:rPr>
          <w:rFonts w:ascii="Times New Roman;sans-serif" w:hAnsi="Times New Roman;sans-serif"/>
          <w:b w:val="false"/>
          <w:color w:val="000000"/>
          <w:sz w:val="22"/>
        </w:rPr>
        <w:t>means the EU Bail-In Legislation Schedule published by the Loan Market Association (or any successor Person), as in effect from time to time.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EURIBOR Screen Rate</w:t>
      </w:r>
      <w:r>
        <w:rPr>
          <w:color w:val="000000"/>
        </w:rPr>
        <w:t xml:space="preserve">” </w:t>
      </w:r>
      <w:r>
        <w:rPr>
          <w:rFonts w:ascii="Times New Roman;sans-serif" w:hAnsi="Times New Roman;sans-serif"/>
          <w:b w:val="false"/>
          <w:color w:val="000000"/>
          <w:sz w:val="22"/>
        </w:rPr>
        <w:t>has the meaning assigned to such term in the definition of “LIBO Rate”.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Euro</w:t>
      </w:r>
      <w:r>
        <w:rPr>
          <w:color w:val="000000"/>
        </w:rPr>
        <w:t xml:space="preserve">” </w:t>
      </w:r>
      <w:r>
        <w:rPr>
          <w:rFonts w:ascii="Times New Roman;sans-serif" w:hAnsi="Times New Roman;sans-serif"/>
          <w:b w:val="false"/>
          <w:color w:val="000000"/>
          <w:sz w:val="22"/>
        </w:rPr>
        <w:t>means the single currency of participating member states of the European Union.</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Eurocurrency</w:t>
      </w:r>
      <w:r>
        <w:rPr>
          <w:rFonts w:ascii="Times New Roman;sans-serif" w:hAnsi="Times New Roman;sans-serif"/>
          <w:b w:val="false"/>
          <w:color w:val="000000"/>
          <w:sz w:val="22"/>
        </w:rPr>
        <w:t>,” when used in reference to any Loan or Borrowing, refers to whether such Loan, or the Loans comprising such Borrowing, are bearing interest at a rate determined by reference to the Adjusted LIBO Rate.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Event of Default</w:t>
      </w:r>
      <w:r>
        <w:rPr>
          <w:color w:val="000000"/>
        </w:rPr>
        <w:t xml:space="preserve">” </w:t>
      </w:r>
      <w:r>
        <w:rPr>
          <w:rFonts w:ascii="Times New Roman;sans-serif" w:hAnsi="Times New Roman;sans-serif"/>
          <w:b w:val="false"/>
          <w:color w:val="000000"/>
          <w:sz w:val="22"/>
        </w:rPr>
        <w:t>has the meaning assigned to such term in Article VII.</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Exchange Act</w:t>
      </w:r>
      <w:r>
        <w:rPr>
          <w:color w:val="000000"/>
        </w:rPr>
        <w:t xml:space="preserve">” </w:t>
      </w:r>
      <w:r>
        <w:rPr>
          <w:rFonts w:ascii="Times New Roman;sans-serif" w:hAnsi="Times New Roman;sans-serif"/>
          <w:b w:val="false"/>
          <w:color w:val="000000"/>
          <w:sz w:val="22"/>
        </w:rPr>
        <w:t xml:space="preserve">means the Securities Exchange Act of 1934, as amended, and the rules and regulations of the Commission promulgated thereunder.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Exchange Rate</w:t>
      </w:r>
      <w:r>
        <w:rPr>
          <w:color w:val="000000"/>
        </w:rPr>
        <w:t xml:space="preserve">” </w:t>
      </w:r>
      <w:r>
        <w:rPr>
          <w:rFonts w:ascii="Times New Roman;sans-serif" w:hAnsi="Times New Roman;sans-serif"/>
          <w:b w:val="false"/>
          <w:color w:val="000000"/>
          <w:sz w:val="22"/>
        </w:rPr>
        <w:t xml:space="preserve">means, with respect to any currency (other than dollars) on any date, the rate at which such currency may be exchanged into dollars, as set forth on such date on the relevant Reuters currency page at or about 11:00 A.M., London time, on such date. In the event that such rate does not appear on any Reuters currency page, the “Exchange Rate” with respect to such currency shall be determined by reference to such other publicly available service for displaying exchange rates as may be agreed upon by the Administrative Agent and the Applicable Borrower or, in the absence of such agreement, such “Exchange Rate” shall instead be the Administrative Agent’s spot rate of exchange in the interbank market where its foreign currency exchange operations in respect of such currency are then being conducted, at or about 10:00 A.M., Local Time, on such date for the purchase of dollars with such currency, for delivery two Business Days later (or such other Business Day as the Administrative Agent shall deem applicable with respect to any currency);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if at the time of any such determination, no such spot rate can reasonably be quoted, the Administrative Agent may use any </w:t>
      </w:r>
      <w:r>
        <w:br w:type="page"/>
      </w:r>
    </w:p>
    <w:p>
      <w:pPr>
        <w:pStyle w:val="TextBody"/>
        <w:spacing w:before="0" w:after="0"/>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60655"/>
                <wp:effectExtent l="0" t="0" r="0" b="0"/>
                <wp:wrapNone/>
                <wp:docPr id="121" name="Frame12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reasonable method as it deems applicable to determine such rate, and such determination shall be conclusive absent manifest error.</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Excluded Swap Obligation</w:t>
      </w:r>
      <w:r>
        <w:rPr>
          <w:color w:val="000000"/>
        </w:rPr>
        <w:t xml:space="preserve">” </w:t>
      </w:r>
      <w:r>
        <w:rPr>
          <w:rFonts w:ascii="Times New Roman;sans-serif" w:hAnsi="Times New Roman;sans-serif"/>
          <w:b w:val="false"/>
          <w:color w:val="000000"/>
          <w:sz w:val="22"/>
        </w:rPr>
        <w:t>means with respect to any Loan Party, any Swap Obligation if, and to the extent that, and only for so long as, all or a portion of the guarantee of such Loan Party of, or the grant by such Loan Party of a security interest to secure, as applicable, such Swap Obligation (or any guarantee thereof) is or becomes illegal under the Commodity Exchange Act or any rule, regulation or order of the Commodity Futures Trading Commission (or the application or official interpretation of any thereof) by virtue of such Loan Party’s failure to constitute an “eligible contract participant,” as defined in the Commodity Exchange Act and the regulations thereunder, at the time the guarantee of (or grant of such security interest by, as applicable) such Loan Party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Excluded Taxes</w:t>
      </w:r>
      <w:r>
        <w:rPr>
          <w:color w:val="000000"/>
        </w:rPr>
        <w:t xml:space="preserve">” </w:t>
      </w:r>
      <w:r>
        <w:rPr>
          <w:rFonts w:ascii="Times New Roman;sans-serif" w:hAnsi="Times New Roman;sans-serif"/>
          <w:b w:val="false"/>
          <w:color w:val="000000"/>
          <w:sz w:val="22"/>
        </w:rPr>
        <w:t>means, with respect to the Administrative Agent, any Lender, the Issuing Bank or any other recipient of any payment to be made by or on account of any obligation of any Applicable Borrower hereunder or under any other Loan Document, (a) income or franchise taxes imposed on (or measured by) its net or overall gross income (or net worth or similar Taxes imposed in lieu thereof) by the United States of America, or by any other jurisdiction as a result of such recipient being organized in or having its principal office in or applicable lending office in such jurisdiction, or as a result of any other present or former connection (other than a connection arising solely from this Agreement or any other Loan Document ) between such recipient and such jurisdiction, (b) any branch profits Taxes imposed by the United States of America or any similar Tax imposed by any other jurisdiction described in clause (a) above and (c) in the case of a Non-U.S. Lender (other than an assignee pursuant to a request by the Parent Borrower under Section 2.19(b)), any United States withholding Taxes resulting from any law in effect (x) at the time such Non-U.S. Lender becomes a party to this Agreement or, with respect to any additional position in any Loan acquired after such Non-U.S. Lender becomes a party hereto, at the time such additional position is acquired by such Non-U.S. Lender or (y) at the time such Non-U.S. Lender designates a new lending office, except to the extent that such Non-U.S. Lender (or its assignor, if any) was entitled, immediately prior to designation of a new lending office (or assignment), to receive additional amounts from an Applicable Borrower with respect to such United States withholding Tax pursuant to Section 2.17(a), (d) any United States withholding Tax imposed pursuant to FATCA, and (e) any withholding Tax that is attributable to a recipient’s failure to comply with Section 2.17(f).</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Existing Credit Agreement</w:t>
      </w:r>
      <w:r>
        <w:rPr>
          <w:color w:val="000000"/>
        </w:rPr>
        <w:t xml:space="preserve">” </w:t>
      </w:r>
      <w:r>
        <w:rPr>
          <w:rFonts w:ascii="Times New Roman;sans-serif" w:hAnsi="Times New Roman;sans-serif"/>
          <w:b w:val="false"/>
          <w:color w:val="000000"/>
          <w:sz w:val="22"/>
        </w:rPr>
        <w:t xml:space="preserve">means the Credit Agreement dated as of October 16, 2013 (as amended prior to the Second Restatement Date), among TriMas Company LLC, TriMas Corporation, the other loan parties party thereto, the lenders party thereto, JPMorgan Chase Bank, N.A., as administrative agent and collateral agent, and the other agents party thereto.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Existing Letters of Credit</w:t>
      </w:r>
      <w:r>
        <w:rPr>
          <w:color w:val="000000"/>
        </w:rPr>
        <w:t xml:space="preserve">” </w:t>
      </w:r>
      <w:r>
        <w:rPr>
          <w:rFonts w:ascii="Times New Roman;sans-serif" w:hAnsi="Times New Roman;sans-serif"/>
          <w:b w:val="false"/>
          <w:color w:val="000000"/>
          <w:sz w:val="22"/>
        </w:rPr>
        <w:t>means the letters of credit issued under the Existing Credit Agreement and outstanding as of the Second Restatement Date, which are listed on Schedule 1.01(a).</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Existing Revolving Commitments</w:t>
      </w:r>
      <w:r>
        <w:rPr>
          <w:color w:val="000000"/>
        </w:rPr>
        <w:t xml:space="preserve">” </w:t>
      </w:r>
      <w:r>
        <w:rPr>
          <w:rFonts w:ascii="Times New Roman;sans-serif" w:hAnsi="Times New Roman;sans-serif"/>
          <w:b w:val="false"/>
          <w:color w:val="000000"/>
          <w:sz w:val="22"/>
        </w:rPr>
        <w:t>means “Revolving Commitments” outstanding under the Existing Credit Agreement immediately prior to the Second Restatement Date.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Existing Revolving Lender</w:t>
      </w:r>
      <w:r>
        <w:rPr>
          <w:color w:val="000000"/>
        </w:rPr>
        <w:t xml:space="preserve">” </w:t>
      </w:r>
      <w:r>
        <w:rPr>
          <w:rFonts w:ascii="Times New Roman;sans-serif" w:hAnsi="Times New Roman;sans-serif"/>
          <w:b w:val="false"/>
          <w:color w:val="000000"/>
          <w:sz w:val="22"/>
        </w:rPr>
        <w:t>means a “Revolving Lender” under the Existing Credit Agreement immediately prior to the Second Restatement Date.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Existing Revolving Loans</w:t>
      </w:r>
      <w:r>
        <w:rPr>
          <w:color w:val="000000"/>
        </w:rPr>
        <w:t xml:space="preserve">” </w:t>
      </w:r>
      <w:r>
        <w:rPr>
          <w:rFonts w:ascii="Times New Roman;sans-serif" w:hAnsi="Times New Roman;sans-serif"/>
          <w:b w:val="false"/>
          <w:color w:val="000000"/>
          <w:sz w:val="22"/>
        </w:rPr>
        <w:t>means “Revolving Loans” outstanding under the Existing Credit Agreement immediately prior to the Second Restatement Date.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Existing Term Loans</w:t>
      </w:r>
      <w:r>
        <w:rPr>
          <w:color w:val="000000"/>
        </w:rPr>
        <w:t xml:space="preserve">” </w:t>
      </w:r>
      <w:r>
        <w:rPr>
          <w:rFonts w:ascii="Times New Roman;sans-serif" w:hAnsi="Times New Roman;sans-serif"/>
          <w:b w:val="false"/>
          <w:color w:val="000000"/>
          <w:sz w:val="22"/>
        </w:rPr>
        <w:t xml:space="preserve">means “Term Loans” outstanding under the Existing Credit Agreement immediately prior to the Restatement Date.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Extended Revolving Commitment</w:t>
      </w:r>
      <w:r>
        <w:rPr>
          <w:color w:val="000000"/>
        </w:rPr>
        <w:t xml:space="preserve">” </w:t>
      </w:r>
      <w:r>
        <w:rPr>
          <w:rFonts w:ascii="Times New Roman;sans-serif" w:hAnsi="Times New Roman;sans-serif"/>
          <w:b w:val="false"/>
          <w:color w:val="000000"/>
          <w:sz w:val="22"/>
        </w:rPr>
        <w:t>has the meaning assigned to such term in Section 2.23(a).</w:t>
      </w:r>
      <w:r>
        <w:br w:type="page"/>
      </w:r>
    </w:p>
    <w:p>
      <w:pPr>
        <w:pStyle w:val="TextBody"/>
        <w:spacing w:before="0" w:after="0"/>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60655"/>
                <wp:effectExtent l="0" t="0" r="0" b="0"/>
                <wp:wrapNone/>
                <wp:docPr id="122" name="Frame12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v:rect>
            </w:pict>
          </mc:Fallback>
        </mc:AlternateConten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Extension</w:t>
      </w:r>
      <w:r>
        <w:rPr>
          <w:color w:val="000000"/>
        </w:rPr>
        <w:t xml:space="preserve">” </w:t>
      </w:r>
      <w:r>
        <w:rPr>
          <w:rFonts w:ascii="Times New Roman;sans-serif" w:hAnsi="Times New Roman;sans-serif"/>
          <w:b w:val="false"/>
          <w:color w:val="000000"/>
          <w:sz w:val="22"/>
        </w:rPr>
        <w:t>has the meaning assigned to such term in Section 2.23(a).</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Extension Offer</w:t>
      </w:r>
      <w:r>
        <w:rPr>
          <w:color w:val="000000"/>
        </w:rPr>
        <w:t xml:space="preserve">” </w:t>
      </w:r>
      <w:r>
        <w:rPr>
          <w:rFonts w:ascii="Times New Roman;sans-serif" w:hAnsi="Times New Roman;sans-serif"/>
          <w:b w:val="false"/>
          <w:color w:val="000000"/>
          <w:sz w:val="22"/>
        </w:rPr>
        <w:t>has the meaning assigned to such term in Section 2.23(a).</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FATCA</w:t>
      </w:r>
      <w:r>
        <w:rPr>
          <w:color w:val="000000"/>
        </w:rPr>
        <w:t xml:space="preserve">” </w:t>
      </w:r>
      <w:r>
        <w:rPr>
          <w:rFonts w:ascii="Times New Roman;sans-serif" w:hAnsi="Times New Roman;sans-serif"/>
          <w:b w:val="false"/>
          <w:color w:val="000000"/>
          <w:sz w:val="22"/>
        </w:rPr>
        <w:t>means (i) Sections 1471 through 1474 of the Code, as of the Second Restatement Date or any amended or successor provision that is substantively comparable and not materially more onerous to comply with, and, in each case, any regulations or official interpretations thereof, (ii) any agreements entered into pursuant to Section 1471(b)(1) of the Code as of the date this Agreement or any amended or successor provision as described in clause (i) above and (iii) any intergovernmental agreement, treaty or convention among Governmental Authorities (and any related legislation, rules or official administrative practice) in each case implementing of the aforementioned sections of the Code.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FCA</w:t>
      </w:r>
      <w:r>
        <w:rPr>
          <w:color w:val="000000"/>
        </w:rPr>
        <w:t xml:space="preserve">” </w:t>
      </w:r>
      <w:r>
        <w:rPr>
          <w:rFonts w:ascii="Times New Roman;sans-serif" w:hAnsi="Times New Roman;sans-serif"/>
          <w:b w:val="false"/>
          <w:color w:val="000000"/>
          <w:sz w:val="22"/>
        </w:rPr>
        <w:t>has the meaning assigned to such term in Section 1.07.</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Federal Funds Effective Rate</w:t>
      </w:r>
      <w:r>
        <w:rPr>
          <w:color w:val="000000"/>
        </w:rPr>
        <w:t xml:space="preserve">” </w:t>
      </w:r>
      <w:r>
        <w:rPr>
          <w:rFonts w:ascii="Times New Roman;sans-serif" w:hAnsi="Times New Roman;sans-serif"/>
          <w:b w:val="false"/>
          <w:color w:val="000000"/>
          <w:sz w:val="22"/>
        </w:rPr>
        <w:t xml:space="preserve">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Federal Funds Effective Rate shall be less than zero, such rate shall be deemed to be zero for purposes of this Agreement.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Financial Officer</w:t>
      </w:r>
      <w:r>
        <w:rPr>
          <w:color w:val="000000"/>
        </w:rPr>
        <w:t xml:space="preserve">” </w:t>
      </w:r>
      <w:r>
        <w:rPr>
          <w:rFonts w:ascii="Times New Roman;sans-serif" w:hAnsi="Times New Roman;sans-serif"/>
          <w:b w:val="false"/>
          <w:color w:val="000000"/>
          <w:sz w:val="22"/>
        </w:rPr>
        <w:t>means the chief financial officer, principal accounting officer, treasurer or controller of Holdings or the Parent Borrower, as applicable.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Financing Lease Obligations</w:t>
      </w:r>
      <w:r>
        <w:rPr>
          <w:color w:val="000000"/>
        </w:rPr>
        <w:t xml:space="preserve">” </w:t>
      </w:r>
      <w:r>
        <w:rPr>
          <w:rFonts w:ascii="Times New Roman;sans-serif" w:hAnsi="Times New Roman;sans-serif"/>
          <w:b w:val="false"/>
          <w:color w:val="000000"/>
          <w:sz w:val="22"/>
        </w:rPr>
        <w:t xml:space="preserve">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provided that any change in GAAP after the Restatement Date that would require lease obligations that would have been characterized and accounted for as operating leases in accordance with GAAP as in effect on the Restatement Date to be characterized and accounted for as Financing Lease Obligations shall be disregarded for purposes hereof.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Flood Laws</w:t>
      </w:r>
      <w:r>
        <w:rPr>
          <w:color w:val="000000"/>
        </w:rPr>
        <w:t xml:space="preserve">” </w:t>
      </w:r>
      <w:r>
        <w:rPr>
          <w:rFonts w:ascii="Times New Roman;sans-serif" w:hAnsi="Times New Roman;sans-serif"/>
          <w:b w:val="false"/>
          <w:color w:val="000000"/>
          <w:sz w:val="22"/>
        </w:rPr>
        <w:t>means,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Floor</w:t>
      </w:r>
      <w:r>
        <w:rPr>
          <w:color w:val="000000"/>
        </w:rPr>
        <w:t xml:space="preserve">” </w:t>
      </w:r>
      <w:r>
        <w:rPr>
          <w:rFonts w:ascii="Times New Roman;sans-serif" w:hAnsi="Times New Roman;sans-serif"/>
          <w:b w:val="false"/>
          <w:color w:val="000000"/>
          <w:sz w:val="22"/>
        </w:rPr>
        <w:t>means the benchmark rate floor, if any, provided in this Agreement initially (as of the execution of this Agreement, the modification, amendment or renewal of this Agreement or otherwise) with respect to LIBO Rate</w:t>
      </w:r>
      <w:r>
        <w:rPr>
          <w:rFonts w:ascii="Times New Roman;sans-serif" w:hAnsi="Times New Roman;sans-serif"/>
          <w:b w:val="false"/>
          <w:strike/>
          <w:color w:val="FF0000"/>
          <w:sz w:val="22"/>
        </w:rPr>
        <w:t>.</w:t>
      </w:r>
      <w:r>
        <w:rPr>
          <w:rFonts w:ascii="Times New Roman;sans-serif" w:hAnsi="Times New Roman;sans-serif"/>
          <w:b w:val="false"/>
          <w:color w:val="0000FF"/>
          <w:sz w:val="22"/>
          <w:highlight w:val="lightGray"/>
          <w:u w:val="single"/>
        </w:rPr>
        <w:t>, Adjusted Daily Simple RFR or the Central Bank Rate, as applicable. For the avoidance of doubt, the initial Floor for each of the LIBO Rate, Daily Simple RFR and the Central Bank Rate shall be 0.00%.</w:t>
      </w:r>
      <w:r>
        <w:rPr>
          <w:color w:val="000000"/>
        </w:rPr>
        <w:t xml:space="preserve">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Foreign Currency</w:t>
      </w:r>
      <w:r>
        <w:rPr>
          <w:color w:val="000000"/>
        </w:rPr>
        <w:t xml:space="preserve">” </w:t>
      </w:r>
      <w:r>
        <w:rPr>
          <w:rFonts w:ascii="Times New Roman;sans-serif" w:hAnsi="Times New Roman;sans-serif"/>
          <w:b w:val="false"/>
          <w:color w:val="000000"/>
          <w:sz w:val="22"/>
        </w:rPr>
        <w:t>means Pounds Sterling and the Euro.</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Foreign Currency Lenders</w:t>
      </w:r>
      <w:r>
        <w:rPr>
          <w:color w:val="000000"/>
        </w:rPr>
        <w:t xml:space="preserve">” </w:t>
      </w:r>
      <w:r>
        <w:rPr>
          <w:rFonts w:ascii="Times New Roman;sans-serif" w:hAnsi="Times New Roman;sans-serif"/>
          <w:b w:val="false"/>
          <w:color w:val="000000"/>
          <w:sz w:val="22"/>
        </w:rPr>
        <w:t>means the Fronting Lender and, with respect to any Foreign Currency, each other Lender as may be designated in writing by the Parent Borrower as a Foreign Currency Lender with respect to such Foreign Currency which agrees in writing to act as such in accordance with the terms hereof and are reasonably acceptable to the Administrative Agent (which Foreign Currency Lenders, as of the Second Restatement Date, are listed on Schedule 1.01(c)), or any of their respective affiliates, in each case in their capacities as the lenders of Foreign Currency Loans pursuant to Section 2.01(a).</w:t>
      </w:r>
      <w:r>
        <w:br w:type="page"/>
      </w:r>
    </w:p>
    <w:p>
      <w:pPr>
        <w:pStyle w:val="TextBody"/>
        <w:spacing w:before="0" w:after="0"/>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60655"/>
                <wp:effectExtent l="0" t="0" r="0" b="0"/>
                <wp:wrapNone/>
                <wp:docPr id="123" name="Frame12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v:rect>
            </w:pict>
          </mc:Fallback>
        </mc:AlternateConten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Foreign Currency Loan Participants</w:t>
      </w:r>
      <w:r>
        <w:rPr>
          <w:color w:val="000000"/>
        </w:rPr>
        <w:t xml:space="preserve">” </w:t>
      </w:r>
      <w:r>
        <w:rPr>
          <w:rFonts w:ascii="Times New Roman;sans-serif" w:hAnsi="Times New Roman;sans-serif"/>
          <w:b w:val="false"/>
          <w:color w:val="000000"/>
          <w:sz w:val="22"/>
        </w:rPr>
        <w:t>means, with respect to each Foreign Currency Loan, the collective reference to all Revolving Lenders other than the Foreign Currency Lenders with respect to such Foreign Currency Loan.</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Foreign Currency Loans</w:t>
      </w:r>
      <w:r>
        <w:rPr>
          <w:color w:val="000000"/>
        </w:rPr>
        <w:t xml:space="preserve">” </w:t>
      </w:r>
      <w:r>
        <w:rPr>
          <w:rFonts w:ascii="Times New Roman;sans-serif" w:hAnsi="Times New Roman;sans-serif"/>
          <w:b w:val="false"/>
          <w:color w:val="000000"/>
          <w:sz w:val="22"/>
        </w:rPr>
        <w:t>means Revolving Loans denominated in any Foreign Currency.</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Foreign Currency Participation Fee</w:t>
      </w:r>
      <w:r>
        <w:rPr>
          <w:color w:val="000000"/>
        </w:rPr>
        <w:t xml:space="preserve">” </w:t>
      </w:r>
      <w:r>
        <w:rPr>
          <w:rFonts w:ascii="Times New Roman;sans-serif" w:hAnsi="Times New Roman;sans-serif"/>
          <w:b w:val="false"/>
          <w:color w:val="000000"/>
          <w:sz w:val="22"/>
        </w:rPr>
        <w:t>has the meaning assigned to such term in Section 2.12(e).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Foreign Currency Participating Interest</w:t>
      </w:r>
      <w:r>
        <w:rPr>
          <w:color w:val="000000"/>
        </w:rPr>
        <w:t xml:space="preserve">” </w:t>
      </w:r>
      <w:r>
        <w:rPr>
          <w:rFonts w:ascii="Times New Roman;sans-serif" w:hAnsi="Times New Roman;sans-serif"/>
          <w:b w:val="false"/>
          <w:color w:val="000000"/>
          <w:sz w:val="22"/>
        </w:rPr>
        <w:t>has the meaning assigned to such term in Section 2.24(a).</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Foreign Currency Revolving Exposure</w:t>
      </w:r>
      <w:r>
        <w:rPr>
          <w:color w:val="000000"/>
        </w:rPr>
        <w:t xml:space="preserve">” </w:t>
      </w:r>
      <w:r>
        <w:rPr>
          <w:rFonts w:ascii="Times New Roman;sans-serif" w:hAnsi="Times New Roman;sans-serif"/>
          <w:b w:val="false"/>
          <w:color w:val="000000"/>
          <w:sz w:val="22"/>
        </w:rPr>
        <w:t>means, with respect to any Revolving Lender at any time, the sum of (a) the LC Exposure of such Lender in respect of Letters of Credit denominated in LC Foreign Currencies and (b) such Lender’s Applicable Percentage of the Dollar Equivalent of the aggregate principal amount of Foreign Currency Loans outstanding at such time.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Foreign Currency Sublimit</w:t>
      </w:r>
      <w:r>
        <w:rPr>
          <w:color w:val="000000"/>
        </w:rPr>
        <w:t xml:space="preserve">” </w:t>
      </w:r>
      <w:r>
        <w:rPr>
          <w:rFonts w:ascii="Times New Roman;sans-serif" w:hAnsi="Times New Roman;sans-serif"/>
          <w:b w:val="false"/>
          <w:color w:val="000000"/>
          <w:sz w:val="22"/>
        </w:rPr>
        <w:t>means $125,000,000.</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Foreign Obligations</w:t>
      </w:r>
      <w:r>
        <w:rPr>
          <w:color w:val="000000"/>
        </w:rPr>
        <w:t xml:space="preserve">” </w:t>
      </w:r>
      <w:r>
        <w:rPr>
          <w:rFonts w:ascii="Times New Roman;sans-serif" w:hAnsi="Times New Roman;sans-serif"/>
          <w:b w:val="false"/>
          <w:color w:val="000000"/>
          <w:sz w:val="22"/>
        </w:rPr>
        <w:t>means any Obligations owing by any Foreign Subsidiary Borrower.</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Foreign Security Collateral and Guarantee Requirement</w:t>
      </w:r>
      <w:r>
        <w:rPr>
          <w:color w:val="000000"/>
        </w:rPr>
        <w:t xml:space="preserve">” </w:t>
      </w:r>
      <w:r>
        <w:rPr>
          <w:rFonts w:ascii="Times New Roman;sans-serif" w:hAnsi="Times New Roman;sans-serif"/>
          <w:b w:val="false"/>
          <w:color w:val="000000"/>
          <w:sz w:val="22"/>
        </w:rPr>
        <w:t>means the requirement that:</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    the Collateral Agent shall have received from the applicable Foreign Subsidiary Borrower and its subsidiaries a counterpart of each Foreign Security Document relating to the assets (including the Equity Interests of its subsidiaries) of such Foreign Subsidiary Borrower, excluding assets as to which the Collateral Agent shall determine in its reasonable discretion, after consultation with the Parent Borrower, that the costs and burdens of obtaining a security interest are excessive in relation to the value of the security afforded thereby;</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    all documents and instruments (including legal opinions) required by law or reasonably requested by the Collateral Agent to be filed, registered or recorded to create the Liens intended to be created over the assets specified in clause (a) above and perfect such Liens to the extent required by, and with priority required by, such Foreign Security Documents, shall have been filed, registered or recorded or delivered to the Collateral Agent for filing, registration or recording;</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    such Foreign Subsidiary Borrower and its subsidiaries shall become a guarantor of the obligations under the Loan Documents of other Foreign Subsidiary Borrowers, if any, under a guarantee agreement reasonably acceptable to the Collateral Agent, in either case duly executed and delivered on behalf of such Foreign Subsidiary Borrower and such subsidiaries, except that such guarantee shall not be required if the Collateral Agent shall determine in its reasonable discretion, after consultation with the Parent Borrower, that the benefits of such a guarantee are limited and such limited benefits are not justified in relation to the burdens imposed by such guarantee on the Parent Borrower and its Subsidiaries; and</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(d)    such Foreign Subsidiary Borrower shall have obtained all consents and approvals required to be obtained by it in connection with the execution and delivery of such Foreign Security Documents, the performance of its obligations thereunder and the granting by it of the Liens thereunder.</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Foreign Security Documents</w:t>
      </w:r>
      <w:r>
        <w:rPr>
          <w:color w:val="000000"/>
        </w:rPr>
        <w:t xml:space="preserve">” </w:t>
      </w:r>
      <w:r>
        <w:rPr>
          <w:rFonts w:ascii="Times New Roman;sans-serif" w:hAnsi="Times New Roman;sans-serif"/>
          <w:b w:val="false"/>
          <w:color w:val="000000"/>
          <w:sz w:val="22"/>
        </w:rPr>
        <w:t>means any agreement or instrument entered into by any Foreign Subsidiary Borrower that is reasonably requested by the Collateral Agent providing for a Lien over the assets (including shares of other Subsidiaries) of such Foreign Subsidiary Borrower.</w:t>
      </w:r>
      <w:r>
        <w:br w:type="page"/>
      </w:r>
    </w:p>
    <w:p>
      <w:pPr>
        <w:pStyle w:val="TextBody"/>
        <w:spacing w:before="0" w:after="0"/>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60655"/>
                <wp:effectExtent l="0" t="0" r="0" b="0"/>
                <wp:wrapNone/>
                <wp:docPr id="124" name="Frame12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v:textbox>
              </v:rect>
            </w:pict>
          </mc:Fallback>
        </mc:AlternateConten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Foreign Subsidiary</w:t>
      </w:r>
      <w:r>
        <w:rPr>
          <w:color w:val="000000"/>
        </w:rPr>
        <w:t xml:space="preserve">” </w:t>
      </w:r>
      <w:r>
        <w:rPr>
          <w:rFonts w:ascii="Times New Roman;sans-serif" w:hAnsi="Times New Roman;sans-serif"/>
          <w:b w:val="false"/>
          <w:color w:val="000000"/>
          <w:sz w:val="22"/>
        </w:rPr>
        <w:t>means any Subsidiary that is organized under the laws of a jurisdiction other than the United States of America or any State thereof or the District of Columbia.</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Foreign Subsidiary Borrowers</w:t>
      </w:r>
      <w:r>
        <w:rPr>
          <w:color w:val="000000"/>
        </w:rPr>
        <w:t xml:space="preserve">” </w:t>
      </w:r>
      <w:r>
        <w:rPr>
          <w:rFonts w:ascii="Times New Roman;sans-serif" w:hAnsi="Times New Roman;sans-serif"/>
          <w:b w:val="false"/>
          <w:color w:val="000000"/>
          <w:sz w:val="22"/>
        </w:rPr>
        <w:t>means any wholly owned Foreign Subsidiary of the Parent Borrower organized under the laws of England and Wales, any member nation of the European Union or any other nation in Europe reasonably acceptable to the Collateral Agent that becomes a party to this Agreement in accordance with the requirements set forth in Section 2.20 (it being understood that as of the Second Restatement Date, each of Rieke Nederland Holdings B.V. and TriMas Corporation Limited is a Foreign Subsidiary Borrower).</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Foreign Subsidiary Borrowing Agreement</w:t>
      </w:r>
      <w:r>
        <w:rPr>
          <w:color w:val="000000"/>
        </w:rPr>
        <w:t xml:space="preserve">” </w:t>
      </w:r>
      <w:r>
        <w:rPr>
          <w:rFonts w:ascii="Times New Roman;sans-serif" w:hAnsi="Times New Roman;sans-serif"/>
          <w:b w:val="false"/>
          <w:color w:val="000000"/>
          <w:sz w:val="22"/>
        </w:rPr>
        <w:t>means an agreement substantially in the form of Exhibit C.</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Freely Transferable</w:t>
      </w:r>
      <w:r>
        <w:rPr>
          <w:color w:val="000000"/>
        </w:rPr>
        <w:t xml:space="preserve">” </w:t>
      </w:r>
      <w:r>
        <w:rPr>
          <w:rFonts w:ascii="Times New Roman;sans-serif" w:hAnsi="Times New Roman;sans-serif"/>
          <w:b w:val="false"/>
          <w:color w:val="000000"/>
          <w:sz w:val="22"/>
        </w:rPr>
        <w:t xml:space="preserve">with respect to cash and Permitted Investments, means that such cash and Permitted Investments are either located in the United States or freely transferable to the United States; provided that cash and Permitted Investments of Holdings or any of its Subsidiaries held pending application thereof to repay the 2025 Notes shall not be considered Freely Transferable.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Fronted Foreign Currency Loans</w:t>
      </w:r>
      <w:r>
        <w:rPr>
          <w:color w:val="000000"/>
        </w:rPr>
        <w:t xml:space="preserve">” </w:t>
      </w:r>
      <w:r>
        <w:rPr>
          <w:rFonts w:ascii="Times New Roman;sans-serif" w:hAnsi="Times New Roman;sans-serif"/>
          <w:b w:val="false"/>
          <w:color w:val="000000"/>
          <w:sz w:val="22"/>
        </w:rPr>
        <w:t>means the Foreign Currency Loans made by the Fronting Lender (other than Foreign Currency Loans made by it in an amount equal to the Fronting Lender’s Applicable Percentage of outstanding Foreign Currency Loans).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Fronting Lender</w:t>
      </w:r>
      <w:r>
        <w:rPr>
          <w:color w:val="000000"/>
        </w:rPr>
        <w:t xml:space="preserve">” </w:t>
      </w:r>
      <w:r>
        <w:rPr>
          <w:rFonts w:ascii="Times New Roman;sans-serif" w:hAnsi="Times New Roman;sans-serif"/>
          <w:b w:val="false"/>
          <w:color w:val="000000"/>
          <w:sz w:val="22"/>
        </w:rPr>
        <w:t>means JPMorgan Chase Bank, N.A.</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GAAP</w:t>
      </w:r>
      <w:r>
        <w:rPr>
          <w:color w:val="000000"/>
        </w:rPr>
        <w:t xml:space="preserve">” </w:t>
      </w:r>
      <w:r>
        <w:rPr>
          <w:rFonts w:ascii="Times New Roman;sans-serif" w:hAnsi="Times New Roman;sans-serif"/>
          <w:b w:val="false"/>
          <w:color w:val="000000"/>
          <w:sz w:val="22"/>
        </w:rPr>
        <w:t>means generally accepted accounting principles in the United States of America.</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Governmental Authority</w:t>
      </w:r>
      <w:r>
        <w:rPr>
          <w:color w:val="000000"/>
        </w:rPr>
        <w:t xml:space="preserve">” </w:t>
      </w:r>
      <w:r>
        <w:rPr>
          <w:rFonts w:ascii="Times New Roman;sans-serif" w:hAnsi="Times New Roman;sans-serif"/>
          <w:b w:val="false"/>
          <w:color w:val="000000"/>
          <w:sz w:val="22"/>
        </w:rPr>
        <w:t>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body exercising such powers or functions, such as the European Union or the European Central Bank).</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Guarantee</w:t>
      </w:r>
      <w:r>
        <w:rPr>
          <w:color w:val="000000"/>
        </w:rPr>
        <w:t xml:space="preserve">” </w:t>
      </w:r>
      <w:r>
        <w:rPr>
          <w:rFonts w:ascii="Times New Roman;sans-serif" w:hAnsi="Times New Roman;sans-serif"/>
          <w:b w:val="false"/>
          <w:color w:val="000000"/>
          <w:sz w:val="22"/>
        </w:rPr>
        <w:t>of or by any Person (the “</w:t>
      </w:r>
      <w:r>
        <w:rPr>
          <w:rFonts w:ascii="Times New Roman;sans-serif" w:hAnsi="Times New Roman;sans-serif"/>
          <w:b w:val="false"/>
          <w:color w:val="000000"/>
          <w:sz w:val="22"/>
          <w:u w:val="single"/>
        </w:rPr>
        <w:t>guarantor</w:t>
      </w:r>
      <w:r>
        <w:rPr>
          <w:color w:val="000000"/>
        </w:rPr>
        <w:t>”</w:t>
      </w:r>
      <w:r>
        <w:rPr>
          <w:rFonts w:ascii="Times New Roman;sans-serif" w:hAnsi="Times New Roman;sans-serif"/>
          <w:b w:val="false"/>
          <w:color w:val="000000"/>
          <w:sz w:val="22"/>
        </w:rPr>
        <w:t>) means any obligation, contingent or otherwise, of the guarantor guaranteeing or having the economic effect of guaranteeing any Indebtedness or other obligation of any other Person (the “</w:t>
      </w:r>
      <w:r>
        <w:rPr>
          <w:rFonts w:ascii="Times New Roman;sans-serif" w:hAnsi="Times New Roman;sans-serif"/>
          <w:b w:val="false"/>
          <w:color w:val="000000"/>
          <w:sz w:val="22"/>
          <w:u w:val="single"/>
        </w:rPr>
        <w:t>primary obligor</w:t>
      </w:r>
      <w:r>
        <w:rPr>
          <w:color w:val="000000"/>
        </w:rPr>
        <w:t>”</w:t>
      </w:r>
      <w:r>
        <w:rPr>
          <w:rFonts w:ascii="Times New Roman;sans-serif" w:hAnsi="Times New Roman;sans-serif"/>
          <w:b w:val="false"/>
          <w:color w:val="000000"/>
          <w:sz w:val="22"/>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the term “</w:t>
      </w:r>
      <w:r>
        <w:rPr>
          <w:rFonts w:ascii="Times New Roman;sans-serif" w:hAnsi="Times New Roman;sans-serif"/>
          <w:b w:val="false"/>
          <w:color w:val="000000"/>
          <w:sz w:val="22"/>
          <w:u w:val="single"/>
        </w:rPr>
        <w:t>Guarantee</w:t>
      </w:r>
      <w:r>
        <w:rPr>
          <w:color w:val="000000"/>
        </w:rPr>
        <w:t xml:space="preserve">” </w:t>
      </w:r>
      <w:r>
        <w:rPr>
          <w:rFonts w:ascii="Times New Roman;sans-serif" w:hAnsi="Times New Roman;sans-serif"/>
          <w:b w:val="false"/>
          <w:color w:val="000000"/>
          <w:sz w:val="22"/>
        </w:rPr>
        <w:t>shall not include endorsements for collection or deposit in the ordinary course of business.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Guarantee Agreement</w:t>
      </w:r>
      <w:r>
        <w:rPr>
          <w:color w:val="000000"/>
        </w:rPr>
        <w:t xml:space="preserve">” </w:t>
      </w:r>
      <w:r>
        <w:rPr>
          <w:rFonts w:ascii="Times New Roman;sans-serif" w:hAnsi="Times New Roman;sans-serif"/>
          <w:b w:val="false"/>
          <w:color w:val="000000"/>
          <w:sz w:val="22"/>
        </w:rPr>
        <w:t>means the Guarantee Agreement, substantially in the form of Exhibit D, made by Holdings, the Parent Borrower and the Subsidiary Loan Parties party thereto in favor of the Collateral Agent for the benefit of the Secured Parties.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Hazardous Materials</w:t>
      </w:r>
      <w:r>
        <w:rPr>
          <w:color w:val="000000"/>
        </w:rPr>
        <w:t xml:space="preserve">” </w:t>
      </w:r>
      <w:r>
        <w:rPr>
          <w:rFonts w:ascii="Times New Roman;sans-serif" w:hAnsi="Times New Roman;sans-serif"/>
          <w:b w:val="false"/>
          <w:color w:val="000000"/>
          <w:sz w:val="22"/>
        </w:rPr>
        <w:t>means all explosive, radioactive,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r>
        <w:br w:type="page"/>
      </w:r>
    </w:p>
    <w:p>
      <w:pPr>
        <w:pStyle w:val="TextBody"/>
        <w:spacing w:before="0" w:after="0"/>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60655"/>
                <wp:effectExtent l="0" t="0" r="0" b="0"/>
                <wp:wrapNone/>
                <wp:docPr id="125" name="Frame12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v:textbox>
              </v:rect>
            </w:pict>
          </mc:Fallback>
        </mc:AlternateConten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Hedging Agreement</w:t>
      </w:r>
      <w:r>
        <w:rPr>
          <w:color w:val="000000"/>
        </w:rPr>
        <w:t xml:space="preserve">” </w:t>
      </w:r>
      <w:r>
        <w:rPr>
          <w:rFonts w:ascii="Times New Roman;sans-serif" w:hAnsi="Times New Roman;sans-serif"/>
          <w:b w:val="false"/>
          <w:color w:val="000000"/>
          <w:sz w:val="22"/>
        </w:rPr>
        <w:t>means any interest rate protection agreement, foreign currency exchange agreement, commodity price protection agreement or other interest or currency exchange rate or commodity price hedging arrangement.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Holdings</w:t>
      </w:r>
      <w:r>
        <w:rPr>
          <w:color w:val="000000"/>
        </w:rPr>
        <w:t xml:space="preserve">” </w:t>
      </w:r>
      <w:r>
        <w:rPr>
          <w:rFonts w:ascii="Times New Roman;sans-serif" w:hAnsi="Times New Roman;sans-serif"/>
          <w:b w:val="false"/>
          <w:color w:val="000000"/>
          <w:sz w:val="22"/>
        </w:rPr>
        <w:t>means TriMas Corporation, a Delaware corporation.</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Impacted Currency</w:t>
      </w:r>
      <w:r>
        <w:rPr>
          <w:color w:val="000000"/>
        </w:rPr>
        <w:t xml:space="preserve">” </w:t>
      </w:r>
      <w:r>
        <w:rPr>
          <w:rFonts w:ascii="Times New Roman;sans-serif" w:hAnsi="Times New Roman;sans-serif"/>
          <w:b w:val="false"/>
          <w:color w:val="000000"/>
          <w:sz w:val="22"/>
        </w:rPr>
        <w:t>has the meaning assigned to such term in the definition of “LIBO Rate”.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Impacted Interest Period</w:t>
      </w:r>
      <w:r>
        <w:rPr>
          <w:color w:val="000000"/>
        </w:rPr>
        <w:t xml:space="preserve">” </w:t>
      </w:r>
      <w:r>
        <w:rPr>
          <w:rFonts w:ascii="Times New Roman;sans-serif" w:hAnsi="Times New Roman;sans-serif"/>
          <w:b w:val="false"/>
          <w:color w:val="000000"/>
          <w:sz w:val="22"/>
        </w:rPr>
        <w:t>has the meaning assigned to such term in the definition of “LIBO Rate”.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Impacted Lender</w:t>
      </w:r>
      <w:r>
        <w:rPr>
          <w:color w:val="000000"/>
        </w:rPr>
        <w:t xml:space="preserve">” </w:t>
      </w:r>
      <w:r>
        <w:rPr>
          <w:rFonts w:ascii="Times New Roman;sans-serif" w:hAnsi="Times New Roman;sans-serif"/>
          <w:b w:val="false"/>
          <w:color w:val="000000"/>
          <w:sz w:val="22"/>
        </w:rPr>
        <w:t xml:space="preserve">has the meaning assigned to such term in Section 2.26.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Incremental Commitment</w:t>
      </w:r>
      <w:r>
        <w:rPr>
          <w:color w:val="000000"/>
        </w:rPr>
        <w:t xml:space="preserve">” </w:t>
      </w:r>
      <w:r>
        <w:rPr>
          <w:rFonts w:ascii="Times New Roman;sans-serif" w:hAnsi="Times New Roman;sans-serif"/>
          <w:b w:val="false"/>
          <w:color w:val="000000"/>
          <w:sz w:val="22"/>
        </w:rPr>
        <w:t>means an Incremental Revolving Commitment.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Incremental Equivalent Debt</w:t>
      </w:r>
      <w:r>
        <w:rPr>
          <w:color w:val="000000"/>
        </w:rPr>
        <w:t xml:space="preserve">” </w:t>
      </w:r>
      <w:r>
        <w:rPr>
          <w:rFonts w:ascii="Times New Roman;sans-serif" w:hAnsi="Times New Roman;sans-serif"/>
          <w:b w:val="false"/>
          <w:color w:val="000000"/>
          <w:sz w:val="22"/>
        </w:rPr>
        <w:t>has the meaning assigned to such term in Section 6.01(a)(xx).</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Incremental Facility Agreement</w:t>
      </w:r>
      <w:r>
        <w:rPr>
          <w:color w:val="000000"/>
        </w:rPr>
        <w:t xml:space="preserve">” </w:t>
      </w:r>
      <w:r>
        <w:rPr>
          <w:rFonts w:ascii="Times New Roman;sans-serif" w:hAnsi="Times New Roman;sans-serif"/>
          <w:b w:val="false"/>
          <w:color w:val="000000"/>
          <w:sz w:val="22"/>
        </w:rPr>
        <w:t>means an Incremental Facility Agreement, in form and substance reasonably satisfactory to the Administrative Agent, among Holdings, the Parent Borrower and the Foreign Subsidiary Borrowers, if any, the Administrative Agent and one or more Incremental Lenders, establishing Incremental Revolving Commitments and effecting such other amendments hereto and to the other Loan Documents as are contemplated by Section 2.21.</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Incremental Lender</w:t>
      </w:r>
      <w:r>
        <w:rPr>
          <w:color w:val="000000"/>
        </w:rPr>
        <w:t xml:space="preserve">” </w:t>
      </w:r>
      <w:r>
        <w:rPr>
          <w:rFonts w:ascii="Times New Roman;sans-serif" w:hAnsi="Times New Roman;sans-serif"/>
          <w:b w:val="false"/>
          <w:color w:val="000000"/>
          <w:sz w:val="22"/>
        </w:rPr>
        <w:t>means an Incremental Revolving Lender.</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Incremental Revolving Commitment</w:t>
      </w:r>
      <w:r>
        <w:rPr>
          <w:color w:val="000000"/>
        </w:rPr>
        <w:t xml:space="preserve">” </w:t>
      </w:r>
      <w:r>
        <w:rPr>
          <w:rFonts w:ascii="Times New Roman;sans-serif" w:hAnsi="Times New Roman;sans-serif"/>
          <w:b w:val="false"/>
          <w:color w:val="000000"/>
          <w:sz w:val="22"/>
        </w:rPr>
        <w:t>means, with respect to any Lender, the commitment, if any, of such Lender, established pursuant to an Incremental Facility Agreement and Section 2.21, to make Revolving Loans and to acquire participations in Letters of Credit and Swingline Loans hereunder, expressed as an amount representing the maximum aggregate permitted amount of such Lender’s Revolving Exposure under such Incremental Facility Agreement.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Incremental Revolving Lender</w:t>
      </w:r>
      <w:r>
        <w:rPr>
          <w:color w:val="000000"/>
        </w:rPr>
        <w:t xml:space="preserve">” </w:t>
      </w:r>
      <w:r>
        <w:rPr>
          <w:rFonts w:ascii="Times New Roman;sans-serif" w:hAnsi="Times New Roman;sans-serif"/>
          <w:b w:val="false"/>
          <w:color w:val="000000"/>
          <w:sz w:val="22"/>
        </w:rPr>
        <w:t>means a Lender with an Incremental Revolving Commitment.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Indebtedness</w:t>
      </w:r>
      <w:r>
        <w:rPr>
          <w:color w:val="000000"/>
        </w:rPr>
        <w:t xml:space="preserve">” </w:t>
      </w:r>
      <w:r>
        <w:rPr>
          <w:rFonts w:ascii="Times New Roman;sans-serif" w:hAnsi="Times New Roman;sans-serif"/>
          <w:b w:val="false"/>
          <w:color w:val="000000"/>
          <w:sz w:val="22"/>
        </w:rPr>
        <w:t>of any Person means, without duplication, (a) all obligations of such Person for borrowed money or with respect to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Financing Lease Obligations of such Person, (i) all obligations, contingent or otherwise, of such Person as an account party in respect of letters of credit and letters of guaranty, (j) all obligations, contingent or otherwise, of such Person in respect of bankers’ acceptances and (k) obligations in respect of Swaps and Hedging Agreements in excess of $5,000,000 in the aggregate (it being understood that the amount of obligations in respect of Swaps and Hedging Agreements shall be calculated as of any date of determination as the maximum aggregate amount (giving effect to any netting agreements) that Holdings, the Parent Borrower or the applicable Subsidiary would be required to pay if all Swaps and Hedging Agreements were terminated at such time).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anything to the contrary in this paragraph, the term “</w:t>
      </w:r>
      <w:r>
        <w:rPr>
          <w:rFonts w:ascii="Times New Roman;sans-serif" w:hAnsi="Times New Roman;sans-serif"/>
          <w:b w:val="false"/>
          <w:color w:val="000000"/>
          <w:sz w:val="22"/>
          <w:u w:val="single"/>
        </w:rPr>
        <w:t>Indebtedness</w:t>
      </w:r>
      <w:r>
        <w:rPr>
          <w:color w:val="000000"/>
        </w:rPr>
        <w:t xml:space="preserve">” </w:t>
      </w:r>
      <w:r>
        <w:rPr>
          <w:rFonts w:ascii="Times New Roman;sans-serif" w:hAnsi="Times New Roman;sans-serif"/>
          <w:b w:val="false"/>
          <w:color w:val="000000"/>
          <w:sz w:val="22"/>
        </w:rPr>
        <w:t xml:space="preserve">shall not include (a) </w:t>
      </w:r>
      <w:r>
        <w:br w:type="page"/>
      </w:r>
    </w:p>
    <w:p>
      <w:pPr>
        <w:pStyle w:val="TextBody"/>
        <w:spacing w:before="0" w:after="0"/>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60655"/>
                <wp:effectExtent l="0" t="0" r="0" b="0"/>
                <wp:wrapNone/>
                <wp:docPr id="126" name="Frame12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agreements providing for indemnification, purchase price adjustments or similar obligations incurred or assumed in connection with the acquisition or disposition of assets or capital stock; (b) trade payables and accrued expenses in each case arising in the ordinary course of business; (c) earn-out obligations until any such obligation becomes a liability on the balance sheet; (d) deferred or prepaid revenues; (e) purchase price holdbacks in respect of a portion of the purchase price of an asset to satisfy warranty or other unperformed obligations of the respective seller; (f) deferred compensation to employees of the Parent Borrower or any Subsidiary incurred in the ordinary course of business; (g) Non-Financing Lease Obligations, (h) indebtedness that has been defeased and/or discharged in accordance with its terms by the deposit of cash, cash equivalents and/or securities and (i) the 2025 Notes, when a notice of redemption with respect to such 2025 Notes becomes irrevocable, upon issuance or otherwise.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Indemnified Taxes</w:t>
      </w:r>
      <w:r>
        <w:rPr>
          <w:color w:val="000000"/>
        </w:rPr>
        <w:t xml:space="preserve">” </w:t>
      </w:r>
      <w:r>
        <w:rPr>
          <w:rFonts w:ascii="Times New Roman;sans-serif" w:hAnsi="Times New Roman;sans-serif"/>
          <w:b w:val="false"/>
          <w:color w:val="000000"/>
          <w:sz w:val="22"/>
        </w:rPr>
        <w:t>means (a) any Taxes, other than Excluded Taxes, and (b) Other Taxes.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Indemnity, Subrogation and Contribution Agreement</w:t>
      </w:r>
      <w:r>
        <w:rPr>
          <w:color w:val="000000"/>
        </w:rPr>
        <w:t xml:space="preserve">” </w:t>
      </w:r>
      <w:r>
        <w:rPr>
          <w:rFonts w:ascii="Times New Roman;sans-serif" w:hAnsi="Times New Roman;sans-serif"/>
          <w:b w:val="false"/>
          <w:color w:val="000000"/>
          <w:sz w:val="22"/>
        </w:rPr>
        <w:t>means the Indemnity, Subrogation and Contribution Agreement, substantially in the form of Exhibit E, among the Parent Borrower, the Subsidiary Loan Parties party thereto and the Collateral Agent.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Information Memorandum</w:t>
      </w:r>
      <w:r>
        <w:rPr>
          <w:color w:val="000000"/>
        </w:rPr>
        <w:t xml:space="preserve">” </w:t>
      </w:r>
      <w:r>
        <w:rPr>
          <w:rFonts w:ascii="Times New Roman;sans-serif" w:hAnsi="Times New Roman;sans-serif"/>
          <w:b w:val="false"/>
          <w:color w:val="000000"/>
          <w:sz w:val="22"/>
        </w:rPr>
        <w:t>means the Confidential Information Memorandum dated February 2021, relating to the Parent Borrower and the Transactions.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Interest Election Request</w:t>
      </w:r>
      <w:r>
        <w:rPr>
          <w:color w:val="000000"/>
        </w:rPr>
        <w:t xml:space="preserve">” </w:t>
      </w:r>
      <w:r>
        <w:rPr>
          <w:rFonts w:ascii="Times New Roman;sans-serif" w:hAnsi="Times New Roman;sans-serif"/>
          <w:b w:val="false"/>
          <w:color w:val="000000"/>
          <w:sz w:val="22"/>
        </w:rPr>
        <w:t>means a request by the Parent Borrower or a Foreign Subsidiary Borrower, as the case may be, to convert or continue a Revolving Loan in accordance with Section 2.07.</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Interest Expense Coverage Ratio</w:t>
      </w:r>
      <w:r>
        <w:rPr>
          <w:color w:val="000000"/>
        </w:rPr>
        <w:t xml:space="preserve">” </w:t>
      </w:r>
      <w:r>
        <w:rPr>
          <w:rFonts w:ascii="Times New Roman;sans-serif" w:hAnsi="Times New Roman;sans-serif"/>
          <w:b w:val="false"/>
          <w:color w:val="000000"/>
          <w:sz w:val="22"/>
        </w:rPr>
        <w:t>means, as of the last day of any fiscal quarter, the ratio of (a) Consolidated EBITDA to (b) the sum of (i) Consolidated Cash Interest Expense and (ii) Preferred Dividends, in each case for the period of four consecutive fiscal quarters then ended.</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Interest Payment Date</w:t>
      </w:r>
      <w:r>
        <w:rPr>
          <w:color w:val="000000"/>
        </w:rPr>
        <w:t xml:space="preserve">” </w:t>
      </w:r>
      <w:r>
        <w:rPr>
          <w:rFonts w:ascii="Times New Roman;sans-serif" w:hAnsi="Times New Roman;sans-serif"/>
          <w:b w:val="false"/>
          <w:color w:val="000000"/>
          <w:sz w:val="22"/>
        </w:rPr>
        <w:t xml:space="preserve">means (a) with respect to any ABR Loan (other than a Swingline Loan), the last day of each March, June, September and December, (b) with respect to any Eurocurrency Loan, the last day of the Interest Period applicable to the Borrowing of which such Loan is a part and, in the case of a Eurocurrency Borrowing with an Interest Period of more than three months’ duration, each day prior to the last day of such Interest Period that occurs at intervals of three months’ duration after the first day of such Interest Period, </w:t>
      </w:r>
      <w:r>
        <w:rPr>
          <w:rFonts w:ascii="Times New Roman;sans-serif" w:hAnsi="Times New Roman;sans-serif"/>
          <w:b w:val="false"/>
          <w:strike/>
          <w:color w:val="FF0000"/>
          <w:sz w:val="22"/>
        </w:rPr>
        <w:t xml:space="preserve">and </w:t>
      </w:r>
      <w:r>
        <w:rPr>
          <w:rFonts w:ascii="Times New Roman;sans-serif" w:hAnsi="Times New Roman;sans-serif"/>
          <w:b w:val="false"/>
          <w:color w:val="000000"/>
          <w:sz w:val="22"/>
        </w:rPr>
        <w:t>(c</w:t>
      </w:r>
      <w:r>
        <w:rPr>
          <w:rFonts w:ascii="Times New Roman;sans-serif" w:hAnsi="Times New Roman;sans-serif"/>
          <w:b w:val="false"/>
          <w:color w:val="0000FF"/>
          <w:sz w:val="22"/>
          <w:highlight w:val="lightGray"/>
          <w:u w:val="single"/>
        </w:rPr>
        <w:t>) with respect to any RFR Loan, (1) each date that is on the numerically corresponding day in each calendar month that is one month after the Borrowing of such Loan (or, if there is no such numerically corresponding day in such month, then the last day of such month) and (2) the Maturity Date, and (d</w:t>
      </w:r>
      <w:r>
        <w:rPr>
          <w:rFonts w:ascii="Times New Roman;sans-serif" w:hAnsi="Times New Roman;sans-serif"/>
          <w:b w:val="false"/>
          <w:color w:val="000000"/>
          <w:sz w:val="22"/>
        </w:rPr>
        <w:t>) with respect to any Swingline Loan, the day that such Loan is required to be repaid.</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Interest Period</w:t>
      </w:r>
      <w:r>
        <w:rPr>
          <w:color w:val="000000"/>
        </w:rPr>
        <w:t xml:space="preserve">” </w:t>
      </w:r>
      <w:r>
        <w:rPr>
          <w:rFonts w:ascii="Times New Roman;sans-serif" w:hAnsi="Times New Roman;sans-serif"/>
          <w:b w:val="false"/>
          <w:color w:val="000000"/>
          <w:sz w:val="22"/>
        </w:rPr>
        <w:t xml:space="preserve">means, with respect to any Eurocurrency Borrowing, the period commencing on the date of such Borrowing and ending on the numerically corresponding day in the calendar month that is one, three or six months thereafter (or twelve months thereafter if, at the time of the relevant Borrowing, all Lenders participating therein agree to make an interest period of such duration available), as the Parent Borrower or a Foreign Subsidiary Borrower, as the case may be, may elect;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Interpolated Rate</w:t>
      </w:r>
      <w:r>
        <w:rPr>
          <w:color w:val="000000"/>
        </w:rPr>
        <w:t xml:space="preserve">” </w:t>
      </w:r>
      <w:r>
        <w:rPr>
          <w:rFonts w:ascii="Times New Roman;sans-serif" w:hAnsi="Times New Roman;sans-serif"/>
          <w:b w:val="false"/>
          <w:color w:val="000000"/>
          <w:sz w:val="22"/>
        </w:rPr>
        <w:t xml:space="preserve">means, at any time and with respect to any Impacted Currency for any Impacted Interest Period, the rate per annum (rounded to the same number of decimal places as the applicable Screen Rate) determined by the Administrative Agent (which determination shall be conclusive and binding absent manifest error) to be equal to the rate that results from interpolating on a </w:t>
      </w:r>
      <w:r>
        <w:br w:type="page"/>
      </w:r>
    </w:p>
    <w:p>
      <w:pPr>
        <w:pStyle w:val="TextBody"/>
        <w:spacing w:before="0" w:after="0"/>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60655"/>
                <wp:effectExtent l="0" t="0" r="0" b="0"/>
                <wp:wrapNone/>
                <wp:docPr id="127" name="Frame12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linear basis between: (a) the applicable Screen Rate (for the longest period for which such Screen Rate is available for the Impacted Currency) that is shorter than the Impacted Interest Period and (b) the applicable Screen Rate (for the shortest period for which such Screen Rate is available for the Impacted Currency) that exceeds the Impacted Interest Period, in each case, as of the Specified Time on the Quotation Day. When determining the rate for a period which is less than the shortest period for which the applicable Screen Rate is available, such Screen Rate for purposes of clause (a) above shall be deemed to be (i) if the Impacted Currency is dollars, the overnight rate for dollars determined by the Administrative Agent from such service as the Administrative Agent may select and (ii) otherwise, the Overnight LIBO Rate.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IRS</w:t>
      </w:r>
      <w:r>
        <w:rPr>
          <w:color w:val="000000"/>
        </w:rPr>
        <w:t xml:space="preserve">” </w:t>
      </w:r>
      <w:r>
        <w:rPr>
          <w:rFonts w:ascii="Times New Roman;sans-serif" w:hAnsi="Times New Roman;sans-serif"/>
          <w:b w:val="false"/>
          <w:color w:val="000000"/>
          <w:sz w:val="22"/>
        </w:rPr>
        <w:t>means the United States Internal Revenue Service.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ISDA Definitions</w:t>
      </w:r>
      <w:r>
        <w:rPr>
          <w:color w:val="000000"/>
        </w:rPr>
        <w:t xml:space="preserve">” </w:t>
      </w:r>
      <w:r>
        <w:rPr>
          <w:rFonts w:ascii="Times New Roman;sans-serif" w:hAnsi="Times New Roman;sans-serif"/>
          <w:b w:val="false"/>
          <w:color w:val="000000"/>
          <w:sz w:val="22"/>
        </w:rPr>
        <w:t xml:space="preserve">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ISP</w:t>
      </w:r>
      <w:r>
        <w:rPr>
          <w:color w:val="000000"/>
        </w:rPr>
        <w:t xml:space="preserve">” </w:t>
      </w:r>
      <w:r>
        <w:rPr>
          <w:rFonts w:ascii="Times New Roman;sans-serif" w:hAnsi="Times New Roman;sans-serif"/>
          <w:b w:val="false"/>
          <w:color w:val="000000"/>
          <w:sz w:val="22"/>
        </w:rPr>
        <w:t xml:space="preserve">means, with respect to any Letter of Credit, the International Standby Practices 1998 published by the Institute of International Banking Law &amp; Practice, Inc. (or such later version thereof as may be in effect at the time of such issuance).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Issuing Bank</w:t>
      </w:r>
      <w:r>
        <w:rPr>
          <w:color w:val="000000"/>
        </w:rPr>
        <w:t xml:space="preserve">” </w:t>
      </w:r>
      <w:r>
        <w:rPr>
          <w:rFonts w:ascii="Times New Roman;sans-serif" w:hAnsi="Times New Roman;sans-serif"/>
          <w:b w:val="false"/>
          <w:color w:val="000000"/>
          <w:sz w:val="22"/>
        </w:rPr>
        <w:t>means any of JPMCB, Bank of Montreal, Bank of America, N.A. or Wells Fargo Bank, National Association, each in its capacity as an issuer of Letters of Credit hereunder, and their respective successors in such capacity as provided in Section 2.05(i). Any Issuing Bank may, in its discretion, arrange for one or more Letters of Credit to be issued by Affiliates of such Issuing Bank and in each such case the term “</w:t>
      </w:r>
      <w:r>
        <w:rPr>
          <w:rFonts w:ascii="Times New Roman;sans-serif" w:hAnsi="Times New Roman;sans-serif"/>
          <w:b w:val="false"/>
          <w:color w:val="000000"/>
          <w:sz w:val="22"/>
          <w:u w:val="single"/>
        </w:rPr>
        <w:t>Issuing Bank</w:t>
      </w:r>
      <w:r>
        <w:rPr>
          <w:color w:val="000000"/>
        </w:rPr>
        <w:t xml:space="preserve">” </w:t>
      </w:r>
      <w:r>
        <w:rPr>
          <w:rFonts w:ascii="Times New Roman;sans-serif" w:hAnsi="Times New Roman;sans-serif"/>
          <w:b w:val="false"/>
          <w:color w:val="000000"/>
          <w:sz w:val="22"/>
        </w:rPr>
        <w:t xml:space="preserve">shall include any such Affiliate with respect to Letters of Credit issued by such Affiliate. References herein and in the other Loan Documents to the Issuing Bank shall be deemed to refer to the Issuing Bank in respect of the applicable Letter of Credit or to all Issuing Banks, as the context requires. Notwithstanding the foregoing, each institution listed on Schedule 1.01(a) shall be deemed to be an Issuing Bank with respect to the Existing Letters of Credit issued by it.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ITA</w:t>
      </w:r>
      <w:r>
        <w:rPr>
          <w:color w:val="000000"/>
        </w:rPr>
        <w:t xml:space="preserve">” </w:t>
      </w:r>
      <w:r>
        <w:rPr>
          <w:rFonts w:ascii="Times New Roman;sans-serif" w:hAnsi="Times New Roman;sans-serif"/>
          <w:b w:val="false"/>
          <w:color w:val="000000"/>
          <w:sz w:val="22"/>
        </w:rPr>
        <w:t>means the UK Income Tax Act 2007.</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JPMCB</w:t>
      </w:r>
      <w:r>
        <w:rPr>
          <w:color w:val="000000"/>
        </w:rPr>
        <w:t xml:space="preserve">” </w:t>
      </w:r>
      <w:r>
        <w:rPr>
          <w:rFonts w:ascii="Times New Roman;sans-serif" w:hAnsi="Times New Roman;sans-serif"/>
          <w:b w:val="false"/>
          <w:color w:val="000000"/>
          <w:sz w:val="22"/>
        </w:rPr>
        <w:t>means JPMorgan Chase Bank, N.A.</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Judgment Currency</w:t>
      </w:r>
      <w:r>
        <w:rPr>
          <w:color w:val="000000"/>
        </w:rPr>
        <w:t xml:space="preserve">” </w:t>
      </w:r>
      <w:r>
        <w:rPr>
          <w:rFonts w:ascii="Times New Roman;sans-serif" w:hAnsi="Times New Roman;sans-serif"/>
          <w:b w:val="false"/>
          <w:color w:val="000000"/>
          <w:sz w:val="22"/>
        </w:rPr>
        <w:t>has the meaning assigned to such term in Section 10.14.</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Judgment Currency Conversion Date</w:t>
      </w:r>
      <w:r>
        <w:rPr>
          <w:color w:val="000000"/>
        </w:rPr>
        <w:t xml:space="preserve">” </w:t>
      </w:r>
      <w:r>
        <w:rPr>
          <w:rFonts w:ascii="Times New Roman;sans-serif" w:hAnsi="Times New Roman;sans-serif"/>
          <w:b w:val="false"/>
          <w:color w:val="000000"/>
          <w:sz w:val="22"/>
        </w:rPr>
        <w:t>has the meaning assigned to such term in Section 10.14.</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Latest Maturity Date</w:t>
      </w:r>
      <w:r>
        <w:rPr>
          <w:color w:val="000000"/>
        </w:rPr>
        <w:t xml:space="preserve">” </w:t>
      </w:r>
      <w:r>
        <w:rPr>
          <w:rFonts w:ascii="Times New Roman;sans-serif" w:hAnsi="Times New Roman;sans-serif"/>
          <w:b w:val="false"/>
          <w:color w:val="000000"/>
          <w:sz w:val="22"/>
        </w:rPr>
        <w:t>means, as of any date of determination, the latest Maturity Date applicable to any Loans outstanding or Commitments in effect hereunder.</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LC Disbursement</w:t>
      </w:r>
      <w:r>
        <w:rPr>
          <w:color w:val="000000"/>
        </w:rPr>
        <w:t xml:space="preserve">” </w:t>
      </w:r>
      <w:r>
        <w:rPr>
          <w:rFonts w:ascii="Times New Roman;sans-serif" w:hAnsi="Times New Roman;sans-serif"/>
          <w:b w:val="false"/>
          <w:color w:val="000000"/>
          <w:sz w:val="22"/>
        </w:rPr>
        <w:t>means a payment made by the Issuing Bank pursuant to a Letter of Credit.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LC Exposure</w:t>
      </w:r>
      <w:r>
        <w:rPr>
          <w:color w:val="000000"/>
        </w:rPr>
        <w:t xml:space="preserve">” </w:t>
      </w:r>
      <w:r>
        <w:rPr>
          <w:rFonts w:ascii="Times New Roman;sans-serif" w:hAnsi="Times New Roman;sans-serif"/>
          <w:b w:val="false"/>
          <w:color w:val="000000"/>
          <w:sz w:val="22"/>
        </w:rPr>
        <w:t xml:space="preserve">means, at any time, the sum of (a) the aggregate undrawn amount of all outstanding Letters of Credit (including the aggregate Dollar Equivalent of the undrawn amount of all outstanding Letters of Credit denominated in LC Foreign Currencies) at such time plus (b) the aggregate amount of all LC Disbursements (including the Dollar Equivalent of the amount of LC Disbursements made in LC Foreign Currencies) that have not yet been reimbursed by or on behalf of the Parent Borrower at such time. The LC Exposure of any Revolving Lender at any time shall be its Applicable Percentage of the total LC Exposure at such time (including, for the avoidance of doubt, such Revolving Lender’s Applicable Percentage of the Dollar Equivalent of the total LC Exposure denominated in an LC Foreign Currency);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at any time that any tranche of Revolving Commitments has terminated or been expired and there is LC Exposure outstanding under such tranche of Revolving Commitments, the LC Exposure of any Revolving Lender under such tranche of Revolving Commitments at any time shall be an amount equal to its percentage of the total LC Exposure under such tranche represented by such Lender’s </w:t>
      </w:r>
      <w:r>
        <w:br w:type="page"/>
      </w:r>
    </w:p>
    <w:p>
      <w:pPr>
        <w:pStyle w:val="TextBody"/>
        <w:spacing w:before="0" w:after="0"/>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60655"/>
                <wp:effectExtent l="0" t="0" r="0" b="0"/>
                <wp:wrapNone/>
                <wp:docPr id="128" name="Frame12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2"/>
        </w:rPr>
        <w:t xml:space="preserve">Revolving Commitment most recently in effect, giving effect to any assignments;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LC Foreign Currency</w:t>
      </w:r>
      <w:r>
        <w:rPr>
          <w:color w:val="000000"/>
        </w:rPr>
        <w:t xml:space="preserve">” </w:t>
      </w:r>
      <w:r>
        <w:rPr>
          <w:rFonts w:ascii="Times New Roman;sans-serif" w:hAnsi="Times New Roman;sans-serif"/>
          <w:b w:val="false"/>
          <w:color w:val="000000"/>
          <w:sz w:val="22"/>
        </w:rPr>
        <w:t>means Pounds Sterling and the Euro.</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LC Reserve Account</w:t>
      </w:r>
      <w:r>
        <w:rPr>
          <w:color w:val="000000"/>
        </w:rPr>
        <w:t xml:space="preserve">” </w:t>
      </w:r>
      <w:r>
        <w:rPr>
          <w:rFonts w:ascii="Times New Roman;sans-serif" w:hAnsi="Times New Roman;sans-serif"/>
          <w:b w:val="false"/>
          <w:color w:val="000000"/>
          <w:sz w:val="22"/>
        </w:rPr>
        <w:t>has the meaning assigned to such term in Section 9.02(a).</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LC Sublimit</w:t>
      </w:r>
      <w:r>
        <w:rPr>
          <w:color w:val="000000"/>
        </w:rPr>
        <w:t xml:space="preserve">” </w:t>
      </w:r>
      <w:r>
        <w:rPr>
          <w:rFonts w:ascii="Times New Roman;sans-serif" w:hAnsi="Times New Roman;sans-serif"/>
          <w:b w:val="false"/>
          <w:color w:val="000000"/>
          <w:sz w:val="22"/>
        </w:rPr>
        <w:t>means $40,000,000.</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LCT Election</w:t>
      </w:r>
      <w:r>
        <w:rPr>
          <w:color w:val="000000"/>
        </w:rPr>
        <w:t xml:space="preserve">” </w:t>
      </w:r>
      <w:r>
        <w:rPr>
          <w:rFonts w:ascii="Times New Roman;sans-serif" w:hAnsi="Times New Roman;sans-serif"/>
          <w:b w:val="false"/>
          <w:color w:val="000000"/>
          <w:sz w:val="22"/>
        </w:rPr>
        <w:t>has the meaning assigned to such term in Section 1.05.</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LCT Test Date</w:t>
      </w:r>
      <w:r>
        <w:rPr>
          <w:color w:val="000000"/>
        </w:rPr>
        <w:t xml:space="preserve">” </w:t>
      </w:r>
      <w:r>
        <w:rPr>
          <w:rFonts w:ascii="Times New Roman;sans-serif" w:hAnsi="Times New Roman;sans-serif"/>
          <w:b w:val="false"/>
          <w:color w:val="000000"/>
          <w:sz w:val="22"/>
        </w:rPr>
        <w:t>has the meaning assigned to such term in Section 1.05.</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Lender Affiliate</w:t>
      </w:r>
      <w:r>
        <w:rPr>
          <w:color w:val="000000"/>
        </w:rPr>
        <w:t xml:space="preserve">” </w:t>
      </w:r>
      <w:r>
        <w:rPr>
          <w:rFonts w:ascii="Times New Roman;sans-serif" w:hAnsi="Times New Roman;sans-serif"/>
          <w:b w:val="false"/>
          <w:color w:val="000000"/>
          <w:sz w:val="22"/>
        </w:rPr>
        <w:t>means, (a) with respect to any Lender, (i) an Affiliate of such Lender or (ii) any entity (whether a corporation, partnership, trust or otherwise) that is engaged in making, purchasing, holding or otherwise investing in bank loans and similar extensions of credit in the ordinary course of its business and is administered or managed by a Lender or an Affiliate of such Lender and (b) with respect to any Lender that is a fund that invests in bank loans and similar extensions of credit, any other fund that invests in bank loans and similar extensions of credit and is managed by the same investment advisor as such Lender or by an Affiliate of such investment advisor.</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Lender-Related Person</w:t>
      </w:r>
      <w:r>
        <w:rPr>
          <w:color w:val="000000"/>
        </w:rPr>
        <w:t xml:space="preserve">” </w:t>
      </w:r>
      <w:r>
        <w:rPr>
          <w:rFonts w:ascii="Times New Roman;sans-serif" w:hAnsi="Times New Roman;sans-serif"/>
          <w:b w:val="false"/>
          <w:color w:val="000000"/>
          <w:sz w:val="22"/>
        </w:rPr>
        <w:t xml:space="preserve">has the meaning assigned to such term in Section 10.03.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Lenders</w:t>
      </w:r>
      <w:r>
        <w:rPr>
          <w:color w:val="000000"/>
        </w:rPr>
        <w:t xml:space="preserve">” </w:t>
      </w:r>
      <w:r>
        <w:rPr>
          <w:rFonts w:ascii="Times New Roman;sans-serif" w:hAnsi="Times New Roman;sans-serif"/>
          <w:b w:val="false"/>
          <w:color w:val="000000"/>
          <w:sz w:val="22"/>
        </w:rPr>
        <w:t>means the Persons listed on Schedule 2.01 and any other Person that shall have become a party hereto pursuant to an Assignment and Assumption or an Incremental Facility Agreement, as the case may be, other than any such Person that ceases to be a party hereto pursuant to an Assignment and Assumption. Unless the context otherwise requires, the term “</w:t>
      </w:r>
      <w:r>
        <w:rPr>
          <w:rFonts w:ascii="Times New Roman;sans-serif" w:hAnsi="Times New Roman;sans-serif"/>
          <w:b w:val="false"/>
          <w:color w:val="000000"/>
          <w:sz w:val="22"/>
          <w:u w:val="single"/>
        </w:rPr>
        <w:t>Lenders</w:t>
      </w:r>
      <w:r>
        <w:rPr>
          <w:color w:val="000000"/>
        </w:rPr>
        <w:t xml:space="preserve">” </w:t>
      </w:r>
      <w:r>
        <w:rPr>
          <w:rFonts w:ascii="Times New Roman;sans-serif" w:hAnsi="Times New Roman;sans-serif"/>
          <w:b w:val="false"/>
          <w:color w:val="000000"/>
          <w:sz w:val="22"/>
        </w:rPr>
        <w:t>includes the Swingline Lenders and the Fronting Lender.</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Letter of Credit</w:t>
      </w:r>
      <w:r>
        <w:rPr>
          <w:color w:val="000000"/>
        </w:rPr>
        <w:t xml:space="preserve">” </w:t>
      </w:r>
      <w:r>
        <w:rPr>
          <w:rFonts w:ascii="Times New Roman;sans-serif" w:hAnsi="Times New Roman;sans-serif"/>
          <w:b w:val="false"/>
          <w:color w:val="000000"/>
          <w:sz w:val="22"/>
        </w:rPr>
        <w:t xml:space="preserve">means any letter of credit issued pursuant to this Agreement. Each Existing Letter of Credit shall be deemed to constitute a Letter of Credit issued hereunder as of the Second Restatement Date for all purposes of the Loan Documents.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Leverage Ratio</w:t>
      </w:r>
      <w:r>
        <w:rPr>
          <w:color w:val="000000"/>
        </w:rPr>
        <w:t xml:space="preserve">” </w:t>
      </w:r>
      <w:r>
        <w:rPr>
          <w:rFonts w:ascii="Times New Roman;sans-serif" w:hAnsi="Times New Roman;sans-serif"/>
          <w:b w:val="false"/>
          <w:color w:val="000000"/>
          <w:sz w:val="22"/>
        </w:rPr>
        <w:t>means, on any date, the ratio of (a) Total Indebtedness as of such date to (b) Consolidated EBITDA for the period of four consecutive fiscal quarters of Holdings ended on such date (or, if such date is not the last day of a fiscal quarter, ended on the last day of the fiscal quarter of Holdings most recently ended prior to such date for which financial statements are available).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LIBO Rate</w:t>
      </w:r>
      <w:r>
        <w:rPr>
          <w:color w:val="000000"/>
        </w:rPr>
        <w:t xml:space="preserve">” </w:t>
      </w:r>
      <w:r>
        <w:rPr>
          <w:rFonts w:ascii="Times New Roman;sans-serif" w:hAnsi="Times New Roman;sans-serif"/>
          <w:b w:val="false"/>
          <w:color w:val="000000"/>
          <w:sz w:val="22"/>
        </w:rPr>
        <w:t>means, (a) with respect to any Eurocurrency Borrowing denominated in any currency other than Euro for any Interest Period, the London interbank offered rate as administered by the ICE Benchmark Administration appearing on the Reuters “LIBOR01” or “LIBOR02” screen (or on any successor or substitute page of such service, or any successor or substitute screen provided by Reuters, or any successor to or substitute for such service, providing rate quotations comparable to those currently provided on such screen, as determined by the Administrative Agent from time to time for purposes of providing quotations of interest rates applicable to deposits in the applicable currency in the London interbank market) as of the Specified Time on the Quotation Day for such Interest Period</w:t>
      </w:r>
      <w:r>
        <w:rPr>
          <w:strike/>
          <w:color w:val="FF0000"/>
        </w:rPr>
        <w:t xml:space="preserve"> </w:t>
      </w:r>
      <w:r>
        <w:rPr>
          <w:rFonts w:ascii="Times New Roman;sans-serif" w:hAnsi="Times New Roman;sans-serif"/>
          <w:b w:val="false"/>
          <w:strike/>
          <w:color w:val="FF0000"/>
          <w:sz w:val="22"/>
        </w:rPr>
        <w:t xml:space="preserve">(or, in the case of any Eurocurrency </w:t>
      </w:r>
      <w:r>
        <w:rPr>
          <w:rFonts w:ascii="Times New Roman;sans-serif" w:hAnsi="Times New Roman;sans-serif"/>
          <w:b w:val="false"/>
          <w:strike/>
          <w:color w:val="008000"/>
          <w:sz w:val="22"/>
        </w:rPr>
        <w:t xml:space="preserve">Borrowing denominated in Pounds Sterling, </w:t>
      </w:r>
      <w:r>
        <w:rPr>
          <w:rFonts w:ascii="Times New Roman;sans-serif" w:hAnsi="Times New Roman;sans-serif"/>
          <w:b w:val="false"/>
          <w:strike/>
          <w:color w:val="FF0000"/>
          <w:sz w:val="22"/>
        </w:rPr>
        <w:t>on the first day of such Interest Period),</w:t>
      </w:r>
      <w:r>
        <w:rPr>
          <w:rFonts w:ascii="Times New Roman;sans-serif" w:hAnsi="Times New Roman;sans-serif"/>
          <w:b w:val="false"/>
          <w:color w:val="0000FF"/>
          <w:sz w:val="22"/>
          <w:highlight w:val="lightGray"/>
          <w:u w:val="single"/>
        </w:rPr>
        <w:t>,</w:t>
      </w:r>
      <w:r>
        <w:rPr>
          <w:color w:val="000000"/>
        </w:rPr>
        <w:t xml:space="preserve"> </w:t>
      </w:r>
      <w:r>
        <w:rPr>
          <w:rFonts w:ascii="Times New Roman;sans-serif" w:hAnsi="Times New Roman;sans-serif"/>
          <w:b w:val="false"/>
          <w:color w:val="000000"/>
          <w:sz w:val="22"/>
        </w:rPr>
        <w:t>as the rate for deposits in the applicable currency with a maturity comparable to such Interest Period (the “</w:t>
      </w:r>
      <w:r>
        <w:rPr>
          <w:rFonts w:ascii="Times New Roman;sans-serif" w:hAnsi="Times New Roman;sans-serif"/>
          <w:b w:val="false"/>
          <w:color w:val="000000"/>
          <w:sz w:val="22"/>
          <w:u w:val="single"/>
        </w:rPr>
        <w:t>LIBOR Screen Rate</w:t>
      </w:r>
      <w:r>
        <w:rPr>
          <w:color w:val="000000"/>
        </w:rPr>
        <w:t>”</w:t>
      </w:r>
      <w:r>
        <w:rPr>
          <w:rFonts w:ascii="Times New Roman;sans-serif" w:hAnsi="Times New Roman;sans-serif"/>
          <w:b w:val="false"/>
          <w:color w:val="000000"/>
          <w:sz w:val="22"/>
        </w:rPr>
        <w:t>) and (b) with respect to any Eurocurrency Borrowing denominated in Euro for any Interest Period,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(the “</w:t>
      </w:r>
      <w:r>
        <w:rPr>
          <w:rFonts w:ascii="Times New Roman;sans-serif" w:hAnsi="Times New Roman;sans-serif"/>
          <w:b w:val="false"/>
          <w:color w:val="000000"/>
          <w:sz w:val="22"/>
          <w:u w:val="single"/>
        </w:rPr>
        <w:t>EURIBOR Screen Rate</w:t>
      </w:r>
      <w:r>
        <w:rPr>
          <w:color w:val="000000"/>
        </w:rPr>
        <w:t>”</w:t>
      </w:r>
      <w:r>
        <w:rPr>
          <w:rFonts w:ascii="Times New Roman;sans-serif" w:hAnsi="Times New Roman;sans-serif"/>
          <w:b w:val="false"/>
          <w:color w:val="000000"/>
          <w:sz w:val="22"/>
        </w:rPr>
        <w:t>; and together with the LIBOR Screen Rate, the “</w:t>
      </w:r>
      <w:r>
        <w:rPr>
          <w:rFonts w:ascii="Times New Roman;sans-serif" w:hAnsi="Times New Roman;sans-serif"/>
          <w:b w:val="false"/>
          <w:color w:val="000000"/>
          <w:sz w:val="22"/>
          <w:u w:val="single"/>
        </w:rPr>
        <w:t>Screen Rates</w:t>
      </w:r>
      <w:r>
        <w:rPr>
          <w:color w:val="000000"/>
        </w:rPr>
        <w:t xml:space="preserve">” </w:t>
      </w:r>
      <w:r>
        <w:rPr>
          <w:rFonts w:ascii="Times New Roman;sans-serif" w:hAnsi="Times New Roman;sans-serif"/>
          <w:b w:val="false"/>
          <w:color w:val="000000"/>
          <w:sz w:val="22"/>
        </w:rPr>
        <w:t xml:space="preserve">and </w:t>
      </w:r>
      <w:r>
        <w:br w:type="page"/>
      </w:r>
    </w:p>
    <w:p>
      <w:pPr>
        <w:pStyle w:val="TextBody"/>
        <w:spacing w:before="0" w:after="0"/>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60655"/>
                <wp:effectExtent l="0" t="0" r="0" b="0"/>
                <wp:wrapNone/>
                <wp:docPr id="129" name="Frame12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2"/>
        </w:rPr>
        <w:t>each a “</w:t>
      </w:r>
      <w:r>
        <w:rPr>
          <w:rFonts w:ascii="Times New Roman;sans-serif" w:hAnsi="Times New Roman;sans-serif"/>
          <w:b w:val="false"/>
          <w:color w:val="000000"/>
          <w:sz w:val="22"/>
          <w:u w:val="single"/>
        </w:rPr>
        <w:t>Screen Rate</w:t>
      </w:r>
      <w:r>
        <w:rPr>
          <w:color w:val="000000"/>
        </w:rPr>
        <w:t>”</w:t>
      </w:r>
      <w:r>
        <w:rPr>
          <w:rFonts w:ascii="Times New Roman;sans-serif" w:hAnsi="Times New Roman;sans-serif"/>
          <w:b w:val="false"/>
          <w:color w:val="000000"/>
          <w:sz w:val="22"/>
        </w:rPr>
        <w:t>). If for any reason the applicable Screen Rate shall not be available at such time for such Interest Period (an “</w:t>
      </w:r>
      <w:r>
        <w:rPr>
          <w:rFonts w:ascii="Times New Roman;sans-serif" w:hAnsi="Times New Roman;sans-serif"/>
          <w:b w:val="false"/>
          <w:color w:val="000000"/>
          <w:sz w:val="22"/>
          <w:u w:val="single"/>
        </w:rPr>
        <w:t>Impacted Interest Period</w:t>
      </w:r>
      <w:r>
        <w:rPr>
          <w:color w:val="000000"/>
        </w:rPr>
        <w:t>”</w:t>
      </w:r>
      <w:r>
        <w:rPr>
          <w:rFonts w:ascii="Times New Roman;sans-serif" w:hAnsi="Times New Roman;sans-serif"/>
          <w:b w:val="false"/>
          <w:color w:val="000000"/>
          <w:sz w:val="22"/>
        </w:rPr>
        <w:t>) with respect to the relevant currency (the “</w:t>
      </w:r>
      <w:r>
        <w:rPr>
          <w:rFonts w:ascii="Times New Roman;sans-serif" w:hAnsi="Times New Roman;sans-serif"/>
          <w:b w:val="false"/>
          <w:color w:val="000000"/>
          <w:sz w:val="22"/>
          <w:u w:val="single"/>
        </w:rPr>
        <w:t>Impacted Currency</w:t>
      </w:r>
      <w:r>
        <w:rPr>
          <w:color w:val="000000"/>
        </w:rPr>
        <w:t>”</w:t>
      </w:r>
      <w:r>
        <w:rPr>
          <w:rFonts w:ascii="Times New Roman;sans-serif" w:hAnsi="Times New Roman;sans-serif"/>
          <w:b w:val="false"/>
          <w:color w:val="000000"/>
          <w:sz w:val="22"/>
        </w:rPr>
        <w:t>), then the “</w:t>
      </w:r>
      <w:r>
        <w:rPr>
          <w:rFonts w:ascii="Times New Roman;sans-serif" w:hAnsi="Times New Roman;sans-serif"/>
          <w:b w:val="false"/>
          <w:color w:val="000000"/>
          <w:sz w:val="22"/>
          <w:u w:val="single"/>
        </w:rPr>
        <w:t>LIBO Rate</w:t>
      </w:r>
      <w:r>
        <w:rPr>
          <w:color w:val="000000"/>
        </w:rPr>
        <w:t xml:space="preserve">” </w:t>
      </w:r>
      <w:r>
        <w:rPr>
          <w:rFonts w:ascii="Times New Roman;sans-serif" w:hAnsi="Times New Roman;sans-serif"/>
          <w:b w:val="false"/>
          <w:color w:val="000000"/>
          <w:sz w:val="22"/>
        </w:rPr>
        <w:t xml:space="preserve">shall be the Interpolated Rate at such time. Notwithstanding anything to the contrary in this Agreement, if any Screen Rate or Interpolated Rate shall be less than zero, such Screen Rate or Interpolated Rate, as applicable, shall be deemed to be zero for purposes of this Agreement.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LIBOR</w:t>
      </w:r>
      <w:r>
        <w:rPr>
          <w:color w:val="000000"/>
        </w:rPr>
        <w:t xml:space="preserve">” </w:t>
      </w:r>
      <w:r>
        <w:rPr>
          <w:rFonts w:ascii="Times New Roman;sans-serif" w:hAnsi="Times New Roman;sans-serif"/>
          <w:b w:val="false"/>
          <w:color w:val="000000"/>
          <w:sz w:val="22"/>
        </w:rPr>
        <w:t>has the meaning assigned to such term in Section 1.07.</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Liabilities</w:t>
      </w:r>
      <w:r>
        <w:rPr>
          <w:color w:val="000000"/>
        </w:rPr>
        <w:t xml:space="preserve">” </w:t>
      </w:r>
      <w:r>
        <w:rPr>
          <w:rFonts w:ascii="Times New Roman;sans-serif" w:hAnsi="Times New Roman;sans-serif"/>
          <w:b w:val="false"/>
          <w:color w:val="000000"/>
          <w:sz w:val="22"/>
        </w:rPr>
        <w:t>means, for purposes of Section 10.03, any losses, claims (including intraparty claims), demands, damages or liabilities of any kind.</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Lien</w:t>
      </w:r>
      <w:r>
        <w:rPr>
          <w:color w:val="000000"/>
        </w:rPr>
        <w:t xml:space="preserve">” </w:t>
      </w:r>
      <w:r>
        <w:rPr>
          <w:rFonts w:ascii="Times New Roman;sans-serif" w:hAnsi="Times New Roman;sans-serif"/>
          <w:b w:val="false"/>
          <w:color w:val="000000"/>
          <w:sz w:val="22"/>
        </w:rPr>
        <w:t>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Limited Conditionality Acquisition</w:t>
      </w:r>
      <w:r>
        <w:rPr>
          <w:color w:val="000000"/>
        </w:rPr>
        <w:t xml:space="preserve">” </w:t>
      </w:r>
      <w:r>
        <w:rPr>
          <w:rFonts w:ascii="Times New Roman;sans-serif" w:hAnsi="Times New Roman;sans-serif"/>
          <w:b w:val="false"/>
          <w:color w:val="000000"/>
          <w:sz w:val="22"/>
        </w:rPr>
        <w:t>means an acquisition permitted by this Agreement for which the Parent Borrower has determined, in good faith, that limited conditionality is reasonably necessary.</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Limited Conditionality Acquisition Agreement</w:t>
      </w:r>
      <w:r>
        <w:rPr>
          <w:color w:val="000000"/>
        </w:rPr>
        <w:t xml:space="preserve">” </w:t>
      </w:r>
      <w:r>
        <w:rPr>
          <w:rFonts w:ascii="Times New Roman;sans-serif" w:hAnsi="Times New Roman;sans-serif"/>
          <w:b w:val="false"/>
          <w:color w:val="000000"/>
          <w:sz w:val="22"/>
        </w:rPr>
        <w:t>means, with respect to any Limited Conditionality Acquisition, the definitive acquisition documentation in respect thereof.</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Loan Documents</w:t>
      </w:r>
      <w:r>
        <w:rPr>
          <w:color w:val="000000"/>
        </w:rPr>
        <w:t xml:space="preserve">” </w:t>
      </w:r>
      <w:r>
        <w:rPr>
          <w:rFonts w:ascii="Times New Roman;sans-serif" w:hAnsi="Times New Roman;sans-serif"/>
          <w:b w:val="false"/>
          <w:color w:val="000000"/>
          <w:sz w:val="22"/>
        </w:rPr>
        <w:t>means this Agreement, the Replacement Revolving Facility Amendment, the Second Replacement Revolving Facility Amendment, any Incremental Facility Agreement, any Foreign Subsidiary Borrowing Agreement, the Security Documents and the promissory notes, if any, executed and delivered pursuant to Section 2.09(e).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Loan Parties</w:t>
      </w:r>
      <w:r>
        <w:rPr>
          <w:color w:val="000000"/>
        </w:rPr>
        <w:t xml:space="preserve">” </w:t>
      </w:r>
      <w:r>
        <w:rPr>
          <w:rFonts w:ascii="Times New Roman;sans-serif" w:hAnsi="Times New Roman;sans-serif"/>
          <w:b w:val="false"/>
          <w:color w:val="000000"/>
          <w:sz w:val="22"/>
        </w:rPr>
        <w:t>means Holdings, the Parent Borrower, the Foreign Subsidiary Borrowers and the other Subsidiary Loan Parties.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Loans</w:t>
      </w:r>
      <w:r>
        <w:rPr>
          <w:color w:val="000000"/>
        </w:rPr>
        <w:t xml:space="preserve">” </w:t>
      </w:r>
      <w:r>
        <w:rPr>
          <w:rFonts w:ascii="Times New Roman;sans-serif" w:hAnsi="Times New Roman;sans-serif"/>
          <w:b w:val="false"/>
          <w:color w:val="000000"/>
          <w:sz w:val="22"/>
        </w:rPr>
        <w:t>means the loans made by the Lenders to the Parent Borrower and the Foreign Subsidiary Borrowers pursuant to this Agreement.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Local Time</w:t>
      </w:r>
      <w:r>
        <w:rPr>
          <w:color w:val="000000"/>
        </w:rPr>
        <w:t xml:space="preserve">” </w:t>
      </w:r>
      <w:r>
        <w:rPr>
          <w:rFonts w:ascii="Times New Roman;sans-serif" w:hAnsi="Times New Roman;sans-serif"/>
          <w:b w:val="false"/>
          <w:color w:val="000000"/>
          <w:sz w:val="22"/>
        </w:rPr>
        <w:t>means (a) with respect to Foreign Currency Loans and Letters of Credit denominated in Euros or Pounds Sterling, local time in London, (b) with respect to Foreign Currency Loans denominated in currencies other than Euros and Pounds Sterling and Letters of Credit denominated in LC Foreign Currencies other than Euros and Pounds Sterling, local time in the Principal Financial Center for the applicable currency and (c) with respect to any other Loans, local time in New York City.</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Long-Term Indebtedness</w:t>
      </w:r>
      <w:r>
        <w:rPr>
          <w:color w:val="000000"/>
        </w:rPr>
        <w:t xml:space="preserve">” </w:t>
      </w:r>
      <w:r>
        <w:rPr>
          <w:rFonts w:ascii="Times New Roman;sans-serif" w:hAnsi="Times New Roman;sans-serif"/>
          <w:b w:val="false"/>
          <w:color w:val="000000"/>
          <w:sz w:val="22"/>
        </w:rPr>
        <w:t>means any Indebtedness that, in accordance with GAAP, constitutes (or, when incurred, constituted) a long-term liability, including the current portion of any Long-Term Indebtedness.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Margin Stock</w:t>
      </w:r>
      <w:r>
        <w:rPr>
          <w:color w:val="000000"/>
        </w:rPr>
        <w:t xml:space="preserve">” </w:t>
      </w:r>
      <w:r>
        <w:rPr>
          <w:rFonts w:ascii="Times New Roman;sans-serif" w:hAnsi="Times New Roman;sans-serif"/>
          <w:b w:val="false"/>
          <w:color w:val="000000"/>
          <w:sz w:val="22"/>
        </w:rPr>
        <w:t>shall have the meaning assigned to such term in Regulation U.</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Market Capitalization</w:t>
      </w:r>
      <w:r>
        <w:rPr>
          <w:color w:val="000000"/>
        </w:rPr>
        <w:t xml:space="preserve">” </w:t>
      </w:r>
      <w:r>
        <w:rPr>
          <w:rFonts w:ascii="Times New Roman;sans-serif" w:hAnsi="Times New Roman;sans-serif"/>
          <w:b w:val="false"/>
          <w:color w:val="000000"/>
          <w:sz w:val="22"/>
        </w:rPr>
        <w:t>means an amount equal to (a) the total number of issued and outstanding shares of common Equity Interests of Holdings or any direct or indirect parent of Holdings on the date of the declaration of a Restricted Payment permitted pursuant to Section 6.08(a)(xii) multiplied by (b) the arithmetic mean of the closing prices per share of such common Equity Interests on the principal securities exchange on which such common Equity Interests are traded or quoted for the 30 consecutive trading days immediately preceding the date of declaration of such Restricted Payment.</w:t>
      </w:r>
      <w:r>
        <w:br w:type="page"/>
      </w:r>
    </w:p>
    <w:p>
      <w:pPr>
        <w:pStyle w:val="TextBody"/>
        <w:spacing w:before="0" w:after="0"/>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60655"/>
                <wp:effectExtent l="0" t="0" r="0" b="0"/>
                <wp:wrapNone/>
                <wp:docPr id="130" name="Frame12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v:textbox>
              </v:rect>
            </w:pict>
          </mc:Fallback>
        </mc:AlternateConten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Material Adverse Effect</w:t>
      </w:r>
      <w:r>
        <w:rPr>
          <w:color w:val="000000"/>
        </w:rPr>
        <w:t xml:space="preserve">” </w:t>
      </w:r>
      <w:r>
        <w:rPr>
          <w:rFonts w:ascii="Times New Roman;sans-serif" w:hAnsi="Times New Roman;sans-serif"/>
          <w:b w:val="false"/>
          <w:color w:val="000000"/>
          <w:sz w:val="22"/>
        </w:rPr>
        <w:t>means a material adverse effect on (a) the business, operations, properties, assets, financial condition, or material agreements of Holdings, the Parent Borrower and the Subsidiaries (including the Receivables Subsidiary), taken as a whole, (b) the ability of any Loan Party in any material respect to perform any of its obligations under any Loan Document or (c) the rights of or benefits available to the Lenders under any Loan Document.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Material Agreements</w:t>
      </w:r>
      <w:r>
        <w:rPr>
          <w:color w:val="000000"/>
        </w:rPr>
        <w:t xml:space="preserve">” </w:t>
      </w:r>
      <w:r>
        <w:rPr>
          <w:rFonts w:ascii="Times New Roman;sans-serif" w:hAnsi="Times New Roman;sans-serif"/>
          <w:b w:val="false"/>
          <w:color w:val="000000"/>
          <w:sz w:val="22"/>
        </w:rPr>
        <w:t>means any agreements or instruments relating to Material Indebtedness.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Material Indebtedness</w:t>
      </w:r>
      <w:r>
        <w:rPr>
          <w:color w:val="000000"/>
        </w:rPr>
        <w:t xml:space="preserve">” </w:t>
      </w:r>
      <w:r>
        <w:rPr>
          <w:rFonts w:ascii="Times New Roman;sans-serif" w:hAnsi="Times New Roman;sans-serif"/>
          <w:b w:val="false"/>
          <w:color w:val="000000"/>
          <w:sz w:val="22"/>
        </w:rPr>
        <w:t>means (a) obligations in respect of the Permitted Receivables Financing and (b) any other Indebtedness (other than the Loans and Letters of Credit), or obligations in respect of one or more Hedging Agreements, of any one or more of Holdings, the Parent Borrower and its Subsidiaries in an aggregate principal amount exceeding $50,000,000. For purposes of determining Material Indebtedness, the “</w:t>
      </w:r>
      <w:r>
        <w:rPr>
          <w:rFonts w:ascii="Times New Roman;sans-serif" w:hAnsi="Times New Roman;sans-serif"/>
          <w:b w:val="false"/>
          <w:color w:val="000000"/>
          <w:sz w:val="22"/>
          <w:u w:val="single"/>
        </w:rPr>
        <w:t>principal amount</w:t>
      </w:r>
      <w:r>
        <w:rPr>
          <w:color w:val="000000"/>
        </w:rPr>
        <w:t xml:space="preserve">” </w:t>
      </w:r>
      <w:r>
        <w:rPr>
          <w:rFonts w:ascii="Times New Roman;sans-serif" w:hAnsi="Times New Roman;sans-serif"/>
          <w:b w:val="false"/>
          <w:color w:val="000000"/>
          <w:sz w:val="22"/>
        </w:rPr>
        <w:t>of the obligations of Holdings, the Parent Borrower or any Subsidiary in respect of any Hedging Agreement at any time shall be the maximum aggregate amount (giving effect to any netting agreements) that Holdings, the Parent Borrower or such Subsidiary would be required to pay if such Hedging Agreement were terminated at such time.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Maturity Date</w:t>
      </w:r>
      <w:r>
        <w:rPr>
          <w:color w:val="000000"/>
        </w:rPr>
        <w:t xml:space="preserve">” </w:t>
      </w:r>
      <w:r>
        <w:rPr>
          <w:rFonts w:ascii="Times New Roman;sans-serif" w:hAnsi="Times New Roman;sans-serif"/>
          <w:b w:val="false"/>
          <w:color w:val="000000"/>
          <w:sz w:val="22"/>
        </w:rPr>
        <w:t>means the Revolving Maturity Date or the scheduled maturity date in respect of any Extended Revolving Commitments, as the context requires.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Minimum Extension Condition</w:t>
      </w:r>
      <w:r>
        <w:rPr>
          <w:color w:val="000000"/>
        </w:rPr>
        <w:t xml:space="preserve">” </w:t>
      </w:r>
      <w:r>
        <w:rPr>
          <w:rFonts w:ascii="Times New Roman;sans-serif" w:hAnsi="Times New Roman;sans-serif"/>
          <w:b w:val="false"/>
          <w:color w:val="000000"/>
          <w:sz w:val="22"/>
        </w:rPr>
        <w:t>has the meaning assigned to such term in Section 2.23(b).</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Moody’s</w:t>
      </w:r>
      <w:r>
        <w:rPr>
          <w:color w:val="000000"/>
        </w:rPr>
        <w:t xml:space="preserve">” </w:t>
      </w:r>
      <w:r>
        <w:rPr>
          <w:rFonts w:ascii="Times New Roman;sans-serif" w:hAnsi="Times New Roman;sans-serif"/>
          <w:b w:val="false"/>
          <w:color w:val="000000"/>
          <w:sz w:val="22"/>
        </w:rPr>
        <w:t>means Moody’s Investors Service, Inc.</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Mortgage</w:t>
      </w:r>
      <w:r>
        <w:rPr>
          <w:color w:val="000000"/>
        </w:rPr>
        <w:t xml:space="preserve">” </w:t>
      </w:r>
      <w:r>
        <w:rPr>
          <w:rFonts w:ascii="Times New Roman;sans-serif" w:hAnsi="Times New Roman;sans-serif"/>
          <w:b w:val="false"/>
          <w:color w:val="000000"/>
          <w:sz w:val="22"/>
        </w:rPr>
        <w:t>means a mortgage, deed of trust, assignment of leases and rents, leasehold mortgage or other security document granting a Lien on any Mortgaged Property to secure the Obligations. Each Mortgage shall be substantially in the form of Exhibit F with such changes as are necessary under applicable local law.</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Mortgage Amendment</w:t>
      </w:r>
      <w:r>
        <w:rPr>
          <w:color w:val="000000"/>
        </w:rPr>
        <w:t xml:space="preserve">” </w:t>
      </w:r>
      <w:r>
        <w:rPr>
          <w:rFonts w:ascii="Times New Roman;sans-serif" w:hAnsi="Times New Roman;sans-serif"/>
          <w:b w:val="false"/>
          <w:color w:val="000000"/>
          <w:sz w:val="22"/>
        </w:rPr>
        <w:t xml:space="preserve">has the meaning assigned to such term in Section 4.04(f).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Mortgaged Property</w:t>
      </w:r>
      <w:r>
        <w:rPr>
          <w:color w:val="000000"/>
        </w:rPr>
        <w:t xml:space="preserve">” </w:t>
      </w:r>
      <w:r>
        <w:rPr>
          <w:rFonts w:ascii="Times New Roman;sans-serif" w:hAnsi="Times New Roman;sans-serif"/>
          <w:b w:val="false"/>
          <w:color w:val="000000"/>
          <w:sz w:val="22"/>
        </w:rPr>
        <w:t>means each parcel of real property and improvements thereto with respect to which a Mortgage is granted pursuant to Section 5.12 or 5.13.</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Multiemployer Plan</w:t>
      </w:r>
      <w:r>
        <w:rPr>
          <w:color w:val="000000"/>
        </w:rPr>
        <w:t xml:space="preserve">” </w:t>
      </w:r>
      <w:r>
        <w:rPr>
          <w:rFonts w:ascii="Times New Roman;sans-serif" w:hAnsi="Times New Roman;sans-serif"/>
          <w:b w:val="false"/>
          <w:color w:val="000000"/>
          <w:sz w:val="22"/>
        </w:rPr>
        <w:t>means a multiemployer plan as defined in Section 4001(a)(3) of ERISA.</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Net Proceeds</w:t>
      </w:r>
      <w:r>
        <w:rPr>
          <w:color w:val="000000"/>
        </w:rPr>
        <w:t xml:space="preserve">” </w:t>
      </w:r>
      <w:r>
        <w:rPr>
          <w:rFonts w:ascii="Times New Roman;sans-serif" w:hAnsi="Times New Roman;sans-serif"/>
          <w:b w:val="false"/>
          <w:color w:val="000000"/>
          <w:sz w:val="22"/>
        </w:rPr>
        <w:t xml:space="preserve">means, with respect to any event (a) the cash proceeds received in respect of such event including (i) any cash received in respect of any noncash proceeds, but only as and when received, (ii) in the case of a casualty, insurance proceeds in excess of $1,000,000 and (iii) in the case of a condemnation or similar event, condemnation awards and similar payments, net of (b) the sum of (i) all reasonable fees and out-of-pocket expenses paid by Holdings, the Parent Borrower and the Subsidiaries to third parties (other than Affiliates) in connection with such event, (ii) in the case of a sale, transfer or other disposition of an asset (including pursuant to a sale and leaseback transaction or a casualty or a condemnation or similar proceeding), the amount of all payments required to be made by Holdings, the Parent Borrower and the Subsidiaries as a result of such event to repay Indebtedness (other than Loans) secured by such asset or otherwise subject to mandatory prepayment as a result of such event, and (iii) the amount of all Taxes paid (or reasonably estimated to be payable) by Holdings, the Parent Borrower and the Subsidiaries, and the amount of any reserves established by Holdings, the Parent Borrower and the Subsidiaries to fund contingent liabilities reasonably estimated to be payable, in each case during the 24-month period immediately following such event and that are directly attributable to such event (as determined reasonably and in good faith by the chief financial officer of Holdings or the Parent Borrower) to the extent such liabilities are actually paid within such applicable time periods.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Non-Consenting Lender</w:t>
      </w:r>
      <w:r>
        <w:rPr>
          <w:color w:val="000000"/>
        </w:rPr>
        <w:t xml:space="preserve">” </w:t>
      </w:r>
      <w:r>
        <w:rPr>
          <w:rFonts w:ascii="Times New Roman;sans-serif" w:hAnsi="Times New Roman;sans-serif"/>
          <w:b w:val="false"/>
          <w:color w:val="000000"/>
          <w:sz w:val="22"/>
        </w:rPr>
        <w:t>has the meaning assigned to such term in Section 10.02(c).</w:t>
      </w:r>
      <w:r>
        <w:br w:type="page"/>
      </w:r>
    </w:p>
    <w:p>
      <w:pPr>
        <w:pStyle w:val="TextBody"/>
        <w:spacing w:before="0" w:after="0"/>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60655"/>
                <wp:effectExtent l="0" t="0" r="0" b="0"/>
                <wp:wrapNone/>
                <wp:docPr id="131" name="Frame13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v:rect>
            </w:pict>
          </mc:Fallback>
        </mc:AlternateConten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Non-Defaulting Lender</w:t>
      </w:r>
      <w:r>
        <w:rPr>
          <w:color w:val="000000"/>
        </w:rPr>
        <w:t xml:space="preserve">” </w:t>
      </w:r>
      <w:r>
        <w:rPr>
          <w:rFonts w:ascii="Times New Roman;sans-serif" w:hAnsi="Times New Roman;sans-serif"/>
          <w:b w:val="false"/>
          <w:color w:val="000000"/>
          <w:sz w:val="22"/>
        </w:rPr>
        <w:t>means, at any time, any Revolving Lender that is not a Defaulting Lender at such time.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Non-Financing Lease Obligation</w:t>
      </w:r>
      <w:r>
        <w:rPr>
          <w:color w:val="000000"/>
        </w:rPr>
        <w:t xml:space="preserve">” </w:t>
      </w:r>
      <w:r>
        <w:rPr>
          <w:rFonts w:ascii="Times New Roman;sans-serif" w:hAnsi="Times New Roman;sans-serif"/>
          <w:b w:val="false"/>
          <w:color w:val="000000"/>
          <w:sz w:val="22"/>
        </w:rPr>
        <w:t>means a lease obligation that is not required to be classified and accounted for as a financing or capital lease on both the balance sheet and the income statement for financial reporting purposes in accordance with GAAP. For the avoidance of doubt, a straight-line or operating lease shall be considered a Non-Financing Lease Obligation.</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Non-U.S. Lender</w:t>
      </w:r>
      <w:r>
        <w:rPr>
          <w:color w:val="000000"/>
        </w:rPr>
        <w:t xml:space="preserve">” </w:t>
      </w:r>
      <w:r>
        <w:rPr>
          <w:rFonts w:ascii="Times New Roman;sans-serif" w:hAnsi="Times New Roman;sans-serif"/>
          <w:b w:val="false"/>
          <w:color w:val="000000"/>
          <w:sz w:val="22"/>
        </w:rPr>
        <w:t>means a Lender or Issuing Bank that is not a U.S. Person.</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Not Otherwise Applied</w:t>
      </w:r>
      <w:r>
        <w:rPr>
          <w:color w:val="000000"/>
        </w:rPr>
        <w:t xml:space="preserve">” </w:t>
      </w:r>
      <w:r>
        <w:rPr>
          <w:rFonts w:ascii="Times New Roman;sans-serif" w:hAnsi="Times New Roman;sans-serif"/>
          <w:b w:val="false"/>
          <w:color w:val="000000"/>
          <w:sz w:val="22"/>
        </w:rPr>
        <w:t>means, with reference to any proceeds of any transaction or event that is proposed to be applied to a particular use or transaction, that such amount has not previously been (and is not simultaneously being) applied to anything other than such particular use or transaction.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NYFRB</w:t>
      </w:r>
      <w:r>
        <w:rPr>
          <w:color w:val="000000"/>
        </w:rPr>
        <w:t xml:space="preserve">” </w:t>
      </w:r>
      <w:r>
        <w:rPr>
          <w:rFonts w:ascii="Times New Roman;sans-serif" w:hAnsi="Times New Roman;sans-serif"/>
          <w:b w:val="false"/>
          <w:color w:val="000000"/>
          <w:sz w:val="22"/>
        </w:rPr>
        <w:t>means the Federal Reserve Bank of New York.</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NYFRB Rate</w:t>
      </w:r>
      <w:r>
        <w:rPr>
          <w:color w:val="000000"/>
        </w:rPr>
        <w:t xml:space="preserve">” </w:t>
      </w:r>
      <w:r>
        <w:rPr>
          <w:rFonts w:ascii="Times New Roman;sans-serif" w:hAnsi="Times New Roman;sans-serif"/>
          <w:b w:val="false"/>
          <w:color w:val="000000"/>
          <w:sz w:val="22"/>
        </w:rPr>
        <w:t xml:space="preserve">means, for any day, the greater of (a) the Federal Funds Effective Rate in effect on such day and (b) the Overnight Bank Funding Rate in effect on such day (or for any day that is not a Business Day, for the immediately preceding Business Day);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none of such rates are published for any day that is a Business Day, the term “NYFRB Rate” means the rate for a federal funds transaction quoted at 11:00 a.m. on such day received to the Administrative Agent from a Federal funds broker of recognized standing selected by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if any of the aforesaid rates shall be less than zero, such rate shall be deemed to be zero for purposes of this Agreement.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NYFRB’s Website</w:t>
      </w:r>
      <w:r>
        <w:rPr>
          <w:color w:val="000000"/>
        </w:rPr>
        <w:t xml:space="preserve">” </w:t>
      </w:r>
      <w:r>
        <w:rPr>
          <w:rFonts w:ascii="Times New Roman;sans-serif" w:hAnsi="Times New Roman;sans-serif"/>
          <w:b w:val="false"/>
          <w:color w:val="000000"/>
          <w:sz w:val="22"/>
        </w:rPr>
        <w:t>means the website of the NYFRB at http://www.newyorkfed.org, or any successor source.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Obligations</w:t>
      </w:r>
      <w:r>
        <w:rPr>
          <w:color w:val="000000"/>
        </w:rPr>
        <w:t xml:space="preserve">” </w:t>
      </w:r>
      <w:r>
        <w:rPr>
          <w:rFonts w:ascii="Times New Roman;sans-serif" w:hAnsi="Times New Roman;sans-serif"/>
          <w:b w:val="false"/>
          <w:color w:val="000000"/>
          <w:sz w:val="22"/>
        </w:rPr>
        <w:t>has the meaning assigned to such term in the Security Agreement.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OFAC</w:t>
      </w:r>
      <w:r>
        <w:rPr>
          <w:color w:val="000000"/>
        </w:rPr>
        <w:t xml:space="preserve">” </w:t>
      </w:r>
      <w:r>
        <w:rPr>
          <w:rFonts w:ascii="Times New Roman;sans-serif" w:hAnsi="Times New Roman;sans-serif"/>
          <w:b w:val="false"/>
          <w:color w:val="000000"/>
          <w:sz w:val="22"/>
        </w:rPr>
        <w:t>means the Office of Foreign Assets Control of the U.S. Department of Treasury.</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Original Credit Agreement</w:t>
      </w:r>
      <w:r>
        <w:rPr>
          <w:color w:val="000000"/>
        </w:rPr>
        <w:t xml:space="preserve">” </w:t>
      </w:r>
      <w:r>
        <w:rPr>
          <w:rFonts w:ascii="Times New Roman;sans-serif" w:hAnsi="Times New Roman;sans-serif"/>
          <w:b w:val="false"/>
          <w:color w:val="000000"/>
          <w:sz w:val="22"/>
        </w:rPr>
        <w:t xml:space="preserve">means the Credit Agreement dated as of October 16, 2013, among TriMas Company LLC, TriMas Corporation, the other loan parties party thereto, the lenders party thereto, JPMorgan Chase Bank, N.A., as administrative agent and collateral agent, and the other agents party thereto, as in effect on the Closing Date.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Other Taxes</w:t>
      </w:r>
      <w:r>
        <w:rPr>
          <w:color w:val="000000"/>
        </w:rPr>
        <w:t xml:space="preserve">” </w:t>
      </w:r>
      <w:r>
        <w:rPr>
          <w:rFonts w:ascii="Times New Roman;sans-serif" w:hAnsi="Times New Roman;sans-serif"/>
          <w:b w:val="false"/>
          <w:color w:val="000000"/>
          <w:sz w:val="22"/>
        </w:rPr>
        <w:t>means any present or future stamp, court, documentary, intangible, recording, filing or similar excise or property Taxes that arise from any payment made under, from the execution, delivery, performance, enforcement or registration of, or from the registration, receipt or perfection of a security interest under, or otherwise with respect to, any Loan Document, except any such Taxes imposed with respect to an assignment (other than an assignment under Section 2.19(b)).</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Overnight Bank Funding Rate</w:t>
      </w:r>
      <w:r>
        <w:rPr>
          <w:color w:val="000000"/>
        </w:rPr>
        <w:t xml:space="preserve">” </w:t>
      </w:r>
      <w:r>
        <w:rPr>
          <w:rFonts w:ascii="Times New Roman;sans-serif" w:hAnsi="Times New Roman;sans-serif"/>
          <w:b w:val="false"/>
          <w:color w:val="000000"/>
          <w:sz w:val="22"/>
        </w:rPr>
        <w:t>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Overnight LIBO Rate</w:t>
      </w:r>
      <w:r>
        <w:rPr>
          <w:color w:val="000000"/>
        </w:rPr>
        <w:t xml:space="preserve">” </w:t>
      </w:r>
      <w:r>
        <w:rPr>
          <w:rFonts w:ascii="Times New Roman;sans-serif" w:hAnsi="Times New Roman;sans-serif"/>
          <w:b w:val="false"/>
          <w:color w:val="000000"/>
          <w:sz w:val="22"/>
        </w:rPr>
        <w:t>means, with respect to any Loans or overdue amount in respect thereof, the rate of interest per annum at which overnight deposits in the applicable currency, in an amount approximately equal to the amount with respect to which such rate is being determined, would be offered for such day by a branch or affiliate of JPMorgan Chase Bank, N.A. in the applicable offshore interbank market for such currency to major banks in such interbank market.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Parallel Debt Foreign Obligations</w:t>
      </w:r>
      <w:r>
        <w:rPr>
          <w:color w:val="000000"/>
        </w:rPr>
        <w:t xml:space="preserve">” </w:t>
      </w:r>
      <w:r>
        <w:rPr>
          <w:rFonts w:ascii="Times New Roman;sans-serif" w:hAnsi="Times New Roman;sans-serif"/>
          <w:b w:val="false"/>
          <w:color w:val="000000"/>
          <w:sz w:val="22"/>
        </w:rPr>
        <w:t>has the meaning assigned to such term in Section 10.18(b).</w:t>
      </w:r>
      <w:r>
        <w:br w:type="page"/>
      </w:r>
    </w:p>
    <w:p>
      <w:pPr>
        <w:pStyle w:val="TextBody"/>
        <w:spacing w:before="0" w:after="0"/>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60655"/>
                <wp:effectExtent l="0" t="0" r="0" b="0"/>
                <wp:wrapNone/>
                <wp:docPr id="132" name="Frame13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v:rect>
            </w:pict>
          </mc:Fallback>
        </mc:AlternateConten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Parent Borrower</w:t>
      </w:r>
      <w:r>
        <w:rPr>
          <w:color w:val="000000"/>
        </w:rPr>
        <w:t xml:space="preserve">” </w:t>
      </w:r>
      <w:r>
        <w:rPr>
          <w:rFonts w:ascii="Times New Roman;sans-serif" w:hAnsi="Times New Roman;sans-serif"/>
          <w:b w:val="false"/>
          <w:color w:val="000000"/>
          <w:sz w:val="22"/>
        </w:rPr>
        <w:t>means TriMas Company LLC, a Delaware limited liability company.</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Participant</w:t>
      </w:r>
      <w:r>
        <w:rPr>
          <w:color w:val="000000"/>
        </w:rPr>
        <w:t xml:space="preserve">” </w:t>
      </w:r>
      <w:r>
        <w:rPr>
          <w:rFonts w:ascii="Times New Roman;sans-serif" w:hAnsi="Times New Roman;sans-serif"/>
          <w:b w:val="false"/>
          <w:color w:val="000000"/>
          <w:sz w:val="22"/>
        </w:rPr>
        <w:t>has the meaning assigned to such term in Section 10.04(e).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Participant Register</w:t>
      </w:r>
      <w:r>
        <w:rPr>
          <w:color w:val="000000"/>
        </w:rPr>
        <w:t xml:space="preserve">” </w:t>
      </w:r>
      <w:r>
        <w:rPr>
          <w:rFonts w:ascii="Times New Roman;sans-serif" w:hAnsi="Times New Roman;sans-serif"/>
          <w:b w:val="false"/>
          <w:color w:val="000000"/>
          <w:sz w:val="22"/>
        </w:rPr>
        <w:t>has the meaning assigned to such term in Section 10.04(e).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PATRIOT Act</w:t>
      </w:r>
      <w:r>
        <w:rPr>
          <w:color w:val="000000"/>
        </w:rPr>
        <w:t xml:space="preserve">” </w:t>
      </w:r>
      <w:r>
        <w:rPr>
          <w:rFonts w:ascii="Times New Roman;sans-serif" w:hAnsi="Times New Roman;sans-serif"/>
          <w:b w:val="false"/>
          <w:color w:val="000000"/>
          <w:sz w:val="22"/>
        </w:rPr>
        <w:t>has the meaning assigned to such term in Section 10.16.</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Payment</w:t>
      </w:r>
      <w:r>
        <w:rPr>
          <w:color w:val="000000"/>
        </w:rPr>
        <w:t xml:space="preserve">” </w:t>
      </w:r>
      <w:r>
        <w:rPr>
          <w:rFonts w:ascii="Times New Roman;sans-serif" w:hAnsi="Times New Roman;sans-serif"/>
          <w:b w:val="false"/>
          <w:color w:val="000000"/>
          <w:sz w:val="22"/>
        </w:rPr>
        <w:t>has the meaning assigned to it in Section 8.03.</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Payment Notice</w:t>
      </w:r>
      <w:r>
        <w:rPr>
          <w:color w:val="000000"/>
        </w:rPr>
        <w:t xml:space="preserve">” </w:t>
      </w:r>
      <w:r>
        <w:rPr>
          <w:rFonts w:ascii="Times New Roman;sans-serif" w:hAnsi="Times New Roman;sans-serif"/>
          <w:b w:val="false"/>
          <w:color w:val="000000"/>
          <w:sz w:val="22"/>
        </w:rPr>
        <w:t>has the meaning assigned to it in Section 8.03.</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PBGC</w:t>
      </w:r>
      <w:r>
        <w:rPr>
          <w:color w:val="000000"/>
        </w:rPr>
        <w:t xml:space="preserve">” </w:t>
      </w:r>
      <w:r>
        <w:rPr>
          <w:rFonts w:ascii="Times New Roman;sans-serif" w:hAnsi="Times New Roman;sans-serif"/>
          <w:b w:val="false"/>
          <w:color w:val="000000"/>
          <w:sz w:val="22"/>
        </w:rPr>
        <w:t>means the Pension Benefit Guaranty Corporation referred to and defined in ERISA and any successor entity performing similar functions.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Perfection Certificate</w:t>
      </w:r>
      <w:r>
        <w:rPr>
          <w:color w:val="000000"/>
        </w:rPr>
        <w:t xml:space="preserve">” </w:t>
      </w:r>
      <w:r>
        <w:rPr>
          <w:rFonts w:ascii="Times New Roman;sans-serif" w:hAnsi="Times New Roman;sans-serif"/>
          <w:b w:val="false"/>
          <w:color w:val="000000"/>
          <w:sz w:val="22"/>
        </w:rPr>
        <w:t>means a certificate in the form of Annex I to the Security Agreement or any other form approved by the Collateral Agent.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Permitted Acquisition</w:t>
      </w:r>
      <w:r>
        <w:rPr>
          <w:color w:val="000000"/>
        </w:rPr>
        <w:t xml:space="preserve">” </w:t>
      </w:r>
      <w:r>
        <w:rPr>
          <w:rFonts w:ascii="Times New Roman;sans-serif" w:hAnsi="Times New Roman;sans-serif"/>
          <w:b w:val="false"/>
          <w:color w:val="000000"/>
          <w:sz w:val="22"/>
        </w:rPr>
        <w:t>means any acquisition, whether by purchase, merger, consolidation or otherwise, by the Parent Borrower or a Subsidiary of all or substantially all the assets of, or all of the Equity Interests in, a Person or a division, line of business or other business unit of a Person so long as (a) such acquisition shall not have been preceded by a tender offer that has not been approved or otherwise recommended by the board of directors of such Person, (b) such assets are to be used in, or such Person so acquired is engaged in, as the case may be, a business of the type conducted by the Parent Borrower and its Subsidiaries on the Second Restatement Date or in a business reasonably related thereto and (c) immediately after giving effect thereto, (i) (other than with respect to Limited Conditionality Acquisitions) no Default has occurred and is continuing or would result therefrom, (ii) all transactions related thereto are consummated in all material respects in accordance with applicable laws, (iii) all of the Equity Interests (other than Assumed Preferred Stock) of each Subsidiary formed for the purpose of or resulting from such acquisition shall be owned directly by the Parent Borrower or a Subsidiary and all actions required to be taken under Sections 5.12 and 5.13 have been taken, (iv) (other than with respect to Limited Conditionality Acquisitions) the Total Net Leverage Ratio, on a pro forma basis after giving effect to such acquisition and recomputed as of the last day of the most recently ended fiscal quarter of Holdings for which financial statements are available, as if such acquisition (and any related incurrence and repayment of Indebtedness) had occurred on the first day of the relevant period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acquisition that occurs prior to the first testing period under Section 6.13 shall be deemed to have occurred during such first testing period), is at least 0.25 less than is otherwise required pursuant to Section 6.13 at the time of such event, (v) any Indebtedness or any preferred stock that is incurred, acquired or assumed in connection with such acquisition shall be in compliance with Section 6.01 and (vi) the Parent Borrower has delivered to the Administrative Agent an officers’ certificate to the effect set forth in clauses (a), (b) and (c)(i) through (v) above, together with all relevant financial information for the Person or assets to be acquired;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no Limited Conditionality Acquisition shall become effective unless (i) no Default or Event of Default shall have occurred and be continuing as of the date of entry into the Limited Conditionality Acquisition Agreement, (ii) on the date of effectiveness of the Limited Conditionality Acquisition Agreement, the representations and warranties of each Loan Party set forth in the Loan Documents shall be true and correct on and as of such date and (iii) on the date of effectiveness of the Limited Conditionality Acquisition Agreement and assuming any related incurrence and repayment of Indebtedness, the Total Net Leverage Ratio, on a pro forma basis after giving effect to such acquisition, is at least 0.25 less than is otherwise required pursuant to Section 6.13 on such date.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Permitted Encumbrances</w:t>
      </w:r>
      <w:r>
        <w:rPr>
          <w:color w:val="000000"/>
        </w:rPr>
        <w:t xml:space="preserve">” </w:t>
      </w:r>
      <w:r>
        <w:rPr>
          <w:rFonts w:ascii="Times New Roman;sans-serif" w:hAnsi="Times New Roman;sans-serif"/>
          <w:b w:val="false"/>
          <w:color w:val="000000"/>
          <w:sz w:val="22"/>
        </w:rPr>
        <w:t>means: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    Liens imposed by law for taxes, assessments or other governmental charges that are not yet due or are being contested in compliance with Section 5.05;</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    carriers’, warehousemen’s, mechanics’, materialmen’s, repairmen’s and other like Liens imposed by law, arising in the ordinary course of business and securing obligations that are not overdue by more than 60 days or are being contested in compliance with Section 5.05;</w:t>
      </w:r>
      <w:r>
        <w:br w:type="page"/>
      </w:r>
    </w:p>
    <w:p>
      <w:pPr>
        <w:pStyle w:val="TextBody"/>
        <w:spacing w:before="0" w:after="0"/>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60655"/>
                <wp:effectExtent l="0" t="0" r="0" b="0"/>
                <wp:wrapNone/>
                <wp:docPr id="133" name="Frame13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v:rect>
            </w:pict>
          </mc:Fallback>
        </mc:AlternateConten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    pledges and deposits made in the ordinary course of business in compliance with workers’ compensation, unemployment insurance and other social security laws or regulations;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(d)    deposits to secure the performance of bids, trade contracts, leases, statutory obligations, surety and appeal bonds, performance bonds and other obligations of a like nature, in each case in the ordinary course of business;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(e)    judgment Liens in respect of judgments and attachments Liens that do not constitute an Event of Default under clause (k) of Article VII and notices of lis pendens and associated rights related to litigation being contested in good faith by appropriate proceedings and for which adequate reserves have been made;</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Holdings, the Parent Borrower or any Subsidiary;</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(g)    ground leases in respect of real property on which facilities owned or leased by Holdings, the Parent Borrower or any of the Subsidiaries are located, other than any Mortgaged Property;</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(h)    Liens (i) in favor of credit card processors securing obligations in connection with credit card processing services incurred in the ordinary course of business and (ii) in favor or customs and revenue authorities arising as a matter of law to secure payment of customs duties in connection with the importation of goods in the ordinary course of business;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    leases or subleases granted to other Persons and not interfering in any material respect with the business of Holdings, the Parent Borrower and the Subsidiaries, taken as a whole;</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(j)    banker’s liens, rights of set-off or similar rights, in each case arising by operation of law; and</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(k)    Liens in favor of a landlord on leasehold improvements in leased premises;</w:t>
      </w:r>
    </w:p>
    <w:p>
      <w:pPr>
        <w:pStyle w:val="TextBody"/>
        <w:spacing w:lineRule="auto" w:line="240" w:before="0" w:after="240"/>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term “Permitted Encumbrances” shall not include any Lien securing Indebtedness.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Permitted Investments</w:t>
      </w:r>
      <w:r>
        <w:rPr>
          <w:color w:val="000000"/>
        </w:rPr>
        <w:t xml:space="preserve">” </w:t>
      </w:r>
      <w:r>
        <w:rPr>
          <w:rFonts w:ascii="Times New Roman;sans-serif" w:hAnsi="Times New Roman;sans-serif"/>
          <w:b w:val="false"/>
          <w:color w:val="000000"/>
          <w:sz w:val="22"/>
        </w:rPr>
        <w:t>means: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    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    investments in commercial paper maturing within one year from the date of acquisition thereof and having, at such date of acquisition, the highest credit rating obtainable from S&amp;P or from Moody’s;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    investments in certificates of deposit, banker’s acceptances and time deposits maturing within one year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$500,000,000;</w:t>
      </w:r>
      <w:r>
        <w:br w:type="page"/>
      </w:r>
    </w:p>
    <w:p>
      <w:pPr>
        <w:pStyle w:val="TextBody"/>
        <w:spacing w:before="0" w:after="0"/>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60655"/>
                <wp:effectExtent l="0" t="0" r="0" b="0"/>
                <wp:wrapNone/>
                <wp:docPr id="134" name="Frame13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v:textbox>
              </v:rect>
            </w:pict>
          </mc:Fallback>
        </mc:AlternateConten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(d)    fully collateralized repurchase agreements with a term of not more than 30 days for securities described in clause (a) above and entered into with a financial institution satisfying the criteria described in clause (c) above;</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(e)    securities issued by any state of the United States of America or any political subdivision of any such state or any public instrumentality thereof having maturities of not more than six months from the date of acquisition thereof and, at the time of acquisition, having the highest credit rating obtainable from S&amp;P or from Moody’s;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    securities issued by any foreign government or any political subdivision of any foreign government or any public instrumentality thereof having maturities of not more than six months from the date of acquisition thereof and, at the time of acquisition, having the highest credit rating obtainable from S&amp;P or from Moody’s;</w:t>
      </w:r>
    </w:p>
    <w:p>
      <w:pPr>
        <w:pStyle w:val="TextBody"/>
        <w:spacing w:lineRule="auto" w:line="240" w:before="0" w:after="240"/>
        <w:ind w:left="0" w:right="0" w:firstLine="720"/>
        <w:rPr/>
      </w:pPr>
      <w:r>
        <w:rPr>
          <w:rFonts w:ascii="Times New Roman;sans-serif" w:hAnsi="Times New Roman;sans-serif"/>
          <w:b w:val="false"/>
          <w:color w:val="000000"/>
          <w:sz w:val="22"/>
        </w:rPr>
        <w:t>(g)    investments of the quality as those identified on Schedule 6.04 as “</w:t>
      </w:r>
      <w:r>
        <w:rPr>
          <w:rFonts w:ascii="Times New Roman;sans-serif" w:hAnsi="Times New Roman;sans-serif"/>
          <w:b w:val="false"/>
          <w:color w:val="000000"/>
          <w:sz w:val="22"/>
          <w:u w:val="single"/>
        </w:rPr>
        <w:t>Qualified Foreign Investments</w:t>
      </w:r>
      <w:r>
        <w:rPr>
          <w:color w:val="000000"/>
        </w:rPr>
        <w:t xml:space="preserve">” </w:t>
      </w:r>
      <w:r>
        <w:rPr>
          <w:rFonts w:ascii="Times New Roman;sans-serif" w:hAnsi="Times New Roman;sans-serif"/>
          <w:b w:val="false"/>
          <w:color w:val="000000"/>
          <w:sz w:val="22"/>
        </w:rPr>
        <w:t>made in the ordinary course of business;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(h)    cash; and</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    investments in funds that invest solely in one or more types of securities described in clauses (a), (e) and (f) above.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Permitted Joint Venture and Foreign Subsidiary Investments</w:t>
      </w:r>
      <w:r>
        <w:rPr>
          <w:color w:val="000000"/>
        </w:rPr>
        <w:t xml:space="preserve">” </w:t>
      </w:r>
      <w:r>
        <w:rPr>
          <w:rFonts w:ascii="Times New Roman;sans-serif" w:hAnsi="Times New Roman;sans-serif"/>
          <w:b w:val="false"/>
          <w:color w:val="000000"/>
          <w:sz w:val="22"/>
        </w:rPr>
        <w:t>means investments by Holdings, the Parent Borrower or any Subsidiary in the Equity Interests of (a) any Person that is not a Subsidiary or (b) any Person that is a Foreign Subsidiary, in an aggregate amount not to exceed $125,000,000.</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Permitted Receivables Documents</w:t>
      </w:r>
      <w:r>
        <w:rPr>
          <w:color w:val="000000"/>
        </w:rPr>
        <w:t xml:space="preserve">” </w:t>
      </w:r>
      <w:r>
        <w:rPr>
          <w:rFonts w:ascii="Times New Roman;sans-serif" w:hAnsi="Times New Roman;sans-serif"/>
          <w:b w:val="false"/>
          <w:color w:val="000000"/>
          <w:sz w:val="22"/>
        </w:rPr>
        <w:t>means the Receivables Purchase Agreement, the Receivables Transfer Agreement and all other documents and agreements relating to the Permitted Receivables Financing.</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Permitted Receivables Financing</w:t>
      </w:r>
      <w:r>
        <w:rPr>
          <w:color w:val="000000"/>
        </w:rPr>
        <w:t xml:space="preserve">” </w:t>
      </w:r>
      <w:r>
        <w:rPr>
          <w:rFonts w:ascii="Times New Roman;sans-serif" w:hAnsi="Times New Roman;sans-serif"/>
          <w:b w:val="false"/>
          <w:color w:val="000000"/>
          <w:sz w:val="22"/>
        </w:rPr>
        <w:t>means (a) the sale by the Parent Borrower and certain Subsidiaries (other than Foreign Subsidiaries) of accounts receivable to the Receivables Subsidiary pursuant to the Receivables Purchase Agreement and (b) the sale or pledge of such accounts receivable (or participations therein) by the Receivables Subsidiary to certain purchasers pursuant to the Receivables Transfer Agreement.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Permitted Tax Distribution</w:t>
      </w:r>
      <w:r>
        <w:rPr>
          <w:color w:val="000000"/>
        </w:rPr>
        <w:t xml:space="preserve">” </w:t>
      </w:r>
      <w:r>
        <w:rPr>
          <w:rFonts w:ascii="Times New Roman;sans-serif" w:hAnsi="Times New Roman;sans-serif"/>
          <w:b w:val="false"/>
          <w:color w:val="000000"/>
          <w:sz w:val="22"/>
        </w:rPr>
        <w:t>means</w:t>
      </w:r>
    </w:p>
    <w:p>
      <w:pPr>
        <w:pStyle w:val="TextBody"/>
        <w:spacing w:lineRule="auto" w:line="240" w:before="0" w:after="240"/>
        <w:ind w:left="0" w:right="0" w:firstLine="720"/>
        <w:rPr/>
      </w:pPr>
      <w:r>
        <w:rPr>
          <w:rFonts w:ascii="Times New Roman;sans-serif" w:hAnsi="Times New Roman;sans-serif"/>
          <w:b w:val="false"/>
          <w:color w:val="000000"/>
          <w:sz w:val="22"/>
        </w:rPr>
        <w:t xml:space="preserve">(a)    with respect to any taxable period during which the Parent Borrower is treated as a disregarded entity for U.S. federal income tax purposes and/or any of its Subsidiaries is a member of a consolidated, unitary, combined or similar tax group in which Holdings or Holdings’ direct or indirect parent is the common parent, distributions by the Parent Borrower to Holdings to pay the portion of such consolidated, unitary combined or similar tax liability that is attributable to the taxable income of the Parent Borrower and its Subsidiaries;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however, that the amount of such aggregate amount of payments that would be made pursuant to this clause (a) in respect of any taxable period does not exceed the actual tax liability of such consolidated, unitary, combined or similar tax group and</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(b)    with respect to any taxable period during which Holdings is treated as a partnership for U.S. federal income tax purposes and the Parent Borrower is treated as a disregarded entity or partnership for U.S. federal income tax purposes, distributions by the Parent Borrower to Holdings to pay the portion of the tax liability of Holdings’ direct or indirect owners that is attributable to the taxable income of the Parent Borrower (determined as if the Parent Borrower were a taxpayer), in an aggregate amount equal to the product of (y) the taxable income of the Parent Borrower allocable to Holdings for such period less the cumulative amount of net taxable loss of the Parent Borrower allocated to Holdings for all prior taxable periods beginning after the Second Restatement Date (determined as if such periods were one combined period) to </w:t>
      </w:r>
      <w:r>
        <w:br w:type="page"/>
      </w:r>
    </w:p>
    <w:p>
      <w:pPr>
        <w:pStyle w:val="TextBody"/>
        <w:spacing w:before="0" w:after="0"/>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60655"/>
                <wp:effectExtent l="0" t="0" r="0" b="0"/>
                <wp:wrapNone/>
                <wp:docPr id="135" name="Frame13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extent such prior net losses are of a character (i.e., ordinary or capital) that would have allowed such losses to be offset against the current period’s income and (z) the highest combined marginal federal and applicable state and/or local income tax rate applicable to the Parent Borrower for the taxable period in question (taking into account the deductibility of state and local income taxes (subject to applicable limitations) for U.S. federal income tax purposes).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Permitted Unsecured Debt</w:t>
      </w:r>
      <w:r>
        <w:rPr>
          <w:color w:val="000000"/>
        </w:rPr>
        <w:t xml:space="preserve">” </w:t>
      </w:r>
      <w:r>
        <w:rPr>
          <w:rFonts w:ascii="Times New Roman;sans-serif" w:hAnsi="Times New Roman;sans-serif"/>
          <w:b w:val="false"/>
          <w:color w:val="000000"/>
          <w:sz w:val="22"/>
        </w:rPr>
        <w:t xml:space="preserve">means any unsecured notes or bonds or other unsecured debt securities;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such Indebtedness shall not mature prior to the date that is 91 days after the Latest Maturity Date in effect at the time of the issuance of such Indebtedness and shall not have any principal payments due prior to such date, except upon the occurrence of a change of control or similar event (including asset sales), in each case so long as the provisions relating to change of control or similar events (including asset sales) included in the governing instrument of such Indebtedness provide that the provisions of this Agreement must be satisfied prior to the satisfaction of such provisions of such Indebtedness, (b) such Indebtedness is not Guaranteed by any Subsidiary of Holdings other than the Loan Parties (which Guarantees shall be unsecured and shall be permitted only to the extent permitted by Section 6.01(a)(vi)), (c) such Indebtedness shall not have any financial maintenance covenants, (d) such Indebtedness shall not have a definition of “Change of Control” or “Change in Control” (or any other defined term having a similar purpose) that is materially more restrictive than the definition of Change of Control set forth herein and (e) such Indebtedness, if subordinated in right of payment to the Obligations, shall be subject to subordination and intercreditor provisions that are, in the Administrative Agent’s reasonable judgment, customary under then-existing market convention.</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Person</w:t>
      </w:r>
      <w:r>
        <w:rPr>
          <w:color w:val="000000"/>
        </w:rPr>
        <w:t xml:space="preserve">” </w:t>
      </w:r>
      <w:r>
        <w:rPr>
          <w:rFonts w:ascii="Times New Roman;sans-serif" w:hAnsi="Times New Roman;sans-serif"/>
          <w:b w:val="false"/>
          <w:color w:val="000000"/>
          <w:sz w:val="22"/>
        </w:rPr>
        <w:t>means any natural person, corporation, limited liability company, trust, joint venture, association, company, partnership, Governmental Authority or other entity.</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Plan</w:t>
      </w:r>
      <w:r>
        <w:rPr>
          <w:color w:val="000000"/>
        </w:rPr>
        <w:t xml:space="preserve">” </w:t>
      </w:r>
      <w:r>
        <w:rPr>
          <w:rFonts w:ascii="Times New Roman;sans-serif" w:hAnsi="Times New Roman;sans-serif"/>
          <w:b w:val="false"/>
          <w:color w:val="000000"/>
          <w:sz w:val="22"/>
        </w:rPr>
        <w:t>means any employee pension benefit plan (other than a Multiemployer Plan) subject to the provisions of Title IV of ERISA or Section 412 of the Code or Section 302 of ERISA, and in respect of which the Parent Borrower or any ERISA Affiliate is (or, if such plan were terminated, would under Section 4069 of ERISA be deemed to be) an “</w:t>
      </w:r>
      <w:r>
        <w:rPr>
          <w:rFonts w:ascii="Times New Roman;sans-serif" w:hAnsi="Times New Roman;sans-serif"/>
          <w:b w:val="false"/>
          <w:color w:val="000000"/>
          <w:sz w:val="22"/>
          <w:u w:val="single"/>
        </w:rPr>
        <w:t>employer</w:t>
      </w:r>
      <w:r>
        <w:rPr>
          <w:color w:val="000000"/>
        </w:rPr>
        <w:t xml:space="preserve">” </w:t>
      </w:r>
      <w:r>
        <w:rPr>
          <w:rFonts w:ascii="Times New Roman;sans-serif" w:hAnsi="Times New Roman;sans-serif"/>
          <w:b w:val="false"/>
          <w:color w:val="000000"/>
          <w:sz w:val="22"/>
        </w:rPr>
        <w:t>as defined in Section 3(5) of ERISA.</w:t>
      </w:r>
    </w:p>
    <w:p>
      <w:pPr>
        <w:pStyle w:val="TextBody"/>
        <w:spacing w:lineRule="auto" w:line="240" w:before="0" w:after="220"/>
        <w:ind w:left="0" w:right="0" w:firstLine="1440"/>
        <w:jc w:val="both"/>
        <w:rPr/>
      </w:pPr>
      <w:r>
        <w:rPr>
          <w:color w:val="000000"/>
        </w:rPr>
        <w:t>“</w:t>
      </w:r>
      <w:r>
        <w:rPr>
          <w:rFonts w:ascii="Times New Roman;sans-serif" w:hAnsi="Times New Roman;sans-serif"/>
          <w:b w:val="false"/>
          <w:color w:val="000000"/>
          <w:sz w:val="22"/>
          <w:u w:val="single"/>
        </w:rPr>
        <w:t>Plan Asset Regulations</w:t>
      </w:r>
      <w:r>
        <w:rPr>
          <w:color w:val="000000"/>
        </w:rPr>
        <w:t xml:space="preserve">” </w:t>
      </w:r>
      <w:r>
        <w:rPr>
          <w:rFonts w:ascii="Times New Roman;sans-serif" w:hAnsi="Times New Roman;sans-serif"/>
          <w:b w:val="false"/>
          <w:color w:val="000000"/>
          <w:sz w:val="22"/>
        </w:rPr>
        <w:t xml:space="preserve">means 29 CFR § 2510.3-101 </w:t>
      </w:r>
      <w:r>
        <w:rPr>
          <w:rFonts w:ascii="Times New Roman;sans-serif" w:hAnsi="Times New Roman;sans-serif"/>
          <w:b w:val="false"/>
          <w:i/>
          <w:color w:val="000000"/>
          <w:sz w:val="22"/>
        </w:rPr>
        <w:t>et seq.</w:t>
      </w:r>
      <w:r>
        <w:rPr>
          <w:rFonts w:ascii="Times New Roman;sans-serif" w:hAnsi="Times New Roman;sans-serif"/>
          <w:b w:val="false"/>
          <w:color w:val="000000"/>
          <w:sz w:val="22"/>
        </w:rPr>
        <w:t>, as modified by Section 3(42) of ERISA, as amended from time to time.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Pledge Agreement</w:t>
      </w:r>
      <w:r>
        <w:rPr>
          <w:color w:val="000000"/>
        </w:rPr>
        <w:t xml:space="preserve">” </w:t>
      </w:r>
      <w:r>
        <w:rPr>
          <w:rFonts w:ascii="Times New Roman;sans-serif" w:hAnsi="Times New Roman;sans-serif"/>
          <w:b w:val="false"/>
          <w:color w:val="000000"/>
          <w:sz w:val="22"/>
        </w:rPr>
        <w:t>means the Pledge Agreement, substantially in the form of Exhibit G, among Holdings, the Parent Borrower, the Subsidiary Loan Parties party thereto and the Collateral Agent for the benefit of the Secured Parties.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Pounds Sterling</w:t>
      </w:r>
      <w:r>
        <w:rPr>
          <w:color w:val="000000"/>
        </w:rPr>
        <w:t xml:space="preserve">” </w:t>
      </w:r>
      <w:r>
        <w:rPr>
          <w:rFonts w:ascii="Times New Roman;sans-serif" w:hAnsi="Times New Roman;sans-serif"/>
          <w:b w:val="false"/>
          <w:color w:val="000000"/>
          <w:sz w:val="22"/>
        </w:rPr>
        <w:t>means the lawful currency of the United Kingdom.</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Preferred Dividends</w:t>
      </w:r>
      <w:r>
        <w:rPr>
          <w:color w:val="000000"/>
        </w:rPr>
        <w:t xml:space="preserve">” </w:t>
      </w:r>
      <w:r>
        <w:rPr>
          <w:rFonts w:ascii="Times New Roman;sans-serif" w:hAnsi="Times New Roman;sans-serif"/>
          <w:b w:val="false"/>
          <w:color w:val="000000"/>
          <w:sz w:val="22"/>
        </w:rPr>
        <w:t>means any cash dividends of Holdings permitted hereunder paid with respect to preferred stock of Holdings.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Prime Rate</w:t>
      </w:r>
      <w:r>
        <w:rPr>
          <w:color w:val="000000"/>
        </w:rPr>
        <w:t xml:space="preserve">” </w:t>
      </w:r>
      <w:r>
        <w:rPr>
          <w:rFonts w:ascii="Times New Roman;sans-serif" w:hAnsi="Times New Roman;sans-serif"/>
          <w:b w:val="false"/>
          <w:color w:val="000000"/>
          <w:sz w:val="22"/>
        </w:rPr>
        <w:t>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 “</w:t>
      </w:r>
      <w:r>
        <w:rPr>
          <w:rFonts w:ascii="Times New Roman;sans-serif" w:hAnsi="Times New Roman;sans-serif"/>
          <w:b w:val="false"/>
          <w:color w:val="000000"/>
          <w:sz w:val="22"/>
          <w:u w:val="single"/>
        </w:rPr>
        <w:t>Principal Financial Center</w:t>
      </w:r>
      <w:r>
        <w:rPr>
          <w:color w:val="000000"/>
        </w:rPr>
        <w:t xml:space="preserve">” </w:t>
      </w:r>
      <w:r>
        <w:rPr>
          <w:rFonts w:ascii="Times New Roman;sans-serif" w:hAnsi="Times New Roman;sans-serif"/>
          <w:b w:val="false"/>
          <w:color w:val="000000"/>
          <w:sz w:val="22"/>
        </w:rPr>
        <w:t>means, with respect to any Foreign Currency, the principal financial center where such currency is cleared and settled, as determined by the Administrative Agent.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Proceeding</w:t>
      </w:r>
      <w:r>
        <w:rPr>
          <w:color w:val="000000"/>
        </w:rPr>
        <w:t xml:space="preserve">” </w:t>
      </w:r>
      <w:r>
        <w:rPr>
          <w:rFonts w:ascii="Times New Roman;sans-serif" w:hAnsi="Times New Roman;sans-serif"/>
          <w:b w:val="false"/>
          <w:color w:val="000000"/>
          <w:sz w:val="22"/>
        </w:rPr>
        <w:t xml:space="preserve">means, for purposes of Section 10.03, any claim, litigation, investigation, action, suit, arbitration or administrative, judicial or regulatory action or proceeding in any jurisdiction. </w:t>
      </w:r>
    </w:p>
    <w:p>
      <w:pPr>
        <w:pStyle w:val="TextBody"/>
        <w:spacing w:lineRule="auto" w:line="240" w:before="0" w:after="220"/>
        <w:ind w:left="0" w:right="0" w:firstLine="1440"/>
        <w:jc w:val="both"/>
        <w:rPr/>
      </w:pPr>
      <w:r>
        <w:rPr>
          <w:color w:val="000000"/>
        </w:rPr>
        <w:t>“</w:t>
      </w:r>
      <w:r>
        <w:rPr>
          <w:rFonts w:ascii="Times New Roman;sans-serif" w:hAnsi="Times New Roman;sans-serif"/>
          <w:b w:val="false"/>
          <w:color w:val="000000"/>
          <w:sz w:val="22"/>
          <w:u w:val="single"/>
        </w:rPr>
        <w:t>PTE</w:t>
      </w:r>
      <w:r>
        <w:rPr>
          <w:color w:val="000000"/>
        </w:rPr>
        <w:t xml:space="preserve">” </w:t>
      </w:r>
      <w:r>
        <w:rPr>
          <w:rFonts w:ascii="Times New Roman;sans-serif" w:hAnsi="Times New Roman;sans-serif"/>
          <w:b w:val="false"/>
          <w:color w:val="000000"/>
          <w:sz w:val="22"/>
        </w:rPr>
        <w:t>means a prohibited transaction class exemption issued by the U.S. Department of Labor, as any such exemption may be amended from time to time.</w:t>
      </w:r>
      <w:r>
        <w:br w:type="page"/>
      </w:r>
    </w:p>
    <w:p>
      <w:pPr>
        <w:pStyle w:val="TextBody"/>
        <w:spacing w:before="0" w:after="0"/>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60655"/>
                <wp:effectExtent l="0" t="0" r="0" b="0"/>
                <wp:wrapNone/>
                <wp:docPr id="136" name="Frame13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v:textbox>
              </v:rect>
            </w:pict>
          </mc:Fallback>
        </mc:AlternateConten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QFC</w:t>
      </w:r>
      <w:r>
        <w:rPr>
          <w:color w:val="000000"/>
        </w:rPr>
        <w:t xml:space="preserve">” </w:t>
      </w:r>
      <w:r>
        <w:rPr>
          <w:rFonts w:ascii="Times New Roman;sans-serif" w:hAnsi="Times New Roman;sans-serif"/>
          <w:b w:val="false"/>
          <w:color w:val="000000"/>
          <w:sz w:val="22"/>
        </w:rPr>
        <w:t>has the meaning assigned to the term “qualified financial contract” in, and shall be interpreted in accordance with, 12 U.S.C. 5390(c)(8)(D).</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QFC Credit Party</w:t>
      </w:r>
      <w:r>
        <w:rPr>
          <w:color w:val="000000"/>
        </w:rPr>
        <w:t xml:space="preserve">” </w:t>
      </w:r>
      <w:r>
        <w:rPr>
          <w:rFonts w:ascii="Times New Roman;sans-serif" w:hAnsi="Times New Roman;sans-serif"/>
          <w:b w:val="false"/>
          <w:color w:val="000000"/>
          <w:sz w:val="22"/>
        </w:rPr>
        <w:t xml:space="preserve">has the meaning assigned to such term in Section 10.22.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Qualified Holdings Preferred Stock</w:t>
      </w:r>
      <w:r>
        <w:rPr>
          <w:color w:val="000000"/>
        </w:rPr>
        <w:t xml:space="preserve">” </w:t>
      </w:r>
      <w:r>
        <w:rPr>
          <w:rFonts w:ascii="Times New Roman;sans-serif" w:hAnsi="Times New Roman;sans-serif"/>
          <w:b w:val="false"/>
          <w:color w:val="000000"/>
          <w:sz w:val="22"/>
        </w:rPr>
        <w:t>means any preferred capital stock or preferred Equity Interest of Holdings (a)(i) that does not provide for any cash dividend payments or other cash distributions in respect thereof prior to the Latest Maturity Date in effect as of the date of issuance of such Indebtedness and (ii) that by its terms (or by the terms of any security into which it is convertible or for which it is exchangeable or exercisable) or upon the happening of any event does not (A)(x) mature or become mandatorily redeemable pursuant to a sinking fund obligation or otherwise, (y) become convertible or exchangeable at the option of the holder thereof for Indebtedness or preferred stock that is not Qualified Holdings Preferred Stock or (z) become redeemable at the option of the holder thereof (other than as a result of a change of control event), in whole or in part, in each case on or prior to the date that is 365 days after the Latest Maturity Date in effect at the time of the issuance thereof and (B) provide holders thereunder with any rights upon the occurrence of a “</w:t>
      </w:r>
      <w:r>
        <w:rPr>
          <w:rFonts w:ascii="Times New Roman;sans-serif" w:hAnsi="Times New Roman;sans-serif"/>
          <w:b w:val="false"/>
          <w:color w:val="000000"/>
          <w:sz w:val="22"/>
          <w:u w:val="single"/>
        </w:rPr>
        <w:t>change of control</w:t>
      </w:r>
      <w:r>
        <w:rPr>
          <w:color w:val="000000"/>
        </w:rPr>
        <w:t xml:space="preserve">” </w:t>
      </w:r>
      <w:r>
        <w:rPr>
          <w:rFonts w:ascii="Times New Roman;sans-serif" w:hAnsi="Times New Roman;sans-serif"/>
          <w:b w:val="false"/>
          <w:color w:val="000000"/>
          <w:sz w:val="22"/>
        </w:rPr>
        <w:t xml:space="preserve">event prior to the repayment of the Obligations and termination of the Commitments under the Loan Documents, (b) with respect to which Holdings has delivered a notice to the Administrative Agent that it has issued preferred stock or preferred Equity Interest in lieu of incurring (x) Permitted Acquisition Subordination Notes or (y) Indebtedness permitted by Section 6.01(a)(xii), with such notice specifying to which of such Indebtedness such preferred stock or preferred Equity Interest applies;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the aggregate liquidation value of all such preferred stock or preferred Equity Interest issued pursuant to this clause (b) shall not exceed at any time the dollar limitation related to the applicable Indebtedness hereunder, less the aggregate principal amount of such Indebtedness then outstanding and (ii) the terms of such preferred stock or preferred Equity Interests (x) shall provide that upon a default thereof, the remedies of the holders thereof shall be limited to the right to additional representation on the board of directors of Holdings and (y) shall otherwise be no less favorable to the Lenders, in the aggregate, than the terms of the applicable Indebtedness or (c) having an aggregate initial liquidation value not to exceed $25,000,000;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terms of such preferred stock or preferred Equity Interests shall provide that upon a default thereof, the remedies of the holders thereof shall be limited to the right to additional representation on the board of directors of Holdings.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Qualifying Lender</w:t>
      </w:r>
      <w:r>
        <w:rPr>
          <w:color w:val="000000"/>
        </w:rPr>
        <w:t xml:space="preserve">” </w:t>
      </w:r>
      <w:r>
        <w:rPr>
          <w:rFonts w:ascii="Times New Roman;sans-serif" w:hAnsi="Times New Roman;sans-serif"/>
          <w:b w:val="false"/>
          <w:color w:val="000000"/>
          <w:sz w:val="22"/>
        </w:rPr>
        <w:t>means:</w:t>
      </w:r>
    </w:p>
    <w:p>
      <w:pPr>
        <w:pStyle w:val="TextBody"/>
        <w:spacing w:lineRule="auto" w:line="300"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a Revolving Lender (other than a Lender within clause (b) of the definition of Qualifying Lender) which is beneficially entitled to interest payable to that Lender in respect of an advance under a Loan Document and is:</w:t>
      </w:r>
    </w:p>
    <w:p>
      <w:pPr>
        <w:pStyle w:val="TextBody"/>
        <w:spacing w:lineRule="auto" w:line="297" w:before="240" w:after="283"/>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    a Lender:</w:t>
      </w:r>
    </w:p>
    <w:p>
      <w:pPr>
        <w:pStyle w:val="TextBody"/>
        <w:spacing w:lineRule="auto" w:line="300" w:before="240" w:after="283"/>
        <w:ind w:left="0" w:right="0" w:firstLine="720"/>
        <w:jc w:val="both"/>
        <w:rPr>
          <w:color w:val="000000"/>
        </w:rPr>
      </w:pPr>
      <w:r>
        <w:rPr>
          <w:color w:val="000000"/>
        </w:rPr>
        <w:t>    </w:t>
      </w:r>
      <w:r>
        <w:rPr>
          <w:rFonts w:ascii="Times New Roman;sans-serif" w:hAnsi="Times New Roman;sans-serif"/>
          <w:b w:val="false"/>
          <w:color w:val="000000"/>
          <w:sz w:val="22"/>
        </w:rPr>
        <w:t>(A)    that is a bank (as defined for the purpose of section 879 of the ITA) making an advance under a Loan Document and is within the charge to United Kingdom corporation tax as respects any payments of interest made in respect of that advance or would be within such charge as respects such payments apart from section 18A of the CTA; or</w:t>
      </w:r>
    </w:p>
    <w:p>
      <w:pPr>
        <w:pStyle w:val="TextBody"/>
        <w:spacing w:lineRule="auto" w:line="300" w:before="240" w:after="283"/>
        <w:ind w:left="0" w:right="0" w:firstLine="720"/>
        <w:jc w:val="both"/>
        <w:rPr>
          <w:color w:val="000000"/>
        </w:rPr>
      </w:pPr>
      <w:r>
        <w:rPr>
          <w:color w:val="000000"/>
        </w:rPr>
        <w:t>    </w:t>
      </w:r>
      <w:r>
        <w:rPr>
          <w:rFonts w:ascii="Times New Roman;sans-serif" w:hAnsi="Times New Roman;sans-serif"/>
          <w:b w:val="false"/>
          <w:color w:val="000000"/>
          <w:sz w:val="22"/>
        </w:rPr>
        <w:t>(B)     in respect of an advance under a Loan Document by a person that was a bank (as defined for the purpose of section 879 of the ITA) at the time that such advance under a Loan Document was made and within the charge to United Kingdom corporation tax as respects any payments of interest made in respect of that advance; or</w:t>
      </w:r>
    </w:p>
    <w:p>
      <w:pPr>
        <w:pStyle w:val="TextBody"/>
        <w:spacing w:lineRule="auto" w:line="300"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(ii)    a Lender which is:</w:t>
      </w:r>
      <w:r>
        <w:br w:type="page"/>
      </w:r>
    </w:p>
    <w:p>
      <w:pPr>
        <w:pStyle w:val="TextBody"/>
        <w:spacing w:before="0" w:after="0"/>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60655"/>
                <wp:effectExtent l="0" t="0" r="0" b="0"/>
                <wp:wrapNone/>
                <wp:docPr id="137" name="Frame13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v:textbox>
              </v:rect>
            </w:pict>
          </mc:Fallback>
        </mc:AlternateContent>
      </w:r>
    </w:p>
    <w:p>
      <w:pPr>
        <w:pStyle w:val="TextBody"/>
        <w:spacing w:lineRule="auto" w:line="300" w:before="240" w:after="283"/>
        <w:ind w:left="0" w:right="0" w:firstLine="720"/>
        <w:jc w:val="both"/>
        <w:rPr>
          <w:color w:val="000000"/>
        </w:rPr>
      </w:pPr>
      <w:r>
        <w:rPr>
          <w:color w:val="000000"/>
        </w:rPr>
        <w:t>    </w:t>
      </w:r>
      <w:r>
        <w:rPr>
          <w:rFonts w:ascii="Times New Roman;sans-serif" w:hAnsi="Times New Roman;sans-serif"/>
          <w:b w:val="false"/>
          <w:color w:val="000000"/>
          <w:sz w:val="22"/>
        </w:rPr>
        <w:t>(A)     a company resident in the United Kingdom for United Kingdom Tax purposes;</w:t>
      </w:r>
    </w:p>
    <w:p>
      <w:pPr>
        <w:pStyle w:val="TextBody"/>
        <w:spacing w:lineRule="auto" w:line="300" w:before="240" w:after="283"/>
        <w:ind w:left="0" w:right="0" w:firstLine="720"/>
        <w:jc w:val="both"/>
        <w:rPr>
          <w:color w:val="000000"/>
        </w:rPr>
      </w:pPr>
      <w:r>
        <w:rPr>
          <w:color w:val="000000"/>
        </w:rPr>
        <w:t>    </w:t>
      </w:r>
      <w:r>
        <w:rPr>
          <w:rFonts w:ascii="Times New Roman;sans-serif" w:hAnsi="Times New Roman;sans-serif"/>
          <w:b w:val="false"/>
          <w:color w:val="000000"/>
          <w:sz w:val="22"/>
        </w:rPr>
        <w:t>(B)     a partnership, each member of which is:</w:t>
      </w:r>
    </w:p>
    <w:p>
      <w:pPr>
        <w:pStyle w:val="TextBody"/>
        <w:spacing w:lineRule="auto" w:line="300"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(1)     a company so resident in the United Kingdom; or</w:t>
      </w:r>
    </w:p>
    <w:p>
      <w:pPr>
        <w:pStyle w:val="TextBody"/>
        <w:spacing w:lineRule="auto" w:line="300"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    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pStyle w:val="TextBody"/>
        <w:spacing w:lineRule="auto" w:line="300" w:before="240" w:after="283"/>
        <w:ind w:left="0" w:right="0" w:firstLine="720"/>
        <w:jc w:val="both"/>
        <w:rPr>
          <w:color w:val="000000"/>
        </w:rPr>
      </w:pPr>
      <w:r>
        <w:rPr>
          <w:color w:val="000000"/>
        </w:rPr>
        <w:t>    </w:t>
      </w:r>
      <w:r>
        <w:rPr>
          <w:rFonts w:ascii="Times New Roman;sans-serif" w:hAnsi="Times New Roman;sans-serif"/>
          <w:b w:val="false"/>
          <w:color w:val="000000"/>
          <w:sz w:val="22"/>
        </w:rPr>
        <w:t>(C)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or</w:t>
      </w:r>
    </w:p>
    <w:p>
      <w:pPr>
        <w:pStyle w:val="TextBody"/>
        <w:spacing w:lineRule="auto" w:line="297" w:before="240" w:after="283"/>
        <w:rPr>
          <w:rFonts w:ascii="Times New Roman;sans-serif" w:hAnsi="Times New Roman;sans-serif"/>
          <w:b w:val="false"/>
          <w:color w:val="000000"/>
          <w:sz w:val="22"/>
        </w:rPr>
      </w:pPr>
      <w:r>
        <w:rPr>
          <w:rFonts w:ascii="Times New Roman;sans-serif" w:hAnsi="Times New Roman;sans-serif"/>
          <w:b w:val="false"/>
          <w:color w:val="000000"/>
          <w:sz w:val="22"/>
        </w:rPr>
        <w:t>(iii)    a Treaty Lender; or</w:t>
      </w:r>
    </w:p>
    <w:p>
      <w:pPr>
        <w:pStyle w:val="TextBody"/>
        <w:spacing w:lineRule="auto" w:line="302"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a Revolving Lender that is a building society (as defined for the purposes of section 880 of the ITA) making an advance.</w:t>
      </w:r>
    </w:p>
    <w:p>
      <w:pPr>
        <w:pStyle w:val="TextBody"/>
        <w:spacing w:lineRule="auto" w:line="240" w:before="240" w:after="240"/>
        <w:ind w:left="0" w:right="0" w:firstLine="1440"/>
        <w:rPr/>
      </w:pPr>
      <w:r>
        <w:rPr>
          <w:color w:val="000000"/>
        </w:rPr>
        <w:t>“</w:t>
      </w:r>
      <w:r>
        <w:rPr>
          <w:rFonts w:ascii="Times New Roman;sans-serif" w:hAnsi="Times New Roman;sans-serif"/>
          <w:b w:val="false"/>
          <w:color w:val="000000"/>
          <w:sz w:val="22"/>
          <w:u w:val="single"/>
        </w:rPr>
        <w:t>Quotation Day</w:t>
      </w:r>
      <w:r>
        <w:rPr>
          <w:color w:val="000000"/>
        </w:rPr>
        <w:t xml:space="preserve">” </w:t>
      </w:r>
      <w:r>
        <w:rPr>
          <w:rFonts w:ascii="Times New Roman;sans-serif" w:hAnsi="Times New Roman;sans-serif"/>
          <w:b w:val="false"/>
          <w:color w:val="000000"/>
          <w:sz w:val="22"/>
        </w:rPr>
        <w:t xml:space="preserve">means with respect to the determination of the Adjusted LIBO Rate for any Interest Period for Eurocurrency Loans, the day on which quotations would ordinarily be given by prime banks in the London interbank market for deposits in such currency for delivery on the first day of such Interest Period for such Interest Period;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if quotations would ordinarily be given on more than one date, the Quotation Day for such Interest Period shall be the last of such dates. On the Second Restatement Date, the Quotation Day in respect of any Interest Period (i) for dollars is customarily the day which is two Business Days prior to the first day of such Interest Period</w:t>
      </w:r>
      <w:r>
        <w:rPr>
          <w:rFonts w:ascii="Times New Roman;sans-serif" w:hAnsi="Times New Roman;sans-serif"/>
          <w:b w:val="false"/>
          <w:strike/>
          <w:color w:val="FF0000"/>
          <w:sz w:val="22"/>
        </w:rPr>
        <w:t>,</w:t>
      </w:r>
      <w:r>
        <w:rPr>
          <w:color w:val="000000"/>
        </w:rPr>
        <w:t xml:space="preserve"> </w:t>
      </w:r>
      <w:r>
        <w:rPr>
          <w:rFonts w:ascii="Times New Roman;sans-serif" w:hAnsi="Times New Roman;sans-serif"/>
          <w:b w:val="false"/>
          <w:color w:val="0000FF"/>
          <w:sz w:val="22"/>
          <w:highlight w:val="lightGray"/>
          <w:u w:val="single"/>
        </w:rPr>
        <w:t>and</w:t>
      </w:r>
      <w:r>
        <w:rPr>
          <w:color w:val="000000"/>
        </w:rPr>
        <w:t xml:space="preserve"> </w:t>
      </w:r>
      <w:r>
        <w:rPr>
          <w:rFonts w:ascii="Times New Roman;sans-serif" w:hAnsi="Times New Roman;sans-serif"/>
          <w:b w:val="false"/>
          <w:color w:val="000000"/>
          <w:sz w:val="22"/>
        </w:rPr>
        <w:t>(ii) for Euros is customarily the day which is two TARGET Days prior to the first day of such Interest Period and</w:t>
      </w:r>
      <w:r>
        <w:rPr>
          <w:strike/>
          <w:color w:val="FF0000"/>
        </w:rPr>
        <w:t xml:space="preserve"> </w:t>
      </w:r>
      <w:r>
        <w:rPr>
          <w:rFonts w:ascii="Times New Roman;sans-serif" w:hAnsi="Times New Roman;sans-serif"/>
          <w:b w:val="false"/>
          <w:strike/>
          <w:color w:val="FF0000"/>
          <w:sz w:val="22"/>
        </w:rPr>
        <w:t>(iii) for Pounds Sterling is customarily the day which is the first day of such Interest Period</w:t>
      </w:r>
      <w:r>
        <w:rPr>
          <w:rFonts w:ascii="Times New Roman;sans-serif" w:hAnsi="Times New Roman;sans-serif"/>
          <w:b w:val="false"/>
          <w:color w:val="000000"/>
          <w:sz w:val="22"/>
        </w:rPr>
        <w:t xml:space="preserve">. </w:t>
      </w:r>
    </w:p>
    <w:p>
      <w:pPr>
        <w:pStyle w:val="TextBody"/>
        <w:spacing w:lineRule="auto" w:line="240" w:before="240" w:after="240"/>
        <w:ind w:left="0" w:right="0" w:firstLine="1440"/>
        <w:rPr/>
      </w:pPr>
      <w:r>
        <w:rPr>
          <w:color w:val="000000"/>
        </w:rPr>
        <w:t>“</w:t>
      </w:r>
      <w:r>
        <w:rPr>
          <w:rFonts w:ascii="Times New Roman;sans-serif" w:hAnsi="Times New Roman;sans-serif"/>
          <w:b w:val="false"/>
          <w:color w:val="000000"/>
          <w:sz w:val="22"/>
          <w:u w:val="single"/>
        </w:rPr>
        <w:t>Receivables Fees</w:t>
      </w:r>
      <w:r>
        <w:rPr>
          <w:color w:val="000000"/>
        </w:rPr>
        <w:t xml:space="preserve">” </w:t>
      </w:r>
      <w:r>
        <w:rPr>
          <w:rFonts w:ascii="Times New Roman;sans-serif" w:hAnsi="Times New Roman;sans-serif"/>
          <w:b w:val="false"/>
          <w:color w:val="000000"/>
          <w:sz w:val="22"/>
        </w:rPr>
        <w:t xml:space="preserve">means distributions or payments made directly or by means of discounts with respect to any participation interests issued or sold in connection with, and all other fees paid to a Person that is a Subsidiary in connection with, any Permitted Receivables Financing or Specified Vendor Receivables Financing.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Receivables Purchase Agreement</w:t>
      </w:r>
      <w:r>
        <w:rPr>
          <w:color w:val="000000"/>
        </w:rPr>
        <w:t xml:space="preserve">” </w:t>
      </w:r>
      <w:r>
        <w:rPr>
          <w:rFonts w:ascii="Times New Roman;sans-serif" w:hAnsi="Times New Roman;sans-serif"/>
          <w:b w:val="false"/>
          <w:color w:val="000000"/>
          <w:sz w:val="22"/>
        </w:rPr>
        <w:t xml:space="preserve">means (a) the Amended and Restated Receivables Purchase Agreement dated as of December 29, 2009 among the Receivables Subsidiary, Holdings and the Subsidiaries party thereto, related to the Permitted Receivables Financing, as may be amended, supplemented or otherwise modified to the extent permitted by Section 6.11 and (b) any agreement replacing such Receivables Purchase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aggregate amount of all receivables financings pursuant to the Receivables Purchase Agreement shall not exceed $75,000,000 at any time outstanding;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such replacing agreement contains terms that are substantially similar to such Receivables Purchase Agreement and that are otherwise no more adverse to the Lenders than the applicable terms of such Receivables Purchase Agreement.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Receivables Subsidiary</w:t>
      </w:r>
      <w:r>
        <w:rPr>
          <w:color w:val="000000"/>
        </w:rPr>
        <w:t xml:space="preserve">” </w:t>
      </w:r>
      <w:r>
        <w:rPr>
          <w:rFonts w:ascii="Times New Roman;sans-serif" w:hAnsi="Times New Roman;sans-serif"/>
          <w:b w:val="false"/>
          <w:color w:val="000000"/>
          <w:sz w:val="22"/>
        </w:rPr>
        <w:t>means TSPC, Inc., a Nevada corporation.</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Receivables Transfer Agreement</w:t>
      </w:r>
      <w:r>
        <w:rPr>
          <w:color w:val="000000"/>
        </w:rPr>
        <w:t xml:space="preserve">” </w:t>
      </w:r>
      <w:r>
        <w:rPr>
          <w:rFonts w:ascii="Times New Roman;sans-serif" w:hAnsi="Times New Roman;sans-serif"/>
          <w:b w:val="false"/>
          <w:color w:val="000000"/>
          <w:sz w:val="22"/>
        </w:rPr>
        <w:t xml:space="preserve">means (a) the Receivables Transfer Agreement dated as of the December 29, 2009, among the Receivables Subsidiary, Holdings and the purchasers party </w:t>
      </w:r>
      <w:r>
        <w:br w:type="page"/>
      </w:r>
    </w:p>
    <w:p>
      <w:pPr>
        <w:pStyle w:val="TextBody"/>
        <w:spacing w:before="0" w:after="0"/>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60655"/>
                <wp:effectExtent l="0" t="0" r="0" b="0"/>
                <wp:wrapNone/>
                <wp:docPr id="138" name="Frame13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thereto, relating to the Permitted Receivables Financing, as may be amended, supplemented or otherwise modified to the extent permitted by Section 6.11 and (b) any agreement replacing such Receivables Transfer Agreement, provided that such replacing agreement contains terms that are substantially similar to such Receivables Transfer Agreement and that are otherwise no more adverse to the Lenders than the applicable terms of such Receivables Transfer Agreement.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Reference Time</w:t>
      </w:r>
      <w:r>
        <w:rPr>
          <w:color w:val="000000"/>
        </w:rPr>
        <w:t xml:space="preserve">” </w:t>
      </w:r>
      <w:r>
        <w:rPr>
          <w:rFonts w:ascii="Times New Roman;sans-serif" w:hAnsi="Times New Roman;sans-serif"/>
          <w:b w:val="false"/>
          <w:color w:val="000000"/>
          <w:sz w:val="22"/>
        </w:rPr>
        <w:t>with respect to any setting of the then-current Benchmark means (1) if such Benchmark is the LIBO Rate with respect to Loans denominated in dollars</w:t>
      </w:r>
      <w:r>
        <w:rPr>
          <w:strike/>
          <w:color w:val="FF0000"/>
        </w:rPr>
        <w:t xml:space="preserve"> </w:t>
      </w:r>
      <w:r>
        <w:rPr>
          <w:rFonts w:ascii="Times New Roman;sans-serif" w:hAnsi="Times New Roman;sans-serif"/>
          <w:b w:val="false"/>
          <w:strike/>
          <w:color w:val="FF0000"/>
          <w:sz w:val="22"/>
        </w:rPr>
        <w:t>or Pounds Sterling</w:t>
      </w:r>
      <w:r>
        <w:rPr>
          <w:rFonts w:ascii="Times New Roman;sans-serif" w:hAnsi="Times New Roman;sans-serif"/>
          <w:b w:val="false"/>
          <w:color w:val="000000"/>
          <w:sz w:val="22"/>
        </w:rPr>
        <w:t xml:space="preserve">, 11:00 a.m. (London time) on the day that is two London banking days preceding the date of such setting, and (y) if such Benchmark is the LIBO Rate with respect to Loans denominated in Euros, 11:00 a.m. (Brussels time) on the day that is two TARGET days preceding the date of such setting, </w:t>
      </w:r>
      <w:r>
        <w:rPr>
          <w:rFonts w:ascii="Times New Roman;sans-serif" w:hAnsi="Times New Roman;sans-serif"/>
          <w:b w:val="false"/>
          <w:strike/>
          <w:color w:val="FF0000"/>
          <w:sz w:val="22"/>
        </w:rPr>
        <w:t xml:space="preserve">and </w:t>
      </w:r>
      <w:r>
        <w:rPr>
          <w:rFonts w:ascii="Times New Roman;sans-serif" w:hAnsi="Times New Roman;sans-serif"/>
          <w:b w:val="false"/>
          <w:color w:val="000000"/>
          <w:sz w:val="22"/>
        </w:rPr>
        <w:t>(2</w:t>
      </w:r>
      <w:r>
        <w:rPr>
          <w:rFonts w:ascii="Times New Roman;sans-serif" w:hAnsi="Times New Roman;sans-serif"/>
          <w:b w:val="false"/>
          <w:color w:val="0000FF"/>
          <w:sz w:val="22"/>
          <w:highlight w:val="lightGray"/>
          <w:u w:val="single"/>
        </w:rPr>
        <w:t>) if the RFR for such Benchmark is SONIA, then four Business Days prior to such setting, and (3</w:t>
      </w:r>
      <w:r>
        <w:rPr>
          <w:rFonts w:ascii="Times New Roman;sans-serif" w:hAnsi="Times New Roman;sans-serif"/>
          <w:b w:val="false"/>
          <w:color w:val="000000"/>
          <w:sz w:val="22"/>
        </w:rPr>
        <w:t>) if such Benchmark is not the LIBO Rate</w:t>
      </w:r>
      <w:r>
        <w:rPr>
          <w:color w:val="0000FF"/>
          <w:highlight w:val="lightGray"/>
          <w:u w:val="single"/>
        </w:rPr>
        <w:t xml:space="preserve"> </w:t>
      </w:r>
      <w:r>
        <w:rPr>
          <w:rFonts w:ascii="Times New Roman;sans-serif" w:hAnsi="Times New Roman;sans-serif"/>
          <w:b w:val="false"/>
          <w:color w:val="0000FF"/>
          <w:sz w:val="22"/>
          <w:highlight w:val="lightGray"/>
          <w:u w:val="single"/>
        </w:rPr>
        <w:t>or SONIA</w:t>
      </w:r>
      <w:r>
        <w:rPr>
          <w:rFonts w:ascii="Times New Roman;sans-serif" w:hAnsi="Times New Roman;sans-serif"/>
          <w:b w:val="false"/>
          <w:color w:val="000000"/>
          <w:sz w:val="22"/>
        </w:rPr>
        <w:t xml:space="preserve">, the time determined by the Administrative Agent in its reasonable discretion with notice to the Parent Borrower. </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2"/>
          <w:u w:val="single"/>
        </w:rPr>
        <w:t>Register</w:t>
      </w:r>
      <w:r>
        <w:rPr>
          <w:color w:val="000000"/>
        </w:rPr>
        <w:t xml:space="preserve">” </w:t>
      </w:r>
      <w:r>
        <w:rPr>
          <w:rFonts w:ascii="Times New Roman;sans-serif" w:hAnsi="Times New Roman;sans-serif"/>
          <w:b w:val="false"/>
          <w:color w:val="000000"/>
          <w:sz w:val="22"/>
        </w:rPr>
        <w:t>has the meaning assigned to such term in Section 10.04(c).</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Regulation U</w:t>
      </w:r>
      <w:r>
        <w:rPr>
          <w:color w:val="000000"/>
        </w:rPr>
        <w:t xml:space="preserve">” </w:t>
      </w:r>
      <w:r>
        <w:rPr>
          <w:rFonts w:ascii="Times New Roman;sans-serif" w:hAnsi="Times New Roman;sans-serif"/>
          <w:b w:val="false"/>
          <w:color w:val="000000"/>
          <w:sz w:val="22"/>
        </w:rPr>
        <w:t>shall mean Regulation U of the Board as from time to time in effect and all official rulings and interpretations thereunder or thereof.</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Regulation X</w:t>
      </w:r>
      <w:r>
        <w:rPr>
          <w:color w:val="000000"/>
        </w:rPr>
        <w:t xml:space="preserve">” </w:t>
      </w:r>
      <w:r>
        <w:rPr>
          <w:rFonts w:ascii="Times New Roman;sans-serif" w:hAnsi="Times New Roman;sans-serif"/>
          <w:b w:val="false"/>
          <w:color w:val="000000"/>
          <w:sz w:val="22"/>
        </w:rPr>
        <w:t>shall mean Regulation X of the Board as from time to time in effect and all official rulings and interpretations thereunder or thereof.</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Related Parties</w:t>
      </w:r>
      <w:r>
        <w:rPr>
          <w:color w:val="000000"/>
        </w:rPr>
        <w:t xml:space="preserve">” </w:t>
      </w:r>
      <w:r>
        <w:rPr>
          <w:rFonts w:ascii="Times New Roman;sans-serif" w:hAnsi="Times New Roman;sans-serif"/>
          <w:b w:val="false"/>
          <w:color w:val="000000"/>
          <w:sz w:val="22"/>
        </w:rPr>
        <w:t>means, with respect to any specified Person, such Person’s Affiliates and the respective directors, officers, employees, agents, trustees and advisors of such Person and of such Person’s Affiliates.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Release</w:t>
      </w:r>
      <w:r>
        <w:rPr>
          <w:color w:val="000000"/>
        </w:rPr>
        <w:t xml:space="preserve">” </w:t>
      </w:r>
      <w:r>
        <w:rPr>
          <w:rFonts w:ascii="Times New Roman;sans-serif" w:hAnsi="Times New Roman;sans-serif"/>
          <w:b w:val="false"/>
          <w:color w:val="000000"/>
          <w:sz w:val="22"/>
        </w:rPr>
        <w:t>means any release, spill, emission, leaking, dumping, injection, pouring, deposit, disposal, discharge, dispersal, leaching or migration into or through the environment (including ambient air, surface water, groundwater, land surface or subsurface strata) or within any building, structure, facility or fixture.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Relevant Governmental Body</w:t>
      </w:r>
      <w:r>
        <w:rPr>
          <w:color w:val="000000"/>
        </w:rPr>
        <w:t xml:space="preserve">” </w:t>
      </w:r>
      <w:r>
        <w:rPr>
          <w:rFonts w:ascii="Times New Roman;sans-serif" w:hAnsi="Times New Roman;sans-serif"/>
          <w:b w:val="false"/>
          <w:color w:val="000000"/>
          <w:sz w:val="22"/>
        </w:rPr>
        <w:t xml:space="preserve">means (a) with respect to a Benchmark Replacement in respect of Eurocurrency Loans denominated in dollars, the Federal Reserve Board and/or the NYFRB, or a committee officially endorsed or convened by the Federal Reserve Board or the NYFRB, or any successor thereto, (b) with respect to a Benchmark Replacement in respect of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highlight w:val="lightGray"/>
          <w:u w:val="single"/>
        </w:rPr>
        <w:t>RFR</w:t>
      </w:r>
      <w:r>
        <w:rPr>
          <w:color w:val="000000"/>
        </w:rPr>
        <w:t xml:space="preserve"> </w:t>
      </w:r>
      <w:r>
        <w:rPr>
          <w:rFonts w:ascii="Times New Roman;sans-serif" w:hAnsi="Times New Roman;sans-serif"/>
          <w:b w:val="false"/>
          <w:color w:val="000000"/>
          <w:sz w:val="22"/>
        </w:rPr>
        <w:t xml:space="preserve">Loans denominated in Pounds Sterling, the Bank of England, or a committee officially endorsed or convened by the Bank of England or, in each case, any successor thereto, and (c) with respect to a Benchmark Replacement in respect of Eurocurrency Loans denominated in Euros, the European Central Bank, or a committee officially endorsed or convened by the European Central Bank or, in each case, any successor thereto.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Replaced Revolving Facility</w:t>
      </w:r>
      <w:r>
        <w:rPr>
          <w:color w:val="000000"/>
        </w:rPr>
        <w:t xml:space="preserve">” </w:t>
      </w:r>
      <w:r>
        <w:rPr>
          <w:rFonts w:ascii="Times New Roman;sans-serif" w:hAnsi="Times New Roman;sans-serif"/>
          <w:b w:val="false"/>
          <w:color w:val="000000"/>
          <w:sz w:val="22"/>
        </w:rPr>
        <w:t xml:space="preserve">has the meaning assigned to such term in Section 10.02(d).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Replacement Revolving Facility Amendment</w:t>
      </w:r>
      <w:r>
        <w:rPr>
          <w:color w:val="000000"/>
        </w:rPr>
        <w:t xml:space="preserve">” </w:t>
      </w:r>
      <w:r>
        <w:rPr>
          <w:rFonts w:ascii="Times New Roman;sans-serif" w:hAnsi="Times New Roman;sans-serif"/>
          <w:b w:val="false"/>
          <w:color w:val="000000"/>
          <w:sz w:val="22"/>
        </w:rPr>
        <w:t xml:space="preserve">means that certain Replacement Revolving Facility Amendment, dated as of September 20, 2017.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Replacement Revolving Facility</w:t>
      </w:r>
      <w:r>
        <w:rPr>
          <w:color w:val="000000"/>
        </w:rPr>
        <w:t xml:space="preserve">” </w:t>
      </w:r>
      <w:r>
        <w:rPr>
          <w:rFonts w:ascii="Times New Roman;sans-serif" w:hAnsi="Times New Roman;sans-serif"/>
          <w:b w:val="false"/>
          <w:color w:val="000000"/>
          <w:sz w:val="22"/>
        </w:rPr>
        <w:t>has the meaning assigned to such term in Section 10.02(d).</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Required Lenders</w:t>
      </w:r>
      <w:r>
        <w:rPr>
          <w:color w:val="000000"/>
        </w:rPr>
        <w:t xml:space="preserve">” </w:t>
      </w:r>
      <w:r>
        <w:rPr>
          <w:rFonts w:ascii="Times New Roman;sans-serif" w:hAnsi="Times New Roman;sans-serif"/>
          <w:b w:val="false"/>
          <w:color w:val="000000"/>
          <w:sz w:val="22"/>
        </w:rPr>
        <w:t>means, at any time, Lenders having Revolving Exposures and unused Commitments representing more than 50% of the sum of the total Revolving Exposures and unused Commitments at such time.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Reset Date</w:t>
      </w:r>
      <w:r>
        <w:rPr>
          <w:color w:val="000000"/>
        </w:rPr>
        <w:t xml:space="preserve">” </w:t>
      </w:r>
      <w:r>
        <w:rPr>
          <w:rFonts w:ascii="Times New Roman;sans-serif" w:hAnsi="Times New Roman;sans-serif"/>
          <w:b w:val="false"/>
          <w:color w:val="000000"/>
          <w:sz w:val="22"/>
        </w:rPr>
        <w:t>has the meaning assigned to such term in Section 2.25(a).</w:t>
      </w:r>
      <w:r>
        <w:br w:type="page"/>
      </w:r>
    </w:p>
    <w:p>
      <w:pPr>
        <w:pStyle w:val="TextBody"/>
        <w:spacing w:before="0" w:after="0"/>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60655"/>
                <wp:effectExtent l="0" t="0" r="0" b="0"/>
                <wp:wrapNone/>
                <wp:docPr id="139" name="Frame13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v:textbox>
              </v:rect>
            </w:pict>
          </mc:Fallback>
        </mc:AlternateConten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Resolution Authority</w:t>
      </w:r>
      <w:r>
        <w:rPr>
          <w:color w:val="000000"/>
        </w:rPr>
        <w:t xml:space="preserve">” </w:t>
      </w:r>
      <w:r>
        <w:rPr>
          <w:rFonts w:ascii="Times New Roman;sans-serif" w:hAnsi="Times New Roman;sans-serif"/>
          <w:b w:val="false"/>
          <w:color w:val="000000"/>
          <w:sz w:val="22"/>
        </w:rPr>
        <w:t xml:space="preserve">means an EEA Resolution Authority or, with respect to any UK Financial Institution, a UK Resolution Authority.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Restatement Date</w:t>
      </w:r>
      <w:r>
        <w:rPr>
          <w:color w:val="000000"/>
        </w:rPr>
        <w:t xml:space="preserve">” </w:t>
      </w:r>
      <w:r>
        <w:rPr>
          <w:rFonts w:ascii="Times New Roman;sans-serif" w:hAnsi="Times New Roman;sans-serif"/>
          <w:b w:val="false"/>
          <w:color w:val="000000"/>
          <w:sz w:val="22"/>
        </w:rPr>
        <w:t>means the date on which the conditions precedent set forth in Section 4.04 have been satisfied, which date is September 20, 2017.</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Restricted Indebtedness</w:t>
      </w:r>
      <w:r>
        <w:rPr>
          <w:color w:val="000000"/>
        </w:rPr>
        <w:t xml:space="preserve">” </w:t>
      </w:r>
      <w:r>
        <w:rPr>
          <w:rFonts w:ascii="Times New Roman;sans-serif" w:hAnsi="Times New Roman;sans-serif"/>
          <w:b w:val="false"/>
          <w:color w:val="000000"/>
          <w:sz w:val="22"/>
        </w:rPr>
        <w:t>means Indebtedness of Holdings, the Parent Borrower or any Subsidiary, the payment, prepayment, redemption, repurchase or defeasance of which is restricted under Section 6.08(b).</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Restricted Payment</w:t>
      </w:r>
      <w:r>
        <w:rPr>
          <w:color w:val="000000"/>
        </w:rPr>
        <w:t xml:space="preserve">” </w:t>
      </w:r>
      <w:r>
        <w:rPr>
          <w:rFonts w:ascii="Times New Roman;sans-serif" w:hAnsi="Times New Roman;sans-serif"/>
          <w:b w:val="false"/>
          <w:color w:val="000000"/>
          <w:sz w:val="22"/>
        </w:rPr>
        <w:t>means any dividend or other distribution (whether in cash, securities or other property) with respect to any Equity Interests in Holdings, the Parent Borrower or any Subsidiary (including the Receivables Subsidiary), or any payment (whether in cash, securities or other property), including any sinking fund or similar deposit, on account of the purchase, redemption, retirement, acquisition, cancelation or termination of any Equity Interests in Holdings, the Parent Borrower or any Subsidiary (including the Receivables Subsidiary) or any option, warrant or other right to acquire any such Equity Interests in Holdings, the Parent Borrower or any Subsidiary (including the Receivables Subsidiary).</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Revolving Availability Period</w:t>
      </w:r>
      <w:r>
        <w:rPr>
          <w:color w:val="000000"/>
        </w:rPr>
        <w:t xml:space="preserve">” </w:t>
      </w:r>
      <w:r>
        <w:rPr>
          <w:rFonts w:ascii="Times New Roman;sans-serif" w:hAnsi="Times New Roman;sans-serif"/>
          <w:b w:val="false"/>
          <w:color w:val="000000"/>
          <w:sz w:val="22"/>
        </w:rPr>
        <w:t>means the period from and including the Second Restatement Date to but excluding the earlier of the Revolving Maturity Date and the date of termination of the Revolving Commitments.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Revolving Commitment</w:t>
      </w:r>
      <w:r>
        <w:rPr>
          <w:color w:val="000000"/>
        </w:rPr>
        <w:t xml:space="preserve">” </w:t>
      </w:r>
      <w:r>
        <w:rPr>
          <w:rFonts w:ascii="Times New Roman;sans-serif" w:hAnsi="Times New Roman;sans-serif"/>
          <w:b w:val="false"/>
          <w:color w:val="000000"/>
          <w:sz w:val="22"/>
        </w:rPr>
        <w:t>means, with respect to each Revolving Lender, the commitment of such Revolving Lender to make Revolving Loans and to acquire participations in Letters of Credit, Swingline Loans and Foreign Currency Loans hereunder, expressed as an amount representing the maximum aggregate amount of such Revolving Lender’s Revolving Exposure hereunder, as such commitment may be (a) reduced from time to time pursuant to Section 2.08, (b) reduced or increased from time to time pursuant to assignments by or to such Lender pursuant to Section 10.04 and (c) increased or assumed pursuant to an Incremental Facility Agreement. The amount of each Revolving Lender’s Revolving Commitment as of the Second Restatement Date is set forth on Schedule 2.01 or in the Assignment and Assumption or the Incremental Facility Agreement pursuant to which such Revolving Lender shall have assumed its Revolving Commitment, as applicable. The initial aggregate amount of the Lenders’ Revolving Commitments on the Second Restatement Date is $300,000,000.</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Revolving Exposure</w:t>
      </w:r>
      <w:r>
        <w:rPr>
          <w:color w:val="000000"/>
        </w:rPr>
        <w:t xml:space="preserve">” </w:t>
      </w:r>
      <w:r>
        <w:rPr>
          <w:rFonts w:ascii="Times New Roman;sans-serif" w:hAnsi="Times New Roman;sans-serif"/>
          <w:b w:val="false"/>
          <w:color w:val="000000"/>
          <w:sz w:val="22"/>
        </w:rPr>
        <w:t>means, with respect to any Revolving Lender at any time, the sum of (a) the aggregate outstanding principal amount of Revolving Loans (other than Foreign Currency Loans) held by such Lender, (b) the LC Exposure of such Lender, (c) the Swingline Exposure of such Lender and (d) such Lender’s Applicable Percentage of the Dollar Equivalent of the aggregate principal amount of Foreign Currency Loans outstanding at such time.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Revolving Lender</w:t>
      </w:r>
      <w:r>
        <w:rPr>
          <w:color w:val="000000"/>
        </w:rPr>
        <w:t xml:space="preserve">” </w:t>
      </w:r>
      <w:r>
        <w:rPr>
          <w:rFonts w:ascii="Times New Roman;sans-serif" w:hAnsi="Times New Roman;sans-serif"/>
          <w:b w:val="false"/>
          <w:color w:val="000000"/>
          <w:sz w:val="22"/>
        </w:rPr>
        <w:t>means a Lender with a Revolving Commitment or, if the Revolving Commitments have terminated or expired, a Lender with Revolving Exposure.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Revolving Lender Parent</w:t>
      </w:r>
      <w:r>
        <w:rPr>
          <w:color w:val="000000"/>
        </w:rPr>
        <w:t xml:space="preserve">” </w:t>
      </w:r>
      <w:r>
        <w:rPr>
          <w:rFonts w:ascii="Times New Roman;sans-serif" w:hAnsi="Times New Roman;sans-serif"/>
          <w:b w:val="false"/>
          <w:color w:val="000000"/>
          <w:sz w:val="22"/>
        </w:rPr>
        <w:t>means, with respect to any Revolving Lender, any Person in respect of which such Lender is a subsidiary.</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Revolving Loan</w:t>
      </w:r>
      <w:r>
        <w:rPr>
          <w:color w:val="000000"/>
        </w:rPr>
        <w:t xml:space="preserve">” </w:t>
      </w:r>
      <w:r>
        <w:rPr>
          <w:rFonts w:ascii="Times New Roman;sans-serif" w:hAnsi="Times New Roman;sans-serif"/>
          <w:b w:val="false"/>
          <w:color w:val="000000"/>
          <w:sz w:val="22"/>
        </w:rPr>
        <w:t>means any Loan made by a Revolving Lender pursuant to Section 2.01(a)(iii) or 2.01(a)(iv).</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Revolving Maturity Date</w:t>
      </w:r>
      <w:r>
        <w:rPr>
          <w:color w:val="000000"/>
        </w:rPr>
        <w:t xml:space="preserve">” </w:t>
      </w:r>
      <w:r>
        <w:rPr>
          <w:rFonts w:ascii="Times New Roman;sans-serif" w:hAnsi="Times New Roman;sans-serif"/>
          <w:b w:val="false"/>
          <w:color w:val="000000"/>
          <w:sz w:val="22"/>
        </w:rPr>
        <w:t>means March 29, 2026.</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RP Period</w:t>
      </w:r>
      <w:r>
        <w:rPr>
          <w:color w:val="000000"/>
        </w:rPr>
        <w:t xml:space="preserve">” </w:t>
      </w:r>
      <w:r>
        <w:rPr>
          <w:rFonts w:ascii="Times New Roman;sans-serif" w:hAnsi="Times New Roman;sans-serif"/>
          <w:b w:val="false"/>
          <w:color w:val="000000"/>
          <w:sz w:val="22"/>
        </w:rPr>
        <w:t xml:space="preserve">has the meaning assigned to such term in Section 6.08(a)(viii). </w:t>
      </w:r>
    </w:p>
    <w:p>
      <w:pPr>
        <w:pStyle w:val="TextBody"/>
        <w:spacing w:lineRule="auto" w:line="240" w:before="0" w:after="240"/>
        <w:ind w:left="0" w:right="0" w:firstLine="1440"/>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RFR” means, for any RFR Loan denominated in Pounds Sterling, SONIA.</w:t>
      </w:r>
      <w:r>
        <w:br w:type="page"/>
      </w:r>
    </w:p>
    <w:p>
      <w:pPr>
        <w:pStyle w:val="TextBody"/>
        <w:spacing w:before="0" w:after="0"/>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60655"/>
                <wp:effectExtent l="0" t="0" r="0" b="0"/>
                <wp:wrapNone/>
                <wp:docPr id="140" name="Frame13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v:textbox>
              </v:rect>
            </w:pict>
          </mc:Fallback>
        </mc:AlternateContent>
      </w:r>
    </w:p>
    <w:p>
      <w:pPr>
        <w:pStyle w:val="TextBody"/>
        <w:spacing w:lineRule="auto" w:line="240" w:before="0" w:after="240"/>
        <w:ind w:left="0" w:right="0" w:firstLine="1440"/>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RFR Borrowing” means, as to any Borrowing, the RFR Loans comprising such Borrowing.</w:t>
      </w:r>
    </w:p>
    <w:p>
      <w:pPr>
        <w:pStyle w:val="TextBody"/>
        <w:spacing w:lineRule="auto" w:line="240" w:before="0" w:after="240"/>
        <w:ind w:left="0" w:right="0" w:firstLine="1440"/>
        <w:rPr/>
      </w:pPr>
      <w:r>
        <w:rPr>
          <w:color w:val="0000FF"/>
          <w:highlight w:val="lightGray"/>
          <w:u w:val="single"/>
        </w:rPr>
        <w:t>“</w:t>
      </w:r>
      <w:r>
        <w:rPr>
          <w:rFonts w:ascii="Times New Roman;sans-serif" w:hAnsi="Times New Roman;sans-serif"/>
          <w:b w:val="false"/>
          <w:color w:val="0000FF"/>
          <w:sz w:val="22"/>
          <w:highlight w:val="lightGray"/>
          <w:u w:val="single"/>
        </w:rPr>
        <w:t>RFR Business Day” means, for any Loan denominated in Pounds Sterling, any day except for (i) a Saturday, (ii) a Sunday or (iii)</w:t>
      </w:r>
      <w:r>
        <w:rPr>
          <w:color w:val="000000"/>
        </w:rPr>
        <w:t> </w:t>
      </w:r>
      <w:r>
        <w:rPr>
          <w:rFonts w:ascii="Times New Roman;sans-serif" w:hAnsi="Times New Roman;sans-serif"/>
          <w:b w:val="false"/>
          <w:color w:val="008000"/>
          <w:sz w:val="22"/>
          <w:u w:val="single"/>
        </w:rPr>
        <w:t xml:space="preserve">a day on which banks are </w:t>
      </w:r>
      <w:r>
        <w:rPr>
          <w:rFonts w:ascii="Times New Roman;sans-serif" w:hAnsi="Times New Roman;sans-serif"/>
          <w:b w:val="false"/>
          <w:color w:val="0000FF"/>
          <w:sz w:val="22"/>
          <w:highlight w:val="lightGray"/>
          <w:u w:val="single"/>
        </w:rPr>
        <w:t>closed for general business in London.</w:t>
      </w:r>
    </w:p>
    <w:p>
      <w:pPr>
        <w:pStyle w:val="TextBody"/>
        <w:spacing w:lineRule="auto" w:line="240" w:before="0" w:after="240"/>
        <w:ind w:left="0" w:right="0" w:firstLine="1440"/>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RFR Interest Day” has the meaning specified in the definition of “Daily Simple RFR”.</w:t>
      </w:r>
    </w:p>
    <w:p>
      <w:pPr>
        <w:pStyle w:val="TextBody"/>
        <w:spacing w:lineRule="auto" w:line="240" w:before="0" w:after="240"/>
        <w:ind w:left="0" w:right="0" w:firstLine="1440"/>
        <w:rPr>
          <w:color w:val="0000FF"/>
          <w:highlight w:val="lightGray"/>
          <w:u w:val="single"/>
        </w:rPr>
      </w:pPr>
      <w:r>
        <w:rPr>
          <w:color w:val="0000FF"/>
          <w:highlight w:val="lightGray"/>
          <w:u w:val="single"/>
        </w:rPr>
        <w:t>“</w:t>
      </w:r>
      <w:r>
        <w:rPr>
          <w:rFonts w:ascii="Times New Roman;sans-serif" w:hAnsi="Times New Roman;sans-serif"/>
          <w:b w:val="false"/>
          <w:color w:val="0000FF"/>
          <w:sz w:val="22"/>
          <w:highlight w:val="lightGray"/>
          <w:u w:val="single"/>
        </w:rPr>
        <w:t>RFR Loan” means a Loan that bears interest at a rate based on the Adjusted Daily Simple RFR.</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S&amp;P</w:t>
      </w:r>
      <w:r>
        <w:rPr>
          <w:color w:val="000000"/>
        </w:rPr>
        <w:t xml:space="preserve">” </w:t>
      </w:r>
      <w:r>
        <w:rPr>
          <w:rFonts w:ascii="Times New Roman;sans-serif" w:hAnsi="Times New Roman;sans-serif"/>
          <w:b w:val="false"/>
          <w:color w:val="000000"/>
          <w:sz w:val="22"/>
        </w:rPr>
        <w:t>means Standard &amp; Poor’s Financial Services LLC, or any successor thereto.</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Sanctioned Country</w:t>
      </w:r>
      <w:r>
        <w:rPr>
          <w:color w:val="000000"/>
        </w:rPr>
        <w:t xml:space="preserve">” </w:t>
      </w:r>
      <w:r>
        <w:rPr>
          <w:rFonts w:ascii="Times New Roman;sans-serif" w:hAnsi="Times New Roman;sans-serif"/>
          <w:b w:val="false"/>
          <w:color w:val="000000"/>
          <w:sz w:val="22"/>
        </w:rPr>
        <w:t>means, at any time, a country, region or territory which is itself the subject or target of any Sanctions (as of the Second Restatement Date, the Crimea region of Ukraine, Cuba, Iran, North Korea and Syria).</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Sanctioned Person</w:t>
      </w:r>
      <w:r>
        <w:rPr>
          <w:color w:val="000000"/>
        </w:rPr>
        <w:t xml:space="preserve">” </w:t>
      </w:r>
      <w:r>
        <w:rPr>
          <w:rFonts w:ascii="Times New Roman;sans-serif" w:hAnsi="Times New Roman;sans-serif"/>
          <w:b w:val="false"/>
          <w:color w:val="000000"/>
          <w:sz w:val="22"/>
        </w:rPr>
        <w:t>means, at any time, (a) any Person listed in any Sanctions-related list of designated Persons maintained by the Office of Foreign Assets Control of the U.S. Department of the Treasury, the U.S. Department of State, or by the United Nations Security Council, the European Union, any European Union member state, the United Kingdom or other relevant sanctions authority, (b) any Person operating, organized or resident in a Sanctioned Country or (c) any Person owned or controlled by any such Person or Persons described in the foregoing clauses (a) or (b).</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Sanctions</w:t>
      </w:r>
      <w:r>
        <w:rPr>
          <w:color w:val="000000"/>
        </w:rPr>
        <w:t xml:space="preserve">” </w:t>
      </w:r>
      <w:r>
        <w:rPr>
          <w:rFonts w:ascii="Times New Roman;sans-serif" w:hAnsi="Times New Roman;sans-serif"/>
          <w:b w:val="false"/>
          <w:color w:val="000000"/>
          <w:sz w:val="22"/>
        </w:rPr>
        <w:t>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Her Majesty’s Treasury of the United Kingdom or other relevant sanctions authority.</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Screen Rate</w:t>
      </w:r>
      <w:r>
        <w:rPr>
          <w:color w:val="000000"/>
        </w:rPr>
        <w:t xml:space="preserve">” </w:t>
      </w:r>
      <w:r>
        <w:rPr>
          <w:rFonts w:ascii="Times New Roman;sans-serif" w:hAnsi="Times New Roman;sans-serif"/>
          <w:b w:val="false"/>
          <w:color w:val="000000"/>
          <w:sz w:val="22"/>
        </w:rPr>
        <w:t xml:space="preserve">has the meaning assigned to such term in the definition of “LIBO Rate”.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Second Replacement Revolving Facility Amendment</w:t>
      </w:r>
      <w:r>
        <w:rPr>
          <w:color w:val="000000"/>
        </w:rPr>
        <w:t xml:space="preserve">” </w:t>
      </w:r>
      <w:r>
        <w:rPr>
          <w:rFonts w:ascii="Times New Roman;sans-serif" w:hAnsi="Times New Roman;sans-serif"/>
          <w:b w:val="false"/>
          <w:color w:val="000000"/>
          <w:sz w:val="22"/>
        </w:rPr>
        <w:t xml:space="preserve">means that certain Second Replacement Revolving Facility Amendment, dated as of March 29, 2021.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Second Restatement Date</w:t>
      </w:r>
      <w:r>
        <w:rPr>
          <w:color w:val="000000"/>
        </w:rPr>
        <w:t xml:space="preserve">” </w:t>
      </w:r>
      <w:r>
        <w:rPr>
          <w:rFonts w:ascii="Times New Roman;sans-serif" w:hAnsi="Times New Roman;sans-serif"/>
          <w:b w:val="false"/>
          <w:color w:val="000000"/>
          <w:sz w:val="22"/>
        </w:rPr>
        <w:t>means the date on which the conditions precedent set forth in Section 4.04 have been satisfied, which date is March 29, 2021.</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Secured Parties</w:t>
      </w:r>
      <w:r>
        <w:rPr>
          <w:color w:val="000000"/>
        </w:rPr>
        <w:t xml:space="preserve">” </w:t>
      </w:r>
      <w:r>
        <w:rPr>
          <w:rFonts w:ascii="Times New Roman;sans-serif" w:hAnsi="Times New Roman;sans-serif"/>
          <w:b w:val="false"/>
          <w:color w:val="000000"/>
          <w:sz w:val="22"/>
        </w:rPr>
        <w:t>has the meaning assigned to such term in the Security Agreement.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Security Agreement</w:t>
      </w:r>
      <w:r>
        <w:rPr>
          <w:color w:val="000000"/>
        </w:rPr>
        <w:t xml:space="preserve">” </w:t>
      </w:r>
      <w:r>
        <w:rPr>
          <w:rFonts w:ascii="Times New Roman;sans-serif" w:hAnsi="Times New Roman;sans-serif"/>
          <w:b w:val="false"/>
          <w:color w:val="000000"/>
          <w:sz w:val="22"/>
        </w:rPr>
        <w:t>means the Security Agreement, substantially in the form of Exhibit H, among Holdings, the Parent Borrower, the Subsidiary Loan Parties party thereto and the Collateral Agent for the benefit of the Secured Parties.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Security Documents</w:t>
      </w:r>
      <w:r>
        <w:rPr>
          <w:color w:val="000000"/>
        </w:rPr>
        <w:t xml:space="preserve">” </w:t>
      </w:r>
      <w:r>
        <w:rPr>
          <w:rFonts w:ascii="Times New Roman;sans-serif" w:hAnsi="Times New Roman;sans-serif"/>
          <w:b w:val="false"/>
          <w:color w:val="000000"/>
          <w:sz w:val="22"/>
        </w:rPr>
        <w:t>means the Security Agreement, the Pledge Agreement, the Mortgages, the Mortgage Amendments, the Guarantee Agreement, the Indemnity, Subrogation and Contribution Agreement, each Foreign Security Document entered into pursuant to Section 2.20 and Section 4.03 and each other security agreement or other instrument or document executed and delivered pursuant to Section 5.12 or 5.13 to secure any of the Obligations.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Senior Indebtedness</w:t>
      </w:r>
      <w:r>
        <w:rPr>
          <w:color w:val="000000"/>
        </w:rPr>
        <w:t xml:space="preserve">” </w:t>
      </w:r>
      <w:r>
        <w:rPr>
          <w:rFonts w:ascii="Times New Roman;sans-serif" w:hAnsi="Times New Roman;sans-serif"/>
          <w:b w:val="false"/>
          <w:color w:val="000000"/>
          <w:sz w:val="22"/>
        </w:rPr>
        <w:t>means Total Indebtedness less Subordinated Debt.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Senior Secured Indebtedness</w:t>
      </w:r>
      <w:r>
        <w:rPr>
          <w:color w:val="000000"/>
        </w:rPr>
        <w:t xml:space="preserve">” </w:t>
      </w:r>
      <w:r>
        <w:rPr>
          <w:rFonts w:ascii="Times New Roman;sans-serif" w:hAnsi="Times New Roman;sans-serif"/>
          <w:b w:val="false"/>
          <w:color w:val="000000"/>
          <w:sz w:val="22"/>
        </w:rPr>
        <w:t>means Senior Indebtedness that is secured by a Lien on any asset of Holdings, the Parent Borrower or any of its Subsidiaries.</w:t>
      </w:r>
      <w:r>
        <w:br w:type="page"/>
      </w:r>
    </w:p>
    <w:p>
      <w:pPr>
        <w:pStyle w:val="TextBody"/>
        <w:spacing w:before="0" w:after="0"/>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60655"/>
                <wp:effectExtent l="0" t="0" r="0" b="0"/>
                <wp:wrapNone/>
                <wp:docPr id="141" name="Frame14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v:textbox>
              </v:rect>
            </w:pict>
          </mc:Fallback>
        </mc:AlternateConten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Senior Secured Net Leverage Ratio</w:t>
      </w:r>
      <w:r>
        <w:rPr>
          <w:color w:val="000000"/>
        </w:rPr>
        <w:t xml:space="preserve">” </w:t>
      </w:r>
      <w:r>
        <w:rPr>
          <w:rFonts w:ascii="Times New Roman;sans-serif" w:hAnsi="Times New Roman;sans-serif"/>
          <w:b w:val="false"/>
          <w:color w:val="000000"/>
          <w:sz w:val="22"/>
        </w:rPr>
        <w:t xml:space="preserve">means, on any date, the ratio of (a) (i) Senior Secured Indebtedness as of such date </w:t>
      </w:r>
      <w:r>
        <w:rPr>
          <w:rFonts w:ascii="Times New Roman;sans-serif" w:hAnsi="Times New Roman;sans-serif"/>
          <w:b w:val="false"/>
          <w:i/>
          <w:color w:val="000000"/>
          <w:sz w:val="22"/>
          <w:u w:val="single"/>
        </w:rPr>
        <w:t>less</w:t>
      </w:r>
      <w:r>
        <w:rPr>
          <w:color w:val="000000"/>
        </w:rPr>
        <w:t xml:space="preserve"> </w:t>
      </w:r>
      <w:r>
        <w:rPr>
          <w:rFonts w:ascii="Times New Roman;sans-serif" w:hAnsi="Times New Roman;sans-serif"/>
          <w:b w:val="false"/>
          <w:color w:val="000000"/>
          <w:sz w:val="22"/>
        </w:rPr>
        <w:t>(ii) the aggregate amount in excess of $10,000,000 (but not to exceed $150,000,000) of the Freely Transferable unrestricted cash and unrestricted Permitted Investments of the Parent Borrower and its Subsidiaries as of such date to (b) Consolidated EBITDA for the period of four consecutive fiscal quarters of Holdings ended on such date (or, if such date is not the last day of a fiscal quarter, ended on the last day of the fiscal quarter of Holdings most recently ended prior to such date for which financial statements are available).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Significant Investment</w:t>
      </w:r>
      <w:r>
        <w:rPr>
          <w:color w:val="000000"/>
        </w:rPr>
        <w:t xml:space="preserve">” </w:t>
      </w:r>
      <w:r>
        <w:rPr>
          <w:rFonts w:ascii="Times New Roman;sans-serif" w:hAnsi="Times New Roman;sans-serif"/>
          <w:b w:val="false"/>
          <w:color w:val="000000"/>
          <w:sz w:val="22"/>
        </w:rPr>
        <w:t>means any acquisition by the Parent Borrower or a Subsidiary of more than 50% (but less than 100%) of the Equity Interests in a Person (such Person, the “</w:t>
      </w:r>
      <w:r>
        <w:rPr>
          <w:rFonts w:ascii="Times New Roman;sans-serif" w:hAnsi="Times New Roman;sans-serif"/>
          <w:b w:val="false"/>
          <w:color w:val="000000"/>
          <w:sz w:val="22"/>
          <w:u w:val="single"/>
        </w:rPr>
        <w:t>Subject Person</w:t>
      </w:r>
      <w:r>
        <w:rPr>
          <w:color w:val="000000"/>
        </w:rPr>
        <w:t>”</w:t>
      </w:r>
      <w:r>
        <w:rPr>
          <w:rFonts w:ascii="Times New Roman;sans-serif" w:hAnsi="Times New Roman;sans-serif"/>
          <w:b w:val="false"/>
          <w:color w:val="000000"/>
          <w:sz w:val="22"/>
        </w:rPr>
        <w:t>), so long as such acquisition is permitted by Section 6.04.</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Similar Business</w:t>
      </w:r>
      <w:r>
        <w:rPr>
          <w:color w:val="000000"/>
        </w:rPr>
        <w:t xml:space="preserve">” </w:t>
      </w:r>
      <w:r>
        <w:rPr>
          <w:rFonts w:ascii="Times New Roman;sans-serif" w:hAnsi="Times New Roman;sans-serif"/>
          <w:b w:val="false"/>
          <w:color w:val="000000"/>
          <w:sz w:val="22"/>
        </w:rPr>
        <w:t xml:space="preserve">means any business (a) the majority of whose revenues are derived from business or activities conducted by the Parent Borrower and its Subsidiaries on the Second Restatement Date, (b) that is a natural outgrowth or reasonable extension, development, expansion of any business or activities conducted by the Parent Borrower and its Subsidiaries on the Second Restatement Date or any business similar, reasonably related, incidental, complementary or ancillary to any of the foregoing and (c) any business that in the Parent Borrower’s good faith business judgment constitutes a reasonable diversification of businesses conducted by the Parent Borrower and its Subsidiaries.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SOFR</w:t>
      </w:r>
      <w:r>
        <w:rPr>
          <w:color w:val="000000"/>
        </w:rPr>
        <w:t xml:space="preserve">” </w:t>
      </w:r>
      <w:r>
        <w:rPr>
          <w:rFonts w:ascii="Times New Roman;sans-serif" w:hAnsi="Times New Roman;sans-serif"/>
          <w:b w:val="false"/>
          <w:color w:val="000000"/>
          <w:sz w:val="22"/>
        </w:rPr>
        <w:t>means, with respect to any Business Day, a rate per annum equal to the secured overnight financing rate for such Business Day published by the SOFR Administrator on the SOFR Administrator’s Website.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SOFR Administrator</w:t>
      </w:r>
      <w:r>
        <w:rPr>
          <w:color w:val="000000"/>
        </w:rPr>
        <w:t xml:space="preserve">” </w:t>
      </w:r>
      <w:r>
        <w:rPr>
          <w:rFonts w:ascii="Times New Roman;sans-serif" w:hAnsi="Times New Roman;sans-serif"/>
          <w:b w:val="false"/>
          <w:color w:val="000000"/>
          <w:sz w:val="22"/>
        </w:rPr>
        <w:t>means the NYFRB (or a successor administrator of the secured overnight financing rate).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SOFR Administrator’s Website</w:t>
      </w:r>
      <w:r>
        <w:rPr>
          <w:color w:val="000000"/>
        </w:rPr>
        <w:t xml:space="preserve">” </w:t>
      </w:r>
      <w:r>
        <w:rPr>
          <w:rFonts w:ascii="Times New Roman;sans-serif" w:hAnsi="Times New Roman;sans-serif"/>
          <w:b w:val="false"/>
          <w:color w:val="000000"/>
          <w:sz w:val="22"/>
        </w:rPr>
        <w:t>means the NYFRB’s website, currently at http://www.newyorkfed.org, or any successor source for the secured overnight financing rate identified as such by the SOFR Administrator from time to time.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SONIA</w:t>
      </w:r>
      <w:r>
        <w:rPr>
          <w:color w:val="000000"/>
        </w:rPr>
        <w:t xml:space="preserve">” </w:t>
      </w:r>
      <w:r>
        <w:rPr>
          <w:rFonts w:ascii="Times New Roman;sans-serif" w:hAnsi="Times New Roman;sans-serif"/>
          <w:b w:val="false"/>
          <w:color w:val="000000"/>
          <w:sz w:val="22"/>
        </w:rPr>
        <w:t>means, with respect to any Business Day, a rate per annum equal to the Sterling Overnight Index Average for such Business Day published by the SONIA Administrator on the SONIA Administrator’s Website</w:t>
      </w:r>
      <w:r>
        <w:rPr>
          <w:color w:val="0000FF"/>
          <w:highlight w:val="lightGray"/>
          <w:u w:val="single"/>
        </w:rPr>
        <w:t xml:space="preserve"> </w:t>
      </w:r>
      <w:r>
        <w:rPr>
          <w:rFonts w:ascii="Times New Roman;sans-serif" w:hAnsi="Times New Roman;sans-serif"/>
          <w:b w:val="false"/>
          <w:color w:val="0000FF"/>
          <w:sz w:val="22"/>
          <w:highlight w:val="lightGray"/>
          <w:u w:val="single"/>
        </w:rPr>
        <w:t>on the immediately succeeding Business Day</w:t>
      </w:r>
      <w:r>
        <w:rPr>
          <w:rFonts w:ascii="Times New Roman;sans-serif" w:hAnsi="Times New Roman;sans-serif"/>
          <w:b w:val="false"/>
          <w:color w:val="000000"/>
          <w:sz w:val="22"/>
        </w:rPr>
        <w: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SONIA Administrator</w:t>
      </w:r>
      <w:r>
        <w:rPr>
          <w:color w:val="000000"/>
        </w:rPr>
        <w:t xml:space="preserve">” </w:t>
      </w:r>
      <w:r>
        <w:rPr>
          <w:rFonts w:ascii="Times New Roman;sans-serif" w:hAnsi="Times New Roman;sans-serif"/>
          <w:b w:val="false"/>
          <w:color w:val="000000"/>
          <w:sz w:val="22"/>
        </w:rPr>
        <w:t xml:space="preserve">means the Bank of England (or any successor administrator of the Sterling Overnight Index Average).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SONIA Administrator’s Website</w:t>
      </w:r>
      <w:r>
        <w:rPr>
          <w:color w:val="000000"/>
        </w:rPr>
        <w:t xml:space="preserve">” </w:t>
      </w:r>
      <w:r>
        <w:rPr>
          <w:rFonts w:ascii="Times New Roman;sans-serif" w:hAnsi="Times New Roman;sans-serif"/>
          <w:b w:val="false"/>
          <w:color w:val="000000"/>
          <w:sz w:val="22"/>
        </w:rPr>
        <w:t>means the Bank of England’s website, currently at http://www.bankofengland.co.uk, or any successor source for the Sterling Overnight Index Average identified as such by the SONIA Administrator from time to time.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Specified Time</w:t>
      </w:r>
      <w:r>
        <w:rPr>
          <w:color w:val="000000"/>
        </w:rPr>
        <w:t xml:space="preserve">” </w:t>
      </w:r>
      <w:r>
        <w:rPr>
          <w:rFonts w:ascii="Times New Roman;sans-serif" w:hAnsi="Times New Roman;sans-serif"/>
          <w:b w:val="false"/>
          <w:color w:val="000000"/>
          <w:sz w:val="22"/>
        </w:rPr>
        <w:t xml:space="preserve">means 11:00 a.m., London time.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Specified Vendor Receivables Financing</w:t>
      </w:r>
      <w:r>
        <w:rPr>
          <w:color w:val="000000"/>
        </w:rPr>
        <w:t xml:space="preserve">” </w:t>
      </w:r>
      <w:r>
        <w:rPr>
          <w:rFonts w:ascii="Times New Roman;sans-serif" w:hAnsi="Times New Roman;sans-serif"/>
          <w:b w:val="false"/>
          <w:color w:val="000000"/>
          <w:sz w:val="22"/>
        </w:rPr>
        <w:t>means the sale by the Parent Borrower and certain Subsidiaries (other than Foreign Subsidiaries) of accounts receivable to one or more financial institutions pursuant to third-party financing agreements in transactions constituting “</w:t>
      </w:r>
      <w:r>
        <w:rPr>
          <w:rFonts w:ascii="Times New Roman;sans-serif" w:hAnsi="Times New Roman;sans-serif"/>
          <w:b w:val="false"/>
          <w:color w:val="000000"/>
          <w:sz w:val="22"/>
          <w:u w:val="single"/>
        </w:rPr>
        <w:t>true sales</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aggregate amount of all such receivables financings shall not exceed $75,000,000 at any time outstanding.</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Specified Vendor Receivables Financing Documents</w:t>
      </w:r>
      <w:r>
        <w:rPr>
          <w:color w:val="000000"/>
        </w:rPr>
        <w:t xml:space="preserve">” </w:t>
      </w:r>
      <w:r>
        <w:rPr>
          <w:rFonts w:ascii="Times New Roman;sans-serif" w:hAnsi="Times New Roman;sans-serif"/>
          <w:b w:val="false"/>
          <w:color w:val="000000"/>
          <w:sz w:val="22"/>
        </w:rPr>
        <w:t>means all documents and agreements relating to Specified Vendor Receivables Financing.</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Statutory Reserve Rate</w:t>
      </w:r>
      <w:r>
        <w:rPr>
          <w:color w:val="000000"/>
        </w:rPr>
        <w:t xml:space="preserve">” </w:t>
      </w:r>
      <w:r>
        <w:rPr>
          <w:rFonts w:ascii="Times New Roman;sans-serif" w:hAnsi="Times New Roman;sans-serif"/>
          <w:b w:val="false"/>
          <w:color w:val="000000"/>
          <w:sz w:val="22"/>
        </w:rPr>
        <w:t xml:space="preserve">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with respect </w:t>
      </w:r>
      <w:r>
        <w:br w:type="page"/>
      </w:r>
    </w:p>
    <w:p>
      <w:pPr>
        <w:pStyle w:val="TextBody"/>
        <w:spacing w:before="0" w:after="0"/>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60655"/>
                <wp:effectExtent l="0" t="0" r="0" b="0"/>
                <wp:wrapNone/>
                <wp:docPr id="142" name="Frame14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2"/>
        </w:rPr>
        <w:t>to the Adjusted LIBO Rate, for eurocurrency funding (currently referred to as “</w:t>
      </w:r>
      <w:r>
        <w:rPr>
          <w:rFonts w:ascii="Times New Roman;sans-serif" w:hAnsi="Times New Roman;sans-serif"/>
          <w:b w:val="false"/>
          <w:color w:val="000000"/>
          <w:sz w:val="22"/>
          <w:u w:val="single"/>
        </w:rPr>
        <w:t>Eurocurrency Liabilities</w:t>
      </w:r>
      <w:r>
        <w:rPr>
          <w:color w:val="000000"/>
        </w:rPr>
        <w:t xml:space="preserve">” </w:t>
      </w:r>
      <w:r>
        <w:rPr>
          <w:rFonts w:ascii="Times New Roman;sans-serif" w:hAnsi="Times New Roman;sans-serif"/>
          <w:b w:val="false"/>
          <w:color w:val="000000"/>
          <w:sz w:val="22"/>
        </w:rPr>
        <w:t>in Regulation D of the Board). Such reserve percentages shall include those imposed pursuant to such Regulation D. Eurocurrency Loans shall be deemed to constitute eurocurrency funding and to be subject to such reserve requirements without benefit of or credit for proration, exemptions or offsets that may be available from time to time to any Lender under any applicable law, rule or regulation. The Statutory Reserve Rate shall be adjusted automatically on and as of the effective date of any change in any reserve percentage.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Subject Person</w:t>
      </w:r>
      <w:r>
        <w:rPr>
          <w:color w:val="000000"/>
        </w:rPr>
        <w:t xml:space="preserve">” </w:t>
      </w:r>
      <w:r>
        <w:rPr>
          <w:rFonts w:ascii="Times New Roman;sans-serif" w:hAnsi="Times New Roman;sans-serif"/>
          <w:b w:val="false"/>
          <w:color w:val="000000"/>
          <w:sz w:val="22"/>
        </w:rPr>
        <w:t>has the meaning assigned to such term in the definition of “Significant Investment.”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Subordinated Debt</w:t>
      </w:r>
      <w:r>
        <w:rPr>
          <w:color w:val="000000"/>
        </w:rPr>
        <w:t xml:space="preserve">” </w:t>
      </w:r>
      <w:r>
        <w:rPr>
          <w:rFonts w:ascii="Times New Roman;sans-serif" w:hAnsi="Times New Roman;sans-serif"/>
          <w:b w:val="false"/>
          <w:color w:val="000000"/>
          <w:sz w:val="22"/>
        </w:rPr>
        <w:t>means any subordinated Indebtedness of Holdings, the Parent Borrower or any Subsidiary.</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subsidiary</w:t>
      </w:r>
      <w:r>
        <w:rPr>
          <w:color w:val="000000"/>
        </w:rPr>
        <w:t xml:space="preserve">” </w:t>
      </w:r>
      <w:r>
        <w:rPr>
          <w:rFonts w:ascii="Times New Roman;sans-serif" w:hAnsi="Times New Roman;sans-serif"/>
          <w:b w:val="false"/>
          <w:color w:val="000000"/>
          <w:sz w:val="22"/>
        </w:rPr>
        <w:t>means, with respect to any Person (the “</w:t>
      </w:r>
      <w:r>
        <w:rPr>
          <w:rFonts w:ascii="Times New Roman;sans-serif" w:hAnsi="Times New Roman;sans-serif"/>
          <w:b w:val="false"/>
          <w:color w:val="000000"/>
          <w:sz w:val="22"/>
          <w:u w:val="single"/>
        </w:rPr>
        <w:t>parent</w:t>
      </w:r>
      <w:r>
        <w:rPr>
          <w:color w:val="000000"/>
        </w:rPr>
        <w:t>”</w:t>
      </w:r>
      <w:r>
        <w:rPr>
          <w:rFonts w:ascii="Times New Roman;sans-serif" w:hAnsi="Times New Roman;sans-serif"/>
          <w:b w:val="false"/>
          <w:color w:val="000000"/>
          <w:sz w:val="22"/>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Subsidiary</w:t>
      </w:r>
      <w:r>
        <w:rPr>
          <w:color w:val="000000"/>
        </w:rPr>
        <w:t xml:space="preserve">” </w:t>
      </w:r>
      <w:r>
        <w:rPr>
          <w:rFonts w:ascii="Times New Roman;sans-serif" w:hAnsi="Times New Roman;sans-serif"/>
          <w:b w:val="false"/>
          <w:color w:val="000000"/>
          <w:sz w:val="22"/>
        </w:rPr>
        <w:t>means any subsidiary of the Parent Borrower or Holdings, as the context requires, including the Foreign Subsidiary Borrowers. Unless expressly otherwise provided, the term “</w:t>
      </w:r>
      <w:r>
        <w:rPr>
          <w:rFonts w:ascii="Times New Roman;sans-serif" w:hAnsi="Times New Roman;sans-serif"/>
          <w:b w:val="false"/>
          <w:color w:val="000000"/>
          <w:sz w:val="22"/>
          <w:u w:val="single"/>
        </w:rPr>
        <w:t>Subsidiary</w:t>
      </w:r>
      <w:r>
        <w:rPr>
          <w:color w:val="000000"/>
        </w:rPr>
        <w:t xml:space="preserve">” </w:t>
      </w:r>
      <w:r>
        <w:rPr>
          <w:rFonts w:ascii="Times New Roman;sans-serif" w:hAnsi="Times New Roman;sans-serif"/>
          <w:b w:val="false"/>
          <w:color w:val="000000"/>
          <w:sz w:val="22"/>
        </w:rPr>
        <w:t>shall not include the Receivables Subsidiary.</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Subsidiary Loan Party</w:t>
      </w:r>
      <w:r>
        <w:rPr>
          <w:color w:val="000000"/>
        </w:rPr>
        <w:t xml:space="preserve">” </w:t>
      </w:r>
      <w:r>
        <w:rPr>
          <w:rFonts w:ascii="Times New Roman;sans-serif" w:hAnsi="Times New Roman;sans-serif"/>
          <w:b w:val="false"/>
          <w:color w:val="000000"/>
          <w:sz w:val="22"/>
        </w:rPr>
        <w:t>means (a) any Subsidiary that is not a Foreign Subsidiary (other than (i) the Foreign Subsidiary Borrowers, (ii) any CFC, (iii) any CFC Holdco and (iv) any U.S. Holdco) that executes the documents required by clause (a)(i) or (a)(ii), as applicable, of the Collateral and Guarantee Requirement and (b) any Foreign Subsidiary Borrower and any other Foreign Subsidiary that executes a guarantee agreement pursuant to paragraph (c) of the Foreign Security Collateral and Guarantee Requirement.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Supported QFC</w:t>
      </w:r>
      <w:r>
        <w:rPr>
          <w:color w:val="000000"/>
        </w:rPr>
        <w:t xml:space="preserve">” </w:t>
      </w:r>
      <w:r>
        <w:rPr>
          <w:rFonts w:ascii="Times New Roman;sans-serif" w:hAnsi="Times New Roman;sans-serif"/>
          <w:b w:val="false"/>
          <w:color w:val="000000"/>
          <w:sz w:val="22"/>
        </w:rPr>
        <w:t xml:space="preserve">has the meaning assigned to such term in in Section 10.22.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Swap</w:t>
      </w:r>
      <w:r>
        <w:rPr>
          <w:color w:val="000000"/>
        </w:rPr>
        <w:t xml:space="preserve">” </w:t>
      </w:r>
      <w:r>
        <w:rPr>
          <w:rFonts w:ascii="Times New Roman;sans-serif" w:hAnsi="Times New Roman;sans-serif"/>
          <w:b w:val="false"/>
          <w:color w:val="000000"/>
          <w:sz w:val="22"/>
        </w:rPr>
        <w:t>means any agreement, contract, or transaction that constitutes a “swap” within the meaning of section 1a(47) of the Commodity Exchange Act.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Swap Obligation</w:t>
      </w:r>
      <w:r>
        <w:rPr>
          <w:color w:val="000000"/>
        </w:rPr>
        <w:t xml:space="preserve">” </w:t>
      </w:r>
      <w:r>
        <w:rPr>
          <w:rFonts w:ascii="Times New Roman;sans-serif" w:hAnsi="Times New Roman;sans-serif"/>
          <w:b w:val="false"/>
          <w:color w:val="000000"/>
          <w:sz w:val="22"/>
        </w:rPr>
        <w:t>means, with respect to any person, any obligation to pay or perform under any Swap.</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Swingline Exposure</w:t>
      </w:r>
      <w:r>
        <w:rPr>
          <w:color w:val="000000"/>
        </w:rPr>
        <w:t xml:space="preserve">” </w:t>
      </w:r>
      <w:r>
        <w:rPr>
          <w:rFonts w:ascii="Times New Roman;sans-serif" w:hAnsi="Times New Roman;sans-serif"/>
          <w:b w:val="false"/>
          <w:color w:val="000000"/>
          <w:sz w:val="22"/>
        </w:rPr>
        <w:t>means, at any time, the aggregate principal amount of all Swingline Loans outstanding at such time. The Swingline Exposure of any Revolving Lender at any time shall be (a) its Applicable Percentage of the total Swingline Exposure at such time related to Swingline Loans other than any Swingline Loans made by such Lender in its capacity as a Swingline Lender and (b) if such Lender shall be a Swingline Lender, the principal amount of all Swingline Loans made by such Lender outstanding at such time (to the extent that the other Revolving Lenders shall not have funded their participations in such Swingline Loans).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Swingline Lender</w:t>
      </w:r>
      <w:r>
        <w:rPr>
          <w:color w:val="000000"/>
        </w:rPr>
        <w:t xml:space="preserve">” </w:t>
      </w:r>
      <w:r>
        <w:rPr>
          <w:rFonts w:ascii="Times New Roman;sans-serif" w:hAnsi="Times New Roman;sans-serif"/>
          <w:b w:val="false"/>
          <w:color w:val="000000"/>
          <w:sz w:val="22"/>
        </w:rPr>
        <w:t>means either JPMCB, in its capacity as lender of Swingline Loans hereunder or any additional Swingline Lender designated pursuant to Section 10.02(d), as the case may be. References herein and in the other Loan Documents to the Swingline Lender shall be deemed to refer to the Swingline Lender in respect of the applicable Swingline Loan or to all Swingline Lenders, as the context requires.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Swingline Loan</w:t>
      </w:r>
      <w:r>
        <w:rPr>
          <w:color w:val="000000"/>
        </w:rPr>
        <w:t xml:space="preserve">” </w:t>
      </w:r>
      <w:r>
        <w:rPr>
          <w:rFonts w:ascii="Times New Roman;sans-serif" w:hAnsi="Times New Roman;sans-serif"/>
          <w:b w:val="false"/>
          <w:color w:val="000000"/>
          <w:sz w:val="22"/>
        </w:rPr>
        <w:t>means a Loan made pursuant to Section 2.04.</w:t>
      </w:r>
      <w:r>
        <w:br w:type="page"/>
      </w:r>
    </w:p>
    <w:p>
      <w:pPr>
        <w:pStyle w:val="TextBody"/>
        <w:spacing w:before="0" w:after="0"/>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60655"/>
                <wp:effectExtent l="0" t="0" r="0" b="0"/>
                <wp:wrapNone/>
                <wp:docPr id="143" name="Frame14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v:textbox>
              </v:rect>
            </w:pict>
          </mc:Fallback>
        </mc:AlternateConten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Syndication Agents</w:t>
      </w:r>
      <w:r>
        <w:rPr>
          <w:color w:val="000000"/>
        </w:rPr>
        <w:t xml:space="preserve">” </w:t>
      </w:r>
      <w:r>
        <w:rPr>
          <w:rFonts w:ascii="Times New Roman;sans-serif" w:hAnsi="Times New Roman;sans-serif"/>
          <w:b w:val="false"/>
          <w:color w:val="000000"/>
          <w:sz w:val="22"/>
        </w:rPr>
        <w:t xml:space="preserve">means the Co-Syndication Agents identified on the cover page of this Agreement.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Synthetic Purchase Agreement</w:t>
      </w:r>
      <w:r>
        <w:rPr>
          <w:color w:val="000000"/>
        </w:rPr>
        <w:t xml:space="preserve">” </w:t>
      </w:r>
      <w:r>
        <w:rPr>
          <w:rFonts w:ascii="Times New Roman;sans-serif" w:hAnsi="Times New Roman;sans-serif"/>
          <w:b w:val="false"/>
          <w:color w:val="000000"/>
          <w:sz w:val="22"/>
        </w:rPr>
        <w:t xml:space="preserve">means any swap, derivative or other agreement or combination of agreements pursuant to which Holdings, the Parent Borrower or a Subsidiary is or may become obligated to make (i) any payment (other than in the form of Equity Interests in Holdings) in connection with a purchase by a third party from a Person other than Holdings, the Parent Borrower or a Subsidiary of any Equity Interest or Restricted Indebtedness or (ii) any payment (other than on account of a permitted purchase by it of any Equity Interest or any Restricted Indebtedness) the amount of which is determined by reference to the price or value at any time of any Equity Interest or Restricted Indebtedness;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phantom stock or similar plans providing for payments only to current or former directors, officers, consultants, advisors or employees of Holdings, the Parent Borrower or the Subsidiaries (or to their heirs or estates) shall not be deemed to be Synthetic Purchase Agreements.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TARGET Day</w:t>
      </w:r>
      <w:r>
        <w:rPr>
          <w:color w:val="000000"/>
        </w:rPr>
        <w:t xml:space="preserve">” </w:t>
      </w:r>
      <w:r>
        <w:rPr>
          <w:rFonts w:ascii="Times New Roman;sans-serif" w:hAnsi="Times New Roman;sans-serif"/>
          <w:b w:val="false"/>
          <w:color w:val="000000"/>
          <w:sz w:val="22"/>
        </w:rPr>
        <w:t>means any day on which (i) TARGET2 is open for settlement of payments in Euro and (ii) banks are open for dealings in deposits in Euro in the London interbank market.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TARGET2</w:t>
      </w:r>
      <w:r>
        <w:rPr>
          <w:color w:val="000000"/>
        </w:rPr>
        <w:t xml:space="preserve">” </w:t>
      </w:r>
      <w:r>
        <w:rPr>
          <w:rFonts w:ascii="Times New Roman;sans-serif" w:hAnsi="Times New Roman;sans-serif"/>
          <w:b w:val="false"/>
          <w:color w:val="000000"/>
          <w:sz w:val="22"/>
        </w:rPr>
        <w:t>means the Trans-European Automated Real-time Gross Settlement Express Transfer payment system which utilizes a single shared platform and which was launched on November 19, 2007.</w:t>
      </w:r>
    </w:p>
    <w:p>
      <w:pPr>
        <w:pStyle w:val="TextBody"/>
        <w:spacing w:lineRule="auto" w:line="240" w:before="240" w:after="240"/>
        <w:ind w:left="0" w:right="0" w:firstLine="1440"/>
        <w:rPr/>
      </w:pPr>
      <w:r>
        <w:rPr>
          <w:color w:val="000000"/>
        </w:rPr>
        <w:t>“</w:t>
      </w:r>
      <w:r>
        <w:rPr>
          <w:rFonts w:ascii="Times New Roman;sans-serif" w:hAnsi="Times New Roman;sans-serif"/>
          <w:b w:val="false"/>
          <w:color w:val="000000"/>
          <w:sz w:val="22"/>
          <w:u w:val="single"/>
        </w:rPr>
        <w:t>Tax Confirmation</w:t>
      </w:r>
      <w:r>
        <w:rPr>
          <w:color w:val="000000"/>
        </w:rPr>
        <w:t xml:space="preserve">” </w:t>
      </w:r>
      <w:r>
        <w:rPr>
          <w:rFonts w:ascii="Times New Roman;sans-serif" w:hAnsi="Times New Roman;sans-serif"/>
          <w:b w:val="false"/>
          <w:color w:val="000000"/>
          <w:sz w:val="22"/>
        </w:rPr>
        <w:t>means a confirmation by a Lender that the person beneficially entitled to interest payable to that Lender in respect of an advance under a Loan Document is either:</w:t>
      </w:r>
    </w:p>
    <w:p>
      <w:pPr>
        <w:pStyle w:val="TextBody"/>
        <w:spacing w:lineRule="auto" w:line="297" w:before="240" w:after="283"/>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     a company resident in the United Kingdom for United Kingdom Tax purposes; or</w:t>
      </w:r>
    </w:p>
    <w:p>
      <w:pPr>
        <w:pStyle w:val="TextBody"/>
        <w:spacing w:lineRule="auto" w:line="297" w:before="240" w:after="283"/>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     a partnership each member of which is:</w:t>
      </w:r>
    </w:p>
    <w:p>
      <w:pPr>
        <w:pStyle w:val="TextBody"/>
        <w:spacing w:lineRule="auto" w:line="297" w:before="240" w:after="283"/>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(i)    a company so resident in the United Kingdom; or</w:t>
      </w:r>
    </w:p>
    <w:p>
      <w:pPr>
        <w:pStyle w:val="TextBody"/>
        <w:spacing w:lineRule="auto" w:line="297" w:before="240" w:after="283"/>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(ii)    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pStyle w:val="TextBody"/>
        <w:spacing w:lineRule="auto" w:line="297" w:before="240" w:after="283"/>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pStyle w:val="TextBody"/>
        <w:spacing w:lineRule="auto" w:line="240" w:before="240" w:after="240"/>
        <w:ind w:left="0" w:right="0" w:firstLine="1440"/>
        <w:rPr/>
      </w:pPr>
      <w:r>
        <w:rPr>
          <w:color w:val="000000"/>
        </w:rPr>
        <w:t>“</w:t>
      </w:r>
      <w:r>
        <w:rPr>
          <w:rFonts w:ascii="Times New Roman;sans-serif" w:hAnsi="Times New Roman;sans-serif"/>
          <w:b w:val="false"/>
          <w:color w:val="000000"/>
          <w:sz w:val="22"/>
          <w:u w:val="single"/>
        </w:rPr>
        <w:t>Taxes</w:t>
      </w:r>
      <w:r>
        <w:rPr>
          <w:color w:val="000000"/>
        </w:rPr>
        <w:t xml:space="preserve">” </w:t>
      </w:r>
      <w:r>
        <w:rPr>
          <w:rFonts w:ascii="Times New Roman;sans-serif" w:hAnsi="Times New Roman;sans-serif"/>
          <w:b w:val="false"/>
          <w:color w:val="000000"/>
          <w:sz w:val="22"/>
        </w:rPr>
        <w:t>means any and all present or future taxes (of any nature whatsoever), levies, imposts, duties, deductions, charges or withholdings (including backup withholding) imposed by any Governmental Authority, including any interest, additions to tax or penalties applicable thereto.</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Term ESTR</w:t>
      </w:r>
      <w:r>
        <w:rPr>
          <w:color w:val="000000"/>
        </w:rPr>
        <w:t xml:space="preserve">” </w:t>
      </w:r>
      <w:r>
        <w:rPr>
          <w:rFonts w:ascii="Times New Roman;sans-serif" w:hAnsi="Times New Roman;sans-serif"/>
          <w:b w:val="false"/>
          <w:color w:val="000000"/>
          <w:sz w:val="22"/>
        </w:rPr>
        <w:t>means, for the applicable Corresponding Tenor as of the applicable Reference Time, the forward-looking term rate based on ESTR that has been selected or recommended by the Relevant Governmental Body.</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Term ESTR Notice</w:t>
      </w:r>
      <w:r>
        <w:rPr>
          <w:color w:val="000000"/>
        </w:rPr>
        <w:t xml:space="preserve">” </w:t>
      </w:r>
      <w:r>
        <w:rPr>
          <w:rFonts w:ascii="Times New Roman;sans-serif" w:hAnsi="Times New Roman;sans-serif"/>
          <w:b w:val="false"/>
          <w:color w:val="000000"/>
          <w:sz w:val="22"/>
        </w:rPr>
        <w:t>means a notification by the Administrative Agent to the Lenders and the Parent Borrower of the occurrence of a Term ESTR Transition Event.</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Term ESTR Transition Event</w:t>
      </w:r>
      <w:r>
        <w:rPr>
          <w:color w:val="000000"/>
        </w:rPr>
        <w:t xml:space="preserve">” </w:t>
      </w:r>
      <w:r>
        <w:rPr>
          <w:rFonts w:ascii="Times New Roman;sans-serif" w:hAnsi="Times New Roman;sans-serif"/>
          <w:b w:val="false"/>
          <w:color w:val="000000"/>
          <w:sz w:val="22"/>
        </w:rPr>
        <w:t xml:space="preserve">means the determination by the Administrative Agent that (a) Term ESTR has been recommended for use by the Relevant Governmental Body, (b) the </w:t>
      </w:r>
      <w:r>
        <w:br w:type="page"/>
      </w:r>
    </w:p>
    <w:p>
      <w:pPr>
        <w:pStyle w:val="TextBody"/>
        <w:spacing w:before="0" w:after="0"/>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60655"/>
                <wp:effectExtent l="0" t="0" r="0" b="0"/>
                <wp:wrapNone/>
                <wp:docPr id="144" name="Frame14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administration of Term ESTR is administratively feasible for the Administrative Agent and (c) a Benchmark Transition Event or an Early Opt-in Election, as applicable, has previously occurred resulting in a Benchmark Replacement in accordance with Section 2.14 that is not Term ESTR.</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Term SOFR</w:t>
      </w:r>
      <w:r>
        <w:rPr>
          <w:color w:val="000000"/>
        </w:rPr>
        <w:t xml:space="preserve">” </w:t>
      </w:r>
      <w:r>
        <w:rPr>
          <w:rFonts w:ascii="Times New Roman;sans-serif" w:hAnsi="Times New Roman;sans-serif"/>
          <w:b w:val="false"/>
          <w:color w:val="000000"/>
          <w:sz w:val="22"/>
        </w:rPr>
        <w:t>means, for the applicable Corresponding Tenor as of the applicable Reference Time, the forward-looking term rate based on SOFR that has been selected or recommended by the Relevant Governmental Body.</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Term SOFR Notice</w:t>
      </w:r>
      <w:r>
        <w:rPr>
          <w:color w:val="000000"/>
        </w:rPr>
        <w:t xml:space="preserve">” </w:t>
      </w:r>
      <w:r>
        <w:rPr>
          <w:rFonts w:ascii="Times New Roman;sans-serif" w:hAnsi="Times New Roman;sans-serif"/>
          <w:b w:val="false"/>
          <w:color w:val="000000"/>
          <w:sz w:val="22"/>
        </w:rPr>
        <w:t xml:space="preserve">means a written notification by the Administrative Agent to the Lenders and the Parent Borrower of the occurrence of a Term SOFR Transition Event.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Term SOFR Transition Event</w:t>
      </w:r>
      <w:r>
        <w:rPr>
          <w:color w:val="000000"/>
        </w:rPr>
        <w:t xml:space="preserve">” </w:t>
      </w:r>
      <w:r>
        <w:rPr>
          <w:rFonts w:ascii="Times New Roman;sans-serif" w:hAnsi="Times New Roman;sans-serif"/>
          <w:b w:val="false"/>
          <w:color w:val="000000"/>
          <w:sz w:val="22"/>
        </w:rPr>
        <w:t xml:space="preserve">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has previously occurred resulting in a Benchmark Replacement in accordance with Section 2.14 that is not Term SOFR.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Total Indebtedness</w:t>
      </w:r>
      <w:r>
        <w:rPr>
          <w:color w:val="000000"/>
        </w:rPr>
        <w:t xml:space="preserve">” </w:t>
      </w:r>
      <w:r>
        <w:rPr>
          <w:rFonts w:ascii="Times New Roman;sans-serif" w:hAnsi="Times New Roman;sans-serif"/>
          <w:b w:val="false"/>
          <w:color w:val="000000"/>
          <w:sz w:val="22"/>
        </w:rPr>
        <w:t>means, as of any date, the sum of, without duplication, (a) the aggregate principal amount of Indebtedness of Holdings, the Parent Borrower and the Subsidiaries outstanding as of such date, in the amount that would be reflected on a balance sheet prepared as of such date on a consolidated basis in accordance with GAAP, plus (b) the aggregate “</w:t>
      </w:r>
      <w:r>
        <w:rPr>
          <w:rFonts w:ascii="Times New Roman;sans-serif" w:hAnsi="Times New Roman;sans-serif"/>
          <w:b w:val="false"/>
          <w:color w:val="000000"/>
          <w:sz w:val="22"/>
          <w:u w:val="single"/>
        </w:rPr>
        <w:t>Net Investment</w:t>
      </w:r>
      <w:r>
        <w:rPr>
          <w:color w:val="000000"/>
        </w:rPr>
        <w:t xml:space="preserve">” </w:t>
      </w:r>
      <w:r>
        <w:rPr>
          <w:rFonts w:ascii="Times New Roman;sans-serif" w:hAnsi="Times New Roman;sans-serif"/>
          <w:b w:val="false"/>
          <w:color w:val="000000"/>
          <w:sz w:val="22"/>
        </w:rPr>
        <w:t xml:space="preserve">as defined in Annex A to the Receivables Transfer Agreement, plus (c) the aggregate principal amount of Indebtedness of Holdings, the Parent Borrower and the Subsidiaries outstanding as of such date that is not required to be reflected on a balance sheet in accordance with GAAP, determined on a consolidated basis;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for purposes of clause (c) above, the term “Indebtedness” shall not include (i) contingent obligations of Holdings, the Parent Borrower or any Subsidiary as an account party in respect of any letter of credit or letter of guaranty unless, without duplication, such letter of credit or letter of guaranty supports an obligation that constitutes Indebtedness and (ii) Indebtedness described in Section 6.01(a)(xi).</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Total Net Leverage Ratio</w:t>
      </w:r>
      <w:r>
        <w:rPr>
          <w:color w:val="000000"/>
        </w:rPr>
        <w:t xml:space="preserve">” </w:t>
      </w:r>
      <w:r>
        <w:rPr>
          <w:rFonts w:ascii="Times New Roman;sans-serif" w:hAnsi="Times New Roman;sans-serif"/>
          <w:b w:val="false"/>
          <w:color w:val="000000"/>
          <w:sz w:val="22"/>
        </w:rPr>
        <w:t xml:space="preserve">means, on any date, the ratio of (a) (i) Total Indebtedness as of such date </w:t>
      </w:r>
      <w:r>
        <w:rPr>
          <w:rFonts w:ascii="Times New Roman;sans-serif" w:hAnsi="Times New Roman;sans-serif"/>
          <w:b w:val="false"/>
          <w:i/>
          <w:color w:val="000000"/>
          <w:sz w:val="22"/>
          <w:u w:val="single"/>
        </w:rPr>
        <w:t>less</w:t>
      </w:r>
      <w:r>
        <w:rPr>
          <w:color w:val="000000"/>
        </w:rPr>
        <w:t xml:space="preserve"> </w:t>
      </w:r>
      <w:r>
        <w:rPr>
          <w:rFonts w:ascii="Times New Roman;sans-serif" w:hAnsi="Times New Roman;sans-serif"/>
          <w:b w:val="false"/>
          <w:color w:val="000000"/>
          <w:sz w:val="22"/>
        </w:rPr>
        <w:t>(ii) the aggregate amount in excess of $10,000,000 (but not to exceed $150,000,000) of the Freely Transferable unrestricted cash and unrestricted Permitted Investments of the Parent Borrower and its Subsidiaries as of such date to (b) Consolidated EBITDA for the period of four consecutive fiscal quarters of Holdings ended on such date (or, if such date is not the last day of a fiscal quarter, ended on the last day of the fiscal quarter of Holdings most recently ended prior to such date for which financial statements are available).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Transactions</w:t>
      </w:r>
      <w:r>
        <w:rPr>
          <w:color w:val="000000"/>
        </w:rPr>
        <w:t xml:space="preserve">” </w:t>
      </w:r>
      <w:r>
        <w:rPr>
          <w:rFonts w:ascii="Times New Roman;sans-serif" w:hAnsi="Times New Roman;sans-serif"/>
          <w:b w:val="false"/>
          <w:color w:val="000000"/>
          <w:sz w:val="22"/>
        </w:rPr>
        <w:t xml:space="preserve">means, collectively, (a) the execution and delivery of the Second Replacement Revolving Facility Amendment and the amendment of the Existing Credit Agreement effected thereby, (b) the establishment of revolving commitments in an aggregate amount of $300,000,000 hereunder and (c) the payment of the fees and expenses payable in connection with the foregoing.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Treaty</w:t>
      </w:r>
      <w:r>
        <w:rPr>
          <w:color w:val="000000"/>
        </w:rPr>
        <w:t xml:space="preserve">” </w:t>
      </w:r>
      <w:r>
        <w:rPr>
          <w:rFonts w:ascii="Times New Roman;sans-serif" w:hAnsi="Times New Roman;sans-serif"/>
          <w:b w:val="false"/>
          <w:color w:val="000000"/>
          <w:sz w:val="22"/>
        </w:rPr>
        <w:t>has the meaning assigned to such term in the definition of Treaty State.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Treaty Lender</w:t>
      </w:r>
      <w:r>
        <w:rPr>
          <w:color w:val="000000"/>
        </w:rPr>
        <w:t xml:space="preserve">” </w:t>
      </w:r>
      <w:r>
        <w:rPr>
          <w:rFonts w:ascii="Times New Roman;sans-serif" w:hAnsi="Times New Roman;sans-serif"/>
          <w:b w:val="false"/>
          <w:color w:val="000000"/>
          <w:sz w:val="22"/>
        </w:rPr>
        <w:t>means a Revolving Lender which:</w:t>
      </w:r>
    </w:p>
    <w:p>
      <w:pPr>
        <w:pStyle w:val="TextBody"/>
        <w:spacing w:lineRule="auto" w:line="285" w:before="278" w:after="283"/>
        <w:ind w:left="0" w:right="0" w:firstLine="720"/>
        <w:rPr/>
      </w:pPr>
      <w:r>
        <w:rPr>
          <w:rFonts w:ascii="Times New Roman;sans-serif" w:hAnsi="Times New Roman;sans-serif"/>
          <w:b w:val="false"/>
          <w:color w:val="000000"/>
          <w:sz w:val="24"/>
        </w:rPr>
        <w:t>(a)    </w:t>
      </w:r>
      <w:r>
        <w:rPr>
          <w:rFonts w:ascii="Times New Roman;sans-serif" w:hAnsi="Times New Roman;sans-serif"/>
          <w:b w:val="false"/>
          <w:color w:val="000000"/>
          <w:sz w:val="22"/>
        </w:rPr>
        <w:t>is treated as a resident of a Treaty State for the purposes of the Treaty;</w:t>
      </w:r>
    </w:p>
    <w:p>
      <w:pPr>
        <w:pStyle w:val="TextBody"/>
        <w:spacing w:lineRule="auto" w:line="288" w:before="276" w:after="283"/>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2"/>
        </w:rPr>
        <w:t>does not carry on a business in the United Kingdom through a permanent establishment with which that Lender’s participation in any advance is effectively connected; and</w:t>
      </w:r>
    </w:p>
    <w:p>
      <w:pPr>
        <w:pStyle w:val="TextBody"/>
        <w:spacing w:lineRule="auto" w:line="288" w:before="276" w:after="283"/>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2"/>
        </w:rPr>
        <w:t>meets all of the conditions in the Treaty that relate to the Lender for full exemption from Taxes imposed by the United Kingdom on interest, subject to the completion of procedural formalities.</w:t>
      </w:r>
      <w:r>
        <w:br w:type="page"/>
      </w:r>
    </w:p>
    <w:p>
      <w:pPr>
        <w:pStyle w:val="TextBody"/>
        <w:spacing w:before="0" w:after="0"/>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60655"/>
                <wp:effectExtent l="0" t="0" r="0" b="0"/>
                <wp:wrapNone/>
                <wp:docPr id="145" name="Frame14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v:textbox>
              </v:rect>
            </w:pict>
          </mc:Fallback>
        </mc:AlternateContent>
      </w:r>
    </w:p>
    <w:p>
      <w:pPr>
        <w:pStyle w:val="TextBody"/>
        <w:spacing w:lineRule="auto" w:line="300" w:before="276" w:after="283"/>
        <w:ind w:left="0" w:right="0" w:firstLine="1440"/>
        <w:jc w:val="both"/>
        <w:rPr/>
      </w:pPr>
      <w:r>
        <w:rPr>
          <w:color w:val="000000"/>
        </w:rPr>
        <w:t>“</w:t>
      </w:r>
      <w:r>
        <w:rPr>
          <w:rFonts w:ascii="Times New Roman;sans-serif" w:hAnsi="Times New Roman;sans-serif"/>
          <w:b w:val="false"/>
          <w:color w:val="000000"/>
          <w:sz w:val="22"/>
          <w:u w:val="single"/>
        </w:rPr>
        <w:t>Treaty State</w:t>
      </w:r>
      <w:r>
        <w:rPr>
          <w:color w:val="000000"/>
        </w:rPr>
        <w:t xml:space="preserve">” </w:t>
      </w:r>
      <w:r>
        <w:rPr>
          <w:rFonts w:ascii="Times New Roman;sans-serif" w:hAnsi="Times New Roman;sans-serif"/>
          <w:b w:val="false"/>
          <w:color w:val="000000"/>
          <w:sz w:val="22"/>
        </w:rPr>
        <w:t>means a jurisdiction having a double taxation agreement (a “</w:t>
      </w:r>
      <w:r>
        <w:rPr>
          <w:rFonts w:ascii="Times New Roman;sans-serif" w:hAnsi="Times New Roman;sans-serif"/>
          <w:b w:val="false"/>
          <w:color w:val="000000"/>
          <w:sz w:val="22"/>
          <w:u w:val="single"/>
        </w:rPr>
        <w:t>Treaty</w:t>
      </w:r>
      <w:r>
        <w:rPr>
          <w:color w:val="000000"/>
        </w:rPr>
        <w:t>”</w:t>
      </w:r>
      <w:r>
        <w:rPr>
          <w:rFonts w:ascii="Times New Roman;sans-serif" w:hAnsi="Times New Roman;sans-serif"/>
          <w:b w:val="false"/>
          <w:color w:val="000000"/>
          <w:sz w:val="22"/>
        </w:rPr>
        <w:t>) with the United Kingdom which makes provision for full exemption from Tax imposed by the United Kingdom on interest.</w:t>
      </w:r>
    </w:p>
    <w:p>
      <w:pPr>
        <w:pStyle w:val="TextBody"/>
        <w:spacing w:lineRule="auto" w:line="300" w:before="240" w:after="283"/>
        <w:ind w:left="0" w:right="0" w:firstLine="1440"/>
        <w:jc w:val="both"/>
        <w:rPr/>
      </w:pPr>
      <w:r>
        <w:rPr>
          <w:color w:val="000000"/>
        </w:rPr>
        <w:t>“</w:t>
      </w:r>
      <w:r>
        <w:rPr>
          <w:rFonts w:ascii="Times New Roman;sans-serif" w:hAnsi="Times New Roman;sans-serif"/>
          <w:b w:val="false"/>
          <w:color w:val="000000"/>
          <w:sz w:val="22"/>
          <w:u w:val="single"/>
        </w:rPr>
        <w:t>Type</w:t>
      </w:r>
      <w:r>
        <w:rPr>
          <w:rFonts w:ascii="Times New Roman;sans-serif" w:hAnsi="Times New Roman;sans-serif"/>
          <w:b w:val="false"/>
          <w:color w:val="000000"/>
          <w:sz w:val="22"/>
        </w:rPr>
        <w:t>,” when used in reference to any Loan or Borrowing, refers to whether the rate of interest on such Loan, or on the Loans comprising such Borrowing, is determined by reference to the Adjusted LIBO Rate</w:t>
      </w:r>
      <w:r>
        <w:rPr>
          <w:strike/>
          <w:color w:val="FF0000"/>
        </w:rPr>
        <w:t xml:space="preserve"> </w:t>
      </w:r>
      <w:r>
        <w:rPr>
          <w:rFonts w:ascii="Times New Roman;sans-serif" w:hAnsi="Times New Roman;sans-serif"/>
          <w:b w:val="false"/>
          <w:strike/>
          <w:color w:val="FF0000"/>
          <w:sz w:val="22"/>
        </w:rPr>
        <w:t>or</w:t>
      </w:r>
      <w:r>
        <w:rPr>
          <w:rFonts w:ascii="Times New Roman;sans-serif" w:hAnsi="Times New Roman;sans-serif"/>
          <w:b w:val="false"/>
          <w:color w:val="0000FF"/>
          <w:sz w:val="22"/>
          <w:highlight w:val="lightGray"/>
          <w:u w:val="single"/>
        </w:rPr>
        <w:t>, Adjusted Daily Simple RFR,</w:t>
      </w:r>
      <w:r>
        <w:rPr>
          <w:color w:val="000000"/>
        </w:rPr>
        <w:t xml:space="preserve"> </w:t>
      </w:r>
      <w:r>
        <w:rPr>
          <w:rFonts w:ascii="Times New Roman;sans-serif" w:hAnsi="Times New Roman;sans-serif"/>
          <w:b w:val="false"/>
          <w:color w:val="000000"/>
          <w:sz w:val="22"/>
        </w:rPr>
        <w:t>the Alternate Base Rate</w:t>
      </w:r>
      <w:r>
        <w:rPr>
          <w:color w:val="0000FF"/>
          <w:highlight w:val="lightGray"/>
          <w:u w:val="single"/>
        </w:rPr>
        <w:t xml:space="preserve"> </w:t>
      </w:r>
      <w:r>
        <w:rPr>
          <w:rFonts w:ascii="Times New Roman;sans-serif" w:hAnsi="Times New Roman;sans-serif"/>
          <w:b w:val="false"/>
          <w:color w:val="0000FF"/>
          <w:sz w:val="22"/>
          <w:highlight w:val="lightGray"/>
          <w:u w:val="single"/>
        </w:rPr>
        <w:t>or the Central Bank Rate</w:t>
      </w:r>
      <w:r>
        <w:rPr>
          <w:rFonts w:ascii="Times New Roman;sans-serif" w:hAnsi="Times New Roman;sans-serif"/>
          <w:b w:val="false"/>
          <w:color w:val="000000"/>
          <w:sz w:val="22"/>
        </w:rPr>
        <w:t>.</w:t>
      </w:r>
    </w:p>
    <w:p>
      <w:pPr>
        <w:pStyle w:val="TextBody"/>
        <w:spacing w:lineRule="auto" w:line="240" w:before="240" w:after="240"/>
        <w:ind w:left="0" w:right="0" w:firstLine="1440"/>
        <w:rPr/>
      </w:pPr>
      <w:r>
        <w:rPr>
          <w:color w:val="000000"/>
        </w:rPr>
        <w:t>“</w:t>
      </w:r>
      <w:r>
        <w:rPr>
          <w:rFonts w:ascii="Times New Roman;sans-serif" w:hAnsi="Times New Roman;sans-serif"/>
          <w:b w:val="false"/>
          <w:color w:val="000000"/>
          <w:sz w:val="22"/>
          <w:u w:val="single"/>
        </w:rPr>
        <w:t>UCP</w:t>
      </w:r>
      <w:r>
        <w:rPr>
          <w:color w:val="000000"/>
        </w:rPr>
        <w:t xml:space="preserve">” </w:t>
      </w:r>
      <w:r>
        <w:rPr>
          <w:rFonts w:ascii="Times New Roman;sans-serif" w:hAnsi="Times New Roman;sans-serif"/>
          <w:b w:val="false"/>
          <w:color w:val="000000"/>
          <w:sz w:val="22"/>
        </w:rPr>
        <w:t xml:space="preserve">means, with respect to any Letter of Credit, the Uniform Customs and Practice for Documentary Credits, International Chamber of Commerce Publication No. 600 (or such later version thereof as may be in effect at the time of issuance). </w:t>
      </w:r>
    </w:p>
    <w:p>
      <w:pPr>
        <w:pStyle w:val="TextBody"/>
        <w:spacing w:lineRule="auto" w:line="240" w:before="240" w:after="240"/>
        <w:ind w:left="0" w:right="0" w:firstLine="1440"/>
        <w:rPr/>
      </w:pPr>
      <w:r>
        <w:rPr>
          <w:color w:val="000000"/>
        </w:rPr>
        <w:t>“</w:t>
      </w:r>
      <w:r>
        <w:rPr>
          <w:rFonts w:ascii="Times New Roman;sans-serif" w:hAnsi="Times New Roman;sans-serif"/>
          <w:b w:val="false"/>
          <w:color w:val="000000"/>
          <w:sz w:val="22"/>
          <w:u w:val="single"/>
        </w:rPr>
        <w:t>UK Borrower</w:t>
      </w:r>
      <w:r>
        <w:rPr>
          <w:color w:val="000000"/>
        </w:rPr>
        <w:t xml:space="preserve">” </w:t>
      </w:r>
      <w:r>
        <w:rPr>
          <w:rFonts w:ascii="Times New Roman;sans-serif" w:hAnsi="Times New Roman;sans-serif"/>
          <w:b w:val="false"/>
          <w:color w:val="000000"/>
          <w:sz w:val="22"/>
        </w:rPr>
        <w:t>means a Foreign Subsidiary Borrower which is incorporated in or otherwise organized under the laws of England and Wales or which is resident for Tax purposes in England and Wales.</w:t>
      </w:r>
    </w:p>
    <w:p>
      <w:pPr>
        <w:pStyle w:val="TextBody"/>
        <w:spacing w:lineRule="auto" w:line="240" w:before="240" w:after="240"/>
        <w:ind w:left="0" w:right="0" w:firstLine="1440"/>
        <w:rPr/>
      </w:pPr>
      <w:r>
        <w:rPr>
          <w:color w:val="000000"/>
        </w:rPr>
        <w:t>“</w:t>
      </w:r>
      <w:r>
        <w:rPr>
          <w:rFonts w:ascii="Times New Roman;sans-serif" w:hAnsi="Times New Roman;sans-serif"/>
          <w:b w:val="false"/>
          <w:color w:val="000000"/>
          <w:sz w:val="22"/>
          <w:u w:val="single"/>
        </w:rPr>
        <w:t>UK Financial Institution</w:t>
      </w:r>
      <w:r>
        <w:rPr>
          <w:color w:val="000000"/>
        </w:rPr>
        <w:t xml:space="preserve">” </w:t>
      </w:r>
      <w:r>
        <w:rPr>
          <w:rFonts w:ascii="Times New Roman;sans-serif" w:hAnsi="Times New Roman;sans-serif"/>
          <w:b w:val="false"/>
          <w:color w:val="000000"/>
          <w:sz w:val="22"/>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spacing w:lineRule="auto" w:line="240" w:before="240" w:after="240"/>
        <w:ind w:left="0" w:right="0" w:firstLine="1440"/>
        <w:rPr/>
      </w:pPr>
      <w:r>
        <w:rPr>
          <w:color w:val="000000"/>
        </w:rPr>
        <w:t>“</w:t>
      </w:r>
      <w:r>
        <w:rPr>
          <w:rFonts w:ascii="Times New Roman;sans-serif" w:hAnsi="Times New Roman;sans-serif"/>
          <w:b w:val="false"/>
          <w:color w:val="000000"/>
          <w:sz w:val="22"/>
          <w:u w:val="single"/>
        </w:rPr>
        <w:t>UK Resolution Authority</w:t>
      </w:r>
      <w:r>
        <w:rPr>
          <w:color w:val="000000"/>
        </w:rPr>
        <w:t xml:space="preserve">” </w:t>
      </w:r>
      <w:r>
        <w:rPr>
          <w:rFonts w:ascii="Times New Roman;sans-serif" w:hAnsi="Times New Roman;sans-serif"/>
          <w:b w:val="false"/>
          <w:color w:val="000000"/>
          <w:sz w:val="22"/>
        </w:rPr>
        <w:t xml:space="preserve">means the Bank of England or any other public administrative authority having responsibility for the resolution of any UK Financial Institution. </w:t>
      </w:r>
    </w:p>
    <w:p>
      <w:pPr>
        <w:pStyle w:val="TextBody"/>
        <w:spacing w:lineRule="auto" w:line="240" w:before="240" w:after="240"/>
        <w:ind w:left="0" w:right="0" w:firstLine="1440"/>
        <w:rPr/>
      </w:pPr>
      <w:r>
        <w:rPr>
          <w:color w:val="000000"/>
        </w:rPr>
        <w:t>“</w:t>
      </w:r>
      <w:r>
        <w:rPr>
          <w:rFonts w:ascii="Times New Roman;sans-serif" w:hAnsi="Times New Roman;sans-serif"/>
          <w:b w:val="false"/>
          <w:color w:val="000000"/>
          <w:sz w:val="22"/>
          <w:u w:val="single"/>
        </w:rPr>
        <w:t>UK Loan</w:t>
      </w:r>
      <w:r>
        <w:rPr>
          <w:color w:val="000000"/>
        </w:rPr>
        <w:t xml:space="preserve">” </w:t>
      </w:r>
      <w:r>
        <w:rPr>
          <w:rFonts w:ascii="Times New Roman;sans-serif" w:hAnsi="Times New Roman;sans-serif"/>
          <w:b w:val="false"/>
          <w:color w:val="000000"/>
          <w:sz w:val="22"/>
        </w:rPr>
        <w:t>means any Loan or other extension of credit (including any Letter of Credit) made to a UK Borrower by a Revolving Lender.</w:t>
      </w:r>
    </w:p>
    <w:p>
      <w:pPr>
        <w:pStyle w:val="TextBody"/>
        <w:spacing w:lineRule="auto" w:line="240" w:before="240" w:after="240"/>
        <w:ind w:left="0" w:right="0" w:firstLine="1440"/>
        <w:rPr/>
      </w:pPr>
      <w:r>
        <w:rPr>
          <w:color w:val="000000"/>
        </w:rPr>
        <w:t>“</w:t>
      </w:r>
      <w:r>
        <w:rPr>
          <w:rFonts w:ascii="Times New Roman;sans-serif" w:hAnsi="Times New Roman;sans-serif"/>
          <w:b w:val="false"/>
          <w:color w:val="000000"/>
          <w:sz w:val="22"/>
          <w:u w:val="single"/>
        </w:rPr>
        <w:t>UK Tax Deduction</w:t>
      </w:r>
      <w:r>
        <w:rPr>
          <w:color w:val="000000"/>
        </w:rPr>
        <w:t xml:space="preserve">” </w:t>
      </w:r>
      <w:r>
        <w:rPr>
          <w:rFonts w:ascii="Times New Roman;sans-serif" w:hAnsi="Times New Roman;sans-serif"/>
          <w:b w:val="false"/>
          <w:color w:val="000000"/>
          <w:sz w:val="22"/>
        </w:rPr>
        <w:t>has the meaning assigned to such term in Section 2.17(k).</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Unadjusted Benchmark Replacement</w:t>
      </w:r>
      <w:r>
        <w:rPr>
          <w:color w:val="000000"/>
        </w:rPr>
        <w:t xml:space="preserve">” </w:t>
      </w:r>
      <w:r>
        <w:rPr>
          <w:rFonts w:ascii="Times New Roman;sans-serif" w:hAnsi="Times New Roman;sans-serif"/>
          <w:b w:val="false"/>
          <w:color w:val="000000"/>
          <w:sz w:val="22"/>
        </w:rPr>
        <w:t xml:space="preserve">means the applicable Benchmark Replacement excluding the related Benchmark Replacement Adjustment.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U.S. Holdco</w:t>
      </w:r>
      <w:r>
        <w:rPr>
          <w:color w:val="000000"/>
        </w:rPr>
        <w:t xml:space="preserve">” </w:t>
      </w:r>
      <w:r>
        <w:rPr>
          <w:rFonts w:ascii="Times New Roman;sans-serif" w:hAnsi="Times New Roman;sans-serif"/>
          <w:b w:val="false"/>
          <w:color w:val="000000"/>
          <w:sz w:val="22"/>
        </w:rPr>
        <w:t xml:space="preserve">means any existing or future Domestic Subsidiary the Equity Interests of which are held solely by Foreign Subsidiaries;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existing or newly formed Subsidiary shall not engage in any business or own any assets other than the ownership of Equity Interests in Foreign Subsidiaries and intercompany obligations that are otherwise permitted hereunder.</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U.S. Obligations</w:t>
      </w:r>
      <w:r>
        <w:rPr>
          <w:color w:val="000000"/>
        </w:rPr>
        <w:t xml:space="preserve">” </w:t>
      </w:r>
      <w:r>
        <w:rPr>
          <w:rFonts w:ascii="Times New Roman;sans-serif" w:hAnsi="Times New Roman;sans-serif"/>
          <w:b w:val="false"/>
          <w:color w:val="000000"/>
          <w:sz w:val="22"/>
        </w:rPr>
        <w:t>means any Obligations owing by the Parent Borrower.</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U.S. Person</w:t>
      </w:r>
      <w:r>
        <w:rPr>
          <w:color w:val="000000"/>
        </w:rPr>
        <w:t xml:space="preserve">” </w:t>
      </w:r>
      <w:r>
        <w:rPr>
          <w:rFonts w:ascii="Times New Roman;sans-serif" w:hAnsi="Times New Roman;sans-serif"/>
          <w:b w:val="false"/>
          <w:color w:val="000000"/>
          <w:sz w:val="22"/>
        </w:rPr>
        <w:t>means a “</w:t>
      </w:r>
      <w:r>
        <w:rPr>
          <w:rFonts w:ascii="Times New Roman;sans-serif" w:hAnsi="Times New Roman;sans-serif"/>
          <w:b w:val="false"/>
          <w:color w:val="000000"/>
          <w:sz w:val="22"/>
          <w:u w:val="single"/>
        </w:rPr>
        <w:t>United States person</w:t>
      </w:r>
      <w:r>
        <w:rPr>
          <w:color w:val="000000"/>
        </w:rPr>
        <w:t xml:space="preserve">” </w:t>
      </w:r>
      <w:r>
        <w:rPr>
          <w:rFonts w:ascii="Times New Roman;sans-serif" w:hAnsi="Times New Roman;sans-serif"/>
          <w:b w:val="false"/>
          <w:color w:val="000000"/>
          <w:sz w:val="22"/>
        </w:rPr>
        <w:t>within the meaning of Section 7701(a)(30) of the Code.</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U.S. Special Resolution Regimes</w:t>
      </w:r>
      <w:r>
        <w:rPr>
          <w:color w:val="000000"/>
        </w:rPr>
        <w:t xml:space="preserve">” </w:t>
      </w:r>
      <w:r>
        <w:rPr>
          <w:rFonts w:ascii="Times New Roman;sans-serif" w:hAnsi="Times New Roman;sans-serif"/>
          <w:b w:val="false"/>
          <w:color w:val="000000"/>
          <w:sz w:val="22"/>
        </w:rPr>
        <w:t xml:space="preserve">has the meaning assigned to such term in in Section 10.22. </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U.S. Tax Certificate</w:t>
      </w:r>
      <w:r>
        <w:rPr>
          <w:color w:val="000000"/>
        </w:rPr>
        <w:t xml:space="preserve">” </w:t>
      </w:r>
      <w:r>
        <w:rPr>
          <w:rFonts w:ascii="Times New Roman;sans-serif" w:hAnsi="Times New Roman;sans-serif"/>
          <w:b w:val="false"/>
          <w:color w:val="000000"/>
          <w:sz w:val="22"/>
        </w:rPr>
        <w:t>has the meaning assigned to such term in Section 2.17(f)(i)(D)(2).</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Weighted Average Yield</w:t>
      </w:r>
      <w:r>
        <w:rPr>
          <w:color w:val="000000"/>
        </w:rPr>
        <w:t xml:space="preserve">” </w:t>
      </w:r>
      <w:r>
        <w:rPr>
          <w:rFonts w:ascii="Times New Roman;sans-serif" w:hAnsi="Times New Roman;sans-serif"/>
          <w:b w:val="false"/>
          <w:color w:val="000000"/>
          <w:sz w:val="22"/>
        </w:rPr>
        <w:t xml:space="preserve">means, as to any Indebtedness, the yield thereof (as determined in the reasonable discretion of the Administrative Agent as described below and consistent with generally accepted financial practices), whether in the form of interest rate, margin, original issue discount, upfront fees, a LIBO Rate or Alternate Base Rate floor (with such increased amount being equated to interest margins for purposes of determining any increase to the Applicable Rate), or otherwise;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original issue discount and upfront fees shall be equated to interest rate assuming a 4-year life to maturity (or, if less, the stated life to maturity at the time of incurrence of the applicable </w:t>
      </w:r>
      <w:r>
        <w:br w:type="page"/>
      </w:r>
    </w:p>
    <w:p>
      <w:pPr>
        <w:pStyle w:val="TextBody"/>
        <w:spacing w:before="0" w:after="0"/>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60655"/>
                <wp:effectExtent l="0" t="0" r="0" b="0"/>
                <wp:wrapNone/>
                <wp:docPr id="146" name="Frame14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2"/>
        </w:rPr>
        <w:t xml:space="preserve">Indebtedness);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w:t>
      </w:r>
      <w:r>
        <w:rPr>
          <w:rFonts w:ascii="Times New Roman;sans-serif" w:hAnsi="Times New Roman;sans-serif"/>
          <w:b w:val="false"/>
          <w:color w:val="000000"/>
          <w:sz w:val="22"/>
          <w:u w:val="single"/>
        </w:rPr>
        <w:t>Weighted Average Yield</w:t>
      </w:r>
      <w:r>
        <w:rPr>
          <w:color w:val="000000"/>
        </w:rPr>
        <w:t xml:space="preserve">” </w:t>
      </w:r>
      <w:r>
        <w:rPr>
          <w:rFonts w:ascii="Times New Roman;sans-serif" w:hAnsi="Times New Roman;sans-serif"/>
          <w:b w:val="false"/>
          <w:color w:val="000000"/>
          <w:sz w:val="22"/>
        </w:rPr>
        <w:t>shall not include arrangement fees, structuring fees or underwriting or similar fees not generally paid to lenders in connection with such Indebtedness.</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Withdrawal Liability</w:t>
      </w:r>
      <w:r>
        <w:rPr>
          <w:color w:val="000000"/>
        </w:rPr>
        <w:t xml:space="preserve">” </w:t>
      </w:r>
      <w:r>
        <w:rPr>
          <w:rFonts w:ascii="Times New Roman;sans-serif" w:hAnsi="Times New Roman;sans-serif"/>
          <w:b w:val="false"/>
          <w:color w:val="000000"/>
          <w:sz w:val="22"/>
        </w:rPr>
        <w:t>means liability to a Multiemployer Plan as a result of a complete or partial withdrawal from such Multiemployer Plan, as such terms are defined in Part I of Subtitle E of Title IV of ERISA.</w:t>
      </w:r>
    </w:p>
    <w:p>
      <w:pPr>
        <w:pStyle w:val="TextBody"/>
        <w:spacing w:lineRule="auto" w:line="240" w:before="0" w:after="240"/>
        <w:ind w:left="0" w:right="0" w:firstLine="1440"/>
        <w:rPr/>
      </w:pPr>
      <w:r>
        <w:rPr>
          <w:color w:val="000000"/>
        </w:rPr>
        <w:t>“</w:t>
      </w:r>
      <w:r>
        <w:rPr>
          <w:rFonts w:ascii="Times New Roman;sans-serif" w:hAnsi="Times New Roman;sans-serif"/>
          <w:b w:val="false"/>
          <w:color w:val="000000"/>
          <w:sz w:val="22"/>
          <w:u w:val="single"/>
        </w:rPr>
        <w:t>Write-Down and Conversion Powers</w:t>
      </w:r>
      <w:r>
        <w:rPr>
          <w:color w:val="000000"/>
        </w:rPr>
        <w:t xml:space="preserve">” </w:t>
      </w:r>
      <w:r>
        <w:rPr>
          <w:rFonts w:ascii="Times New Roman;sans-serif" w:hAnsi="Times New Roman;sans-serif"/>
          <w:b w:val="false"/>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spacing w:lineRule="auto" w:line="240" w:before="0" w:after="240"/>
        <w:ind w:left="0" w:right="0" w:firstLine="1440"/>
        <w:rPr/>
      </w:pPr>
      <w:r>
        <w:rPr>
          <w:rFonts w:ascii="Times New Roman;sans-serif" w:hAnsi="Times New Roman;sans-serif"/>
          <w:b w:val="false"/>
          <w:color w:val="000000"/>
          <w:sz w:val="22"/>
        </w:rPr>
        <w:t>SECTION 1.02    </w:t>
      </w:r>
      <w:r>
        <w:rPr>
          <w:rFonts w:ascii="Times New Roman;sans-serif" w:hAnsi="Times New Roman;sans-serif"/>
          <w:b w:val="false"/>
          <w:color w:val="000000"/>
          <w:sz w:val="22"/>
          <w:u w:val="single"/>
        </w:rPr>
        <w:t>Classification of Loans and Borrowings</w:t>
      </w:r>
      <w:r>
        <w:rPr>
          <w:rFonts w:ascii="Times New Roman;sans-serif" w:hAnsi="Times New Roman;sans-serif"/>
          <w:b w:val="false"/>
          <w:color w:val="000000"/>
          <w:sz w:val="22"/>
        </w:rPr>
        <w:t>. For purposes of this Agreement, Loans may be classified and referred to by Type (e.g., a “Eurocurrency Revolving Loan”</w:t>
      </w:r>
      <w:r>
        <w:rPr>
          <w:color w:val="0000FF"/>
          <w:highlight w:val="lightGray"/>
          <w:u w:val="single"/>
        </w:rPr>
        <w:t xml:space="preserve"> </w:t>
      </w:r>
      <w:r>
        <w:rPr>
          <w:rFonts w:ascii="Times New Roman;sans-serif" w:hAnsi="Times New Roman;sans-serif"/>
          <w:b w:val="false"/>
          <w:color w:val="0000FF"/>
          <w:sz w:val="22"/>
          <w:highlight w:val="lightGray"/>
          <w:u w:val="single"/>
        </w:rPr>
        <w:t>or “RFR Revolving Loan”</w:t>
      </w:r>
      <w:r>
        <w:rPr>
          <w:rFonts w:ascii="Times New Roman;sans-serif" w:hAnsi="Times New Roman;sans-serif"/>
          <w:b w:val="false"/>
          <w:color w:val="000000"/>
          <w:sz w:val="22"/>
        </w:rPr>
        <w:t>). Borrowings also may be classified and referred to by Type (e.g., a “Eurocurrency Revolving Borrowing”</w:t>
      </w:r>
      <w:r>
        <w:rPr>
          <w:color w:val="0000FF"/>
          <w:highlight w:val="lightGray"/>
          <w:u w:val="single"/>
        </w:rPr>
        <w:t xml:space="preserve"> </w:t>
      </w:r>
      <w:r>
        <w:rPr>
          <w:rFonts w:ascii="Times New Roman;sans-serif" w:hAnsi="Times New Roman;sans-serif"/>
          <w:b w:val="false"/>
          <w:color w:val="0000FF"/>
          <w:sz w:val="22"/>
          <w:highlight w:val="lightGray"/>
          <w:u w:val="single"/>
        </w:rPr>
        <w:t>or “RFR Revolving Borrowing”</w:t>
      </w:r>
      <w:r>
        <w:rPr>
          <w:rFonts w:ascii="Times New Roman;sans-serif" w:hAnsi="Times New Roman;sans-serif"/>
          <w:b w:val="false"/>
          <w:color w:val="000000"/>
          <w:sz w:val="22"/>
        </w:rPr>
        <w:t>).</w:t>
      </w:r>
    </w:p>
    <w:p>
      <w:pPr>
        <w:pStyle w:val="TextBody"/>
        <w:spacing w:lineRule="auto" w:line="240" w:before="0" w:after="240"/>
        <w:ind w:left="0" w:right="0" w:firstLine="1440"/>
        <w:rPr/>
      </w:pPr>
      <w:r>
        <w:rPr>
          <w:rFonts w:ascii="Times New Roman;sans-serif" w:hAnsi="Times New Roman;sans-serif"/>
          <w:b w:val="false"/>
          <w:color w:val="000000"/>
          <w:sz w:val="22"/>
        </w:rPr>
        <w:t>SECTION 1.03    </w:t>
      </w:r>
      <w:r>
        <w:rPr>
          <w:rFonts w:ascii="Times New Roman;sans-serif" w:hAnsi="Times New Roman;sans-serif"/>
          <w:b w:val="false"/>
          <w:color w:val="000000"/>
          <w:sz w:val="22"/>
          <w:u w:val="single"/>
        </w:rPr>
        <w:t>Terms Generally</w:t>
      </w:r>
      <w:r>
        <w:rPr>
          <w:rFonts w:ascii="Times New Roman;sans-serif" w:hAnsi="Times New Roman;sans-serif"/>
          <w:b w:val="false"/>
          <w:color w:val="000000"/>
          <w:sz w:val="22"/>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pStyle w:val="TextBody"/>
        <w:spacing w:lineRule="auto" w:line="240" w:before="0" w:after="240"/>
        <w:ind w:left="0" w:right="0" w:firstLine="1440"/>
        <w:rPr/>
      </w:pPr>
      <w:r>
        <w:rPr>
          <w:rFonts w:ascii="Times New Roman;sans-serif" w:hAnsi="Times New Roman;sans-serif"/>
          <w:b w:val="false"/>
          <w:color w:val="000000"/>
          <w:sz w:val="22"/>
        </w:rPr>
        <w:t>SECTION 1.04    </w:t>
      </w:r>
      <w:r>
        <w:rPr>
          <w:rFonts w:ascii="Times New Roman;sans-serif" w:hAnsi="Times New Roman;sans-serif"/>
          <w:b w:val="false"/>
          <w:color w:val="000000"/>
          <w:sz w:val="22"/>
          <w:u w:val="single"/>
        </w:rPr>
        <w:t>Accounting Terms; GAAP</w:t>
      </w:r>
      <w:r>
        <w:rPr>
          <w:rFonts w:ascii="Times New Roman;sans-serif" w:hAnsi="Times New Roman;sans-serif"/>
          <w:b w:val="false"/>
          <w:color w:val="000000"/>
          <w:sz w:val="22"/>
        </w:rPr>
        <w:t xml:space="preserve">. Except as otherwise expressly provided herein, all terms of an accounting or financial nature shall be construed in accordance with GAAP, as in effect from time to time;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the Parent Borrower notifies the Administrative Agent that the Parent Borrower requests an amendment to any provision hereof to eliminate the effect of any change occurring after the Second Restatement Date in GAAP or in the application thereof on the operation of such provision (or if the Administrative Agent notifies the Parent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(i) any election under Accounting Standards Codification 825-10-25 (previously referred to as Statement of Financial Accounting Standards 159) (or any other Accounting Standards Codification or Financial Accounting Standard having a similar result or effect) to value any Indebtedness or other liabilities of Holdings, the Parent Borrower or any Subsidiary at “fair value,” as defined therein and (ii) any treatment of Indebtedness in respect of convertible debt instruments under Accounting Standards Codification 470-20 (or any other Accounting Standards Codification or Financial </w:t>
      </w:r>
      <w:r>
        <w:br w:type="page"/>
      </w:r>
    </w:p>
    <w:p>
      <w:pPr>
        <w:pStyle w:val="TextBody"/>
        <w:spacing w:before="0" w:after="0"/>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60655"/>
                <wp:effectExtent l="0" t="0" r="0" b="0"/>
                <wp:wrapNone/>
                <wp:docPr id="147" name="Frame14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Accounting Standard having a similar result or effect) to value any such Indebtedness in a reduced or bifurcated manner as described therein, and such Indebtedness shall at all times be valued at the full stated principal amount thereof.</w:t>
      </w:r>
    </w:p>
    <w:p>
      <w:pPr>
        <w:pStyle w:val="TextBody"/>
        <w:spacing w:lineRule="auto" w:line="240" w:before="0" w:after="240"/>
        <w:ind w:left="0" w:right="0" w:firstLine="1440"/>
        <w:rPr/>
      </w:pPr>
      <w:r>
        <w:rPr>
          <w:rFonts w:ascii="Times New Roman;sans-serif" w:hAnsi="Times New Roman;sans-serif"/>
          <w:b w:val="false"/>
          <w:color w:val="000000"/>
          <w:sz w:val="22"/>
        </w:rPr>
        <w:t>SECTION 1.05    </w:t>
      </w:r>
      <w:r>
        <w:rPr>
          <w:rFonts w:ascii="Times New Roman;sans-serif" w:hAnsi="Times New Roman;sans-serif"/>
          <w:b w:val="false"/>
          <w:color w:val="000000"/>
          <w:sz w:val="22"/>
          <w:u w:val="single"/>
        </w:rPr>
        <w:t>Limited Conditionality Acquisition</w:t>
      </w:r>
      <w:r>
        <w:rPr>
          <w:rFonts w:ascii="Times New Roman;sans-serif" w:hAnsi="Times New Roman;sans-serif"/>
          <w:b w:val="false"/>
          <w:color w:val="000000"/>
          <w:sz w:val="22"/>
        </w:rPr>
        <w:t>. For purposes of (i) determining compliance with any provision of this Agreement or any other Loan Document which requires the calculation of the Leverage Ratio, the Total Net Leverage Ratio or the Senior Secured Net Leverage Ratio, (ii) determining compliance with representations, warranties, Defaults or Events of Default or (iii) testing availability under baskets set forth in this Agreement or any other Loan Document (including baskets measured as a percentage of Consolidated Total Assets or otherwise), in each case, in connection with a Limited Conditionality Acquisition, at the option of the Parent Borrower (the Parent Borrower’s election to exercise such option in connection with any Limited Conditionality Acquisition, an “</w:t>
      </w:r>
      <w:r>
        <w:rPr>
          <w:rFonts w:ascii="Times New Roman;sans-serif" w:hAnsi="Times New Roman;sans-serif"/>
          <w:b w:val="false"/>
          <w:color w:val="000000"/>
          <w:sz w:val="22"/>
          <w:u w:val="single"/>
        </w:rPr>
        <w:t>LCT Election</w:t>
      </w:r>
      <w:r>
        <w:rPr>
          <w:color w:val="000000"/>
        </w:rPr>
        <w:t>”</w:t>
      </w:r>
      <w:r>
        <w:rPr>
          <w:rFonts w:ascii="Times New Roman;sans-serif" w:hAnsi="Times New Roman;sans-serif"/>
          <w:b w:val="false"/>
          <w:color w:val="000000"/>
          <w:sz w:val="22"/>
        </w:rPr>
        <w:t>), the date of determination of whether any such action is permitted under this Agreement and the other Loan Documents shall be deemed to be the date the Limited Conditionality Acquisition Agreement is entered into (or, with respect to the incurrence of Indebtedness, at the option of the Parent Borrower, the date of the Limited Conditionality Acquisition for which the proceeds will be used) (the “</w:t>
      </w:r>
      <w:r>
        <w:rPr>
          <w:rFonts w:ascii="Times New Roman;sans-serif" w:hAnsi="Times New Roman;sans-serif"/>
          <w:b w:val="false"/>
          <w:color w:val="000000"/>
          <w:sz w:val="22"/>
          <w:u w:val="single"/>
        </w:rPr>
        <w:t>LCT Test Date</w:t>
      </w:r>
      <w:r>
        <w:rPr>
          <w:color w:val="000000"/>
        </w:rPr>
        <w:t>”</w:t>
      </w:r>
      <w:r>
        <w:rPr>
          <w:rFonts w:ascii="Times New Roman;sans-serif" w:hAnsi="Times New Roman;sans-serif"/>
          <w:b w:val="false"/>
          <w:color w:val="000000"/>
          <w:sz w:val="22"/>
        </w:rPr>
        <w:t>), and if, after giving effect on a pro forma basis to the Limited Conditionality Acquisition and the other transactions to be entered into in connection therewith as if they had occurred at the beginning of the four most recently ended consecutive fiscal quarters of the Parent Borrower, the Parent Borrower could have taken such action on the relevant LCT Test Date in compliance with such representation, warranty, ratio or basket, such representation, warranty, ratio or basket shall be deemed to have been complied with. For the avoidance of doubt, if the Parent Borrower has made an LCT Election and any of the ratios or baskets for which compliance was determined or tested as of the LCT Test Date are exceeded as a result of fluctuations in any such ratio or basket (including due to fluctuations in Consolidated Total Assets of the Parent Borrower) at or prior to the consummation of the relevant transaction or action, such baskets or ratios will not be deemed to have been exceeded as a result of such fluctuations. If the Parent Borrower has made an LCT Election for any Limited Conditionality Acquisition, then in connection with any subsequent calculation of ratios or baskets on or following the relevant LCT Test Date and prior to the earlier of (i) the date on which such Limited Conditionality Acquisition is consummated or (ii) the date that the applicable Limited Conditionality Acquisition Agreement is terminated or expires without consummation of such Limited Conditionality Acquisition, any such ratio or basket shall be calculated (a) on a pro forma basis assuming such Limited Conditionality Acquisition and other transactions in connection therewith (including any incurrence of Indebtedness and the use of proceeds thereof) have been consummated and (b) in the case of any such ratio or basket related to Restricted Payments or prepayments of Indebtedness, calculated both pursuant to clause (a) above and without giving effect to such Limited Conditionality Acquisition and other transactions in connection therewith, with the calculation resulting in the most restrictive calculation (e.g., the highest Leverage Ratio) being the determinative calculation. Notwithstanding the foregoing, the amount of any Incremental Commitments that may be incurred under clause (B) to the proviso of Section 2.21(a), determined at the time of signing of definitive documentation with respect to, or giving of notice with respect to, a Limited Conditionality Acquisition, may be recalculated, at the option of the Parent Borrower, at the time of funding.</w:t>
      </w:r>
    </w:p>
    <w:p>
      <w:pPr>
        <w:pStyle w:val="TextBody"/>
        <w:spacing w:lineRule="auto" w:line="240" w:before="0" w:after="240"/>
        <w:ind w:left="0" w:right="0" w:firstLine="1440"/>
        <w:rPr/>
      </w:pPr>
      <w:r>
        <w:rPr>
          <w:rFonts w:ascii="Times New Roman;sans-serif" w:hAnsi="Times New Roman;sans-serif"/>
          <w:b w:val="false"/>
          <w:color w:val="000000"/>
          <w:sz w:val="22"/>
        </w:rPr>
        <w:t>SECTION 1.06    </w:t>
      </w:r>
      <w:r>
        <w:rPr>
          <w:rFonts w:ascii="Times New Roman;sans-serif" w:hAnsi="Times New Roman;sans-serif"/>
          <w:b w:val="false"/>
          <w:color w:val="000000"/>
          <w:sz w:val="22"/>
          <w:u w:val="single"/>
        </w:rPr>
        <w:t>Ratio Calculations; Negative Covenant Classifications</w:t>
      </w:r>
      <w:r>
        <w:rPr>
          <w:rFonts w:ascii="Times New Roman;sans-serif" w:hAnsi="Times New Roman;sans-serif"/>
          <w:b w:val="false"/>
          <w:color w:val="000000"/>
          <w:sz w:val="22"/>
        </w:rPr>
        <w:t>. (a) With respect to any amounts incurred or transactions entered into (or consummated) in reliance on a provision of any Loan Document that does not require compliance with a financial ratio or test (including the Leverage Ratio, the Total Net Leverage Ratio and/or the Senior Secured Net Leverage Ratio, whether or not specifically required to be determined on a pro forma basis) (any such amounts (which will include any related “grower” component, the “</w:t>
      </w:r>
      <w:r>
        <w:rPr>
          <w:rFonts w:ascii="Times New Roman;sans-serif" w:hAnsi="Times New Roman;sans-serif"/>
          <w:b w:val="false"/>
          <w:color w:val="000000"/>
          <w:sz w:val="22"/>
          <w:u w:val="single"/>
        </w:rPr>
        <w:t>Fixed Amounts</w:t>
      </w:r>
      <w:r>
        <w:rPr>
          <w:color w:val="000000"/>
        </w:rPr>
        <w:t>”</w:t>
      </w:r>
      <w:r>
        <w:rPr>
          <w:rFonts w:ascii="Times New Roman;sans-serif" w:hAnsi="Times New Roman;sans-serif"/>
          <w:b w:val="false"/>
          <w:color w:val="000000"/>
          <w:sz w:val="22"/>
        </w:rPr>
        <w:t>) substantially concurrently with any amounts incurred or transactions entered into (or consummated) in reliance on a provision of such Loan Document that requires compliance with a financial ratio or test (including the Leverage Ratio, the Total Net Leverage Ratio and/or the Senior Secured Net Leverage Ratio, whether or not specifically required to be determined on a pro forma basis) (any such amounts, the “</w:t>
      </w:r>
      <w:r>
        <w:rPr>
          <w:rFonts w:ascii="Times New Roman;sans-serif" w:hAnsi="Times New Roman;sans-serif"/>
          <w:b w:val="false"/>
          <w:color w:val="000000"/>
          <w:sz w:val="22"/>
          <w:u w:val="single"/>
        </w:rPr>
        <w:t>Incurrence-Based Amounts</w:t>
      </w:r>
      <w:r>
        <w:rPr>
          <w:color w:val="000000"/>
        </w:rPr>
        <w:t>”</w:t>
      </w:r>
      <w:r>
        <w:rPr>
          <w:rFonts w:ascii="Times New Roman;sans-serif" w:hAnsi="Times New Roman;sans-serif"/>
          <w:b w:val="false"/>
          <w:color w:val="000000"/>
          <w:sz w:val="22"/>
        </w:rPr>
        <w:t xml:space="preserve">), it is understood and agreed that the Fixed Amounts shall be disregarded in the calculation of the financial ratio or test applicable to such Incurrence-Based Amounts. For the avoidance of doubt, all Indebtedness and Liens substantially contemporaneously incurred will be included for purposes of determining compliance with incurrence-based ratio tests outside of the debt and liens covenants. </w:t>
      </w:r>
      <w:r>
        <w:br w:type="page"/>
      </w:r>
    </w:p>
    <w:p>
      <w:pPr>
        <w:pStyle w:val="TextBody"/>
        <w:spacing w:before="0" w:after="0"/>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60655"/>
                <wp:effectExtent l="0" t="0" r="0" b="0"/>
                <wp:wrapNone/>
                <wp:docPr id="148" name="Frame14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(b)    If the Parent Borrower or its Subsidiaries enters into any revolving, delayed draw or other committed debt facility, the Parent Borrower may elect to determine compliance of such debt facility with the Indebtedness and Liens covenants of this Agreement on the date definitive loan documents with respect thereto are executed by all parties thereto, assuming the full amount of such facility is incurred (and any applicable Liens are granted) on such date, in lieu of determining such compliance on any subsequent date (including any date on which Indebtedness is incurred pursuant to such facility);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full amount of such facility (and any applicable Liens that are granted in respect thereof) shall be deemed to be outstanding for all purposes of subsequent testings of the same baskets or exceptions (it being understood that any subsequent permanent reduction of outstanding amounts (or, without duplication, committed amounts) in respect of such facility shall correspondingly reduce the amount of such facility (and, if applicable, Liens) deemed outstanding.</w:t>
      </w:r>
    </w:p>
    <w:p>
      <w:pPr>
        <w:pStyle w:val="TextBody"/>
        <w:spacing w:lineRule="auto" w:line="240" w:before="0" w:after="240"/>
        <w:ind w:left="0" w:right="0" w:firstLine="1440"/>
        <w:rPr/>
      </w:pPr>
      <w:r>
        <w:rPr>
          <w:rFonts w:ascii="Times New Roman;sans-serif" w:hAnsi="Times New Roman;sans-serif"/>
          <w:b w:val="false"/>
          <w:color w:val="000000"/>
          <w:sz w:val="22"/>
        </w:rPr>
        <w:t>(B)</w:t>
      </w:r>
      <w:r>
        <w:rPr>
          <w:rFonts w:ascii="Times New Roman;sans-serif" w:hAnsi="Times New Roman;sans-serif"/>
          <w:b w:val="false"/>
          <w:color w:val="000000"/>
          <w:sz w:val="22"/>
        </w:rPr>
        <w:t>(c)    Notwithstanding anything in this Agreement or any other Loan Document to the contrary, any action or event permitted by this Agreement or the other Loan Documents need not be permitted solely by reference to one provision permitting such action or event but may be permitted in part by one such provision and in part by one or more other provisions of this Agreement and the other Loan Documents.</w:t>
      </w:r>
    </w:p>
    <w:p>
      <w:pPr>
        <w:pStyle w:val="TextBody"/>
        <w:spacing w:lineRule="auto" w:line="240" w:before="0" w:after="240"/>
        <w:ind w:left="0" w:right="0" w:firstLine="1440"/>
        <w:rPr/>
      </w:pPr>
      <w:r>
        <w:rPr>
          <w:rFonts w:ascii="Times New Roman;sans-serif" w:hAnsi="Times New Roman;sans-serif"/>
          <w:b w:val="false"/>
          <w:color w:val="000000"/>
          <w:sz w:val="22"/>
        </w:rPr>
        <w:t>SECTION 1.07    </w:t>
      </w:r>
      <w:r>
        <w:rPr>
          <w:rFonts w:ascii="Times New Roman;sans-serif" w:hAnsi="Times New Roman;sans-serif"/>
          <w:b w:val="false"/>
          <w:color w:val="000000"/>
          <w:sz w:val="22"/>
          <w:u w:val="single"/>
        </w:rPr>
        <w:t>Interest Rates; LIBOR Notification</w:t>
      </w:r>
      <w:r>
        <w:rPr>
          <w:rFonts w:ascii="Times New Roman;sans-serif" w:hAnsi="Times New Roman;sans-serif"/>
          <w:b w:val="false"/>
          <w:color w:val="000000"/>
          <w:sz w:val="22"/>
        </w:rPr>
        <w:t>. The interest rate on a Loan denominated in an Agreed Currency may be derived from an interest rate benchmark that is, or may in the future become, the subject of regulatory reform. 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The London interbank offered rate (“</w:t>
      </w:r>
      <w:r>
        <w:rPr>
          <w:rFonts w:ascii="Times New Roman;sans-serif" w:hAnsi="Times New Roman;sans-serif"/>
          <w:b w:val="false"/>
          <w:color w:val="000000"/>
          <w:sz w:val="22"/>
          <w:u w:val="single"/>
        </w:rPr>
        <w:t>LIBOR</w:t>
      </w:r>
      <w:r>
        <w:rPr>
          <w:color w:val="000000"/>
        </w:rPr>
        <w:t>”</w:t>
      </w:r>
      <w:r>
        <w:rPr>
          <w:rFonts w:ascii="Times New Roman;sans-serif" w:hAnsi="Times New Roman;sans-serif"/>
          <w:b w:val="false"/>
          <w:color w:val="000000"/>
          <w:sz w:val="22"/>
        </w:rPr>
        <w:t>) is intended to represent the rate at which contributing banks may obtain short-term borrowings from each other in the London interbank market. On March 5, 2021, the U.K. Financial Conduct Authority (“</w:t>
      </w:r>
      <w:r>
        <w:rPr>
          <w:rFonts w:ascii="Times New Roman;sans-serif" w:hAnsi="Times New Roman;sans-serif"/>
          <w:b w:val="false"/>
          <w:color w:val="000000"/>
          <w:sz w:val="22"/>
          <w:u w:val="single"/>
        </w:rPr>
        <w:t>FCA</w:t>
      </w:r>
      <w:r>
        <w:rPr>
          <w:color w:val="000000"/>
        </w:rPr>
        <w:t>”</w:t>
      </w:r>
      <w:r>
        <w:rPr>
          <w:rFonts w:ascii="Times New Roman;sans-serif" w:hAnsi="Times New Roman;sans-serif"/>
          <w:b w:val="false"/>
          <w:color w:val="000000"/>
          <w:sz w:val="22"/>
        </w:rPr>
        <w:t>) publicly announced that: (a) immediately after December 31, 2021, publication of all seven Euro LIBOR settings</w:t>
      </w:r>
      <w:r>
        <w:rPr>
          <w:rFonts w:ascii="Times New Roman;sans-serif" w:hAnsi="Times New Roman;sans-serif"/>
          <w:b w:val="false"/>
          <w:strike/>
          <w:color w:val="FF0000"/>
          <w:sz w:val="22"/>
        </w:rPr>
        <w:t>, the overnight, 1-week, 2-month and 12-month Pound Sterling LIBOR settings,</w:t>
      </w:r>
      <w:r>
        <w:rPr>
          <w:color w:val="000000"/>
        </w:rPr>
        <w:t xml:space="preserve"> </w:t>
      </w:r>
      <w:r>
        <w:rPr>
          <w:rFonts w:ascii="Times New Roman;sans-serif" w:hAnsi="Times New Roman;sans-serif"/>
          <w:b w:val="false"/>
          <w:color w:val="000000"/>
          <w:sz w:val="22"/>
        </w:rPr>
        <w:t>and the 1-week and 2-month dollar LIBOR settings will permanently cease; immediately after June 30, 2023, publication of the overnight and 12-month dollar LIBOR settings will permanently cease</w:t>
      </w:r>
      <w:r>
        <w:rPr>
          <w:rFonts w:ascii="Times New Roman;sans-serif" w:hAnsi="Times New Roman;sans-serif"/>
          <w:b w:val="false"/>
          <w:strike/>
          <w:color w:val="FF0000"/>
          <w:sz w:val="22"/>
        </w:rPr>
        <w:t>; immediately after December 31, 2021, the 1-month, 3-month and 6-month Pound Sterling LIBOR settings will cease to be provided or, subject to consultation by the FCA, be provided on a changed methodology (or “synthetic”) basis and no longer be representative of the underlying market and economic reality they are intended to measure and that representativeness will not be restored</w:t>
      </w:r>
      <w:r>
        <w:rPr>
          <w:rFonts w:ascii="Times New Roman;sans-serif" w:hAnsi="Times New Roman;sans-serif"/>
          <w:b w:val="false"/>
          <w:color w:val="000000"/>
          <w:sz w:val="22"/>
        </w:rPr>
        <w:t>; and immediately after June 30, 2023, the 1-month, 3-month and 6-month dollar LIBOR settings will cease to be provided or, subject to the FCA’s consideration of the case, be provided on a synthetic basis and no longer be representative of the underlying market and economic reality they are intended to measure and that representativeness will not be restored. There is no assurance that dates announced by the FCA will not change or that the administrator of LIBOR and/or regulators will not take further action that could impact the availability, composition, or characteristics of LIBOR or the currencies and/or tenors for which LIBOR is published. Each party to this agreement should consult its own advisors to stay informed of any such developments. Public and private sector industry initiatives are currently underway to identify new or alternative reference rates to be used in place of the LIBOR. Upon the occurrence of a Benchmark Transition Event, a Term SOFR Transition Event, a Term ESTR Transition Event or an Early Opt-in Election, Section 2.14(b) and (c) provide a mechanism for determining an alternative rate of interest. The Administrative Agent will promptly notify the Parent Borrower, pursuant to Section 2.14(e), of any change to the reference rate upon which the interest rate on Eurocurrency Loans is based. However, the Administrative Agent does not warrant or accept any responsibility for, and shall not have any liability with respect to, the administration, submission or any other matter related to the LIBOR or other rates in the definition of “LIBO Rate” or with respect to any alternative or successor rate thereto, or replacement rate thereof (including, without limitation, (i) any such alternative, successor or replacement rate implemented pursuant to Section 2.14(b) or (c), whether upon the occurrence of a Benchmark Transition Event, a Term SOFR Transition Event, a Term ESTR Transition Event or an Early Opt-in Election, and (ii) the implementation of any Benchmark Replacement Conforming Changes pursuant to Section 2.14(d)), including without limitation, whether the composition or characteristics of any such alternative, successor or replacement reference rate will be similar to, or produce the same value or economic equivalence of, the LIBO Rate or have the same volume or liquidity as did the London interbank offered rate prior to its discontinuance or unavailability.</w:t>
      </w:r>
      <w:r>
        <w:br w:type="page"/>
      </w:r>
    </w:p>
    <w:p>
      <w:pPr>
        <w:pStyle w:val="TextBody"/>
        <w:spacing w:before="0" w:after="0"/>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60655"/>
                <wp:effectExtent l="0" t="0" r="0" b="0"/>
                <wp:wrapNone/>
                <wp:docPr id="149" name="Frame14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00000"/>
          <w:sz w:val="22"/>
        </w:rPr>
        <w:t>SECTION 1.08    </w:t>
      </w:r>
      <w:r>
        <w:rPr>
          <w:rFonts w:ascii="Times New Roman;sans-serif" w:hAnsi="Times New Roman;sans-serif"/>
          <w:b w:val="false"/>
          <w:color w:val="000000"/>
          <w:sz w:val="22"/>
          <w:u w:val="single"/>
        </w:rPr>
        <w:t>Divisions</w:t>
      </w:r>
      <w:r>
        <w:rPr>
          <w:rFonts w:ascii="Times New Roman;sans-serif" w:hAnsi="Times New Roman;sans-serif"/>
          <w:b w:val="false"/>
          <w:color w:val="000000"/>
          <w:sz w:val="22"/>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spacing w:lineRule="auto" w:line="240" w:before="0" w:after="240"/>
        <w:jc w:val="center"/>
        <w:rPr/>
      </w:pPr>
      <w:r>
        <w:rPr>
          <w:rFonts w:ascii="Times New Roman;sans-serif" w:hAnsi="Times New Roman;sans-serif"/>
          <w:b w:val="false"/>
          <w:color w:val="000000"/>
          <w:sz w:val="22"/>
        </w:rPr>
        <w:t>ARTICLE II</w:t>
      </w:r>
      <w:r>
        <w:rPr>
          <w:rFonts w:ascii="Times New Roman;sans-serif" w:hAnsi="Times New Roman;sans-serif"/>
          <w:b w:val="false"/>
          <w:color w:val="000000"/>
          <w:sz w:val="22"/>
          <w:u w:val="single"/>
        </w:rPr>
        <w:br/>
        <w:br/>
        <w:t>The Credits</w:t>
      </w:r>
    </w:p>
    <w:p>
      <w:pPr>
        <w:pStyle w:val="TextBody"/>
        <w:spacing w:lineRule="auto" w:line="240" w:before="0" w:after="240"/>
        <w:ind w:left="0" w:right="0" w:firstLine="1440"/>
        <w:rPr/>
      </w:pPr>
      <w:r>
        <w:rPr>
          <w:rFonts w:ascii="Times New Roman;sans-serif" w:hAnsi="Times New Roman;sans-serif"/>
          <w:b w:val="false"/>
          <w:color w:val="000000"/>
          <w:sz w:val="22"/>
        </w:rPr>
        <w:t>SECTION 2.01    </w:t>
      </w:r>
      <w:r>
        <w:rPr>
          <w:rFonts w:ascii="Times New Roman;sans-serif" w:hAnsi="Times New Roman;sans-serif"/>
          <w:b w:val="false"/>
          <w:color w:val="000000"/>
          <w:sz w:val="22"/>
          <w:u w:val="single"/>
        </w:rPr>
        <w:t>Commitments</w:t>
      </w:r>
      <w:r>
        <w:rPr>
          <w:rFonts w:ascii="Times New Roman;sans-serif" w:hAnsi="Times New Roman;sans-serif"/>
          <w:b w:val="false"/>
          <w:color w:val="000000"/>
          <w:sz w:val="22"/>
        </w:rPr>
        <w:t>.</w:t>
      </w:r>
    </w:p>
    <w:p>
      <w:pPr>
        <w:pStyle w:val="TextBody"/>
        <w:spacing w:lineRule="auto" w:line="240" w:before="0" w:after="240"/>
        <w:ind w:left="0" w:right="0" w:firstLine="1440"/>
        <w:rPr/>
      </w:pPr>
      <w:r>
        <w:rPr>
          <w:rFonts w:ascii="Times New Roman;sans-serif" w:hAnsi="Times New Roman;sans-serif"/>
          <w:b w:val="false"/>
          <w:color w:val="000000"/>
          <w:sz w:val="22"/>
        </w:rPr>
        <w:t xml:space="preserve">(a)    Subject to the terms and conditions set forth herein, (i) each Revolving Lender agrees to make Revolving Loans in dollars to the Parent Borrower and the Foreign Subsidiary Borrowers, as the case may be, from time to time during the Revolving Availability Period in an aggregate principal amount at any one time outstanding that, when added (after giving effect to any application of proceeds of such Revolving Loans to repay outstanding Swingline Loans) to such Lender’s Revolving Exposure at such time, does not exceed such Lender’s Revolving Commitment, and (ii) each Foreign Currency Lender agrees, with respect to any Foreign Currency Loan in a Foreign Currency for which it is designated a Foreign Currency Lender, to make Foreign Currency Loans to the Parent Borrower or the Foreign Subsidiary Borrowers, as the case may be, from time to time during the Revolving Availability Period;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after giving effect to the requested Foreign Currency Loan (and after giving effect to any application of proceeds of such Foreign Currency Loan pursuant to Section 2.04), (x) the Foreign Currency Revolving Exposure of all Revolving Lenders does not exceed the Foreign Currency Sublimit, (y) such Lender’s Revolving Exposure at such time does not exceed the amount of such Lender’s Revolving Commitment and (z) the total Revolving Exposure at such time does not exceed the total Revolving Commitments.</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(b)    Within the foregoing limits and subject to the terms and conditions set forth herein, the Parent Borrower and the Foreign Subsidiary Borrowers, as the case may be, may borrow, prepay and reborrow Revolving Loans. </w:t>
      </w:r>
    </w:p>
    <w:p>
      <w:pPr>
        <w:pStyle w:val="TextBody"/>
        <w:spacing w:lineRule="auto" w:line="240" w:before="0" w:after="240"/>
        <w:ind w:left="0" w:right="0" w:firstLine="1440"/>
        <w:rPr/>
      </w:pPr>
      <w:r>
        <w:rPr>
          <w:rFonts w:ascii="Times New Roman;sans-serif" w:hAnsi="Times New Roman;sans-serif"/>
          <w:b w:val="false"/>
          <w:color w:val="000000"/>
          <w:sz w:val="22"/>
        </w:rPr>
        <w:t>SECTION 2.02    </w:t>
      </w:r>
      <w:r>
        <w:rPr>
          <w:rFonts w:ascii="Times New Roman;sans-serif" w:hAnsi="Times New Roman;sans-serif"/>
          <w:b w:val="false"/>
          <w:color w:val="000000"/>
          <w:sz w:val="22"/>
          <w:u w:val="single"/>
        </w:rPr>
        <w:t>Loans and Borrowings</w:t>
      </w:r>
      <w:r>
        <w:rPr>
          <w:rFonts w:ascii="Times New Roman;sans-serif" w:hAnsi="Times New Roman;sans-serif"/>
          <w:b w:val="false"/>
          <w:color w:val="000000"/>
          <w:sz w:val="22"/>
        </w:rPr>
        <w:t>.</w:t>
      </w:r>
    </w:p>
    <w:p>
      <w:pPr>
        <w:pStyle w:val="TextBody"/>
        <w:spacing w:lineRule="auto" w:line="240" w:before="0" w:after="240"/>
        <w:ind w:left="0" w:right="0" w:firstLine="1440"/>
        <w:rPr/>
      </w:pPr>
      <w:r>
        <w:rPr>
          <w:rFonts w:ascii="Times New Roman;sans-serif" w:hAnsi="Times New Roman;sans-serif"/>
          <w:b w:val="false"/>
          <w:color w:val="000000"/>
          <w:sz w:val="22"/>
        </w:rPr>
        <w:t xml:space="preserve">(a)    Each Loan (other than a Swingline Loan or a Foreign Currency Loan) shall be made as part of a Borrowing consisting of Loans of the same Type made by the Lenders ratably in accordance with their respective Commitments. The failure of any Lender to make any Loan required to be made by it shall not relieve any other Lender of its obligations 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Commitments of the Lenders are several and no Lender shall be responsible for any other Lender’s failure to make Loans as required.</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(b)    Each Foreign Currency Loan shall be made as part of a Borrowing consisting of Foreign Currency Loans denominated in the same Foreign Currency made by the applicable Foreign Currency Lenders. With respect to any Borrowing of Foreign Currency Loans, the Foreign Currency Loan of each applicable Foreign Currency Lender (other than the Fronting Lender) shall be in an amount equal to its Applicable Percentage of such Borrowing and the Foreign Currency Loan of the Fronting Lender shall be in an amount equal to the aggregate amount of such Borrowing less the amount of the Foreign Currency Loans being made by other applicable Foreign Currency Lenders and comprising part of such Borrowing.</w:t>
      </w:r>
    </w:p>
    <w:p>
      <w:pPr>
        <w:pStyle w:val="TextBody"/>
        <w:spacing w:lineRule="auto" w:line="240" w:before="0" w:after="240"/>
        <w:ind w:left="0" w:right="0" w:firstLine="1440"/>
        <w:rPr/>
      </w:pPr>
      <w:r>
        <w:rPr>
          <w:rFonts w:ascii="Times New Roman;sans-serif" w:hAnsi="Times New Roman;sans-serif"/>
          <w:b w:val="false"/>
          <w:color w:val="000000"/>
          <w:sz w:val="22"/>
        </w:rPr>
        <w:t>(c)    Subject to Section 2.14, each Loan (other than a Swingline Loan or a Foreign Currency Loan) shall be comprised entirely of ABR Loans or Eurocurrency Loans as the Parent Borrower may request in accordance herewith. Each Swingline Loan shall be an ABR Loan</w:t>
      </w:r>
      <w:r>
        <w:rPr>
          <w:strike/>
          <w:color w:val="FF0000"/>
        </w:rPr>
        <w:t xml:space="preserve"> </w:t>
      </w:r>
      <w:r>
        <w:rPr>
          <w:rFonts w:ascii="Times New Roman;sans-serif" w:hAnsi="Times New Roman;sans-serif"/>
          <w:b w:val="false"/>
          <w:strike/>
          <w:color w:val="FF0000"/>
          <w:sz w:val="22"/>
        </w:rPr>
        <w:t>and</w:t>
      </w:r>
      <w:r>
        <w:rPr>
          <w:rFonts w:ascii="Times New Roman;sans-serif" w:hAnsi="Times New Roman;sans-serif"/>
          <w:b w:val="false"/>
          <w:color w:val="0000FF"/>
          <w:sz w:val="22"/>
          <w:highlight w:val="lightGray"/>
          <w:u w:val="single"/>
        </w:rPr>
        <w:t>.</w:t>
      </w:r>
      <w:r>
        <w:rPr>
          <w:color w:val="000000"/>
        </w:rPr>
        <w:t xml:space="preserve"> </w:t>
      </w:r>
      <w:r>
        <w:rPr>
          <w:rFonts w:ascii="Times New Roman;sans-serif" w:hAnsi="Times New Roman;sans-serif"/>
          <w:b w:val="false"/>
          <w:strike/>
          <w:color w:val="FF0000"/>
          <w:sz w:val="22"/>
        </w:rPr>
        <w:t>e</w:t>
      </w:r>
      <w:r>
        <w:rPr>
          <w:rFonts w:ascii="Times New Roman;sans-serif" w:hAnsi="Times New Roman;sans-serif"/>
          <w:b w:val="false"/>
          <w:color w:val="0000FF"/>
          <w:sz w:val="22"/>
          <w:highlight w:val="lightGray"/>
          <w:u w:val="single"/>
        </w:rPr>
        <w:t>E</w:t>
      </w:r>
      <w:r>
        <w:rPr>
          <w:rFonts w:ascii="Times New Roman;sans-serif" w:hAnsi="Times New Roman;sans-serif"/>
          <w:b w:val="false"/>
          <w:color w:val="000000"/>
          <w:sz w:val="22"/>
        </w:rPr>
        <w:t xml:space="preserve">ach Foreign Currency Loan </w:t>
      </w:r>
      <w:r>
        <w:rPr>
          <w:rFonts w:ascii="Times New Roman;sans-serif" w:hAnsi="Times New Roman;sans-serif"/>
          <w:b w:val="false"/>
          <w:color w:val="0000FF"/>
          <w:sz w:val="22"/>
          <w:highlight w:val="lightGray"/>
          <w:u w:val="single"/>
        </w:rPr>
        <w:t>denominated in any currency other than Pounds Sterling</w:t>
      </w:r>
      <w:r>
        <w:rPr>
          <w:color w:val="000000"/>
        </w:rPr>
        <w:t xml:space="preserve"> </w:t>
      </w:r>
      <w:r>
        <w:rPr>
          <w:rFonts w:ascii="Times New Roman;sans-serif" w:hAnsi="Times New Roman;sans-serif"/>
          <w:b w:val="false"/>
          <w:color w:val="000000"/>
          <w:sz w:val="22"/>
        </w:rPr>
        <w:t xml:space="preserve">shall be </w:t>
      </w:r>
      <w:r>
        <w:rPr>
          <w:rFonts w:ascii="Times New Roman;sans-serif" w:hAnsi="Times New Roman;sans-serif"/>
          <w:b w:val="false"/>
          <w:strike/>
          <w:color w:val="FF0000"/>
          <w:sz w:val="22"/>
        </w:rPr>
        <w:t>a</w:t>
      </w:r>
      <w:r>
        <w:rPr>
          <w:rFonts w:ascii="Times New Roman;sans-serif" w:hAnsi="Times New Roman;sans-serif"/>
          <w:b w:val="false"/>
          <w:color w:val="0000FF"/>
          <w:sz w:val="22"/>
          <w:highlight w:val="lightGray"/>
          <w:u w:val="single"/>
        </w:rPr>
        <w:t>comprised entirely of</w:t>
      </w:r>
      <w:r>
        <w:rPr>
          <w:color w:val="000000"/>
        </w:rPr>
        <w:t xml:space="preserve"> </w:t>
      </w:r>
      <w:r>
        <w:rPr>
          <w:rFonts w:ascii="Times New Roman;sans-serif" w:hAnsi="Times New Roman;sans-serif"/>
          <w:b w:val="false"/>
          <w:color w:val="000000"/>
          <w:sz w:val="22"/>
        </w:rPr>
        <w:t xml:space="preserve">Eurocurrency </w:t>
      </w:r>
      <w:r>
        <w:rPr>
          <w:rFonts w:ascii="Times New Roman;sans-serif" w:hAnsi="Times New Roman;sans-serif"/>
          <w:b w:val="false"/>
          <w:strike/>
          <w:color w:val="FF0000"/>
          <w:sz w:val="22"/>
        </w:rPr>
        <w:t>Loan</w:t>
      </w:r>
      <w:r>
        <w:rPr>
          <w:rFonts w:ascii="Times New Roman;sans-serif" w:hAnsi="Times New Roman;sans-serif"/>
          <w:b w:val="false"/>
          <w:color w:val="0000FF"/>
          <w:sz w:val="22"/>
          <w:highlight w:val="lightGray"/>
          <w:u w:val="single"/>
        </w:rPr>
        <w:t>Loans. Each Foreign Currency Loan denominated in Pounds Sterling shall be comprised entirely of RFR Loans</w:t>
      </w:r>
      <w:r>
        <w:rPr>
          <w:rFonts w:ascii="Times New Roman;sans-serif" w:hAnsi="Times New Roman;sans-serif"/>
          <w:b w:val="false"/>
          <w:color w:val="000000"/>
          <w:sz w:val="22"/>
        </w:rPr>
        <w:t xml:space="preserve">. Each Lender at its option may make any Loan or other extension of </w:t>
      </w:r>
      <w:r>
        <w:br w:type="page"/>
      </w:r>
    </w:p>
    <w:p>
      <w:pPr>
        <w:pStyle w:val="TextBody"/>
        <w:spacing w:before="0" w:after="0"/>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60655"/>
                <wp:effectExtent l="0" t="0" r="0" b="0"/>
                <wp:wrapNone/>
                <wp:docPr id="150" name="Frame14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2"/>
        </w:rPr>
        <w:t xml:space="preserve">credit hereunder by causing any domestic or foreign branch or Affiliate of such Lender to make such Loan or other extension of credit;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exercise of such option shall not affect the obligation of the Parent Borrower or a Foreign Subsidiary Borrower, as the case may be, to repay such Loan in accordance with the terms of this Agreement.</w:t>
      </w:r>
    </w:p>
    <w:p>
      <w:pPr>
        <w:pStyle w:val="TextBody"/>
        <w:spacing w:lineRule="auto" w:line="240" w:before="0" w:after="240"/>
        <w:ind w:left="0" w:right="0" w:firstLine="1440"/>
        <w:rPr/>
      </w:pPr>
      <w:r>
        <w:rPr>
          <w:rFonts w:ascii="Times New Roman;sans-serif" w:hAnsi="Times New Roman;sans-serif"/>
          <w:b w:val="false"/>
          <w:color w:val="000000"/>
          <w:sz w:val="22"/>
        </w:rPr>
        <w:t xml:space="preserve">(d)    At the commencement of each Interest Period for any Eurocurrency Borrowing in dollars, such Borrowing shall be in an aggregate amount that is an integral multiple of $1,000,000 and not less than $1,000,000;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Eurocurrency Revolving Borrowing may be in an aggregate amount that is equal to the amount that is required to finance the reimbursement of an LC Disbursement made in respect of a Letter of Credit denominated in dollars for which a Foreign Subsidiary Borrower is the applicant or a co-applicant, as contemplated by Section 2.05(e). At the time that each ABR Revolving Borrowing is made, such Borrowing shall be in an aggregate amount that is an integral multiple of $500,000 and not less than $1,000,000;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an ABR Revolving Borrowing may be in an aggregate amount that is equal to the entire unused balance of the total Revolving Commitments and (ii) an ABR Revolving Borrowing may be in an aggregate amount that is equal to the amount that is required to finance the reimbursement of an LC Disbursement made in respect of a Letter of Credit denominated in dollars for which the Parent Borrower is the applicant or a co-applicant, as contemplated by Section 2.05(e). Each Borrowing of Foreign Currency Loans in a particular Foreign Currency shall be in a minimum amount as set forth on the Administrative Schedule;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Borrowing of Foreign Currency Loans may be in an aggregate amount that is equal to the amount that is required to finance the reimbursement of an LC Disbursement made in respect of a Letter of Credit denominated in an LC Foreign Currency, as contemplated by Section 2.05(e). Each Swingline Loan shall be in an amount that is an integral multiple of $250,000 and not less than $250,000. Borrowings of more than one Type may be outstanding at the same time;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there shall not at any time be more than a total of 12 Eurocurrency Borrowings in dollars outstanding. There shall be no more than six Borrowings of Foreign Currency Loans outstanding at any time.</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(e)    Notwithstanding any other provision of this Agreement, none of the Parent Borrower or any Foreign Subsidiary Borrower shall be entitled to request, or to elect to convert or continue, any Borrowing if the Interest Period requested with respect thereto would end after the Maturity Date applicable thereto.</w:t>
      </w:r>
    </w:p>
    <w:p>
      <w:pPr>
        <w:pStyle w:val="TextBody"/>
        <w:spacing w:lineRule="auto" w:line="240" w:before="0" w:after="240"/>
        <w:ind w:left="0" w:right="0" w:firstLine="1440"/>
        <w:rPr/>
      </w:pPr>
      <w:r>
        <w:rPr>
          <w:rFonts w:ascii="Times New Roman;sans-serif" w:hAnsi="Times New Roman;sans-serif"/>
          <w:b w:val="false"/>
          <w:color w:val="000000"/>
          <w:sz w:val="22"/>
        </w:rPr>
        <w:t>SECTION 2.03    </w:t>
      </w:r>
      <w:r>
        <w:rPr>
          <w:rFonts w:ascii="Times New Roman;sans-serif" w:hAnsi="Times New Roman;sans-serif"/>
          <w:b w:val="false"/>
          <w:color w:val="000000"/>
          <w:sz w:val="22"/>
          <w:u w:val="single"/>
        </w:rPr>
        <w:t>Requests for Borrowings</w:t>
      </w:r>
      <w:r>
        <w:rPr>
          <w:rFonts w:ascii="Times New Roman;sans-serif" w:hAnsi="Times New Roman;sans-serif"/>
          <w:b w:val="false"/>
          <w:color w:val="000000"/>
          <w:sz w:val="22"/>
        </w:rPr>
        <w:t>.</w:t>
      </w:r>
    </w:p>
    <w:p>
      <w:pPr>
        <w:pStyle w:val="TextBody"/>
        <w:spacing w:lineRule="auto" w:line="240" w:before="0" w:after="240"/>
        <w:ind w:left="0" w:right="0" w:firstLine="1440"/>
        <w:rPr/>
      </w:pPr>
      <w:r>
        <w:rPr>
          <w:rFonts w:ascii="Times New Roman;sans-serif" w:hAnsi="Times New Roman;sans-serif"/>
          <w:b w:val="false"/>
          <w:color w:val="000000"/>
          <w:sz w:val="22"/>
        </w:rPr>
        <w:t xml:space="preserve">(a)    To request a Revolving Borrowing (other than a Borrowing of a Foreign Currency Loan), the Parent Borrower shall notify the Administrative Agent of such request by telephone (i) in the case of a Eurocurrency Borrowing, not later than 12:00 noon, New York City time, three Business Days before the date of the proposed Borrowing or (ii) in the case of an ABR Borrowing, not later than 12:00 noon, New York City time, one Business Day before the date of the proposed Borrowing;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such notice of an ABR Revolving Borrowing to finance the reimbursement of an LC Disbursement as contemplated by Section 2.05(e) may be given not later than 10:00 a.m., New York City time, on the date of the proposed Borrowing. Each such telephonic Borrowing Request shall be irrevocable and shall be confirmed promptly by hand delivery or telecopy to the Administrative Agent of a written Borrowing Request signed by the Parent Borrower. Each such telephonic and written Borrowing Request shall specify the following information in compliance with Section 2.02:</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    [reserved];</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(ii)    the aggregate amount of such Borrowing;</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(iii)    the date of such Borrowing, which shall be a Business Day;</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(iv)    whether such Borrowing is to be an ABR Borrowing or a Eurocurrency Borrowing;</w:t>
      </w:r>
    </w:p>
    <w:p>
      <w:pPr>
        <w:pStyle w:val="TextBody"/>
        <w:spacing w:lineRule="auto" w:line="240" w:before="0" w:after="240"/>
        <w:ind w:left="0" w:right="0" w:firstLine="1008"/>
        <w:rPr/>
      </w:pPr>
      <w:r>
        <w:rPr>
          <w:rFonts w:ascii="Times New Roman;sans-serif" w:hAnsi="Times New Roman;sans-serif"/>
          <w:b w:val="false"/>
          <w:color w:val="000000"/>
          <w:sz w:val="22"/>
        </w:rPr>
        <w:t>(v)    in the case of a Eurocurrency Borrowing, the initial Interest Period to be applicable thereto, which shall be a period contemplated by the definition of the term “</w:t>
      </w:r>
      <w:r>
        <w:rPr>
          <w:rFonts w:ascii="Times New Roman;sans-serif" w:hAnsi="Times New Roman;sans-serif"/>
          <w:b w:val="false"/>
          <w:color w:val="000000"/>
          <w:sz w:val="22"/>
          <w:u w:val="single"/>
        </w:rPr>
        <w:t>Interest Period</w:t>
      </w:r>
      <w:r>
        <w:rPr>
          <w:color w:val="000000"/>
        </w:rPr>
        <w:t>”</w:t>
      </w:r>
      <w:r>
        <w:rPr>
          <w:rFonts w:ascii="Times New Roman;sans-serif" w:hAnsi="Times New Roman;sans-serif"/>
          <w:b w:val="false"/>
          <w:color w:val="000000"/>
          <w:sz w:val="22"/>
        </w:rPr>
        <w:t>; and</w:t>
      </w:r>
      <w:r>
        <w:br w:type="page"/>
      </w:r>
    </w:p>
    <w:p>
      <w:pPr>
        <w:pStyle w:val="TextBody"/>
        <w:spacing w:before="0" w:after="0"/>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60655"/>
                <wp:effectExtent l="0" t="0" r="0" b="0"/>
                <wp:wrapNone/>
                <wp:docPr id="151" name="Frame15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txbxContent>
                </v:textbox>
              </v:rect>
            </w:pict>
          </mc:Fallback>
        </mc:AlternateConten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(vi)    the location and number of the Parent Borrower’s or the applicable Foreign Subsidiary Borrower’s, as the case may be, account to which funds are to be disbursed, which shall comply with the requirements of Section 2.06.</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If no election as to the Type of Borrowing is specified, then the requested Borrowing shall be an ABR Borrowing. If no Interest Period is specified with respect to any requested Eurocurrency Borrowing, then the Parent Borrower shall be deemed to have selected an Interest Period of one month’s duration. Promptly following receipt of a Borrowing Request in accordance with this Section 2.03(a), the Administrative Agent shall advise each Lender of the details thereof and of the amount of such Lender’s Loan to be made as part of the requested Borrowing.</w:t>
      </w:r>
    </w:p>
    <w:p>
      <w:pPr>
        <w:pStyle w:val="TextBody"/>
        <w:spacing w:lineRule="auto" w:line="240" w:before="0" w:after="240"/>
        <w:ind w:left="0" w:right="0" w:firstLine="1440"/>
        <w:rPr/>
      </w:pPr>
      <w:r>
        <w:rPr>
          <w:rFonts w:ascii="Times New Roman;sans-serif" w:hAnsi="Times New Roman;sans-serif"/>
          <w:b w:val="false"/>
          <w:color w:val="000000"/>
          <w:sz w:val="22"/>
        </w:rPr>
        <w:t>(b)    To request a Foreign Currency Loan, the Parent Borrower shall notify the Administrative Agent of such request, not later than</w:t>
      </w:r>
      <w:r>
        <w:rPr>
          <w:rFonts w:ascii="Times New Roman;sans-serif" w:hAnsi="Times New Roman;sans-serif"/>
          <w:b w:val="false"/>
          <w:color w:val="0000FF"/>
          <w:sz w:val="22"/>
          <w:highlight w:val="lightGray"/>
          <w:u w:val="single"/>
        </w:rPr>
        <w:t>, in the case of Foreign Currency Loans denominated in Euros,</w:t>
      </w:r>
      <w:r>
        <w:rPr>
          <w:color w:val="000000"/>
        </w:rPr>
        <w:t xml:space="preserve"> </w:t>
      </w:r>
      <w:r>
        <w:rPr>
          <w:rFonts w:ascii="Times New Roman;sans-serif" w:hAnsi="Times New Roman;sans-serif"/>
          <w:b w:val="false"/>
          <w:color w:val="000000"/>
          <w:sz w:val="22"/>
        </w:rPr>
        <w:t xml:space="preserve">12:00 noon, Local Time, four </w:t>
      </w:r>
      <w:r>
        <w:rPr>
          <w:rFonts w:ascii="Times New Roman;sans-serif" w:hAnsi="Times New Roman;sans-serif"/>
          <w:b w:val="false"/>
          <w:color w:val="0000FF"/>
          <w:sz w:val="22"/>
          <w:highlight w:val="lightGray"/>
          <w:u w:val="single"/>
        </w:rPr>
        <w:t>Business Days prior to the date of the proposed Borrowing and, in the case of Foreign Currency Loans denominated in Pounds Sterling, 11:00 a.m., New York City time, five RFR</w:t>
      </w:r>
      <w:r>
        <w:rPr>
          <w:color w:val="000000"/>
        </w:rPr>
        <w:t xml:space="preserve"> </w:t>
      </w:r>
      <w:r>
        <w:rPr>
          <w:rFonts w:ascii="Times New Roman;sans-serif" w:hAnsi="Times New Roman;sans-serif"/>
          <w:b w:val="false"/>
          <w:color w:val="000000"/>
          <w:sz w:val="22"/>
        </w:rPr>
        <w:t>Business Days prior to the date of the proposed Borrowing. Each such Borrowing Request shall be irrevocable and shall be hand delivered or sent by telecopy to the Administrative Agent and such Borrowing Request shall be signed by the Parent Borrower. Each such written Borrowing Request shall specify the following information in compliance with Section 2.02:</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    the amount of Foreign Currency Loans to be borrowed;</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(ii)    the date of such Borrowing, which shall be a Business Day;</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(iii)    the Foreign Currency in which such Foreign Currency Loans will be denominated;</w:t>
      </w:r>
    </w:p>
    <w:p>
      <w:pPr>
        <w:pStyle w:val="TextBody"/>
        <w:spacing w:lineRule="auto" w:line="240" w:before="0" w:after="240"/>
        <w:ind w:left="0" w:right="0" w:firstLine="1008"/>
        <w:rPr/>
      </w:pPr>
      <w:r>
        <w:rPr>
          <w:rFonts w:ascii="Times New Roman;sans-serif" w:hAnsi="Times New Roman;sans-serif"/>
          <w:b w:val="false"/>
          <w:color w:val="0000FF"/>
          <w:sz w:val="22"/>
          <w:highlight w:val="lightGray"/>
          <w:u w:val="single"/>
        </w:rPr>
        <w:t>(iv)</w:t>
      </w:r>
      <w:r>
        <w:rPr>
          <w:color w:val="000000"/>
        </w:rPr>
        <w:t>    </w:t>
      </w:r>
      <w:r>
        <w:rPr>
          <w:rFonts w:ascii="Times New Roman;sans-serif" w:hAnsi="Times New Roman;sans-serif"/>
          <w:b w:val="false"/>
          <w:color w:val="0000FF"/>
          <w:sz w:val="22"/>
          <w:highlight w:val="lightGray"/>
          <w:u w:val="single"/>
        </w:rPr>
        <w:t>whether such Borrowing is to be a Eurocurrency Borrowing or an RFR Borrowing;</w:t>
      </w:r>
    </w:p>
    <w:p>
      <w:pPr>
        <w:pStyle w:val="TextBody"/>
        <w:spacing w:lineRule="auto" w:line="240" w:before="0" w:after="240"/>
        <w:ind w:left="0" w:right="0" w:firstLine="1008"/>
        <w:rPr/>
      </w:pPr>
      <w:r>
        <w:rPr>
          <w:rFonts w:ascii="Times New Roman;sans-serif" w:hAnsi="Times New Roman;sans-serif"/>
          <w:b w:val="false"/>
          <w:color w:val="000000"/>
          <w:sz w:val="22"/>
        </w:rPr>
        <w:t>(</w:t>
      </w:r>
      <w:r>
        <w:rPr>
          <w:rFonts w:ascii="Times New Roman;sans-serif" w:hAnsi="Times New Roman;sans-serif"/>
          <w:b w:val="false"/>
          <w:strike/>
          <w:color w:val="FF0000"/>
          <w:sz w:val="22"/>
        </w:rPr>
        <w:t>iv</w:t>
      </w:r>
      <w:r>
        <w:rPr>
          <w:rFonts w:ascii="Times New Roman;sans-serif" w:hAnsi="Times New Roman;sans-serif"/>
          <w:b w:val="false"/>
          <w:color w:val="0000FF"/>
          <w:sz w:val="22"/>
          <w:highlight w:val="lightGray"/>
          <w:u w:val="single"/>
        </w:rPr>
        <w:t>v</w:t>
      </w:r>
      <w:r>
        <w:rPr>
          <w:rFonts w:ascii="Times New Roman;sans-serif" w:hAnsi="Times New Roman;sans-serif"/>
          <w:b w:val="false"/>
          <w:color w:val="000000"/>
          <w:sz w:val="22"/>
        </w:rPr>
        <w:t>)    </w:t>
      </w:r>
      <w:r>
        <w:rPr>
          <w:rFonts w:ascii="Times New Roman;sans-serif" w:hAnsi="Times New Roman;sans-serif"/>
          <w:b w:val="false"/>
          <w:color w:val="0000FF"/>
          <w:sz w:val="22"/>
          <w:highlight w:val="lightGray"/>
          <w:u w:val="single"/>
        </w:rPr>
        <w:t>in the case of a Eurocurrency Borrowing,</w:t>
      </w:r>
      <w:r>
        <w:rPr>
          <w:color w:val="000000"/>
        </w:rPr>
        <w:t xml:space="preserve"> </w:t>
      </w:r>
      <w:r>
        <w:rPr>
          <w:rFonts w:ascii="Times New Roman;sans-serif" w:hAnsi="Times New Roman;sans-serif"/>
          <w:b w:val="false"/>
          <w:color w:val="000000"/>
          <w:sz w:val="22"/>
        </w:rPr>
        <w:t>the length of the initial Interest Period therefor; and</w:t>
      </w:r>
    </w:p>
    <w:p>
      <w:pPr>
        <w:pStyle w:val="TextBody"/>
        <w:spacing w:lineRule="auto" w:line="240" w:before="0" w:after="240"/>
        <w:ind w:left="0" w:right="0" w:firstLine="1008"/>
        <w:rPr/>
      </w:pPr>
      <w:r>
        <w:rPr>
          <w:rFonts w:ascii="Times New Roman;sans-serif" w:hAnsi="Times New Roman;sans-serif"/>
          <w:b w:val="false"/>
          <w:color w:val="000000"/>
          <w:sz w:val="22"/>
        </w:rPr>
        <w:t>(</w:t>
      </w:r>
      <w:r>
        <w:rPr>
          <w:rFonts w:ascii="Times New Roman;sans-serif" w:hAnsi="Times New Roman;sans-serif"/>
          <w:b w:val="false"/>
          <w:strike/>
          <w:color w:val="FF0000"/>
          <w:sz w:val="22"/>
        </w:rPr>
        <w:t>v</w:t>
      </w:r>
      <w:r>
        <w:rPr>
          <w:rFonts w:ascii="Times New Roman;sans-serif" w:hAnsi="Times New Roman;sans-serif"/>
          <w:b w:val="false"/>
          <w:color w:val="0000FF"/>
          <w:sz w:val="22"/>
          <w:highlight w:val="lightGray"/>
          <w:u w:val="single"/>
        </w:rPr>
        <w:t>vi</w:t>
      </w:r>
      <w:r>
        <w:rPr>
          <w:rFonts w:ascii="Times New Roman;sans-serif" w:hAnsi="Times New Roman;sans-serif"/>
          <w:b w:val="false"/>
          <w:color w:val="000000"/>
          <w:sz w:val="22"/>
        </w:rPr>
        <w:t>)    the location and number of the Parent Borrower’s or the applicable Foreign Subsidiary Borrower’s, as the case may be, account to which funds are to be disbursed, which shall comply with the requirements of Section 2.06.</w:t>
      </w:r>
    </w:p>
    <w:p>
      <w:pPr>
        <w:pStyle w:val="TextBody"/>
        <w:spacing w:lineRule="auto" w:line="240" w:before="0" w:after="240"/>
        <w:rPr/>
      </w:pPr>
      <w:r>
        <w:rPr>
          <w:rFonts w:ascii="Times New Roman;sans-serif" w:hAnsi="Times New Roman;sans-serif"/>
          <w:b w:val="false"/>
          <w:color w:val="000000"/>
          <w:sz w:val="22"/>
        </w:rPr>
        <w:t xml:space="preserve">If no Interest Period is specified with respect to any requested </w:t>
      </w:r>
      <w:r>
        <w:rPr>
          <w:rFonts w:ascii="Times New Roman;sans-serif" w:hAnsi="Times New Roman;sans-serif"/>
          <w:b w:val="false"/>
          <w:color w:val="0000FF"/>
          <w:sz w:val="22"/>
          <w:highlight w:val="lightGray"/>
          <w:u w:val="single"/>
        </w:rPr>
        <w:t>Eurocurrency</w:t>
      </w:r>
      <w:r>
        <w:rPr>
          <w:color w:val="000000"/>
        </w:rPr>
        <w:t xml:space="preserve"> </w:t>
      </w:r>
      <w:r>
        <w:rPr>
          <w:rFonts w:ascii="Times New Roman;sans-serif" w:hAnsi="Times New Roman;sans-serif"/>
          <w:b w:val="false"/>
          <w:color w:val="000000"/>
          <w:sz w:val="22"/>
        </w:rPr>
        <w:t>Borrowing of Foreign Currency Loans, then the Parent Borrower shall be deemed to have selected an Interest Period of three months’ duration. Promptly following receipt of a Borrowing Request in accordance with this Section 2.03(b), the Administrative Agent shall advise each applicable Foreign Currency Lender of the details thereof and of the amount of such Lender’s Loan to be made as part of the requested Borrowing. On the date of each Borrowing, each applicable Foreign Currency Lender will make the amount of its share of such Borrowing available to the Administrative Agent at the applicable office specified on the Administrative Schedule, prior to the time specified on the Administrative Schedule for the relevant Foreign Currency, in the relevant Foreign Currency in immediately available funds.</w:t>
      </w:r>
    </w:p>
    <w:p>
      <w:pPr>
        <w:pStyle w:val="TextBody"/>
        <w:spacing w:lineRule="auto" w:line="240" w:before="0" w:after="240"/>
        <w:ind w:left="0" w:right="0" w:firstLine="1440"/>
        <w:rPr/>
      </w:pPr>
      <w:r>
        <w:rPr>
          <w:rFonts w:ascii="Times New Roman;sans-serif" w:hAnsi="Times New Roman;sans-serif"/>
          <w:b w:val="false"/>
          <w:color w:val="000000"/>
          <w:sz w:val="22"/>
        </w:rPr>
        <w:t>SECTION 2.04    </w:t>
      </w:r>
      <w:r>
        <w:rPr>
          <w:rFonts w:ascii="Times New Roman;sans-serif" w:hAnsi="Times New Roman;sans-serif"/>
          <w:b w:val="false"/>
          <w:color w:val="000000"/>
          <w:sz w:val="22"/>
          <w:u w:val="single"/>
        </w:rPr>
        <w:t>Swingline Loans</w:t>
      </w:r>
      <w:r>
        <w:rPr>
          <w:rFonts w:ascii="Times New Roman;sans-serif" w:hAnsi="Times New Roman;sans-serif"/>
          <w:b w:val="false"/>
          <w:color w:val="000000"/>
          <w:sz w:val="22"/>
        </w:rPr>
        <w:t>.</w:t>
      </w:r>
    </w:p>
    <w:p>
      <w:pPr>
        <w:pStyle w:val="TextBody"/>
        <w:spacing w:lineRule="auto" w:line="240" w:before="0" w:after="240"/>
        <w:ind w:left="0" w:right="0" w:firstLine="1440"/>
        <w:rPr/>
      </w:pPr>
      <w:r>
        <w:rPr>
          <w:rFonts w:ascii="Times New Roman;sans-serif" w:hAnsi="Times New Roman;sans-serif"/>
          <w:b w:val="false"/>
          <w:color w:val="000000"/>
          <w:sz w:val="22"/>
        </w:rPr>
        <w:t xml:space="preserve">(a)    Subject to the terms and conditions set forth herein, from time to time during the Revolving Availability Period, each Swingline Lender may, in its sole discretion, make Swingline Loans in dollars to the Parent Borrower in an aggregate principal amount at any time outstanding that will not result in (i) the Revolving Exposure of such Swingline Lender (in its capacity as a Revolving Lender) exceeding its Revolving Commitment then in effect, (ii) the aggregate principal amount of outstanding Swingline Loans exceeding $40,000,000 or (iii) the sum of the total Revolving Exposures exceeding the total Revolving Commitments;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Swingline Lender shall be required to make a Swingline Loan to refinance an outstanding Swingline Loan. On the earlier of the Revolving Maturity Date and the last day of each month during the Revolving Availability Period, the Parent Borrower shall repay any </w:t>
      </w:r>
      <w:r>
        <w:br w:type="page"/>
      </w:r>
    </w:p>
    <w:p>
      <w:pPr>
        <w:pStyle w:val="TextBody"/>
        <w:spacing w:before="0" w:after="0"/>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60655"/>
                <wp:effectExtent l="0" t="0" r="0" b="0"/>
                <wp:wrapNone/>
                <wp:docPr id="152" name="Frame15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outstanding Swingline Loans. Within the foregoing limits and subject to the terms and conditions set forth herein, the Parent Borrower may borrow, prepay and reborrow Swingline Loans. </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(b)    To request a Swingline Loan, the Parent Borrower shall notify the Administrative Agent and the applicable Swingline Lender of such request by telephone (confirmed by telecopy), not later than 1:00 p.m., New York City time, on the day of a proposed Swingline Loan. Each such notice shall be irrevocable and shall specify the requested date (which shall be a Business Day) and the amount of the requested Swingline Loan. If the applicable Swingline Lender agrees, in its discretion to make the applicable Swingline Loan, such Swingline Lender shall make such Swingline Loan available to the Parent Borrower by means of a credit to the general deposit account of the Parent Borrower with such Swingline Lender (or, in the case of a Swingline Loan made to finance the reimbursement of an LC Disbursement as provided in Section 2.05(e), by remittance to the Issuing Bank) by 3:00 p.m., New York City time, on the requested date of such Swingline Loan. The Parent Borrower shall not request a Swingline Loan if at the time of and immediately after giving effect to such request a Default has occurred and is continuing.</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(c)    [Reserved]. </w:t>
      </w:r>
    </w:p>
    <w:p>
      <w:pPr>
        <w:pStyle w:val="TextBody"/>
        <w:spacing w:lineRule="auto" w:line="240" w:before="0" w:after="240"/>
        <w:ind w:left="0" w:right="0" w:firstLine="1440"/>
        <w:rPr/>
      </w:pPr>
      <w:r>
        <w:rPr>
          <w:rFonts w:ascii="Times New Roman;sans-serif" w:hAnsi="Times New Roman;sans-serif"/>
          <w:b w:val="false"/>
          <w:color w:val="000000"/>
          <w:sz w:val="22"/>
        </w:rPr>
        <w:t xml:space="preserve">(d)    Any Swingline Lender may by written notice given to the Administrative Agent not later than 12:00 noon, New York City time, on any Business Day require the Revolving Lenders to acquire participations on such Business Day in all or a portion of its Swingline Loans outstanding. Such notice shall specify the aggregate amount of Swingline Loans in which Revolving Lenders will participate. Promptly upon receipt of such notice, the Administrative Agent will give notice thereof to each Revolving Lender, specifying in such notice such Lender’s Applicable Percentage of such Swingline Loan or Loans. Each Revolving Lender hereby absolutely and unconditionally agrees, upon receipt of notice as provided above, to pay to the Administrative Agent, for the account of the applicable Swingline Lender, such Lender’s Applicable Percentage of such Swingline Loan or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(provided that such payment shall not cause such Revolving Lender’s Revolving Exposure to exceed such Revolving Lender’s Revolving Commitment). Each Revolving Lender shall comply with its obligation under this paragraph by wire transfer of immediately available funds, in the same manner as provided in Section 2.06 with respect to Loans made by such Lender (and Section 2.06 shall apply, </w:t>
      </w:r>
      <w:r>
        <w:rPr>
          <w:rFonts w:ascii="Times New Roman;sans-serif" w:hAnsi="Times New Roman;sans-serif"/>
          <w:b w:val="false"/>
          <w:color w:val="000000"/>
          <w:sz w:val="22"/>
          <w:u w:val="single"/>
        </w:rPr>
        <w:t>mutatis</w:t>
      </w:r>
      <w:r>
        <w:rPr>
          <w:color w:val="000000"/>
        </w:rPr>
        <w:t xml:space="preserve"> </w:t>
      </w:r>
      <w:r>
        <w:rPr>
          <w:rFonts w:ascii="Times New Roman;sans-serif" w:hAnsi="Times New Roman;sans-serif"/>
          <w:b w:val="false"/>
          <w:color w:val="000000"/>
          <w:sz w:val="22"/>
          <w:u w:val="single"/>
        </w:rPr>
        <w:t>mutandis</w:t>
      </w:r>
      <w:r>
        <w:rPr>
          <w:rFonts w:ascii="Times New Roman;sans-serif" w:hAnsi="Times New Roman;sans-serif"/>
          <w:b w:val="false"/>
          <w:color w:val="000000"/>
          <w:sz w:val="22"/>
        </w:rPr>
        <w:t>, to the payment obligations of the Revolving Lenders), and the Administrative Agent shall promptly pay to the applicable Swingline Lender the amounts so received by it from the Revolving Lenders. The Administrative Agent shall notify the Parent Borrower of any participations in any Swingline Loan of a Swingline Lender acquired pursuant to this paragraph, and thereafter payments in respect of such Swingline Loan shall be made to the Administrative Agent and not to such Swingline Lender. Any amounts received by any Swingline Lender from the Parent Borrower (or other party on behalf of the Parent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Revolving Lenders that shall have made their payments pursuant to this paragraph and to such Swingline Lender, as their interests may appear. The purchase of participations in a Swingline Loan pursuant to this paragraph shall not constitute a Loan and shall not relieve the Parent Borrower of its obligation to repay such Swingline Loan or of any default in the payment thereof.</w:t>
      </w:r>
    </w:p>
    <w:p>
      <w:pPr>
        <w:pStyle w:val="TextBody"/>
        <w:spacing w:lineRule="auto" w:line="240" w:before="0" w:after="240"/>
        <w:ind w:left="0" w:right="0" w:firstLine="1440"/>
        <w:rPr/>
      </w:pPr>
      <w:r>
        <w:rPr>
          <w:rFonts w:ascii="Times New Roman;sans-serif" w:hAnsi="Times New Roman;sans-serif"/>
          <w:b w:val="false"/>
          <w:color w:val="000000"/>
          <w:sz w:val="22"/>
        </w:rPr>
        <w:t xml:space="preserve">(e)    If the maturity date shall have occurred in respect of any tranche of Revolving Commitments at a time when another tranche or tranches of Revolving Commitments is or are in effect with a longer maturity date, then on the earliest occurring maturity date all then outstanding Swingline Loans shall be repaid in full on such date (and there shall be no adjustment to the participations in such Swingline Loans as a result of the occurrence of such maturity date);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if on the occurrence of such earliest maturity date (after giving effect to any repayments of Revolving Loans and any reallocation of Letter of Credit participations as contemplated in Section 2.05(k)), there shall exist sufficient unutilized Extended Revolving Commitments so that the respective outstanding Swingline </w:t>
      </w:r>
      <w:r>
        <w:br w:type="page"/>
      </w:r>
    </w:p>
    <w:p>
      <w:pPr>
        <w:pStyle w:val="TextBody"/>
        <w:spacing w:before="0" w:after="0"/>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60655"/>
                <wp:effectExtent l="0" t="0" r="0" b="0"/>
                <wp:wrapNone/>
                <wp:docPr id="153" name="Frame15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Loans could be incurred pursuant to the Extended Revolving Commitments that will remain in effect after the occurrence of such maturity date, then there shall be an automatic adjustment on such date of the participations in such Swingline Loans and same shall be deemed to have been incurred solely pursuant to the relevant Extended Revolving Commitments, and such Swingline Loans shall not be so required to be repaid in full on such earliest maturity date.</w:t>
      </w:r>
    </w:p>
    <w:p>
      <w:pPr>
        <w:pStyle w:val="TextBody"/>
        <w:spacing w:lineRule="auto" w:line="240" w:before="0" w:after="240"/>
        <w:ind w:left="0" w:right="0" w:firstLine="1440"/>
        <w:rPr/>
      </w:pPr>
      <w:r>
        <w:rPr>
          <w:rFonts w:ascii="Times New Roman;sans-serif" w:hAnsi="Times New Roman;sans-serif"/>
          <w:b w:val="false"/>
          <w:color w:val="000000"/>
          <w:sz w:val="22"/>
        </w:rPr>
        <w:t>SECTION 2.05    </w:t>
      </w:r>
      <w:r>
        <w:rPr>
          <w:rFonts w:ascii="Times New Roman;sans-serif" w:hAnsi="Times New Roman;sans-serif"/>
          <w:b w:val="false"/>
          <w:color w:val="000000"/>
          <w:sz w:val="22"/>
          <w:u w:val="single"/>
        </w:rPr>
        <w:t>Letters of Credit</w:t>
      </w:r>
      <w:r>
        <w:rPr>
          <w:rFonts w:ascii="Times New Roman;sans-serif" w:hAnsi="Times New Roman;sans-serif"/>
          <w:b w:val="false"/>
          <w:color w:val="000000"/>
          <w:sz w:val="22"/>
        </w:rPr>
        <w:t>.</w:t>
      </w:r>
    </w:p>
    <w:p>
      <w:pPr>
        <w:pStyle w:val="TextBody"/>
        <w:spacing w:lineRule="auto" w:line="240" w:before="0" w:after="240"/>
        <w:ind w:left="0" w:right="0" w:firstLine="1440"/>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General</w:t>
      </w:r>
      <w:r>
        <w:rPr>
          <w:rFonts w:ascii="Times New Roman;sans-serif" w:hAnsi="Times New Roman;sans-serif"/>
          <w:b w:val="false"/>
          <w:color w:val="000000"/>
          <w:sz w:val="22"/>
        </w:rPr>
        <w:t>. Subject to the terms and conditions set forth herein, the Parent Borrower may request the issuance of Letters of Credit for its own account or the account of a Subsidiary or any Foreign Subsidiary Borrower may request the issuance of Letters of Credit for its own account or the account of a Subsidiary of such Foreign Subsidiary Borrower, in each case in a form reasonably acceptable to the Administrative Agent and the Issuing Bank, at any time and from time to time during the Revolving Availability Period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Parent Borrower or a Foreign Subsidiary Borrower, as the case may be, shall be a co-applicant with respect to each Letter of Credit issued for the account of or in favor of a Subsidiary that is not a Foreign Subsidiary Borrower). In the event of any inconsistency between the terms and conditions of this Agreement and the terms and conditions of any form of letter of credit application or other agreement submitted by the Parent Borrower or any Foreign Subsidiary Borrower, as the case may be, to, or entered into by the Parent Borrower or any Foreign Subsidiary Borrower, as the case may be, with, the Issuing Bank relating to any Letter of Credit, the terms and conditions of this Agreement shall control. For the avoidance of doubt, the Existing Letters of Credit shall continue to be Letters of Credit outstanding under this Agreement immediately after giving effect to the Second Restatement Date.</w:t>
      </w:r>
    </w:p>
    <w:p>
      <w:pPr>
        <w:pStyle w:val="TextBody"/>
        <w:spacing w:lineRule="auto" w:line="240" w:before="0" w:after="240"/>
        <w:ind w:left="0" w:right="0" w:firstLine="1440"/>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Notice of Issuance, Amendment, Renewal, Extension; Certain Conditions</w:t>
      </w:r>
      <w:r>
        <w:rPr>
          <w:rFonts w:ascii="Times New Roman;sans-serif" w:hAnsi="Times New Roman;sans-serif"/>
          <w:b w:val="false"/>
          <w:color w:val="000000"/>
          <w:sz w:val="22"/>
        </w:rPr>
        <w:t xml:space="preserve">. To request the issuance of a Letter of Credit (or the amendment, renewal or extension of an outstanding Letter of Credit), the Parent Borrower or the applicable Foreign Subsidiary Borrower, as the case may be, shall hand deliver or telecopy (or transmit by electronic communication, if arrangements for doing so have been approved by the Issuing Bank) to the Issuing Bank and the Administrative Agent (reasonably in advance of the requested date of issuance, amendment, renewal or extension) a notice requesting the issuance of a Letter of Credit, or identifying the Letter of Credit to be amended, renewed or extended, and specifying (i) the date of issuance, amendment, renewal or extension (which shall be a Business Day), (ii) the date on which such Letter of Credit is to expire (which shall comply with paragraph (c) of this Section) (iii) the currency in which such Letter of Credit is to be denominated (which currency shall be dollars or an LC Foreign Currency), (iv) the amount of such Letter of Credit, (v) the name and address of the beneficiary thereof and (vi) such other information as shall be necessary to prepare, amend, renew or extend such Letter of Credit. If requested by the Issuing Bank, the Parent Borrower or the applicable Foreign Subsidiary Borrower, as the case may be, also shall submit a letter of credit application on the Issuing Bank’s standard form in connection with any request for a Letter of Credit. The Issuing Bank may, in its sole discretion, issue, amend, renew or extend a Letter of Credit if (and upon issuance, amendment, renewal or extension of each Letter of Credit the Parent Borrower or the applicable Foreign Subsidiary Borrower, as the case may be, shall be deemed to represent and warrant that), after giving effect to such issuance, amendment, renewal or extension (i) the LC Exposure shall not exceed the LC Sublimit, (ii) the total Revolving Exposures shall not exceed the total Revolving Commitments and (iii) if such Letter of Credit is to be denominated in an LC Foreign Currency, the Foreign Currency Revolving Exposure of all Revolving Lenders does not exceed the Foreign Currency Sublimit. Notwithstanding anything herein to the contrary, no Issuing Bank shall be required to issue, amend, renew or extend any Letter of Credit and may, in such Issuing Bank’s sole discretion, decline to issue, amend, renew or extend any Letter of Credit for any reason, including, but not limited to, if, (i) after giving effect to such issuance, amendment, renewal or extension the LC Exposure in respect of Letters of Credit issued by such Issuing Bank would exceed $15,000,000, (ii) any order, judgment or decree of any Governmental Authority or arbitrator shall by its terms purport to enjoin or restrain the Issuing Bank from issuing the Letter of Credit, (iii) any law applicable to the Issuing Bank or any request or directive (whether or not having the force of law) from any Governmental Authority with jurisdiction over the Issuing Bank shall (x) prohibit, or request that the Issuing Bank refrain from, the issuance of letters of credit generally or the Letter of Credit in particular, (y) impose upon the Issuing Bank with respect to the Letter of Credit any restriction, reserve or capital requirement not in effect on the Second Restatement Date and for which the Parent Borrower or any applicable Foreign Subsidiary Borrower is not otherwise required to compensate the Issuing Bank </w:t>
      </w:r>
      <w:r>
        <w:br w:type="page"/>
      </w:r>
    </w:p>
    <w:p>
      <w:pPr>
        <w:pStyle w:val="TextBody"/>
        <w:spacing w:before="0" w:after="0"/>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60655"/>
                <wp:effectExtent l="0" t="0" r="0" b="0"/>
                <wp:wrapNone/>
                <wp:docPr id="154" name="Frame15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hereunder, or (z) impose upon the Issuing Bank any loss, cost or expense which was not applicable on the Second Restatement Date, which the Issuing Bank in good faith deems material to it and which the Parent Borrower or any applicable Foreign Subsidiary Borrower is not otherwise required to reimburse the Issuing Bank hereunder, or (iv) the issuance of the Letter of Credit would violate one or more policies of the Issuing Bank applicable to letters of credit generally. </w:t>
      </w:r>
    </w:p>
    <w:p>
      <w:pPr>
        <w:pStyle w:val="TextBody"/>
        <w:spacing w:lineRule="auto" w:line="240" w:before="0" w:after="240"/>
        <w:ind w:left="0" w:right="0" w:firstLine="1440"/>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Expiration Date</w:t>
      </w:r>
      <w:r>
        <w:rPr>
          <w:rFonts w:ascii="Times New Roman;sans-serif" w:hAnsi="Times New Roman;sans-serif"/>
          <w:b w:val="false"/>
          <w:color w:val="000000"/>
          <w:sz w:val="22"/>
        </w:rPr>
        <w:t>. Each Letter of Credit shall expire at or prior to the close of business on the earlier of (i) the date one year after the date of the issuance of such Letter of Credit (or, in the case of any renewal or extension thereof, one year after such renewal or extension) and (ii) the date that is five Business Days prior to the Revolving Maturity Date (or, at any time that there are any Extended Revolving Commitments outstanding, the date that is five Business Days prior to the latest maturity date in respect of such Extended Revolving Commitments).</w:t>
      </w:r>
    </w:p>
    <w:p>
      <w:pPr>
        <w:pStyle w:val="TextBody"/>
        <w:spacing w:lineRule="auto" w:line="240" w:before="0" w:after="240"/>
        <w:ind w:left="0" w:right="0" w:firstLine="1440"/>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Participations</w:t>
      </w:r>
      <w:r>
        <w:rPr>
          <w:rFonts w:ascii="Times New Roman;sans-serif" w:hAnsi="Times New Roman;sans-serif"/>
          <w:b w:val="false"/>
          <w:color w:val="000000"/>
          <w:sz w:val="22"/>
        </w:rPr>
        <w:t>. By the issuance of a Letter of Credit (or an amendment to a Letter of Credit increasing the amount thereof) and without any further action on the part of the Issuing Bank or the Lenders, the Issuing Bank hereby grants to each Revolving Lender, and each Revolving Lender hereby acquires from the Issuing Bank,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Issuing Bank, such Revolving Lender’s Applicable Percentage of each LC Disbursement (including the Dollar Equivalent of any LC Disbursement made in an LC Foreign Currency) made by the Issuing Bank and not reimbursed by the Parent Borrower or the applicable Foreign Subsidiary Borrower, as the case may be, on the date due as provided in paragraph (e) of this Section, or of any reimbursement payment in respect of an LC Disbursement (including the Dollar Equivalent of any LC Disbursement made in an LC Foreign Currency) required to be refunded to the Parent Borrower or the applicable Foreign Subsidiary Borrower, as the case may be,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its Revolving Commitment or all Revolving Commitments, and that each such payment shall be made without any offset, abatement, withholding or reduction whatsoever.</w:t>
      </w:r>
    </w:p>
    <w:p>
      <w:pPr>
        <w:pStyle w:val="TextBody"/>
        <w:spacing w:lineRule="auto" w:line="240" w:before="0" w:after="240"/>
        <w:ind w:left="0" w:right="0" w:firstLine="1440"/>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Reimbursement</w:t>
      </w:r>
      <w:r>
        <w:rPr>
          <w:rFonts w:ascii="Times New Roman;sans-serif" w:hAnsi="Times New Roman;sans-serif"/>
          <w:b w:val="false"/>
          <w:color w:val="000000"/>
          <w:sz w:val="22"/>
        </w:rPr>
        <w:t xml:space="preserve">. If the Issuing Bank shall make any LC Disbursement in respect of a Letter of Credit, the Parent Borrower or the applicable Foreign Subsidiary Borrower, as the case may be, shall reimburse such LC Disbursement by paying to the Administrative Agent, in the same currency as such LC Disbursement, an amount equal to such LC Disbursement, not later than 12:00 noon, New York City time, on the Business Day immediately following the date that such LC Disbursement is made, if the Parent Borrower or the applicable Foreign Subsidiary Borrower, as the case may be, shall have received notice of such LC Disbursement prior to 3:00 p.m., New York City time or London time, on such date, or, if such notice has not been received by the Parent Borrower or the applicable Foreign Subsidiary Borrower, as the case may be, prior to such time on such date, then not later than 12:00 noon, New York City time or London time, on the second Business Day immediately following the day that the Parent Borrower or the applicable Foreign Subsidiary Borrower, as the case may be, receives such notice;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in the case of any such payment in respect of an LC Disbursement made in dollars, (A) the Parent Borrower may, subject to the conditions to borrowing set forth herein, request in accordance with Section 2.03 or 2.04 that such payment be financed with an ABR Borrowing in an equivalent amount and, to the extent so financed, the Parent Borrower’s obligation to make such payment shall be discharged and replaced by the resulting ABR Revolving Loans or Swingline Loan and (B) such Foreign Subsidiary Borrower may, subject to the conditions to borrowing set forth herein, request in accordance with Section 2.03 that such payment be financed with a Eurocurrency Revolving Borrowing </w:t>
      </w:r>
      <w:r>
        <w:rPr>
          <w:rFonts w:ascii="Times New Roman;sans-serif" w:hAnsi="Times New Roman;sans-serif"/>
          <w:b w:val="false"/>
          <w:color w:val="0000FF"/>
          <w:sz w:val="22"/>
          <w:highlight w:val="lightGray"/>
          <w:u w:val="single"/>
        </w:rPr>
        <w:t>or an RFR Revolving Borrowing</w:t>
      </w:r>
      <w:r>
        <w:rPr>
          <w:color w:val="000000"/>
        </w:rPr>
        <w:t xml:space="preserve"> </w:t>
      </w:r>
      <w:r>
        <w:rPr>
          <w:rFonts w:ascii="Times New Roman;sans-serif" w:hAnsi="Times New Roman;sans-serif"/>
          <w:b w:val="false"/>
          <w:color w:val="000000"/>
          <w:sz w:val="22"/>
        </w:rPr>
        <w:t xml:space="preserve">in an equivalent amount and, to the extent so financed, such Foreign Subsidiary Borrower’s obligation to make such payment in respect of any LC Disbursement shall be discharged and replaced by the resulting Eurocurrency Revolving </w:t>
      </w:r>
      <w:r>
        <w:rPr>
          <w:rFonts w:ascii="Times New Roman;sans-serif" w:hAnsi="Times New Roman;sans-serif"/>
          <w:b w:val="false"/>
          <w:color w:val="0000FF"/>
          <w:sz w:val="22"/>
          <w:highlight w:val="lightGray"/>
          <w:u w:val="single"/>
        </w:rPr>
        <w:t>Loans or RFR Revolving</w:t>
      </w:r>
      <w:r>
        <w:rPr>
          <w:color w:val="000000"/>
        </w:rPr>
        <w:t xml:space="preserve"> </w:t>
      </w:r>
      <w:r>
        <w:rPr>
          <w:rFonts w:ascii="Times New Roman;sans-serif" w:hAnsi="Times New Roman;sans-serif"/>
          <w:b w:val="false"/>
          <w:color w:val="000000"/>
          <w:sz w:val="22"/>
        </w:rPr>
        <w:t xml:space="preserve">Loans and (ii) in the case of any such payment in respect of an LC Disbursement made in an LC Foreign Currency, the Parent Borrower or such Foreign Subsidiary Borrower, as the case may be, may, subject to the conditions to borrowing set forth herein, request in accordance with Section 2.03 that such payment be financed with a Borrowing of Foreign Currency Loans in the same currency and in an equivalent amount and, to the extent so financed, </w:t>
      </w:r>
      <w:r>
        <w:br w:type="page"/>
      </w:r>
    </w:p>
    <w:p>
      <w:pPr>
        <w:pStyle w:val="TextBody"/>
        <w:spacing w:before="0" w:after="0"/>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60655"/>
                <wp:effectExtent l="0" t="0" r="0" b="0"/>
                <wp:wrapNone/>
                <wp:docPr id="155" name="Frame15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2"/>
        </w:rPr>
        <w:t xml:space="preserve">the obligation of the Parent Borrower or such Foreign Subsidiary Borrower, as the case may be, to make such payment shall be discharged and replaced by the resulting Foreign Currency Loans. If the Parent Borrower or the applicable Foreign Subsidiary Borrower, as the case may be, fails to make such payment when due, the Administrative Agent shall notify each Revolving Lender of the applicable LC Disbursement, the payment then due from the Parent Borrower or the applicable Foreign Subsidiary Borrower, as the case may be, in respect thereof and such Lender’s Applicable Percentage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notwithstanding anything to the contrary contained in this Section 2.05, prior to demanding any reimbursement from the Revolving Lenders pursuant to this Section 2.05(e) in respect of any Letter of Credit denominated in an LC Foreign Currency, the Issuing Bank shall convert the obligations of the Parent Borrower or applicable Foreign Subsidiary Borrower, as the case may be, under this Section 2.05(e) to reimburse the Issuing Bank in such currency into an obligation to reimburse the Issuing Bank in dollars and the dollar amount of the reimbursement obligation of the Parent Borrower or applicable Foreign Subsidiary Borrower, as the case may be, shall be computed by the Issuing Bank based upon the Exchange Rate in effect for the day on which such conversion occurs, as determined by the Administrative Agent in accordance with the terms hereof and specified in such notice to the Revolving Lenders demanding reimbursement;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after such conversion, the reimbursement obligations of the Parent Borrower or applicable Foreign Subsidiary Borrower, as the case may be, in respect of the applicable Letter of Credit denominated in an LC Foreign Currency shall be payable in dollars based upon the Exchange Rate in effect for the day on which such conversion occurs, as determined in accordance with the terms hereof. Promptly following receipt of such notice, each Lender shall pay to the Administrative Agent its Applicable Percentage of the unreimbursed LC Disbursement in the same manner as provided in Section 2.06 with respect to Loans made by such Lender (and Section 2.06 shall apply, </w:t>
      </w:r>
      <w:r>
        <w:rPr>
          <w:rFonts w:ascii="Times New Roman;sans-serif" w:hAnsi="Times New Roman;sans-serif"/>
          <w:b w:val="false"/>
          <w:color w:val="000000"/>
          <w:sz w:val="22"/>
          <w:u w:val="single"/>
        </w:rPr>
        <w:t>mutatis</w:t>
      </w:r>
      <w:r>
        <w:rPr>
          <w:color w:val="000000"/>
        </w:rPr>
        <w:t xml:space="preserve"> </w:t>
      </w:r>
      <w:r>
        <w:rPr>
          <w:rFonts w:ascii="Times New Roman;sans-serif" w:hAnsi="Times New Roman;sans-serif"/>
          <w:b w:val="false"/>
          <w:color w:val="000000"/>
          <w:sz w:val="22"/>
          <w:u w:val="single"/>
        </w:rPr>
        <w:t>mutandis</w:t>
      </w:r>
      <w:r>
        <w:rPr>
          <w:rFonts w:ascii="Times New Roman;sans-serif" w:hAnsi="Times New Roman;sans-serif"/>
          <w:b w:val="false"/>
          <w:color w:val="000000"/>
          <w:sz w:val="22"/>
        </w:rPr>
        <w:t xml:space="preserve">, to the payment obligations of the Revolving Lenders), and the Administrative Agent shall promptly pay to the Issuing Bank the amounts so received by it from the Revolving Lenders. Promptly following receipt by the Administrative Agent of any payment from the Parent Borrower or the applicable Foreign Subsidiary Borrower, as the case may be, pursuant to this paragraph, the Administrative Agent shall distribute such payment to the Issuing Bank or, to the extent that Revolving Lenders have made payments pursuant to this paragraph to reimburse the Issuing Bank, then distribute such payment to such Lenders and the Issuing Bank as their interests may appear. Any payment made by a Revolving Lender pursuant to this paragraph to reimburse the Issuing Bank for any LC Disbursement (other than the funding of ABR Revolving Loans, Eurocurrency Revolving Loans, </w:t>
      </w:r>
      <w:r>
        <w:rPr>
          <w:rFonts w:ascii="Times New Roman;sans-serif" w:hAnsi="Times New Roman;sans-serif"/>
          <w:b w:val="false"/>
          <w:color w:val="0000FF"/>
          <w:sz w:val="22"/>
          <w:highlight w:val="lightGray"/>
          <w:u w:val="single"/>
        </w:rPr>
        <w:t>RFR Revolving Loans,</w:t>
      </w:r>
      <w:r>
        <w:rPr>
          <w:color w:val="000000"/>
        </w:rPr>
        <w:t xml:space="preserve"> </w:t>
      </w:r>
      <w:r>
        <w:rPr>
          <w:rFonts w:ascii="Times New Roman;sans-serif" w:hAnsi="Times New Roman;sans-serif"/>
          <w:b w:val="false"/>
          <w:color w:val="000000"/>
          <w:sz w:val="22"/>
        </w:rPr>
        <w:t>Foreign Currency Loans or a Swingline Loan as contemplated above) shall not constitute a Loan and shall not relieve the Parent Borrower or the applicable Foreign Subsidiary Borrower, as the case may be, of its obligation to reimburse such LC Disbursement.</w:t>
      </w:r>
    </w:p>
    <w:p>
      <w:pPr>
        <w:pStyle w:val="TextBody"/>
        <w:spacing w:lineRule="auto" w:line="240" w:before="0" w:after="240"/>
        <w:ind w:left="0" w:right="0" w:firstLine="1440"/>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Obligations Absolute</w:t>
      </w:r>
      <w:r>
        <w:rPr>
          <w:rFonts w:ascii="Times New Roman;sans-serif" w:hAnsi="Times New Roman;sans-serif"/>
          <w:b w:val="false"/>
          <w:color w:val="000000"/>
          <w:sz w:val="22"/>
        </w:rPr>
        <w:t xml:space="preserve">. The obligation of the Parent Borrower or any Foreign Subsidiary Borrower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or herein, (ii) any draft or other document presented under a Letter of Credit proving to be forged, fraudulent or invalid in any respect or any statement therein being untrue or inaccurate in any respect, (iii) payment by the Issuing Bank under a Letter of Credit against presentation of a draft or other document that does not comply with the terms of such Letter of Credit (including honor of a demand for payment presented electronically even if such Letter of Credit requires that demand be in the form of a draft), (iv) waiver by the Issuing Bank of any requirement that exists for the Issuing Bank’s protection and not the protection of the Parent Borrower or any applicable Foreign Subsidiary Borrower, or any waiver by the Issuing Bank which does not in fact materially prejudice the Parent Borrower or any applicable Foreign Subsidiary Borrower, (v) any payment made by the Issuing Bank in respect of an otherwise complying item presented after the date specified as the expiration date of, or the date by which documents must be received under, such Letter of Credit if presentation after such date is authorized by the UCC, the ISP or the UCP, as applicable, or (vi) any other event or circumstance whatsoever, whether or not similar to any of the foregoing, that might, but for the provisions of this Section, constitute a legal or equitable discharge of, or provide a right of setoff against, the obligations of the Parent Borrower or any Foreign Subsidiary Borrower hereunder. The Parent Borrower or any applicable Foreign Subsidiary Borrower shall promptly examine a copy of each Letter of Credit and each amendment thereto that is delivered to it and, in the event of any claim of noncompliance with the Parent Borrower’s or such applicable Foreign Subsidiary Borrower’s instructions or other irregularity, the Parent Borrower or such Foreign Subsidiary Borrower, </w:t>
      </w:r>
      <w:r>
        <w:br w:type="page"/>
      </w:r>
    </w:p>
    <w:p>
      <w:pPr>
        <w:pStyle w:val="TextBody"/>
        <w:spacing w:before="0" w:after="0"/>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60655"/>
                <wp:effectExtent l="0" t="0" r="0" b="0"/>
                <wp:wrapNone/>
                <wp:docPr id="156" name="Frame15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2"/>
        </w:rPr>
        <w:t xml:space="preserve">as applicable, will immediately notify the Issuing Bank. The Parent Borrower and any applicable Foreign Subsidiary Borrower shall be conclusively deemed to have waived any such claim against the Issuing Bank and its correspondents unless such notice is given as aforesaid. None of the Administrative Agent, the Lenders or the Issuing Bank, 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foregoing shall not be construed to excuse the Issuing Bank from liability to the Parent Borrower or any applicable Foreign Subsidiary Borrower, as the case may be, to the extent of any direct damages (as opposed to consequential damages, claims in respect of which are hereby waived by the Parent Borrower or any applicable Foreign Subsidiary Borrower, as the case may be, to the extent permitted by applicable law) suffered by the Parent Borrower or any applicable Foreign Subsidiary Borrower, as the case may be,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spacing w:lineRule="auto" w:line="240" w:before="0" w:after="240"/>
        <w:ind w:left="0" w:right="0" w:firstLine="1440"/>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Disbursement Procedures</w:t>
      </w:r>
      <w:r>
        <w:rPr>
          <w:rFonts w:ascii="Times New Roman;sans-serif" w:hAnsi="Times New Roman;sans-serif"/>
          <w:b w:val="false"/>
          <w:color w:val="000000"/>
          <w:sz w:val="22"/>
        </w:rPr>
        <w:t xml:space="preserve">. The Issuing Bank shall, promptly following its receipt thereof, examine all documents purporting to represent a demand for payment under a Letter of Credit. The Issuing Bank shall promptly notify the Administrative Agent and the Parent Borrower or any applicable Foreign Subsidiary Borrower, as the case may be, by telephone (confirmed by telecopy) of such demand for payment and whether the Issuing Bank has made or will make an LC Disbursement thereunder;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failure to give or delay in giving such notice shall not (i) relieve the Parent Borrower or any applicable Foreign Subsidiary Borrower, as the case may be, of its obligation to reimburse the Issuing Bank and the Lenders with respect to any such LC Disbursement (other than with respect to the timing of such reimbursement obligation set forth in Section 2.05(e)) or (ii) relieve any Lender’s obligations to acquire participations as required pursuant to paragraph (d) of this Section 2.05.</w:t>
      </w:r>
    </w:p>
    <w:p>
      <w:pPr>
        <w:pStyle w:val="TextBody"/>
        <w:spacing w:lineRule="auto" w:line="240" w:before="0" w:after="240"/>
        <w:ind w:left="0" w:right="0" w:firstLine="1440"/>
        <w:rPr/>
      </w:pPr>
      <w:r>
        <w:rPr>
          <w:rFonts w:ascii="Times New Roman;sans-serif" w:hAnsi="Times New Roman;sans-serif"/>
          <w:b w:val="false"/>
          <w:color w:val="000000"/>
          <w:sz w:val="22"/>
        </w:rPr>
        <w:t>(h)    </w:t>
      </w:r>
      <w:r>
        <w:rPr>
          <w:rFonts w:ascii="Times New Roman;sans-serif" w:hAnsi="Times New Roman;sans-serif"/>
          <w:b w:val="false"/>
          <w:color w:val="000000"/>
          <w:sz w:val="22"/>
          <w:u w:val="single"/>
        </w:rPr>
        <w:t>Interim Interest</w:t>
      </w:r>
      <w:r>
        <w:rPr>
          <w:rFonts w:ascii="Times New Roman;sans-serif" w:hAnsi="Times New Roman;sans-serif"/>
          <w:b w:val="false"/>
          <w:color w:val="000000"/>
          <w:sz w:val="22"/>
        </w:rPr>
        <w:t xml:space="preserve">. If the Issuing Bank shall make any LC Disbursement (i) in respect of any Letter of Credit denominated in dollars, then, unless the Parent Borrower or any applicable Foreign Subsidiary Borrower, as the case may be, shall reimburse such LC Disbursement in full on the date such LC Disbursement is made, the unpaid amount thereof shall bear interest, for each day from and including the date such LC Disbursement is made to but excluding the date that the Parent Borrower or any applicable Foreign Subsidiary Borrower, as the case may be, reimburses such LC Disbursement, at the rate per annum then applicable to ABR Revolving Loans and (ii) in respect of any Letter of Credit denominated in an LC Foreign Currency, then, unless the Parent Borrower or any applicable Foreign Subsidiary Borrower, as the case may be, shall reimburse such LC Disbursement in full on the date such LC Disbursement is made, the unpaid amount thereof shall bear interest, for each day from and including the date such LC Disbursement is made to but excluding the date that the Parent Borrower or any applicable Foreign Subsidiary Borrower, as the case may be, reimburses such LC Disbursement, at the rate per annum then applicable to Foreign Currency Loans in the applicable Foreign Currency with an Interest Period of three months’ duration;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Parent Borrower or any applicable Foreign Subsidiary Borrower, as the case may be, fails to reimburse such LC Disbursement when due pursuant to Section 2.05(e), then Section 2.13(c) shall apply. Interest accrued pursuant to this paragraph shall be for the account of the Issuing Bank, except that interest accrued on and after the date of payment by any Lender pursuant to Section 2.05(e) to reimburse the Issuing Bank shall be for the account of such Lender to the extent of such payment.</w:t>
      </w:r>
      <w:r>
        <w:br w:type="page"/>
      </w:r>
    </w:p>
    <w:p>
      <w:pPr>
        <w:pStyle w:val="TextBody"/>
        <w:spacing w:before="0" w:after="0"/>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60655"/>
                <wp:effectExtent l="0" t="0" r="0" b="0"/>
                <wp:wrapNone/>
                <wp:docPr id="157" name="Frame15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Replacement of an Issuing Bank; Additional Issuing Banks</w:t>
      </w:r>
      <w:r>
        <w:rPr>
          <w:rFonts w:ascii="Times New Roman;sans-serif" w:hAnsi="Times New Roman;sans-serif"/>
          <w:b w:val="false"/>
          <w:color w:val="000000"/>
          <w:sz w:val="22"/>
        </w:rPr>
        <w:t>. Any Issuing Bank may be replaced at any time by written agreement among the Parent Borrower (on behalf of itself and the Foreign Subsidiary Borrowers), the Administrative Agent, the replaced Issuing Bank and the successor Issuing Bank. One or more Lenders may be appointed as additional Issuing Banks by written agreement among the Parent Borrower (on behalf of itself and the Foreign Subsidiary Borrowers), the Administrative Agent (whose consent will not be unreasonably withheld) and the Lender that is to be so appointed. The Administrative Agent shall notify the Lenders of any such replacement of an Issuing Bank or any such additional Issuing Bank. At the time any such replacement shall become effective, the Parent Borrower (on behalf of itself and the Foreign Subsidiary Borrowers) shall pay all unpaid fees accrued for the account of the replaced Issuing Bank pursuant to Section 2.12(b). From and after the effective date of any such replacement or addition, as applicable, (i) the successor or additional Issuing Bank shall have all the rights and obligations of an Issuing Bank under this Agreement with respect to Letters of Credit to be issued thereafter and (ii) references herein to the term “</w:t>
      </w:r>
      <w:r>
        <w:rPr>
          <w:rFonts w:ascii="Times New Roman;sans-serif" w:hAnsi="Times New Roman;sans-serif"/>
          <w:b w:val="false"/>
          <w:color w:val="000000"/>
          <w:sz w:val="22"/>
          <w:u w:val="single"/>
        </w:rPr>
        <w:t>Issuing Bank</w:t>
      </w:r>
      <w:r>
        <w:rPr>
          <w:color w:val="000000"/>
        </w:rPr>
        <w:t xml:space="preserve">” </w:t>
      </w:r>
      <w:r>
        <w:rPr>
          <w:rFonts w:ascii="Times New Roman;sans-serif" w:hAnsi="Times New Roman;sans-serif"/>
          <w:b w:val="false"/>
          <w:color w:val="000000"/>
          <w:sz w:val="22"/>
        </w:rPr>
        <w:t>shall be deemed to refer to such successor or such addition or to any previous Issuing Bank, or to such successor or such addition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 If at any time there is more than one Issuing Bank hereunder, the Parent Borrower (on behalf of itself and the Foreign Subsidiary Borrowers) may, in its discretion, select which Issuing Bank is to issue any particular Letter of Credit.</w:t>
      </w:r>
    </w:p>
    <w:p>
      <w:pPr>
        <w:pStyle w:val="TextBody"/>
        <w:spacing w:lineRule="auto" w:line="240" w:before="0" w:after="240"/>
        <w:ind w:left="0" w:right="0" w:firstLine="1440"/>
        <w:rPr/>
      </w:pPr>
      <w:r>
        <w:rPr>
          <w:rFonts w:ascii="Times New Roman;sans-serif" w:hAnsi="Times New Roman;sans-serif"/>
          <w:b w:val="false"/>
          <w:color w:val="000000"/>
          <w:sz w:val="22"/>
        </w:rPr>
        <w:t>(j)    </w:t>
      </w:r>
      <w:r>
        <w:rPr>
          <w:rFonts w:ascii="Times New Roman;sans-serif" w:hAnsi="Times New Roman;sans-serif"/>
          <w:b w:val="false"/>
          <w:color w:val="000000"/>
          <w:sz w:val="22"/>
          <w:u w:val="single"/>
        </w:rPr>
        <w:t>Cash Collateralization</w:t>
      </w:r>
      <w:r>
        <w:rPr>
          <w:rFonts w:ascii="Times New Roman;sans-serif" w:hAnsi="Times New Roman;sans-serif"/>
          <w:b w:val="false"/>
          <w:color w:val="000000"/>
          <w:sz w:val="22"/>
        </w:rPr>
        <w:t xml:space="preserve">. If any Event of Default shall occur and be continuing, on the Business Day that the Parent Borrower or any Foreign Subsidiary Borrower receives notice from the Administrative Agent or the Required Lenders (or, if the maturity of the Loans has been accelerated, Revolving Lenders with LC Exposure representing greater than 50% of the total LC Exposure) demanding the deposit of cash collateral pursuant to this paragraph, the Parent Borrower and the Foreign Subsidiary Borrowers, as the case may be, shall deposit in an account with the Administrative Agent, in the name of the Administrative Agent and for the benefit of the Revolving Lenders, the undrawn amount of each outstanding Letter of Credit and the amount of each unreimbursed LC Disbursements at such time (and in such currency as each such Letter of Credit is denominated and each such unreimbursed LC Disbursement was made),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any accrued and unpaid interest thereon;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obligation to deposit such cash collateral shall become effective immediately, and such deposit shall become immediately due and payable, without demand or other notice of any kind, upon the occurrence of any Event of Default with respect to the Parent Borrower or any Foreign Subsidiary Borrower described in clause (h) or (i) of Article VII. Each such deposit shall be held by the Administrative Agent as collateral for the payment and performance of the obligations of the Parent Borrower and the Foreign Subsidiary Borrowers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risk and expense of the Parent Borrower and the Foreign Subsidiary Borrowers, such deposits shall not bear interest. Interest or profits, if any, on such investments shall accumulate in such account. Moneys in such account shall be applied by the Administrative Agent to reimburse the Issuing Bank for LC Disbursements for which it has not been reimbursed and, to the extent not so applied, shall be held for the satisfaction of the reimbursement obligations of the Parent Borrower and the Foreign Subsidiary Borrowers for the LC Exposure at such time or, if the maturity of the Loans has been accelerated (but subject to the consent of Revolving Lenders with LC Exposure representing greater than 50% of the total LC Exposure), be applied to satisfy other obligations of the Parent Borrower and the Foreign Subsidiary Borrowers under this Agreement. If the Parent Borrower or any Foreign Subsidiary Borrower is required to provide an amount of cash collateral hereunder as a result of the occurrence of an Event of Default, such amount plus any accrued interest or realized profits of such amounts (to the extent not applied as aforesaid) shall be returned to the Parent Borrower or such Foreign Subsidiary Borrower within three Business Days after all Events of Default have been cured or waived. If the Parent Borrower is required to provide an amount of such collateral hereunder pursuant to Section 2.11(b), such amount plus any accrued interest or realized profits on account of such amount (to the extent not applied as aforesaid) shall be returned to the Parent Borrower as and to the extent that, after giving effect to such return, the Parent Borrower would remain in compliance with Section 2.11(b) and no Default or Event of Default shall have occurred and be continuing.</w:t>
      </w:r>
      <w:r>
        <w:br w:type="page"/>
      </w:r>
    </w:p>
    <w:p>
      <w:pPr>
        <w:pStyle w:val="TextBody"/>
        <w:spacing w:before="0" w:after="0"/>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60655"/>
                <wp:effectExtent l="0" t="0" r="0" b="0"/>
                <wp:wrapNone/>
                <wp:docPr id="158" name="Frame15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txbxContent>
                </v:textbox>
              </v:rect>
            </w:pict>
          </mc:Fallback>
        </mc:AlternateConten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(k)    If the maturity date in respect of any tranche of Revolving Commitments occurs prior to the expiration of any Letter of Credit, then (i) if one or more other tranches of Revolving Commitments in respect of which the maturity date shall not have occurred are then in effect, such Letters of Credit shall automatically be deemed to have been issued (including for purposes of the obligations of the Revolving Lenders to purchase participations therein and to make Revolving Loans and payments in respect thereof pursuant to Section 2.05(e)) under (and ratably participated in by Lenders pursuant to) the Revolving Commitments in respect of such non-terminating tranches up to an aggregate amount not to exceed the aggregate principal amount of the unutilized Revolving Commitments thereunder at such time (it being understood that no partial face amount of any Letter of Credit may be so reallocated) and (ii) to the extent not reallocated pursuant to the immediately preceding clause (i), the Parent Borrower shall cash collateralize any such Letter of Credit in accordance with Section 2.05(j). If, for any reason, such cash collateral is not provided or the reallocation does not occur, the Revolving Lenders under the maturing tranche shall continue to be responsible for their participating interests in the Letters of Credit. Except to the extent of reallocations of participations pursuant to clause (i) of the second preceding sentence, the occurrence of a maturity date with respect to a given tranche of Revolving Commitments shall have no effect upon (and shall not diminish) the percentage participations of the Revolving Lenders in any Letter of Credit issued before such maturity date. Commencing with the maturity date of any tranche of Revolving Commitments, the sublimit for Letters of Credit shall be agreed with the Lenders under the extended tranches.</w:t>
      </w:r>
    </w:p>
    <w:p>
      <w:pPr>
        <w:pStyle w:val="TextBody"/>
        <w:spacing w:lineRule="auto" w:line="240" w:before="0" w:after="240"/>
        <w:ind w:left="0" w:right="0" w:firstLine="1440"/>
        <w:rPr/>
      </w:pPr>
      <w:r>
        <w:rPr>
          <w:rFonts w:ascii="Times New Roman;sans-serif" w:hAnsi="Times New Roman;sans-serif"/>
          <w:b w:val="false"/>
          <w:color w:val="000000"/>
          <w:sz w:val="22"/>
        </w:rPr>
        <w:t>(l)    </w:t>
      </w:r>
      <w:r>
        <w:rPr>
          <w:rFonts w:ascii="Times New Roman;sans-serif" w:hAnsi="Times New Roman;sans-serif"/>
          <w:b w:val="false"/>
          <w:color w:val="000000"/>
          <w:sz w:val="22"/>
          <w:u w:val="single"/>
        </w:rPr>
        <w:t>Further Cash Collateralization</w:t>
      </w:r>
      <w:r>
        <w:rPr>
          <w:rFonts w:ascii="Times New Roman;sans-serif" w:hAnsi="Times New Roman;sans-serif"/>
          <w:b w:val="false"/>
          <w:color w:val="000000"/>
          <w:sz w:val="22"/>
        </w:rPr>
        <w:t>. In the event and on each occasion that the total LC Exposure exceeds the LC Sublimit, the Parent Borrower or the Foreign Subsidiary Borrowers, as the case may be, shall deposit cash collateral in an account with the Administrative Agent, in the name of the Administrative Agent and for the benefit of the Revolving Lenders, in an aggregate amount equal to such excess in accordance with the provisions of Section 2.05(j). Such amount plus any accrued interest or realized profits of such amounts (to the extent not applied as aforesaid) shall be returned to the Parent Borrower or such Foreign Subsidiary Borrower within three Business days after the first Calculation Date on which the total LC Exposure no longer exceeds the LC Sublimit.</w:t>
      </w:r>
    </w:p>
    <w:p>
      <w:pPr>
        <w:pStyle w:val="TextBody"/>
        <w:spacing w:lineRule="auto" w:line="240" w:before="0" w:after="240"/>
        <w:ind w:left="0" w:right="0" w:firstLine="1440"/>
        <w:rPr/>
      </w:pPr>
      <w:r>
        <w:rPr>
          <w:rFonts w:ascii="Times New Roman;sans-serif" w:hAnsi="Times New Roman;sans-serif"/>
          <w:b w:val="false"/>
          <w:color w:val="000000"/>
          <w:sz w:val="22"/>
        </w:rPr>
        <w:t>SECTION 2.06    </w:t>
      </w:r>
      <w:r>
        <w:rPr>
          <w:rFonts w:ascii="Times New Roman;sans-serif" w:hAnsi="Times New Roman;sans-serif"/>
          <w:b w:val="false"/>
          <w:color w:val="000000"/>
          <w:sz w:val="22"/>
          <w:u w:val="single"/>
        </w:rPr>
        <w:t>Funding of Borrowings</w:t>
      </w:r>
      <w:r>
        <w:rPr>
          <w:rFonts w:ascii="Times New Roman;sans-serif" w:hAnsi="Times New Roman;sans-serif"/>
          <w:b w:val="false"/>
          <w:color w:val="000000"/>
          <w:sz w:val="22"/>
        </w:rPr>
        <w:t>.</w:t>
      </w:r>
    </w:p>
    <w:p>
      <w:pPr>
        <w:pStyle w:val="TextBody"/>
        <w:spacing w:lineRule="auto" w:line="240" w:before="0" w:after="240"/>
        <w:ind w:left="0" w:right="0" w:firstLine="1440"/>
        <w:rPr/>
      </w:pPr>
      <w:r>
        <w:rPr>
          <w:rFonts w:ascii="Times New Roman;sans-serif" w:hAnsi="Times New Roman;sans-serif"/>
          <w:b w:val="false"/>
          <w:color w:val="000000"/>
          <w:sz w:val="22"/>
        </w:rPr>
        <w:t xml:space="preserve">(a)    Each Lender shall make each Loan to be made by it hereunder on the proposed date thereof by wire transfer of immediately available funds by 12:00 noon, New York City time to the account of the Administrative Agent most recently designated by it for such purpose by notice to the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Swingline Loans shall be made as provided in Section 2.04 and (ii) Foreign Currency Loans shall be made as provided in Section 2.03(b). In the case of all Loans other than Foreign Currency Loans, the Administrative Agent will make such Loans available to the Parent Borrower or the applicable Foreign Subsidiary Borrower, as the case may be, by promptly crediting the amounts so received, in like funds, to an account of the Parent Borrower or such Foreign Subsidiary Borrower, as the case may be, maintained with the Administrative Agent in New York City, and designated by the Parent Borrower or such Foreign Subsidiary Borrower, as the case may be, in the applicable Borrowing Request;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Revolving Loans made to finance the reimbursement of an LC Disbursement as provided in Section 2.05(e) shall be remitted by the Administrative Agent to the Issuing Bank. In the case of Foreign Currency Loans, the Administrative Agent will make such Loans available to the Parent Borrower or the applicable Foreign Subsidiary Borrower, as the case may be, by promptly crediting or disbursing the aggregate of the amounts received by the Administrative Agent from the Foreign Currency Lenders, in like funds, to an account of the Parent Borrower or such Foreign Subsidiary Borrower, as the case may be, designated by the Parent Borrower or such Foreign Subsidiary Borrower, as the case may be, in the applicable Borrowing Request.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(b)    Unless the Administrative Agent shall have received notice from a Lender prior to the proposed date of any Borrowing (other than a Borrowing of Foreign Currency Loans)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Parent Borrower or the applicable Foreign Subsidiary Borrower, as the case may be, a corresponding amount. In such event, if a Lender has not in fact made its share of the applicable Borrowing available to the Administrative Agent, then the applicable Lender and the Parent Borrower or </w:t>
      </w:r>
      <w:r>
        <w:br w:type="page"/>
      </w:r>
    </w:p>
    <w:p>
      <w:pPr>
        <w:pStyle w:val="TextBody"/>
        <w:spacing w:before="0" w:after="0"/>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60655"/>
                <wp:effectExtent l="0" t="0" r="0" b="0"/>
                <wp:wrapNone/>
                <wp:docPr id="159" name="Frame15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applicable Foreign Subsidiary Borrower, as the case may be, severally agree to pay to the Administrative Agent forthwith on demand such corresponding amount with interest thereon, for each day from and including the date such amount is made available to the Parent Borrower or the applicable Foreign Subsidiary Borrower, as the case may be, to but excluding the date of payment to the Administrative Agent, at (i) in the case of such Lender, the greater of (x) the NYFRB Rate and (y) a rate determined by the Administrative Agent in accordance with banking industry rules on interbank compensation, the applicable rate shall be determined as specified in clause (y) above, or (ii) in the case of the Parent Borrower or any Foreign Subsidiary Borrower, the interest rate applicable to ABR Revolving Loans. If such Lender pays such amount to the Administrative Agent, then such amount shall constitute such Lender’s Loan included in such Borrowing.</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(c)    Unless the Administrative Agent shall have received notice from a Foreign Currency Lender prior to the proposed date of any Borrowing of Foreign Currency Loans that such Foreign Currency Lender will not make available to the Administrative Agent such Foreign Currency Lender’s share of such Borrowing, the Administrative Agent may assume that such Foreign Currency Lender has made such share available on such date in accordance with paragraph (a) of this Section and may, in reliance upon such assumption, make available to the Parent Borrower or the applicable Foreign Subsidiary Borrower, as the case may be, a corresponding amount. In such event, if a Foreign Currency Lender has not in fact made its share of the applicable Borrowing of Foreign Currency Loans available to the Administrative Agent, then the applicable Foreign Currency Lender and the Parent Borrower or the applicable Foreign Subsidiary Borrower, as the case may be, severally agree to pay to the Administrative Agent forthwith on demand such corresponding amount with interest thereon, for each day from and including the date such amount is made available to the Parent Borrower or the applicable Foreign Subsidiary Borrower, as the case may be, to but excluding the date of payment to the Administrative Agent, at (i) in the case of such Foreign Currency Lender, a rate determined by the Administrative Agent in accordance with banking industry rules on interbank compensation, or (ii) in the case of the Parent Borrower or any Foreign Subsidiary Borrower, the interest rate applicable to Foreign Currency Loans in the applicable Foreign Currency with an Interest Period of three months’ duration. If such Foreign Currency Lender pays such amount to the Administrative Agent, then such amount shall constitute such Foreign Currency Lender’s Loan included in such Borrowing.</w:t>
      </w:r>
    </w:p>
    <w:p>
      <w:pPr>
        <w:pStyle w:val="TextBody"/>
        <w:spacing w:lineRule="auto" w:line="240" w:before="0" w:after="240"/>
        <w:ind w:left="0" w:right="0" w:firstLine="1440"/>
        <w:rPr/>
      </w:pPr>
      <w:r>
        <w:rPr>
          <w:rFonts w:ascii="Times New Roman;sans-serif" w:hAnsi="Times New Roman;sans-serif"/>
          <w:b w:val="false"/>
          <w:color w:val="000000"/>
          <w:sz w:val="22"/>
        </w:rPr>
        <w:t xml:space="preserve">(d)    On the Second Restatement Date, all Existing Revolving Loans shall be deemed repaid and the portion thereof requested by the Parent Borrower to be borrowed on the Second Restatement Date shall be deemed reborrowed as Revolving Loans hereunder by the Parent Borrower or the Foreign Subsidiary Borrowers, as the case may be,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each such reborrowed Revolving Loan shall be deemed made in the same Type and currency as the relevant Existing Revolving Loan (it being understood that for each tranche of Existing Revolving Loans that were Eurocurrency Loans, (x) the initial Interest Period for the relevant reborrowed Eurocurrency Loans shall equal the remaining length of the Interest Period for such tranche and (y) the Adjusted LIBO Rate for the relevant reborrowed Eurocurrency Loans during such initial Interest Period shall be the Adjusted LIBO Rate for such tranche immediately prior to the Second Restatement Date). Any Revolving Lenders that are not Existing Revolving Lenders (and any Existing Revolving Lenders with Revolving Commitments as of the Second Restatement Date that are greater than their Existing Revolving Commitments) shall advance funds (in the relevant currency) to the Administrative Agent on the Second Restatement Date as shall be required to repay the portion of the Revolving Loans of Existing Revolving Lenders such that (A) each Revolving Lender’s share of outstanding Revolving Loans denominated in dollars on the Second Restatement Date is equal to its Applicable Percentage (after giving effect to the Second Restatement Date) and (B) each Foreign Currency Lender’s (other than the Fronting Lender’s) share of outstanding Foreign Currency Loans is equal to its Applicable Percentage (after giving effect to the Second Restatement Date) of Foreign Currency Loans.</w:t>
      </w:r>
    </w:p>
    <w:p>
      <w:pPr>
        <w:pStyle w:val="TextBody"/>
        <w:spacing w:lineRule="auto" w:line="240" w:before="0" w:after="240"/>
        <w:ind w:left="0" w:right="0" w:firstLine="1440"/>
        <w:rPr/>
      </w:pPr>
      <w:r>
        <w:rPr>
          <w:rFonts w:ascii="Times New Roman;sans-serif" w:hAnsi="Times New Roman;sans-serif"/>
          <w:b w:val="false"/>
          <w:color w:val="000000"/>
          <w:sz w:val="22"/>
        </w:rPr>
        <w:t>SECTION 2.07    </w:t>
      </w:r>
      <w:r>
        <w:rPr>
          <w:rFonts w:ascii="Times New Roman;sans-serif" w:hAnsi="Times New Roman;sans-serif"/>
          <w:b w:val="false"/>
          <w:color w:val="000000"/>
          <w:sz w:val="22"/>
          <w:u w:val="single"/>
        </w:rPr>
        <w:t>Interest Elections</w:t>
      </w:r>
      <w:r>
        <w:rPr>
          <w:rFonts w:ascii="Times New Roman;sans-serif" w:hAnsi="Times New Roman;sans-serif"/>
          <w:b w:val="false"/>
          <w:color w:val="000000"/>
          <w:sz w:val="22"/>
        </w:rPr>
        <w: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(a)    Each Borrowing initially shall be of the Type specified in the applicable Borrowing Request and, in the case of a Eurocurrency Borrowing, shall have an initial Interest Period as specified in such Borrowing Request or as otherwise provided in Section 2.03. Thereafter, the Parent Borrower or the applicable Foreign Subsidiary Borrower, as the case may be, may elect to (i) convert any ABR Borrowing or any Eurocurrency Borrowing denominated in dollars to a Borrowing of a different </w:t>
      </w:r>
      <w:r>
        <w:br w:type="page"/>
      </w:r>
    </w:p>
    <w:p>
      <w:pPr>
        <w:pStyle w:val="TextBody"/>
        <w:spacing w:before="0" w:after="0"/>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60655"/>
                <wp:effectExtent l="0" t="0" r="0" b="0"/>
                <wp:wrapNone/>
                <wp:docPr id="160" name="Frame15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2"/>
        </w:rPr>
        <w:t>Type, (ii) continue any Borrowing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Borrowing must be continued in the same currency) and (iii) in the case of a Eurocurrency Borrowing, may elect Interest Periods therefor, all as provided in this Section. The Parent Borrower or the applicable Foreign Subsidiary Borrower, as the case may be,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(b)    To make an election pursuant to this Section, the Parent Borrower or the applicable Foreign Subsidiary Borrower, as the case may be, shall notify the Administrative Agent of such election (in the case of any Revolving Loans other than Foreign Currency Loans, by telephone, and in the case of Foreign Currency Loans, through a written Interest Election Request delivered by hand or telecopy) by the time that a Borrowing Request would be required under Section 2.03 if the Parent Borrower or the applicable Foreign Subsidiary Borrower, as the case may be, were requesting a Revolving Borrowing (other than a Borrowing of Foreign Currency Loans) or a Borrowing of Foreign Currency Loans of the Type resulting from such election to be made on the effective date of such election. Each such telephonic Interest Election Request shall be irrevocable and shall be confirmed promptly by hand delivery or telecopy to the Administrative Agent of a written Interest Election Request, and all such written Interest Election Requests (including with respect to Foreign Currency Loans) shall be in a form approved by the Administrative Agent and signed by the Parent Borrower or the applicable Foreign Subsidiary Borrower, as the case may be.</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(c)    Each telephonic and written Interest Election Request shall specify the following information in compliance with Section 2.02:</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(ii)    the effective date of the election made pursuant to such Interest Election Request, which shall be a Business Day;</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(iii)    other than any Interest Election Request made with respect to a Borrowing of Foreign Currency Loans, whether the resulting Borrowing is to be an ABR Borrowing or a Eurocurrency Borrowing; and</w:t>
      </w:r>
    </w:p>
    <w:p>
      <w:pPr>
        <w:pStyle w:val="TextBody"/>
        <w:spacing w:lineRule="auto" w:line="240" w:before="0" w:after="240"/>
        <w:ind w:left="0" w:right="0" w:firstLine="1008"/>
        <w:rPr/>
      </w:pPr>
      <w:r>
        <w:rPr>
          <w:rFonts w:ascii="Times New Roman;sans-serif" w:hAnsi="Times New Roman;sans-serif"/>
          <w:b w:val="false"/>
          <w:color w:val="000000"/>
          <w:sz w:val="22"/>
        </w:rPr>
        <w:t>(iv)    if the resulting Borrowing is a Eurocurrency Borrowing, the Interest Period to be applicable thereto after giving effect to such election, which shall be a period contemplated by the definition of the term “</w:t>
      </w:r>
      <w:r>
        <w:rPr>
          <w:rFonts w:ascii="Times New Roman;sans-serif" w:hAnsi="Times New Roman;sans-serif"/>
          <w:b w:val="false"/>
          <w:color w:val="000000"/>
          <w:sz w:val="22"/>
          <w:u w:val="single"/>
        </w:rPr>
        <w:t>Interest Period</w:t>
      </w:r>
      <w:r>
        <w:rPr>
          <w:rFonts w:ascii="Times New Roman;sans-serif" w:hAnsi="Times New Roman;sans-serif"/>
          <w:b w:val="false"/>
          <w:color w:val="000000"/>
          <w:sz w:val="22"/>
        </w:rPr>
        <w:t>.”</w:t>
      </w:r>
    </w:p>
    <w:p>
      <w:pPr>
        <w:pStyle w:val="TextBody"/>
        <w:spacing w:lineRule="auto" w:line="240" w:before="0" w:after="240"/>
        <w:ind w:left="0" w:right="0" w:firstLine="1440"/>
        <w:rPr/>
      </w:pPr>
      <w:r>
        <w:rPr>
          <w:rFonts w:ascii="Times New Roman;sans-serif" w:hAnsi="Times New Roman;sans-serif"/>
          <w:b w:val="false"/>
          <w:color w:val="000000"/>
          <w:sz w:val="22"/>
        </w:rPr>
        <w:t xml:space="preserve">If any such Interest Election Request requests (i) a Eurocurrency Borrowing (other than a Borrowing of Foreign Currency Loans) but does not specify an Interest Period, then the Parent Borrower or the applicable Foreign Subsidiary Borrower, as the case may be, shall be deemed to have selected an Interest Period of one month’s duration or (ii) a </w:t>
      </w:r>
      <w:r>
        <w:rPr>
          <w:rFonts w:ascii="Times New Roman;sans-serif" w:hAnsi="Times New Roman;sans-serif"/>
          <w:b w:val="false"/>
          <w:color w:val="0000FF"/>
          <w:sz w:val="22"/>
          <w:highlight w:val="lightGray"/>
          <w:u w:val="single"/>
        </w:rPr>
        <w:t>Eurocurrency</w:t>
      </w:r>
      <w:r>
        <w:rPr>
          <w:color w:val="000000"/>
        </w:rPr>
        <w:t xml:space="preserve"> </w:t>
      </w:r>
      <w:r>
        <w:rPr>
          <w:rFonts w:ascii="Times New Roman;sans-serif" w:hAnsi="Times New Roman;sans-serif"/>
          <w:b w:val="false"/>
          <w:color w:val="000000"/>
          <w:sz w:val="22"/>
        </w:rPr>
        <w:t>Borrowing of Foreign Currency Loans but does not specify an Interest Period, then the Parent Borrower or the applicable Foreign Subsidiary Borrower, as the case may be, shall be deemed to have selected an Interest Period of three months’ duration.</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(d)    Promptly following receipt of an Interest Election Request, the Administrative Agent shall advise each Lender of the details thereof and of such Lender’s portion of each resulting Borrowing.</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(e)    If an Interest Election Request with respect to a Eurocurrency Borrowing (other than a Borrowing of Foreign Currency Loans) is not timely delivered prior to the end of the Interest Period applicable thereto, then, unless such Borrowing is repaid as provided herein, at the end of such Interest Period such Borrowing shall be converted to an ABR Borrowing. If an Interest Election Request with respect to a Borrowing of Foreign Currency Loans is not timely delivered prior to the end of the </w:t>
      </w:r>
      <w:r>
        <w:br w:type="page"/>
      </w:r>
    </w:p>
    <w:p>
      <w:pPr>
        <w:pStyle w:val="TextBody"/>
        <w:spacing w:before="0" w:after="0"/>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60655"/>
                <wp:effectExtent l="0" t="0" r="0" b="0"/>
                <wp:wrapNone/>
                <wp:docPr id="161" name="Frame16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Interest Period applicable thereto, then, unless such Borrowing is repaid as provided herein, at the end of such Interest Period such Borrowing shall be continued as a Eurocurrency Borrowing with an Interest Period of three months’ duration. Notwithstanding any contrary provision hereof, if an Event of Default has occurred and is continuing and the Administrative Agent, at the request of the Required Lenders, so notifies the Parent Borrower (on behalf of itself and the Foreign Subsidiary Borrowers), then, so long as an Event of Default is continuing (i) no outstanding Borrowing may be converted to or continued as a Eurocurrency Borrowing, (ii) unless repaid, each Eurocurrency Borrowing (other than a Borrowing of Foreign Currency Loans) shall be converted to an ABR Borrowing at the end of the Interest Period applicable thereto and (iii) each Borrowing of Foreign Currency Loans shall be due and payable on the last day of the Interest Period applicable thereto.</w:t>
      </w:r>
    </w:p>
    <w:p>
      <w:pPr>
        <w:pStyle w:val="TextBody"/>
        <w:spacing w:lineRule="auto" w:line="240" w:before="0" w:after="240"/>
        <w:ind w:left="0" w:right="0" w:firstLine="1440"/>
        <w:rPr/>
      </w:pPr>
      <w:r>
        <w:rPr>
          <w:rFonts w:ascii="Times New Roman;sans-serif" w:hAnsi="Times New Roman;sans-serif"/>
          <w:b w:val="false"/>
          <w:color w:val="000000"/>
          <w:sz w:val="22"/>
        </w:rPr>
        <w:t>SECTION 2.08    </w:t>
      </w:r>
      <w:r>
        <w:rPr>
          <w:rFonts w:ascii="Times New Roman;sans-serif" w:hAnsi="Times New Roman;sans-serif"/>
          <w:b w:val="false"/>
          <w:color w:val="000000"/>
          <w:sz w:val="22"/>
          <w:u w:val="single"/>
        </w:rPr>
        <w:t>Termination and Reduction of Commitments</w:t>
      </w:r>
      <w:r>
        <w:rPr>
          <w:rFonts w:ascii="Times New Roman;sans-serif" w:hAnsi="Times New Roman;sans-serif"/>
          <w:b w:val="false"/>
          <w:color w:val="000000"/>
          <w:sz w:val="22"/>
        </w:rPr>
        <w: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(a)    Unless previously terminated, the Revolving Commitments shall terminate on the Revolving Maturity Date.</w:t>
      </w:r>
    </w:p>
    <w:p>
      <w:pPr>
        <w:pStyle w:val="TextBody"/>
        <w:spacing w:lineRule="auto" w:line="240" w:before="0" w:after="240"/>
        <w:ind w:left="0" w:right="0" w:firstLine="1440"/>
        <w:rPr/>
      </w:pPr>
      <w:r>
        <w:rPr>
          <w:rFonts w:ascii="Times New Roman;sans-serif" w:hAnsi="Times New Roman;sans-serif"/>
          <w:b w:val="false"/>
          <w:color w:val="000000"/>
          <w:sz w:val="22"/>
        </w:rPr>
        <w:t xml:space="preserve">(b)    The Parent Borrower (on behalf of itself and the Foreign Subsidiary Borrowers) may at any time terminate, or from time to time reduce, the Revolving Commitments of any Class;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each reduction of the Revolving Commitments of any Class shall be in an amount that is an integral multiple of $1,000,000 and not less than $5,000,000 and (ii) the Revolving Commitments of any Class shall not be terminated or reduced if, after giving effect to any concurrent prepayment of the Revolving Loans of such Class in accordance with Section 2.11, the sum of the Revolving Exposures of such Class would exceed the total Revolving Commitments of such Class. Any reduction in the Revolving Commitments shall be made ratably in accordance with each Revolving Lender’s Revolving Commitment.</w:t>
      </w:r>
    </w:p>
    <w:p>
      <w:pPr>
        <w:pStyle w:val="TextBody"/>
        <w:spacing w:lineRule="auto" w:line="240" w:before="0" w:after="240"/>
        <w:ind w:left="0" w:right="0" w:firstLine="1440"/>
        <w:rPr/>
      </w:pPr>
      <w:r>
        <w:rPr>
          <w:rFonts w:ascii="Times New Roman;sans-serif" w:hAnsi="Times New Roman;sans-serif"/>
          <w:b w:val="false"/>
          <w:color w:val="000000"/>
          <w:sz w:val="22"/>
        </w:rPr>
        <w:t xml:space="preserve">(c)    The Parent Borrower (on behalf of itself and the Foreign Subsidiary Borrowers) shall notify the Administrative Agent of any election to terminate or reduce the Revolving Commitments of any Class under Section 2.08(b) at least three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Parent Borrower (on behalf of itself and the Foreign Subsidiary Borrowers) pursuant to this Section shall be irrevocable;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notice of termination of the Revolving Commitments delivered by the Parent Borrower (on behalf of itself and the Foreign Subsidiary Borrowers) may state that such notice is conditioned upon the effectiveness of other credit facilities or the occurrence of another transaction, in which case such notice may be revoked by the Parent Borrower (on behalf of itself and the Foreign Subsidiary Borrowers) (by notice to the Administrative Agent on or prior to the specified effective date) if such condition is not satisfied. Any reduction of the Commitments shall be permanent. Each reduction of the Revolving Commitments shall be made ratably among the Revolving Lenders in accordance with their respective Revolving Commitments.</w:t>
      </w:r>
    </w:p>
    <w:p>
      <w:pPr>
        <w:pStyle w:val="TextBody"/>
        <w:spacing w:lineRule="auto" w:line="240" w:before="0" w:after="240"/>
        <w:ind w:left="0" w:right="0" w:firstLine="1440"/>
        <w:rPr/>
      </w:pPr>
      <w:r>
        <w:rPr>
          <w:rFonts w:ascii="Times New Roman;sans-serif" w:hAnsi="Times New Roman;sans-serif"/>
          <w:b w:val="false"/>
          <w:color w:val="000000"/>
          <w:sz w:val="22"/>
        </w:rPr>
        <w:t>SECTION 2.09    </w:t>
      </w:r>
      <w:r>
        <w:rPr>
          <w:rFonts w:ascii="Times New Roman;sans-serif" w:hAnsi="Times New Roman;sans-serif"/>
          <w:b w:val="false"/>
          <w:color w:val="000000"/>
          <w:sz w:val="22"/>
          <w:u w:val="single"/>
        </w:rPr>
        <w:t>Repayment of Loans; Evidence of Debt</w:t>
      </w:r>
      <w:r>
        <w:rPr>
          <w:rFonts w:ascii="Times New Roman;sans-serif" w:hAnsi="Times New Roman;sans-serif"/>
          <w:b w:val="false"/>
          <w:color w:val="000000"/>
          <w:sz w:val="22"/>
        </w:rPr>
        <w:t>.</w:t>
      </w:r>
    </w:p>
    <w:p>
      <w:pPr>
        <w:pStyle w:val="TextBody"/>
        <w:spacing w:lineRule="auto" w:line="240" w:before="0" w:after="240"/>
        <w:ind w:left="0" w:right="0" w:firstLine="1440"/>
        <w:rPr/>
      </w:pPr>
      <w:r>
        <w:rPr>
          <w:rFonts w:ascii="Times New Roman;sans-serif" w:hAnsi="Times New Roman;sans-serif"/>
          <w:b w:val="false"/>
          <w:color w:val="000000"/>
          <w:sz w:val="22"/>
        </w:rPr>
        <w:t xml:space="preserve">(a)    The Parent Borrower and each Foreign Subsidiary Borrower hereby unconditionally promises to pay (i) to the Administrative Agent, in dollars, for the account of each Revolving Lender the then unpaid principal amount of each Revolving Loan (other than any Foreign Currency Loan) of such Lender on the Revolving Maturity Date, (ii) to the Administrative Agent for the account of each Foreign Currency Lender the then unpaid principal amount in the applicable currency of each Foreign Currency Loan of such Foreign Currency Lender on the Revolving Maturity Date and (iii) to the Swingline Lenders the then unpaid principal amount of each Swingline Loan on the earlier of the Revolving Maturity Date and the first date after such Swingline Loan is made that is the 15th or last day of a calendar month and is at least two Business Days after such Swingline Loan is made;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on each date that a Revolving Borrowing is made, the Parent Borrower shall repay all Swingline Loans that were outstanding on the date such Borrowing was requested.</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(b)    Each Lender shall maintain in accordance with its usual practice an account or accounts evidencing the indebtedness of the Parent Borrower and the Foreign Subsidiary Borrowers to </w:t>
      </w:r>
      <w:r>
        <w:br w:type="page"/>
      </w:r>
    </w:p>
    <w:p>
      <w:pPr>
        <w:pStyle w:val="TextBody"/>
        <w:spacing w:before="0" w:after="0"/>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60655"/>
                <wp:effectExtent l="0" t="0" r="0" b="0"/>
                <wp:wrapNone/>
                <wp:docPr id="162" name="Frame16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such Lender resulting from each Loan made by such Lender, including the amounts of principal and interest payable and paid to such Lender from time to time hereunder.</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(c)    The Administrative Agent shall maintain accounts in which it shall record (i) the amount of each Loan made hereunder, the Class and Type thereof and the Interest Period applicable thereto, (ii) the applicable currency and the amount of any principal or interest due and payable or to become due and payable from the Parent Borrower and the Foreign Subsidiary Borrowers to each Lender hereunder and (iii) the currency and amount of any sum received by the Administrative Agent hereunder for the account of the Lenders and each Lender’s share thereof.</w:t>
      </w:r>
    </w:p>
    <w:p>
      <w:pPr>
        <w:pStyle w:val="TextBody"/>
        <w:spacing w:lineRule="auto" w:line="240" w:before="0" w:after="240"/>
        <w:ind w:left="0" w:right="0" w:firstLine="1440"/>
        <w:rPr/>
      </w:pPr>
      <w:r>
        <w:rPr>
          <w:rFonts w:ascii="Times New Roman;sans-serif" w:hAnsi="Times New Roman;sans-serif"/>
          <w:b w:val="false"/>
          <w:color w:val="000000"/>
          <w:sz w:val="22"/>
        </w:rPr>
        <w:t xml:space="preserve">(d)    The entries made in the accounts maintained pursuant to paragraph (b) or (c) of this Section shall be prima facie evidence of the existence and amounts of the obligations recorded therein;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failure of any Lender or the Administrative Agent to maintain such accounts or any error therein shall not in any manner affect the obligation of the Parent Borrower and the Foreign Subsidiary Borrowers to repay the Loans in accordance with the terms of this Agreement.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(e)    Any Lender may request that Loans of any Class made by it be evidenced by a promissory note. In such event, the Parent Borrower or the applicable Foreign Subsidiary Borrower, as the case may be, shall prepare, execute and deliver to such Lender a promissory note payable to the order of such Lender (or, if requested by such Lender, to such Lender and its registered assigns) and in a form approved by the Administrative Agent. Thereafter, the Loans evidenced by such promissory note and interest thereon shall at all times (including after assignment pursuant to Section 10.04) be represented by one or more promissory notes in such form payable to the order of the payee named therein (or, if such promissory note is a registered note, to such payee and its registered assigns).</w:t>
      </w:r>
    </w:p>
    <w:p>
      <w:pPr>
        <w:pStyle w:val="TextBody"/>
        <w:spacing w:lineRule="auto" w:line="240" w:before="0" w:after="240"/>
        <w:ind w:left="0" w:right="0" w:firstLine="1440"/>
        <w:rPr/>
      </w:pPr>
      <w:r>
        <w:rPr>
          <w:rFonts w:ascii="Times New Roman;sans-serif" w:hAnsi="Times New Roman;sans-serif"/>
          <w:b w:val="false"/>
          <w:color w:val="000000"/>
          <w:sz w:val="22"/>
        </w:rPr>
        <w:t>SECTION 2.10    </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w:t>
      </w:r>
    </w:p>
    <w:p>
      <w:pPr>
        <w:pStyle w:val="TextBody"/>
        <w:spacing w:lineRule="auto" w:line="240" w:before="0" w:after="240"/>
        <w:ind w:left="0" w:right="0" w:firstLine="1440"/>
        <w:rPr/>
      </w:pPr>
      <w:r>
        <w:rPr>
          <w:rFonts w:ascii="Times New Roman;sans-serif" w:hAnsi="Times New Roman;sans-serif"/>
          <w:b w:val="false"/>
          <w:color w:val="000000"/>
          <w:sz w:val="22"/>
        </w:rPr>
        <w:t>SECTION 2.11    </w:t>
      </w:r>
      <w:r>
        <w:rPr>
          <w:rFonts w:ascii="Times New Roman;sans-serif" w:hAnsi="Times New Roman;sans-serif"/>
          <w:b w:val="false"/>
          <w:color w:val="000000"/>
          <w:sz w:val="22"/>
          <w:u w:val="single"/>
        </w:rPr>
        <w:t>Prepayment of Loans</w:t>
      </w:r>
      <w:r>
        <w:rPr>
          <w:rFonts w:ascii="Times New Roman;sans-serif" w:hAnsi="Times New Roman;sans-serif"/>
          <w:b w:val="false"/>
          <w:color w:val="000000"/>
          <w:sz w:val="22"/>
        </w:rPr>
        <w: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(a)    The Parent Borrower and the Foreign Subsidiary Borrowers, as the case may be, shall have the right at any time and from time to time to prepay any Borrowing in whole or in part, subject to the requirements of this Section.</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(b)    In the event and on each occasion that (i) the sum of the Revolving Exposures exceeds the total Revolving Commitments, the Parent Borrower and the Foreign Subsidiary Borrowers, as the case may be, shall prepay Revolving Loans and/or Swingline Loans (or, if no such Borrowings are outstanding, deposit cash collateral in an account with the Administrative Agent pursuant to Section 2.05(j)) in an aggregate amount equal to such excess, (ii) the sum of the Foreign Currency Revolving Exposures exceeds the Foreign Currency Sublimit, the Parent Borrower or the Foreign Subsidiary Borrowers, as the case may be, shall prepay Foreign Currency Loans (or, if no such Borrowings are outstanding, deposit cash collateral in an account with the Administrative Agent pursuant to Section 2.05(j)) in an aggregate amount equal to such excess or (iii) the aggregate Dollar Equivalent of the aggregate outstanding principal amounts of Foreign Currency Loans exceeds an amount equal to 105% of the Foreign Currency Sublimit, the Parent Borrower shall, or shall cause any applicable Foreign Subsidiary Borrower, without notice or demand, immediately to prepay such of the outstanding Foreign Currency Loans in an aggregate principal amount such that, after giving effect thereto, the aggregate Dollar Equivalents of the outstanding principal amounts of Foreign Currency Loans does not exceed the Foreign Currency Sublimit.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(c)    [Reserved]. </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(d)    [Reserved]. </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(e)    Prior to any optional or mandatory prepayment of Borrowings hereunder, the Parent Borrower (on behalf of itself and the Foreign Subsidiary Borrowers) shall select the Borrowing or Borrowings to be prepaid and shall specify such selection in the notice of such prepayment pursuant to paragraph (f) of this Section.</w:t>
      </w:r>
      <w:r>
        <w:br w:type="page"/>
      </w:r>
    </w:p>
    <w:p>
      <w:pPr>
        <w:pStyle w:val="TextBody"/>
        <w:spacing w:before="0" w:after="0"/>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60655"/>
                <wp:effectExtent l="0" t="0" r="0" b="0"/>
                <wp:wrapNone/>
                <wp:docPr id="163" name="Frame16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00000"/>
          <w:sz w:val="22"/>
        </w:rPr>
        <w:t>(f)    The Parent Borrower (on behalf of itself and the Foreign Subsidiary Borrowers) shall notify the Administrative Agent (and, (A) in the case of prepayment of a Foreign Currency Loan, the Administrative Agent and (B) in the case of prepayment of a Swingline Loan, the Swingline Lenders), by (x) in the case of Revolving Loans (other than Foreign Currency Loans) or Swingline Loans, by telephone (confirmed by telecopy) and (y) in the case of Foreign Currency Loans, by telecopy, of any prepayment hereunder (i) in the case of prepayment of a Eurocurrency Borrowing (other than a Borrowing of Foreign Currency Loans), not later than 12:00 noon, New York City time, three Business Days before the date of prepayment, (ii) in the case of prepayment of an ABR Borrowing, not later than 12:00 noon, New York City time, one Business Day before the date of prepayment, (iii) in the case of prepayment of a Swingline Loan, not later than 12:00 noon, New York City time, on the date of prepayment</w:t>
      </w:r>
      <w:r>
        <w:rPr>
          <w:strike/>
          <w:color w:val="FF0000"/>
        </w:rPr>
        <w:t xml:space="preserve"> </w:t>
      </w:r>
      <w:r>
        <w:rPr>
          <w:rFonts w:ascii="Times New Roman;sans-serif" w:hAnsi="Times New Roman;sans-serif"/>
          <w:b w:val="false"/>
          <w:strike/>
          <w:color w:val="FF0000"/>
          <w:sz w:val="22"/>
        </w:rPr>
        <w:t>and</w:t>
      </w:r>
      <w:r>
        <w:rPr>
          <w:rFonts w:ascii="Times New Roman;sans-serif" w:hAnsi="Times New Roman;sans-serif"/>
          <w:b w:val="false"/>
          <w:color w:val="0000FF"/>
          <w:sz w:val="22"/>
          <w:highlight w:val="lightGray"/>
          <w:u w:val="single"/>
        </w:rPr>
        <w:t>,</w:t>
      </w:r>
      <w:r>
        <w:rPr>
          <w:color w:val="000000"/>
        </w:rPr>
        <w:t xml:space="preserve"> </w:t>
      </w:r>
      <w:r>
        <w:rPr>
          <w:rFonts w:ascii="Times New Roman;sans-serif" w:hAnsi="Times New Roman;sans-serif"/>
          <w:b w:val="false"/>
          <w:color w:val="000000"/>
          <w:sz w:val="22"/>
        </w:rPr>
        <w:t>(iv) in the case of prepayment of a Foreign Currency Loan</w:t>
      </w:r>
      <w:r>
        <w:rPr>
          <w:color w:val="0000FF"/>
          <w:highlight w:val="lightGray"/>
          <w:u w:val="single"/>
        </w:rPr>
        <w:t xml:space="preserve"> </w:t>
      </w:r>
      <w:r>
        <w:rPr>
          <w:rFonts w:ascii="Times New Roman;sans-serif" w:hAnsi="Times New Roman;sans-serif"/>
          <w:b w:val="false"/>
          <w:color w:val="0000FF"/>
          <w:sz w:val="22"/>
          <w:highlight w:val="lightGray"/>
          <w:u w:val="single"/>
        </w:rPr>
        <w:t>denominated in Euros</w:t>
      </w:r>
      <w:r>
        <w:rPr>
          <w:rFonts w:ascii="Times New Roman;sans-serif" w:hAnsi="Times New Roman;sans-serif"/>
          <w:b w:val="false"/>
          <w:color w:val="000000"/>
          <w:sz w:val="22"/>
        </w:rPr>
        <w:t>, not later than the time set forth for the relevant Foreign Currency on the Administrative Schedule</w:t>
      </w:r>
      <w:r>
        <w:rPr>
          <w:color w:val="0000FF"/>
          <w:highlight w:val="lightGray"/>
          <w:u w:val="single"/>
        </w:rPr>
        <w:t xml:space="preserve"> </w:t>
      </w:r>
      <w:r>
        <w:rPr>
          <w:rFonts w:ascii="Times New Roman;sans-serif" w:hAnsi="Times New Roman;sans-serif"/>
          <w:b w:val="false"/>
          <w:color w:val="0000FF"/>
          <w:sz w:val="22"/>
          <w:highlight w:val="lightGray"/>
          <w:u w:val="single"/>
        </w:rPr>
        <w:t>and (v) in the case of prepayment of an RFR Loan denominated in Pounds Sterling, not later than 11:00 a.m., New York City time, five RFR Business Days before the date of prepayment</w:t>
      </w:r>
      <w:r>
        <w:rPr>
          <w:rFonts w:ascii="Times New Roman;sans-serif" w:hAnsi="Times New Roman;sans-serif"/>
          <w:b w:val="false"/>
          <w:color w:val="000000"/>
          <w:sz w:val="22"/>
        </w:rPr>
        <w:t xml:space="preserve">. Each such notice shall be irrevocable and shall specify (i) whether the prepayment is of Eurocurrency Loans denominated in dollars, Foreign Currency Loans (and if Foreign Currency Loans are to be prepaid, the Foreign Currency in which such Loans are denominated) or ABR Loans, (ii) the prepayment date, (iii) the principal amount of each Borrowing or portion thereof to be prepaid and (iv) in the case of a mandatory prepayment, a reasonably detailed calculation of the amount of such prepayment;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a notice of optional prepayment is given in connection with a conditional notice of termination of Revolving Commitments as contemplated by Section 2.08, then such notice of prepayment may be revoked if such notice of termination is revoked in accordance with Section 2.08. Promptly following receipt of any such notice (other than a notice relating solely to Swingline Loans), the Administrative Agent shall advise the Lenders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accrued interest to the extent required by Section 2.13.</w:t>
      </w:r>
    </w:p>
    <w:p>
      <w:pPr>
        <w:pStyle w:val="TextBody"/>
        <w:spacing w:lineRule="auto" w:line="240" w:before="0" w:after="240"/>
        <w:ind w:left="0" w:right="0" w:firstLine="1440"/>
        <w:rPr/>
      </w:pPr>
      <w:r>
        <w:rPr>
          <w:rFonts w:ascii="Times New Roman;sans-serif" w:hAnsi="Times New Roman;sans-serif"/>
          <w:b w:val="false"/>
          <w:color w:val="000000"/>
          <w:sz w:val="22"/>
        </w:rPr>
        <w:t>SECTION 2.12    </w:t>
      </w:r>
      <w:r>
        <w:rPr>
          <w:rFonts w:ascii="Times New Roman;sans-serif" w:hAnsi="Times New Roman;sans-serif"/>
          <w:b w:val="false"/>
          <w:color w:val="000000"/>
          <w:sz w:val="22"/>
          <w:u w:val="single"/>
        </w:rPr>
        <w:t>Fees</w:t>
      </w:r>
      <w:r>
        <w:rPr>
          <w:rFonts w:ascii="Times New Roman;sans-serif" w:hAnsi="Times New Roman;sans-serif"/>
          <w:b w:val="false"/>
          <w:color w:val="000000"/>
          <w:sz w:val="22"/>
        </w:rPr>
        <w:t>.</w:t>
      </w:r>
    </w:p>
    <w:p>
      <w:pPr>
        <w:pStyle w:val="TextBody"/>
        <w:spacing w:lineRule="auto" w:line="240" w:before="0" w:after="240"/>
        <w:ind w:left="0" w:right="0" w:firstLine="1440"/>
        <w:rPr/>
      </w:pPr>
      <w:r>
        <w:rPr>
          <w:rFonts w:ascii="Times New Roman;sans-serif" w:hAnsi="Times New Roman;sans-serif"/>
          <w:b w:val="false"/>
          <w:color w:val="000000"/>
          <w:sz w:val="22"/>
        </w:rPr>
        <w:t>(a)    The Parent Borrower (on behalf of itself and the Foreign Subsidiary Borrowers) agrees to pay to the Administrative Agent for the account of each Lender a commitment fee (the “</w:t>
      </w:r>
      <w:r>
        <w:rPr>
          <w:rFonts w:ascii="Times New Roman;sans-serif" w:hAnsi="Times New Roman;sans-serif"/>
          <w:b w:val="false"/>
          <w:color w:val="000000"/>
          <w:sz w:val="22"/>
          <w:u w:val="single"/>
        </w:rPr>
        <w:t>Commitment Fee</w:t>
      </w:r>
      <w:r>
        <w:rPr>
          <w:color w:val="000000"/>
        </w:rPr>
        <w:t>”</w:t>
      </w:r>
      <w:r>
        <w:rPr>
          <w:rFonts w:ascii="Times New Roman;sans-serif" w:hAnsi="Times New Roman;sans-serif"/>
          <w:b w:val="false"/>
          <w:color w:val="000000"/>
          <w:sz w:val="22"/>
        </w:rPr>
        <w:t>), which shall accrue at the Applicable Rate on the average daily unused amount of the Revolving Commitment of such Lender during the period from and including the Second Restatement Date to but excluding the date on which such Commitment terminates. Accrued Commitment Fees shall be payable in arrears on the last day of March, June, September and December of each year and on the date on which the Revolving Commitments terminate, commencing on the first such date to occur after the Second Restatement Date. All Commitment Fees shall be computed on the basis of a year of 360 days and shall be payable for the actual number of days elapsed (including the first day but excluding the last day). For purposes of computing Commitment Fees with respect to Revolving Commitments, a Revolving Commitment of a Lender shall be deemed to be used to the extent of the outstanding Revolving Loans and LC Exposure of such Lender (and the Swingline Exposure of such Lender shall be disregarded for such purpose).</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(b)    (i) The Parent Borrower (on behalf of itself and the Foreign Subsidiary Borrowers) agrees to pay (A) to the Administrative Agent for the account of each Revolving Lender a participation fee with respect to its participations in Letters of Credit, which shall accrue at the same Applicable Rate as interest on Eurocurrency Revolving Loans made by such Lender on the average daily amount of such Lender’s LC Exposure (excluding any portion thereof attributable to unreimbursed LC Disbursements) during the period from and including the Second Restatement Date to but excluding the later of the date on which (x) such Lender’s Revolving Commitment terminates and (y) such Lender ceases to have any LC Exposure, and (B) to the Issuing Bank a fronting fee, which shall accrue at the rate of 0.125% per annum on the average daily amount of the LC Exposure (excluding any portion thereof attributable to unreimbursed LC Disbursements) during the period from and including the Second Restatement Date to but excluding the later of the date on which (x) all Revolving Commitments terminate and (y) the date on which there ceases to be any LC Exposure, as well as the Issuing Bank’s standard fees with respect to the issuance, administration, amendment, renewal or extension of any Letter </w:t>
      </w:r>
      <w:r>
        <w:br w:type="page"/>
      </w:r>
    </w:p>
    <w:p>
      <w:pPr>
        <w:pStyle w:val="TextBody"/>
        <w:spacing w:before="0" w:after="0"/>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60655"/>
                <wp:effectExtent l="0" t="0" r="0" b="0"/>
                <wp:wrapNone/>
                <wp:docPr id="164" name="Frame16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2"/>
        </w:rPr>
        <w:t xml:space="preserve">of Credit or processing of drawings thereunder;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each case, notwithstanding anything to the contrary contained in this Agreement, for purposes of calculating any fee in respect of a Letter of Credit in respect of any Business Day, the Administrative Agent shall convert the amount available to be drawn under any Letter of Credit denominated in an LC Foreign Currency into an amount of dollars based upon the Exchange Rate. Participation fees and fronting fees accrued through and including the last day of March, June, September and December of each year shall be payable on the third Business Day following such last day, commencing on the first such date to occur after the Second Restatement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all such fees in respect of Letters of Credit shall be payable on the date on which the Revolving Commitments terminate and any such fees accruing after the date on which the Revolving Commitments terminate shall be payable on demand. Any other fees payable to the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(c)    The Parent Borrower (on behalf of itself and the Foreign Subsidiary Borrowers) agrees to pay to the Administrative Agent, for its own account, fees payable in the amounts and at the times separately agreed upon between the Parent Borrower and the Administrative Agent.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(d)    The Parent Borrower agrees to pay to the Administrative Agent, for the account of the Fronting Lender, at the applicable office of the Administrative Agent set forth on the Administrative Schedule, a fronting fee with respect to each Fronted Foreign Currency Loan for the period from and including the date of the Borrowing of such Foreign Currency Loan to but excluding the date of repayment thereof computed at a rate of 0.25% per annum on the average daily principal amount of such Fronted Foreign Currency Loan outstanding during the period for which such fee is calculated. Such fronting fee shall be payable quarterly in arrears on the last day of March, June, September and December of each year and on the date on which the Revolving Commitments terminate, commencing on the first such date to occur after the Second Restatement Date.</w:t>
      </w:r>
    </w:p>
    <w:p>
      <w:pPr>
        <w:pStyle w:val="TextBody"/>
        <w:spacing w:lineRule="auto" w:line="240" w:before="0" w:after="240"/>
        <w:ind w:left="0" w:right="0" w:firstLine="1440"/>
        <w:rPr/>
      </w:pPr>
      <w:r>
        <w:rPr>
          <w:rFonts w:ascii="Times New Roman;sans-serif" w:hAnsi="Times New Roman;sans-serif"/>
          <w:b w:val="false"/>
          <w:color w:val="000000"/>
          <w:sz w:val="22"/>
        </w:rPr>
        <w:t>(e)    With respect to any Foreign Currency Loan, the Parent Borrower shall pay to the Administrative Agent, for the account of the applicable Foreign Currency Loan Participants, a participation fee (the “</w:t>
      </w:r>
      <w:r>
        <w:rPr>
          <w:rFonts w:ascii="Times New Roman;sans-serif" w:hAnsi="Times New Roman;sans-serif"/>
          <w:b w:val="false"/>
          <w:color w:val="000000"/>
          <w:sz w:val="22"/>
          <w:u w:val="single"/>
        </w:rPr>
        <w:t>Foreign Currency Participation Fee</w:t>
      </w:r>
      <w:r>
        <w:rPr>
          <w:color w:val="000000"/>
        </w:rPr>
        <w:t>”</w:t>
      </w:r>
      <w:r>
        <w:rPr>
          <w:rFonts w:ascii="Times New Roman;sans-serif" w:hAnsi="Times New Roman;sans-serif"/>
          <w:b w:val="false"/>
          <w:color w:val="000000"/>
          <w:sz w:val="22"/>
        </w:rPr>
        <w:t>) for the period from and including the date of the Borrowing of such Foreign Currency Loan to but excluding the date of repayment thereof, computed at a rate per annum equal to the Applicable Margin with respect to Eurocurrency Loans that are Revolving Loans from time to time in effect on the average daily principal amount of such Fronted Foreign Currency Loans outstanding during the period for which such fee is calculated, which fee shall be paid in dollars based on the Dollar Equivalent thereof. Such fee shall, with respect to each Foreign Currency Loan, be payable in arrears on each Interest Payment Date to occur after the making of such Foreign Currency Loan and on the date on which the Revolving Commitments terminate, commencing on the first such date to occur after the Second Restatement Date.</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(f)    All fees payable hereunder shall be paid on the dates due, in immediately available funds, to the Administrative Agent (or to the Issuing Bank, in the case of fees payable to it) for distribution, in the case of Commitment Fees and participation fees, to the Lenders entitled thereto. Fees paid shall not be refundable under any circumstances.</w:t>
      </w:r>
    </w:p>
    <w:p>
      <w:pPr>
        <w:pStyle w:val="TextBody"/>
        <w:spacing w:lineRule="auto" w:line="240" w:before="0" w:after="240"/>
        <w:ind w:left="0" w:right="0" w:firstLine="1440"/>
        <w:rPr/>
      </w:pPr>
      <w:r>
        <w:rPr>
          <w:rFonts w:ascii="Times New Roman;sans-serif" w:hAnsi="Times New Roman;sans-serif"/>
          <w:b w:val="false"/>
          <w:color w:val="000000"/>
          <w:sz w:val="22"/>
        </w:rPr>
        <w:t>SECTION 2.13    </w:t>
      </w:r>
      <w:r>
        <w:rPr>
          <w:rFonts w:ascii="Times New Roman;sans-serif" w:hAnsi="Times New Roman;sans-serif"/>
          <w:b w:val="false"/>
          <w:color w:val="000000"/>
          <w:sz w:val="22"/>
          <w:u w:val="single"/>
        </w:rPr>
        <w:t>Interest</w:t>
      </w:r>
      <w:r>
        <w:rPr>
          <w:rFonts w:ascii="Times New Roman;sans-serif" w:hAnsi="Times New Roman;sans-serif"/>
          <w:b w:val="false"/>
          <w:color w:val="000000"/>
          <w:sz w:val="22"/>
        </w:rPr>
        <w: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(a)    The Loans comprising each ABR Borrowing (including each Swingline Loan) shall bear interest at the Alternate Base Rate plus the Applicable Rate.</w:t>
      </w:r>
    </w:p>
    <w:p>
      <w:pPr>
        <w:pStyle w:val="TextBody"/>
        <w:spacing w:lineRule="auto" w:line="240" w:before="0" w:after="240"/>
        <w:ind w:left="0" w:right="0" w:firstLine="1440"/>
        <w:rPr/>
      </w:pPr>
      <w:r>
        <w:rPr>
          <w:rFonts w:ascii="Times New Roman;sans-serif" w:hAnsi="Times New Roman;sans-serif"/>
          <w:b w:val="false"/>
          <w:color w:val="000000"/>
          <w:sz w:val="22"/>
        </w:rPr>
        <w:t xml:space="preserve">(b)    The Loans comprising </w:t>
      </w:r>
      <w:r>
        <w:rPr>
          <w:rFonts w:ascii="Times New Roman;sans-serif" w:hAnsi="Times New Roman;sans-serif"/>
          <w:b w:val="false"/>
          <w:color w:val="0000FF"/>
          <w:sz w:val="22"/>
          <w:highlight w:val="lightGray"/>
          <w:u w:val="single"/>
        </w:rPr>
        <w:t>(i)</w:t>
      </w:r>
      <w:r>
        <w:rPr>
          <w:color w:val="000000"/>
        </w:rPr>
        <w:t xml:space="preserve"> </w:t>
      </w:r>
      <w:r>
        <w:rPr>
          <w:rFonts w:ascii="Times New Roman;sans-serif" w:hAnsi="Times New Roman;sans-serif"/>
          <w:b w:val="false"/>
          <w:color w:val="000000"/>
          <w:sz w:val="22"/>
        </w:rPr>
        <w:t xml:space="preserve">each Eurocurrency Borrowing shall bear interest at the Adjusted LIBO Rate for the Interest Period in effect for such Borrowing </w:t>
      </w:r>
      <w:r>
        <w:rPr>
          <w:rFonts w:ascii="Times New Roman;sans-serif" w:hAnsi="Times New Roman;sans-serif"/>
          <w:b w:val="false"/>
          <w:color w:val="0000FF"/>
          <w:sz w:val="22"/>
          <w:highlight w:val="lightGray"/>
          <w:u w:val="single"/>
        </w:rPr>
        <w:t>plus the Applicable Rate and (ii) each RFR Borrowing shall bear interest at the Adjusted Daily Simple RFR</w:t>
      </w:r>
      <w:r>
        <w:rPr>
          <w:color w:val="000000"/>
        </w:rPr>
        <w:t xml:space="preserve"> </w:t>
      </w:r>
      <w:r>
        <w:rPr>
          <w:rFonts w:ascii="Times New Roman;sans-serif" w:hAnsi="Times New Roman;sans-serif"/>
          <w:b w:val="false"/>
          <w:color w:val="000000"/>
          <w:sz w:val="22"/>
        </w:rPr>
        <w:t xml:space="preserve">plus the Applicable Rate;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each Fronted Foreign Currency Loan shall bear interest for each day during each Interest Period with respect thereto at a rate per annum equal to the Adjusted LIBO Rate </w:t>
      </w:r>
      <w:r>
        <w:rPr>
          <w:rFonts w:ascii="Times New Roman;sans-serif" w:hAnsi="Times New Roman;sans-serif"/>
          <w:b w:val="false"/>
          <w:color w:val="0000FF"/>
          <w:sz w:val="22"/>
          <w:highlight w:val="lightGray"/>
          <w:u w:val="single"/>
        </w:rPr>
        <w:t>or the Adjusted Daily Simple RFR, as applicable,</w:t>
      </w:r>
      <w:r>
        <w:rPr>
          <w:color w:val="000000"/>
        </w:rPr>
        <w:t xml:space="preserve"> </w:t>
      </w:r>
      <w:r>
        <w:rPr>
          <w:rFonts w:ascii="Times New Roman;sans-serif" w:hAnsi="Times New Roman;sans-serif"/>
          <w:b w:val="false"/>
          <w:color w:val="000000"/>
          <w:sz w:val="22"/>
        </w:rPr>
        <w:t>for such day.</w:t>
      </w:r>
      <w:r>
        <w:br w:type="page"/>
      </w:r>
    </w:p>
    <w:p>
      <w:pPr>
        <w:pStyle w:val="TextBody"/>
        <w:spacing w:before="0" w:after="0"/>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60655"/>
                <wp:effectExtent l="0" t="0" r="0" b="0"/>
                <wp:wrapNone/>
                <wp:docPr id="165" name="Frame16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p>
                  </w:txbxContent>
                </v:textbox>
              </v:rect>
            </w:pict>
          </mc:Fallback>
        </mc:AlternateConten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(c)    Notwithstanding the foregoing, if any principal of or interest on any Loan or any fee or other amount payable by the Parent Borrower or the Foreign Subsidiary Borrowers, as the case may be,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overdue amount payable (A) with respect to any Loan other than a Foreign Currency Loan, 2% plus the rate applicable to ABR Revolving Loans and (B) with respect to any Foreign Currency Loan, 2% plus the rate otherwise applicable to such Loan.</w:t>
      </w:r>
    </w:p>
    <w:p>
      <w:pPr>
        <w:pStyle w:val="TextBody"/>
        <w:spacing w:lineRule="auto" w:line="240" w:before="0" w:after="240"/>
        <w:ind w:left="0" w:right="0" w:firstLine="1440"/>
        <w:rPr/>
      </w:pPr>
      <w:r>
        <w:rPr>
          <w:rFonts w:ascii="Times New Roman;sans-serif" w:hAnsi="Times New Roman;sans-serif"/>
          <w:b w:val="false"/>
          <w:color w:val="000000"/>
          <w:sz w:val="22"/>
        </w:rPr>
        <w:t xml:space="preserve">(d)    Accrued interest on each Loan shall be payable in arrears on each Interest Payment Date for such Loan and, in the case of Revolving Loans, upon termination of the Revolving Commitments;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interest accrued pursuant to paragraph (c) of this Section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Eurocurrency Loan prior to the end of the current Interest Period therefor, accrued interest on such Loan shall be payable on the effective date of such conversion.</w:t>
      </w:r>
    </w:p>
    <w:p>
      <w:pPr>
        <w:pStyle w:val="TextBody"/>
        <w:spacing w:lineRule="auto" w:line="240" w:before="0" w:after="240"/>
        <w:ind w:left="0" w:right="0" w:firstLine="1440"/>
        <w:rPr/>
      </w:pPr>
      <w:r>
        <w:rPr>
          <w:rFonts w:ascii="Times New Roman;sans-serif" w:hAnsi="Times New Roman;sans-serif"/>
          <w:b w:val="false"/>
          <w:color w:val="000000"/>
          <w:sz w:val="22"/>
        </w:rPr>
        <w:t>(e)    All interest hereunder shall be computed on the basis of a year of 360 days, except that interest computed by reference to the Alternate Base Rate at times when the Alternate Base Rate is based on the Prime Rate and interest computed on Foreign Currency Loans made in Pounds Sterling shall be computed on the basis of a year of 365 days (or 366 days in a leap year), and in each case shall be payable for the actual number of days elapsed (including the first day but excluding the last day). The applicable Alternate Base Rate</w:t>
      </w:r>
      <w:r>
        <w:rPr>
          <w:rFonts w:ascii="Times New Roman;sans-serif" w:hAnsi="Times New Roman;sans-serif"/>
          <w:b w:val="false"/>
          <w:color w:val="0000FF"/>
          <w:sz w:val="22"/>
          <w:highlight w:val="lightGray"/>
          <w:u w:val="single"/>
        </w:rPr>
        <w:t>, Daily Simple RFR, Adjusted Daily Simple RFR</w:t>
      </w:r>
      <w:r>
        <w:rPr>
          <w:color w:val="000000"/>
        </w:rPr>
        <w:t xml:space="preserve"> </w:t>
      </w:r>
      <w:r>
        <w:rPr>
          <w:rFonts w:ascii="Times New Roman;sans-serif" w:hAnsi="Times New Roman;sans-serif"/>
          <w:b w:val="false"/>
          <w:color w:val="000000"/>
          <w:sz w:val="22"/>
        </w:rPr>
        <w:t>or Adjusted LIBO Rate shall be determined by the Administrative Agent, and such determination shall be conclusive absent manifest error.</w:t>
      </w:r>
    </w:p>
    <w:p>
      <w:pPr>
        <w:pStyle w:val="TextBody"/>
        <w:spacing w:lineRule="auto" w:line="240" w:before="0" w:after="240"/>
        <w:ind w:left="0" w:right="0" w:firstLine="1440"/>
        <w:rPr/>
      </w:pPr>
      <w:r>
        <w:rPr>
          <w:rFonts w:ascii="Times New Roman;sans-serif" w:hAnsi="Times New Roman;sans-serif"/>
          <w:b w:val="false"/>
          <w:color w:val="000000"/>
          <w:sz w:val="22"/>
        </w:rPr>
        <w:t>SECTION 2.14    </w:t>
      </w:r>
      <w:r>
        <w:rPr>
          <w:rFonts w:ascii="Times New Roman;sans-serif" w:hAnsi="Times New Roman;sans-serif"/>
          <w:b w:val="false"/>
          <w:color w:val="000000"/>
          <w:sz w:val="22"/>
          <w:u w:val="single"/>
        </w:rPr>
        <w:t>Alternate Rate of Interest</w:t>
      </w:r>
      <w:r>
        <w:rPr>
          <w:rFonts w:ascii="Times New Roman;sans-serif" w:hAnsi="Times New Roman;sans-serif"/>
          <w:b w:val="false"/>
          <w:color w:val="000000"/>
          <w:sz w:val="22"/>
        </w:rPr>
        <w:t>. (a) Subject to clauses (b), (c), (d), (e), (f) and (g) of this Section 2.14, if</w:t>
      </w:r>
      <w:r>
        <w:rPr>
          <w:strike/>
          <w:color w:val="008000"/>
        </w:rPr>
        <w:t xml:space="preserve"> </w:t>
      </w:r>
      <w:r>
        <w:rPr>
          <w:rFonts w:ascii="Times New Roman;sans-serif" w:hAnsi="Times New Roman;sans-serif"/>
          <w:b w:val="false"/>
          <w:strike/>
          <w:color w:val="008000"/>
          <w:sz w:val="22"/>
        </w:rPr>
        <w:t>prior to the commencement of any Interest Period for a Eurocurrency Borrowing of any Class or currency</w:t>
      </w:r>
      <w:r>
        <w:rPr>
          <w:rFonts w:ascii="Times New Roman;sans-serif" w:hAnsi="Times New Roman;sans-serif"/>
          <w:b w:val="false"/>
          <w:color w:val="000000"/>
          <w:sz w:val="22"/>
        </w:rPr>
        <w:t>:</w:t>
      </w:r>
    </w:p>
    <w:p>
      <w:pPr>
        <w:pStyle w:val="TextBody"/>
        <w:spacing w:lineRule="auto" w:line="240" w:before="0" w:after="240"/>
        <w:ind w:left="0" w:right="0" w:firstLine="1008"/>
        <w:rPr/>
      </w:pPr>
      <w:r>
        <w:rPr>
          <w:rFonts w:ascii="Times New Roman;sans-serif" w:hAnsi="Times New Roman;sans-serif"/>
          <w:b w:val="false"/>
          <w:color w:val="000000"/>
          <w:sz w:val="22"/>
        </w:rPr>
        <w:t xml:space="preserve">(i)    the Administrative Agent reasonably determines (which determination shall be conclusive absent manifest error) </w:t>
      </w:r>
      <w:r>
        <w:rPr>
          <w:rFonts w:ascii="Times New Roman;sans-serif" w:hAnsi="Times New Roman;sans-serif"/>
          <w:b w:val="false"/>
          <w:color w:val="0000FF"/>
          <w:sz w:val="22"/>
          <w:highlight w:val="lightGray"/>
          <w:u w:val="single"/>
        </w:rPr>
        <w:t>(A)</w:t>
      </w:r>
      <w:r>
        <w:rPr>
          <w:color w:val="000000"/>
        </w:rPr>
        <w:t xml:space="preserve"> </w:t>
      </w:r>
      <w:r>
        <w:rPr>
          <w:rFonts w:ascii="Times New Roman;sans-serif" w:hAnsi="Times New Roman;sans-serif"/>
          <w:b w:val="false"/>
          <w:color w:val="008000"/>
          <w:sz w:val="22"/>
          <w:u w:val="single"/>
        </w:rPr>
        <w:t>prior to the commencement of any Interest Period for a Eurocurrency Borrowing of any Class or currency</w:t>
      </w:r>
      <w:r>
        <w:rPr>
          <w:rFonts w:ascii="Times New Roman;sans-serif" w:hAnsi="Times New Roman;sans-serif"/>
          <w:b w:val="false"/>
          <w:color w:val="0000FF"/>
          <w:sz w:val="22"/>
          <w:highlight w:val="lightGray"/>
          <w:u w:val="single"/>
        </w:rPr>
        <w:t>,</w:t>
      </w:r>
      <w:r>
        <w:rPr>
          <w:color w:val="000000"/>
        </w:rPr>
        <w:t xml:space="preserve"> </w:t>
      </w:r>
      <w:r>
        <w:rPr>
          <w:rFonts w:ascii="Times New Roman;sans-serif" w:hAnsi="Times New Roman;sans-serif"/>
          <w:b w:val="false"/>
          <w:color w:val="000000"/>
          <w:sz w:val="22"/>
        </w:rPr>
        <w:t xml:space="preserve">that adequate and reasonable means do not exist for ascertaining the Adjusted LIBO Rate or the LIBO Rate, as applicable (including because the Screen Rate is not available or published on a current basis), or for the applicable currency and such Interest Period;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Benchmark Transition Event shall have occurred at such time</w:t>
      </w:r>
      <w:r>
        <w:rPr>
          <w:color w:val="0000FF"/>
          <w:highlight w:val="lightGray"/>
          <w:u w:val="single"/>
        </w:rPr>
        <w:t xml:space="preserve"> </w:t>
      </w:r>
      <w:r>
        <w:rPr>
          <w:rFonts w:ascii="Times New Roman;sans-serif" w:hAnsi="Times New Roman;sans-serif"/>
          <w:b w:val="false"/>
          <w:color w:val="0000FF"/>
          <w:sz w:val="22"/>
          <w:highlight w:val="lightGray"/>
          <w:u w:val="single"/>
        </w:rPr>
        <w:t>or (B) that adequate and reasonable means do not exist for ascertaining the applicable Adjusted Daily Simple RFR, Daily Simple RFR or RFR for Pounds Sterling</w:t>
      </w:r>
      <w:r>
        <w:rPr>
          <w:rFonts w:ascii="Times New Roman;sans-serif" w:hAnsi="Times New Roman;sans-serif"/>
          <w:b w:val="false"/>
          <w:color w:val="000000"/>
          <w:sz w:val="22"/>
        </w:rPr>
        <w:t>; or</w:t>
      </w:r>
    </w:p>
    <w:p>
      <w:pPr>
        <w:pStyle w:val="TextBody"/>
        <w:spacing w:lineRule="auto" w:line="240" w:before="0" w:after="240"/>
        <w:ind w:left="0" w:right="0" w:firstLine="1008"/>
        <w:rPr/>
      </w:pPr>
      <w:r>
        <w:rPr>
          <w:rFonts w:ascii="Times New Roman;sans-serif" w:hAnsi="Times New Roman;sans-serif"/>
          <w:b w:val="false"/>
          <w:color w:val="000000"/>
          <w:sz w:val="22"/>
        </w:rPr>
        <w:t xml:space="preserve">(ii)    the Administrative Agent is advised by a majority in interest of the applicable Class </w:t>
      </w:r>
      <w:r>
        <w:rPr>
          <w:rFonts w:ascii="Times New Roman;sans-serif" w:hAnsi="Times New Roman;sans-serif"/>
          <w:b w:val="false"/>
          <w:color w:val="0000FF"/>
          <w:sz w:val="22"/>
          <w:highlight w:val="lightGray"/>
          <w:u w:val="single"/>
        </w:rPr>
        <w:t>(A) prior to the commencement of any Interest Period for a Eurocurrency Borrowing of any Class or currency,</w:t>
      </w:r>
      <w:r>
        <w:rPr>
          <w:color w:val="000000"/>
        </w:rPr>
        <w:t xml:space="preserve"> </w:t>
      </w:r>
      <w:r>
        <w:rPr>
          <w:rFonts w:ascii="Times New Roman;sans-serif" w:hAnsi="Times New Roman;sans-serif"/>
          <w:b w:val="false"/>
          <w:color w:val="000000"/>
          <w:sz w:val="22"/>
        </w:rPr>
        <w:t>that the Adjusted LIBO Rate or the LIBO Rate, as applicable, for such Interest Period will not adequately and fairly reflect the cost to such Lenders of making or maintaining their Loans included in such Borrowing for such Interest Period</w:t>
      </w:r>
      <w:r>
        <w:rPr>
          <w:rFonts w:ascii="Times New Roman;sans-serif" w:hAnsi="Times New Roman;sans-serif"/>
          <w:b w:val="false"/>
          <w:strike/>
          <w:color w:val="FF0000"/>
          <w:sz w:val="22"/>
        </w:rPr>
        <w:t>;</w:t>
      </w:r>
      <w:r>
        <w:rPr>
          <w:color w:val="000000"/>
        </w:rPr>
        <w:t xml:space="preserve"> </w:t>
      </w:r>
      <w:r>
        <w:rPr>
          <w:rFonts w:ascii="Times New Roman;sans-serif" w:hAnsi="Times New Roman;sans-serif"/>
          <w:b w:val="false"/>
          <w:color w:val="0000FF"/>
          <w:sz w:val="22"/>
          <w:highlight w:val="lightGray"/>
          <w:u w:val="single"/>
        </w:rPr>
        <w:t>or (B) at any time that the applicable Adjusted Daily Simple RFR for Pounds Sterling will not adequately and fairly reflect the cost to such Lenders (or Lender) of making or maintaining their Loans (or its Loan) included in such Borrowing for Pounds Sterling;</w:t>
      </w:r>
    </w:p>
    <w:p>
      <w:pPr>
        <w:pStyle w:val="TextBody"/>
        <w:spacing w:lineRule="auto" w:line="240" w:before="0" w:after="240"/>
        <w:rPr/>
      </w:pPr>
      <w:r>
        <w:rPr>
          <w:rFonts w:ascii="Times New Roman;sans-serif" w:hAnsi="Times New Roman;sans-serif"/>
          <w:b w:val="false"/>
          <w:color w:val="000000"/>
          <w:sz w:val="22"/>
        </w:rPr>
        <w:t>then the Administrative Agent shall give notice thereof to the Parent Borrower (on behalf of the Parent Borrower and the Foreign Subsidiary Borrowers) and the Lenders of the applicable Class by telephone or telecopy as promptly as practicable thereafter and, until the Administrative Agent notifies the Parent Borrower (on behalf of itself and the Foreign Subsidiary Borrowers) and such Lenders that the circumstances giving rise to such notice no longer exist</w:t>
      </w:r>
      <w:r>
        <w:rPr>
          <w:color w:val="0000FF"/>
          <w:highlight w:val="lightGray"/>
          <w:u w:val="single"/>
        </w:rPr>
        <w:t xml:space="preserve"> </w:t>
      </w:r>
      <w:r>
        <w:rPr>
          <w:rFonts w:ascii="Times New Roman;sans-serif" w:hAnsi="Times New Roman;sans-serif"/>
          <w:b w:val="false"/>
          <w:color w:val="0000FF"/>
          <w:sz w:val="22"/>
          <w:highlight w:val="lightGray"/>
          <w:u w:val="single"/>
        </w:rPr>
        <w:t>with respect to the relevant Benchmark</w:t>
      </w:r>
      <w:r>
        <w:rPr>
          <w:rFonts w:ascii="Times New Roman;sans-serif" w:hAnsi="Times New Roman;sans-serif"/>
          <w:b w:val="false"/>
          <w:color w:val="000000"/>
          <w:sz w:val="22"/>
        </w:rPr>
        <w:t xml:space="preserve">, then (i) any Interest Election Request that requests the conversion of any Borrowing to, or continuation of any Borrowing as, a Eurocurrency Borrowing shall be ineffective, (ii) any Eurocurrency Borrowing (other than a Borrowing of Foreign Currency Loans) that is requested to be continued, shall be converted to an </w:t>
      </w:r>
      <w:r>
        <w:br w:type="page"/>
      </w:r>
    </w:p>
    <w:p>
      <w:pPr>
        <w:pStyle w:val="TextBody"/>
        <w:spacing w:before="0" w:after="0"/>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60655"/>
                <wp:effectExtent l="0" t="0" r="0" b="0"/>
                <wp:wrapNone/>
                <wp:docPr id="166" name="Frame16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-64-</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2"/>
        </w:rPr>
        <w:t xml:space="preserve">ABR Borrowing on the last day of the Interest Period applicable thereto, (iii) any </w:t>
      </w:r>
      <w:r>
        <w:rPr>
          <w:rFonts w:ascii="Times New Roman;sans-serif" w:hAnsi="Times New Roman;sans-serif"/>
          <w:b w:val="false"/>
          <w:color w:val="0000FF"/>
          <w:sz w:val="22"/>
          <w:highlight w:val="lightGray"/>
          <w:u w:val="single"/>
        </w:rPr>
        <w:t>Eurocurrency Borrowing denominated in</w:t>
      </w:r>
      <w:r>
        <w:rPr>
          <w:color w:val="000000"/>
        </w:rPr>
        <w:t xml:space="preserve"> </w:t>
      </w:r>
      <w:r>
        <w:rPr>
          <w:rFonts w:ascii="Times New Roman;sans-serif" w:hAnsi="Times New Roman;sans-serif"/>
          <w:b w:val="false"/>
          <w:color w:val="000000"/>
          <w:sz w:val="22"/>
        </w:rPr>
        <w:t xml:space="preserve">Foreign Currency </w:t>
      </w:r>
      <w:r>
        <w:rPr>
          <w:rFonts w:ascii="Times New Roman;sans-serif" w:hAnsi="Times New Roman;sans-serif"/>
          <w:b w:val="false"/>
          <w:strike/>
          <w:color w:val="FF0000"/>
          <w:sz w:val="22"/>
        </w:rPr>
        <w:t xml:space="preserve">Loans </w:t>
      </w:r>
      <w:r>
        <w:rPr>
          <w:rFonts w:ascii="Times New Roman;sans-serif" w:hAnsi="Times New Roman;sans-serif"/>
          <w:b w:val="false"/>
          <w:color w:val="000000"/>
          <w:sz w:val="22"/>
        </w:rPr>
        <w:t xml:space="preserve">requested to be made on the first day of such Interest Period shall not be made and </w:t>
      </w:r>
      <w:r>
        <w:rPr>
          <w:rFonts w:ascii="Times New Roman;sans-serif" w:hAnsi="Times New Roman;sans-serif"/>
          <w:b w:val="false"/>
          <w:color w:val="0000FF"/>
          <w:sz w:val="22"/>
          <w:highlight w:val="lightGray"/>
          <w:u w:val="single"/>
        </w:rPr>
        <w:t>any RFR Loan requested to be made shall not be made,</w:t>
      </w:r>
      <w:r>
        <w:rPr>
          <w:color w:val="000000"/>
        </w:rPr>
        <w:t xml:space="preserve"> </w:t>
      </w:r>
      <w:r>
        <w:rPr>
          <w:rFonts w:ascii="Times New Roman;sans-serif" w:hAnsi="Times New Roman;sans-serif"/>
          <w:b w:val="false"/>
          <w:color w:val="000000"/>
          <w:sz w:val="22"/>
        </w:rPr>
        <w:t xml:space="preserve">(iv) any outstanding </w:t>
      </w:r>
      <w:r>
        <w:rPr>
          <w:rFonts w:ascii="Times New Roman;sans-serif" w:hAnsi="Times New Roman;sans-serif"/>
          <w:b w:val="false"/>
          <w:color w:val="0000FF"/>
          <w:sz w:val="22"/>
          <w:highlight w:val="lightGray"/>
          <w:u w:val="single"/>
        </w:rPr>
        <w:t>Eurocurrency Borrowing denominated in</w:t>
      </w:r>
      <w:r>
        <w:rPr>
          <w:color w:val="000000"/>
        </w:rPr>
        <w:t xml:space="preserve"> </w:t>
      </w:r>
      <w:r>
        <w:rPr>
          <w:rFonts w:ascii="Times New Roman;sans-serif" w:hAnsi="Times New Roman;sans-serif"/>
          <w:b w:val="false"/>
          <w:color w:val="000000"/>
          <w:sz w:val="22"/>
        </w:rPr>
        <w:t xml:space="preserve">Foreign Currency </w:t>
      </w:r>
      <w:r>
        <w:rPr>
          <w:rFonts w:ascii="Times New Roman;sans-serif" w:hAnsi="Times New Roman;sans-serif"/>
          <w:b w:val="false"/>
          <w:strike/>
          <w:color w:val="FF0000"/>
          <w:sz w:val="22"/>
        </w:rPr>
        <w:t xml:space="preserve">Loans </w:t>
      </w:r>
      <w:r>
        <w:rPr>
          <w:rFonts w:ascii="Times New Roman;sans-serif" w:hAnsi="Times New Roman;sans-serif"/>
          <w:b w:val="false"/>
          <w:color w:val="000000"/>
          <w:sz w:val="22"/>
        </w:rPr>
        <w:t xml:space="preserve">(or any outstanding </w:t>
      </w:r>
      <w:r>
        <w:rPr>
          <w:rFonts w:ascii="Times New Roman;sans-serif" w:hAnsi="Times New Roman;sans-serif"/>
          <w:b w:val="false"/>
          <w:strike/>
          <w:color w:val="FF0000"/>
          <w:sz w:val="22"/>
        </w:rPr>
        <w:t>Foreign Currency</w:t>
      </w:r>
      <w:r>
        <w:rPr>
          <w:rFonts w:ascii="Times New Roman;sans-serif" w:hAnsi="Times New Roman;sans-serif"/>
          <w:b w:val="false"/>
          <w:color w:val="0000FF"/>
          <w:sz w:val="22"/>
          <w:highlight w:val="lightGray"/>
          <w:u w:val="single"/>
        </w:rPr>
        <w:t>Eurocurrency</w:t>
      </w:r>
      <w:r>
        <w:rPr>
          <w:color w:val="000000"/>
        </w:rPr>
        <w:t xml:space="preserve"> </w:t>
      </w:r>
      <w:r>
        <w:rPr>
          <w:rFonts w:ascii="Times New Roman;sans-serif" w:hAnsi="Times New Roman;sans-serif"/>
          <w:b w:val="false"/>
          <w:color w:val="000000"/>
          <w:sz w:val="22"/>
        </w:rPr>
        <w:t xml:space="preserve">Loans </w:t>
      </w:r>
      <w:r>
        <w:rPr>
          <w:rFonts w:ascii="Times New Roman;sans-serif" w:hAnsi="Times New Roman;sans-serif"/>
          <w:b w:val="false"/>
          <w:color w:val="0000FF"/>
          <w:sz w:val="22"/>
          <w:highlight w:val="lightGray"/>
          <w:u w:val="single"/>
        </w:rPr>
        <w:t>denominated in</w:t>
      </w:r>
      <w:r>
        <w:rPr>
          <w:color w:val="000000"/>
        </w:rPr>
        <w:t xml:space="preserve"> </w:t>
      </w:r>
      <w:r>
        <w:rPr>
          <w:rFonts w:ascii="Times New Roman;sans-serif" w:hAnsi="Times New Roman;sans-serif"/>
          <w:b w:val="false"/>
          <w:color w:val="000000"/>
          <w:sz w:val="22"/>
        </w:rPr>
        <w:t>in the affected Foreign Currency, as applicable) shall be due and payable on the last day of the Interest Period applicable thereto</w:t>
      </w:r>
      <w:r>
        <w:rPr>
          <w:rFonts w:ascii="Times New Roman;sans-serif" w:hAnsi="Times New Roman;sans-serif"/>
          <w:b w:val="false"/>
          <w:strike/>
          <w:color w:val="FF0000"/>
          <w:sz w:val="22"/>
        </w:rPr>
        <w:t>.</w:t>
      </w:r>
      <w:r>
        <w:rPr>
          <w:color w:val="000000"/>
        </w:rPr>
        <w:t xml:space="preserve"> </w:t>
      </w:r>
      <w:r>
        <w:rPr>
          <w:rFonts w:ascii="Times New Roman;sans-serif" w:hAnsi="Times New Roman;sans-serif"/>
          <w:b w:val="false"/>
          <w:color w:val="0000FF"/>
          <w:sz w:val="22"/>
          <w:highlight w:val="lightGray"/>
          <w:u w:val="single"/>
        </w:rPr>
        <w:t xml:space="preserve">and (v) any RFR Borrowing shall bear interest at the Central Bank Rate for the applicable Foreign Currency plus the CBR Spread; provided that, if the Administrative Agent determines (which determination shall be conclusive and binding absent manifest error) that the Central Bank Rate for the applicable Foreign Currency cannot be determined, any outstanding affected RFR Loans denominated in Pounds Sterling, at the Borrower’s election, shall either (A) be converted into ABR Loans denominated in Dollars (in an amount equal to the Dollar Equivalent of Pounds Sterling) immediately or (B) be prepaid in full immediately. </w:t>
      </w:r>
    </w:p>
    <w:p>
      <w:pPr>
        <w:pStyle w:val="TextBody"/>
        <w:spacing w:lineRule="auto" w:line="240" w:before="0" w:after="22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 Notwithstanding anything to the contrary herein or in any other Loan Document (and any Hedging Agreement shall be deemed not to be a “Loan Document” for purposes of this Section 2.14),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spacing w:lineRule="auto" w:line="240" w:before="0" w:after="160"/>
        <w:rPr/>
      </w:pPr>
      <w:r>
        <w:rPr>
          <w:rFonts w:ascii="Times New Roman;sans-serif" w:hAnsi="Times New Roman;sans-serif"/>
          <w:b w:val="false"/>
          <w:color w:val="000000"/>
          <w:sz w:val="22"/>
        </w:rPr>
        <w:t xml:space="preserve">(c) Notwithstanding anything to the contrary herein or in any other Loan Document and subject to the proviso below in this paragraph, (x) with respect to a Loan denominated in dollars, if a Term SOFR Transition Event and its related Benchmark Replacement Date or (y) with respect to a Loan denominated in Euros, if a Term ESTR Transition Event and its related Benchmark Replacement Date, as applicable,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this clause (c) shall not be effective unless the Administrative Agent has delivered to the Lenders and the Parent Borrower a Term SOFR Notice or a Term ESTR Notice, as applicable. For the avoidance of doubt, the Administrative Agent shall not be required to deliver any (x) Term SOFR Notice after the occurrence of a Term SOFR Transition Event or (y) Term ESTR Notice after the occurrence of a Term ESTR Transition Event, and may do so in its sole discretion.    (d)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spacing w:lineRule="auto" w:line="240" w:before="0" w:after="160"/>
        <w:rPr>
          <w:color w:val="000000"/>
        </w:rPr>
      </w:pPr>
      <w:r>
        <w:rPr>
          <w:color w:val="000000"/>
        </w:rPr>
        <w:t>    </w:t>
      </w:r>
      <w:r>
        <w:rPr>
          <w:rFonts w:ascii="Times New Roman;sans-serif" w:hAnsi="Times New Roman;sans-serif"/>
          <w:b w:val="false"/>
          <w:color w:val="000000"/>
          <w:sz w:val="22"/>
        </w:rPr>
        <w:t xml:space="preserve">(e) The Administrative Agent will promptly notify the Parent Borrower and the Lenders of (i) any occurrence of a Benchmark Transition Event or an Early Opt-in Election, as applicable,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w:t>
      </w:r>
      <w:r>
        <w:br w:type="page"/>
      </w:r>
    </w:p>
    <w:p>
      <w:pPr>
        <w:pStyle w:val="TextBody"/>
        <w:spacing w:before="0" w:after="0"/>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60655"/>
                <wp:effectExtent l="0" t="0" r="0" b="0"/>
                <wp:wrapNone/>
                <wp:docPr id="167" name="Frame16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-65-</w:t>
                      </w:r>
                    </w:p>
                  </w:txbxContent>
                </v:textbox>
              </v:rect>
            </w:pict>
          </mc:Fallback>
        </mc:AlternateContent>
      </w:r>
    </w:p>
    <w:p>
      <w:pPr>
        <w:pStyle w:val="TextBody"/>
        <w:spacing w:lineRule="auto" w:line="240" w:before="0" w:after="160"/>
        <w:rPr>
          <w:rFonts w:ascii="Times New Roman;sans-serif" w:hAnsi="Times New Roman;sans-serif"/>
          <w:b w:val="false"/>
          <w:color w:val="000000"/>
          <w:sz w:val="22"/>
        </w:rPr>
      </w:pPr>
      <w:r>
        <w:rPr>
          <w:rFonts w:ascii="Times New Roman;sans-serif" w:hAnsi="Times New Roman;sans-serif"/>
          <w:b w:val="false"/>
          <w:color w:val="000000"/>
          <w:sz w:val="22"/>
        </w:rPr>
        <w:t>manifest error and may be made in its or their sole discretion and without consent from any other party to this Agreement or any other Loan Document, except, in each case, as expressly required pursuant to this Section 2.14.</w:t>
      </w:r>
    </w:p>
    <w:p>
      <w:pPr>
        <w:pStyle w:val="TextBody"/>
        <w:spacing w:lineRule="auto" w:line="240" w:before="0" w:after="160"/>
        <w:rPr>
          <w:color w:val="000000"/>
        </w:rPr>
      </w:pPr>
      <w:r>
        <w:rPr>
          <w:color w:val="000000"/>
        </w:rPr>
        <w:t>    </w:t>
      </w:r>
      <w:r>
        <w:rPr>
          <w:rFonts w:ascii="Times New Roman;sans-serif" w:hAnsi="Times New Roman;sans-serif"/>
          <w:b w:val="false"/>
          <w:color w:val="000000"/>
          <w:sz w:val="22"/>
        </w:rPr>
        <w:t>(f) Notwithstanding anything to the contrary herein or in any other Loan Document, at any time (including in connection with the implementation of a Benchmark Replacement), (i) if the then-current Benchmark is a term rate (including Term SOFR, Term ESTR or LIBO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spacing w:lineRule="auto" w:line="240" w:before="0" w:after="160"/>
        <w:ind w:left="0" w:right="0" w:firstLine="720"/>
        <w:rPr/>
      </w:pPr>
      <w:r>
        <w:rPr>
          <w:rFonts w:ascii="Times New Roman;sans-serif" w:hAnsi="Times New Roman;sans-serif"/>
          <w:b w:val="false"/>
          <w:color w:val="000000"/>
          <w:sz w:val="22"/>
        </w:rPr>
        <w:t xml:space="preserve">(g) Upon the Parent Borrower’s receipt of notice of the commencement of a Benchmark Unavailability Period, the Parent Borrower may revoke any request for a Eurocurrency Borrowing </w:t>
      </w:r>
      <w:r>
        <w:rPr>
          <w:rFonts w:ascii="Times New Roman;sans-serif" w:hAnsi="Times New Roman;sans-serif"/>
          <w:b w:val="false"/>
          <w:color w:val="0000FF"/>
          <w:sz w:val="22"/>
          <w:highlight w:val="lightGray"/>
          <w:u w:val="single"/>
        </w:rPr>
        <w:t>or RFR Borrowing</w:t>
      </w:r>
      <w:r>
        <w:rPr>
          <w:color w:val="000000"/>
        </w:rPr>
        <w:t xml:space="preserve"> </w:t>
      </w:r>
      <w:r>
        <w:rPr>
          <w:rFonts w:ascii="Times New Roman;sans-serif" w:hAnsi="Times New Roman;sans-serif"/>
          <w:b w:val="false"/>
          <w:color w:val="000000"/>
          <w:sz w:val="22"/>
        </w:rPr>
        <w:t xml:space="preserve">of, conversion to or continuation of Eurocurrency Loans to be made, converted or continued during any Benchmark Unavailability Period and, failing that, either (x) the Parent Borrower will be deemed to have converted any request for a Eurocurrency Borrowing denominated in dollars into a request for a Borrowing of or conversion to ABR Loans or (y) any Eurocurrency Borrowing </w:t>
      </w:r>
      <w:r>
        <w:rPr>
          <w:rFonts w:ascii="Times New Roman;sans-serif" w:hAnsi="Times New Roman;sans-serif"/>
          <w:b w:val="false"/>
          <w:color w:val="0000FF"/>
          <w:sz w:val="22"/>
          <w:highlight w:val="lightGray"/>
          <w:u w:val="single"/>
        </w:rPr>
        <w:t>or RFR Borrowing</w:t>
      </w:r>
      <w:r>
        <w:rPr>
          <w:color w:val="000000"/>
        </w:rPr>
        <w:t xml:space="preserve"> </w:t>
      </w:r>
      <w:r>
        <w:rPr>
          <w:rFonts w:ascii="Times New Roman;sans-serif" w:hAnsi="Times New Roman;sans-serif"/>
          <w:b w:val="false"/>
          <w:color w:val="000000"/>
          <w:sz w:val="22"/>
        </w:rPr>
        <w:t xml:space="preserve">denominated in a Foreign Currency shall be ineffective.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 Furthermore, if any Eurocurrency Loan </w:t>
      </w:r>
      <w:r>
        <w:rPr>
          <w:rFonts w:ascii="Times New Roman;sans-serif" w:hAnsi="Times New Roman;sans-serif"/>
          <w:b w:val="false"/>
          <w:color w:val="0000FF"/>
          <w:sz w:val="22"/>
          <w:highlight w:val="lightGray"/>
          <w:u w:val="single"/>
        </w:rPr>
        <w:t>or RFR Loan</w:t>
      </w:r>
      <w:r>
        <w:rPr>
          <w:color w:val="000000"/>
        </w:rPr>
        <w:t xml:space="preserve"> </w:t>
      </w:r>
      <w:r>
        <w:rPr>
          <w:rFonts w:ascii="Times New Roman;sans-serif" w:hAnsi="Times New Roman;sans-serif"/>
          <w:b w:val="false"/>
          <w:color w:val="000000"/>
          <w:sz w:val="22"/>
        </w:rPr>
        <w:t xml:space="preserve">in any Agreed Currency is outstanding on the date of the Parent Borrower’s receipt of notice of the commencement of a Benchmark Unavailability Period with respect to the LIBO Rate </w:t>
      </w:r>
      <w:r>
        <w:rPr>
          <w:rFonts w:ascii="Times New Roman;sans-serif" w:hAnsi="Times New Roman;sans-serif"/>
          <w:b w:val="false"/>
          <w:color w:val="0000FF"/>
          <w:sz w:val="22"/>
          <w:highlight w:val="lightGray"/>
          <w:u w:val="single"/>
        </w:rPr>
        <w:t>or Adjusted Daily Simple RFR</w:t>
      </w:r>
      <w:r>
        <w:rPr>
          <w:color w:val="000000"/>
        </w:rPr>
        <w:t xml:space="preserve"> </w:t>
      </w:r>
      <w:r>
        <w:rPr>
          <w:rFonts w:ascii="Times New Roman;sans-serif" w:hAnsi="Times New Roman;sans-serif"/>
          <w:b w:val="false"/>
          <w:color w:val="000000"/>
          <w:sz w:val="22"/>
        </w:rPr>
        <w:t>applicable to such Eurocurrency Loan</w:t>
      </w:r>
      <w:r>
        <w:rPr>
          <w:color w:val="0000FF"/>
          <w:highlight w:val="lightGray"/>
          <w:u w:val="single"/>
        </w:rPr>
        <w:t xml:space="preserve"> </w:t>
      </w:r>
      <w:r>
        <w:rPr>
          <w:rFonts w:ascii="Times New Roman;sans-serif" w:hAnsi="Times New Roman;sans-serif"/>
          <w:b w:val="false"/>
          <w:color w:val="0000FF"/>
          <w:sz w:val="22"/>
          <w:highlight w:val="lightGray"/>
          <w:u w:val="single"/>
        </w:rPr>
        <w:t>or RFR Loan, as applicable</w:t>
      </w:r>
      <w:r>
        <w:rPr>
          <w:rFonts w:ascii="Times New Roman;sans-serif" w:hAnsi="Times New Roman;sans-serif"/>
          <w:b w:val="false"/>
          <w:color w:val="000000"/>
          <w:sz w:val="22"/>
        </w:rPr>
        <w:t xml:space="preserve">, then until such time as a Benchmark Replacement for such Agreed Currency is implemented pursuant to this Section 2.14, (i) </w:t>
      </w:r>
      <w:r>
        <w:rPr>
          <w:rFonts w:ascii="Times New Roman;sans-serif" w:hAnsi="Times New Roman;sans-serif"/>
          <w:b w:val="false"/>
          <w:strike/>
          <w:color w:val="FF0000"/>
          <w:sz w:val="22"/>
        </w:rPr>
        <w:t>if such</w:t>
      </w:r>
      <w:r>
        <w:rPr>
          <w:rFonts w:ascii="Times New Roman;sans-serif" w:hAnsi="Times New Roman;sans-serif"/>
          <w:b w:val="false"/>
          <w:color w:val="0000FF"/>
          <w:sz w:val="22"/>
          <w:highlight w:val="lightGray"/>
          <w:u w:val="single"/>
        </w:rPr>
        <w:t>for</w:t>
      </w:r>
      <w:r>
        <w:rPr>
          <w:color w:val="000000"/>
        </w:rPr>
        <w:t xml:space="preserve"> </w:t>
      </w:r>
      <w:r>
        <w:rPr>
          <w:rFonts w:ascii="Times New Roman;sans-serif" w:hAnsi="Times New Roman;sans-serif"/>
          <w:b w:val="false"/>
          <w:color w:val="000000"/>
          <w:sz w:val="22"/>
        </w:rPr>
        <w:t>Eurocurrency Loan</w:t>
      </w:r>
      <w:r>
        <w:rPr>
          <w:rFonts w:ascii="Times New Roman;sans-serif" w:hAnsi="Times New Roman;sans-serif"/>
          <w:b w:val="false"/>
          <w:color w:val="0000FF"/>
          <w:sz w:val="22"/>
          <w:highlight w:val="lightGray"/>
          <w:u w:val="single"/>
        </w:rPr>
        <w:t>s</w:t>
      </w:r>
      <w:r>
        <w:rPr>
          <w:color w:val="000000"/>
        </w:rPr>
        <w:t xml:space="preserve"> </w:t>
      </w:r>
      <w:r>
        <w:rPr>
          <w:rFonts w:ascii="Times New Roman;sans-serif" w:hAnsi="Times New Roman;sans-serif"/>
          <w:b w:val="false"/>
          <w:strike/>
          <w:color w:val="FF0000"/>
          <w:sz w:val="22"/>
        </w:rPr>
        <w:t xml:space="preserve">is </w:t>
      </w:r>
      <w:r>
        <w:rPr>
          <w:rFonts w:ascii="Times New Roman;sans-serif" w:hAnsi="Times New Roman;sans-serif"/>
          <w:b w:val="false"/>
          <w:color w:val="000000"/>
          <w:sz w:val="22"/>
        </w:rPr>
        <w:t>denominated in dollars, then on the last day of the Interest Period applicable to such Loan (or the next succeeding Business Day if such day is not a Business Day), such Loan shall be converted by the Administrative Agent to, and shall constitute, an ABR Loan denominated in dollars on such day</w:t>
      </w:r>
      <w:r>
        <w:rPr>
          <w:strike/>
          <w:color w:val="FF0000"/>
        </w:rPr>
        <w:t xml:space="preserve"> </w:t>
      </w:r>
      <w:r>
        <w:rPr>
          <w:rFonts w:ascii="Times New Roman;sans-serif" w:hAnsi="Times New Roman;sans-serif"/>
          <w:b w:val="false"/>
          <w:strike/>
          <w:color w:val="FF0000"/>
          <w:sz w:val="22"/>
        </w:rPr>
        <w:t>or</w:t>
      </w:r>
      <w:r>
        <w:rPr>
          <w:rFonts w:ascii="Times New Roman;sans-serif" w:hAnsi="Times New Roman;sans-serif"/>
          <w:b w:val="false"/>
          <w:color w:val="0000FF"/>
          <w:sz w:val="22"/>
          <w:highlight w:val="lightGray"/>
          <w:u w:val="single"/>
        </w:rPr>
        <w:t>,</w:t>
      </w:r>
      <w:r>
        <w:rPr>
          <w:color w:val="000000"/>
        </w:rPr>
        <w:t xml:space="preserve"> </w:t>
      </w:r>
      <w:r>
        <w:rPr>
          <w:rFonts w:ascii="Times New Roman;sans-serif" w:hAnsi="Times New Roman;sans-serif"/>
          <w:b w:val="false"/>
          <w:color w:val="000000"/>
          <w:sz w:val="22"/>
        </w:rPr>
        <w:t xml:space="preserve">(ii) </w:t>
      </w:r>
      <w:r>
        <w:rPr>
          <w:rFonts w:ascii="Times New Roman;sans-serif" w:hAnsi="Times New Roman;sans-serif"/>
          <w:b w:val="false"/>
          <w:strike/>
          <w:color w:val="FF0000"/>
          <w:sz w:val="22"/>
        </w:rPr>
        <w:t>if such</w:t>
      </w:r>
      <w:r>
        <w:rPr>
          <w:rFonts w:ascii="Times New Roman;sans-serif" w:hAnsi="Times New Roman;sans-serif"/>
          <w:b w:val="false"/>
          <w:color w:val="0000FF"/>
          <w:sz w:val="22"/>
          <w:highlight w:val="lightGray"/>
          <w:u w:val="single"/>
        </w:rPr>
        <w:t>for</w:t>
      </w:r>
      <w:r>
        <w:rPr>
          <w:color w:val="000000"/>
        </w:rPr>
        <w:t xml:space="preserve"> </w:t>
      </w:r>
      <w:r>
        <w:rPr>
          <w:rFonts w:ascii="Times New Roman;sans-serif" w:hAnsi="Times New Roman;sans-serif"/>
          <w:b w:val="false"/>
          <w:color w:val="000000"/>
          <w:sz w:val="22"/>
        </w:rPr>
        <w:t>Eurocurrency Loan</w:t>
      </w:r>
      <w:r>
        <w:rPr>
          <w:rFonts w:ascii="Times New Roman;sans-serif" w:hAnsi="Times New Roman;sans-serif"/>
          <w:b w:val="false"/>
          <w:color w:val="0000FF"/>
          <w:sz w:val="22"/>
          <w:highlight w:val="lightGray"/>
          <w:u w:val="single"/>
        </w:rPr>
        <w:t>s</w:t>
      </w:r>
      <w:r>
        <w:rPr>
          <w:color w:val="000000"/>
        </w:rPr>
        <w:t xml:space="preserve"> </w:t>
      </w:r>
      <w:r>
        <w:rPr>
          <w:rFonts w:ascii="Times New Roman;sans-serif" w:hAnsi="Times New Roman;sans-serif"/>
          <w:b w:val="false"/>
          <w:strike/>
          <w:color w:val="FF0000"/>
          <w:sz w:val="22"/>
        </w:rPr>
        <w:t xml:space="preserve">is </w:t>
      </w:r>
      <w:r>
        <w:rPr>
          <w:rFonts w:ascii="Times New Roman;sans-serif" w:hAnsi="Times New Roman;sans-serif"/>
          <w:b w:val="false"/>
          <w:color w:val="000000"/>
          <w:sz w:val="22"/>
        </w:rPr>
        <w:t>denominated in any Agreed Currency other than dollars, then such Loan shall, on the last day of the Interest Period applicable to such Loan (or the next succeeding Business Day if such day is not a Business Day), at the Parent Borrower’s election prior to such day: (A) be prepaid by the applicable Borrower on such day or (B) solely for the purpose of calculating the interest rate applicable to such Eurocurrency Loan, such Eurocurrency Loan denominated in any Agreed Currency other than dollars shall be deemed to be a Eurocurrency Loan denominated in dollars and shall accrue interest at the same interest rate applicable to Eurocurrency Loans denominated in dollars at such time</w:t>
      </w:r>
      <w:r>
        <w:rPr>
          <w:rFonts w:ascii="Times New Roman;sans-serif" w:hAnsi="Times New Roman;sans-serif"/>
          <w:b w:val="false"/>
          <w:strike/>
          <w:color w:val="FF0000"/>
          <w:sz w:val="22"/>
        </w:rPr>
        <w:t>.</w:t>
      </w:r>
      <w:r>
        <w:rPr>
          <w:color w:val="000000"/>
        </w:rPr>
        <w:t xml:space="preserve"> </w:t>
      </w:r>
      <w:r>
        <w:rPr>
          <w:rFonts w:ascii="Times New Roman;sans-serif" w:hAnsi="Times New Roman;sans-serif"/>
          <w:b w:val="false"/>
          <w:color w:val="0000FF"/>
          <w:sz w:val="22"/>
          <w:highlight w:val="lightGray"/>
          <w:u w:val="single"/>
        </w:rPr>
        <w:t>and (iii) for RFR Loans, then such Loan shall bear interest at the Central Bank Rate for Pounds Sterling plus the CBR Spread; provided that, if the Administrative Agent determines (which determination shall be conclusive and binding absent manifest error) that the Central Bank Rate for Pounds Sterling cannot be determined, any outstanding affected RFR Loans denominated in Pounds Sterling, at the Borrower’s election, shall either (A) be converted into ABR Loans denominated in Dollars (in an amount equal to the Dollar Equivalent of Pounds Sterling) immediately or (B) be prepaid in full immediately.</w:t>
      </w:r>
    </w:p>
    <w:p>
      <w:pPr>
        <w:pStyle w:val="TextBody"/>
        <w:spacing w:lineRule="auto" w:line="240" w:before="0" w:after="240"/>
        <w:ind w:left="0" w:right="0" w:firstLine="1440"/>
        <w:rPr/>
      </w:pPr>
      <w:r>
        <w:rPr>
          <w:rFonts w:ascii="Times New Roman;sans-serif" w:hAnsi="Times New Roman;sans-serif"/>
          <w:b w:val="false"/>
          <w:color w:val="000000"/>
          <w:sz w:val="22"/>
        </w:rPr>
        <w:t>SECTION 2.15    </w:t>
      </w:r>
      <w:r>
        <w:rPr>
          <w:rFonts w:ascii="Times New Roman;sans-serif" w:hAnsi="Times New Roman;sans-serif"/>
          <w:b w:val="false"/>
          <w:color w:val="000000"/>
          <w:sz w:val="22"/>
          <w:u w:val="single"/>
        </w:rPr>
        <w:t>Increased Costs</w:t>
      </w:r>
      <w:r>
        <w:rPr>
          <w:rFonts w:ascii="Times New Roman;sans-serif" w:hAnsi="Times New Roman;sans-serif"/>
          <w:b w:val="false"/>
          <w:color w:val="000000"/>
          <w:sz w:val="22"/>
        </w:rPr>
        <w: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(a)    If any Change in Law shall:</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    impose, modify or deem applicable any reserve, special deposit or similar requirement against assets of, deposits with or for the account of, or credit extended by, any Lender (except any such reserve requirement reflected in the Adjusted LIBO Rate) or the Issuing Bank;</w:t>
      </w:r>
      <w:r>
        <w:br w:type="page"/>
      </w:r>
    </w:p>
    <w:p>
      <w:pPr>
        <w:pStyle w:val="TextBody"/>
        <w:spacing w:before="0" w:after="0"/>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60655"/>
                <wp:effectExtent l="0" t="0" r="0" b="0"/>
                <wp:wrapNone/>
                <wp:docPr id="168" name="Frame16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-66-</w:t>
                      </w:r>
                    </w:p>
                  </w:txbxContent>
                </v:textbox>
              </v:rect>
            </w:pict>
          </mc:Fallback>
        </mc:AlternateContent>
      </w:r>
    </w:p>
    <w:p>
      <w:pPr>
        <w:pStyle w:val="TextBody"/>
        <w:spacing w:lineRule="auto" w:line="240" w:before="0" w:after="240"/>
        <w:ind w:left="0" w:right="0" w:firstLine="1008"/>
        <w:rPr/>
      </w:pPr>
      <w:r>
        <w:rPr>
          <w:rFonts w:ascii="Times New Roman;sans-serif" w:hAnsi="Times New Roman;sans-serif"/>
          <w:b w:val="false"/>
          <w:color w:val="000000"/>
          <w:sz w:val="22"/>
        </w:rPr>
        <w:t xml:space="preserve">(ii)    impose on any Lender or the Issuing Bank or the London interbank market any other condition affecting this Agreement or Eurocurrency Loans </w:t>
      </w:r>
      <w:r>
        <w:rPr>
          <w:rFonts w:ascii="Times New Roman;sans-serif" w:hAnsi="Times New Roman;sans-serif"/>
          <w:b w:val="false"/>
          <w:color w:val="0000FF"/>
          <w:sz w:val="22"/>
          <w:highlight w:val="lightGray"/>
          <w:u w:val="single"/>
        </w:rPr>
        <w:t>or RFR Loans</w:t>
      </w:r>
      <w:r>
        <w:rPr>
          <w:color w:val="000000"/>
        </w:rPr>
        <w:t xml:space="preserve"> </w:t>
      </w:r>
      <w:r>
        <w:rPr>
          <w:rFonts w:ascii="Times New Roman;sans-serif" w:hAnsi="Times New Roman;sans-serif"/>
          <w:b w:val="false"/>
          <w:color w:val="000000"/>
          <w:sz w:val="22"/>
        </w:rPr>
        <w:t>made by such Lender or any Letter of Credit or participation therein; or</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(iii)    subject any Lender or the Issuing Bank to any Taxes on its loans, loan principal, Letters of Credit, commitments, or other obligations, or its deposits, reserves, other liabilities or capital attributable thereto (other than (A) Indemnified Taxes otherwise indemnifiable under Section 2.17 and (B) Excluded Taxes);</w:t>
      </w:r>
    </w:p>
    <w:p>
      <w:pPr>
        <w:pStyle w:val="TextBody"/>
        <w:spacing w:lineRule="auto" w:line="240" w:before="0" w:after="240"/>
        <w:rPr/>
      </w:pPr>
      <w:r>
        <w:rPr>
          <w:rFonts w:ascii="Times New Roman;sans-serif" w:hAnsi="Times New Roman;sans-serif"/>
          <w:b w:val="false"/>
          <w:color w:val="000000"/>
          <w:sz w:val="22"/>
        </w:rPr>
        <w:t xml:space="preserve">and the result of any of the foregoing shall be to increase the cost to such Lender of making or maintaining any Eurocurrency Loan </w:t>
      </w:r>
      <w:r>
        <w:rPr>
          <w:rFonts w:ascii="Times New Roman;sans-serif" w:hAnsi="Times New Roman;sans-serif"/>
          <w:b w:val="false"/>
          <w:color w:val="0000FF"/>
          <w:sz w:val="22"/>
          <w:highlight w:val="lightGray"/>
          <w:u w:val="single"/>
        </w:rPr>
        <w:t>or RFR Loan</w:t>
      </w:r>
      <w:r>
        <w:rPr>
          <w:color w:val="000000"/>
        </w:rPr>
        <w:t xml:space="preserve"> </w:t>
      </w:r>
      <w:r>
        <w:rPr>
          <w:rFonts w:ascii="Times New Roman;sans-serif" w:hAnsi="Times New Roman;sans-serif"/>
          <w:b w:val="false"/>
          <w:color w:val="000000"/>
          <w:sz w:val="22"/>
        </w:rPr>
        <w:t>(or of maintaining its obligation to make any such Loan) or to increase the cost to such Lender or the Issuing Bank of participating in, issuing or maintaining any Letter of Credit or to reduce the amount of any sum received or receivable by such Lender or the Issuing Bank hereunder (whether of principal, interest or otherwise), then the Parent Borrower or the applicable Foreign Subsidiary Borrowers, as the case may be, will pay to such Lender or the Issuing Bank, as the case may be, such additional amount or amounts as will compensate such Lender or the Issuing Bank, as the case may be, for such additional costs incurred or reduction suffered.</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(b)    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or the Loans made by, or participations in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or liquidity), then from time to time the Parent Borrower or the applicable Foreign Subsidiary Borrowers, as the case may be, will pay to such Lender or the Issuing Bank, as the case may be, such additional amount or amounts as will compensate such Lender or the Issuing Bank or such Lender’s or the Issuing Bank’s holding company for any such reduction suffered.</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(c)    If by reason of any Change in Law subsequent to the Second Restatement Date, disruption of currency or foreign exchange markets, war or civil disturbance or similar event, the funding of any Foreign Currency Loan in any relevant Foreign Currency or the funding of any Foreign Currency Loan in any relevant Foreign Currency to an office located other than in New York shall be impossible or, in the reasonable judgment of the Fronting Lender such Foreign Currency is no longer available or readily convertible into dollars, or the Dollar Equivalent of such Foreign Currency is no longer readily calculable, then, at the election of the Fronting Lender, no Foreign Currency Loans in the relevant currency shall be made or any Foreign Currency Loan in the relevant currency shall be made to an office of the Administrative Agent located in New York, as the case may be, until such time as, in the reasonable judgment of the Fronting Lender, the funding of Foreign Currency Loans in the relevant Foreign Currency is possible, the funding of Foreign Currency Loans in the relevant Foreign Currency to an office located other than in New York is possible, the relevant Foreign Currency is available and readily convertible into dollars or the Dollar Equivalent of the relevant Foreign Currency Loan is readily calculable, as applicable.</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(d)    (i) If payment in respect of any Foreign Currency Loan shall be due in a currency other than dollars and/or at a place of payment other than New York and if, by reason of any Change in Law subsequent to the Second Restatement Date, disruption of currency or foreign exchange markets, war or civil disturbance or similar event, payment of such Obligations in such currency or such place of payment shall be impossible or, in the reasonable judgment of the Fronting Lender, such Foreign Currency is no longer available or readily convertible to dollars, or the Dollar Equivalent of such Foreign Currency is no longer readily calculable, then, at the election of any affected Lender, the Parent Borrower (on behalf of itself and the Foreign Subsidiary Borrowers) shall make payment of such Loan in dollars (based upon the Exchange Rate in effect for the day on which such payment occurs, as determined by the Administrative Agent in accordance with the terms hereof) and/or in New York or (ii) if any Foreign Currency in which Loans are outstanding is redenominated then, at the election of any affected Lender, such affected Loan and all obligations of the Parent Borrower or any applicable Foreign Subsidiary </w:t>
      </w:r>
      <w:r>
        <w:br w:type="page"/>
      </w:r>
    </w:p>
    <w:p>
      <w:pPr>
        <w:pStyle w:val="TextBody"/>
        <w:spacing w:before="0" w:after="0"/>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60655"/>
                <wp:effectExtent l="0" t="0" r="0" b="0"/>
                <wp:wrapNone/>
                <wp:docPr id="169" name="Frame16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-67-</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Borrower in respect thereof shall be converted into obligations in dollars (based upon the Exchange Rate in effect on such date, as determined by the Administrative Agent in accordance with the terms hereof), and, in each case, the Parent Borrower (on behalf of itself and the Foreign Subsidiary Borrowers) shall indemnify the Lenders, against any currency exchange losses or reasonable out-of-pocket expenses that it shall sustain as a result of such alternative payment.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(e)    A certificate of a Lender or the Issuing Bank setting forth the amount or amounts necessary to compensate such Lender or the Issuing Bank or its holding company, as the case may be, as specified in paragraph (a) or (b) of this Section shall be delivered to the Parent Borrower (on behalf of itself and the Foreign Subsidiary Borrowers) and shall be conclusive absent manifest error. The Parent Borrower or the applicable Foreign Subsidiary Borrowers, as the case may be, shall pay such Lender or the Issuing Bank, as the case may be, the amount shown as due on any such certificate within 10 days after receipt thereof.</w:t>
      </w:r>
    </w:p>
    <w:p>
      <w:pPr>
        <w:pStyle w:val="TextBody"/>
        <w:spacing w:lineRule="auto" w:line="240" w:before="0" w:after="240"/>
        <w:ind w:left="0" w:right="0" w:firstLine="1440"/>
        <w:rPr/>
      </w:pPr>
      <w:r>
        <w:rPr>
          <w:rFonts w:ascii="Times New Roman;sans-serif" w:hAnsi="Times New Roman;sans-serif"/>
          <w:b w:val="false"/>
          <w:color w:val="000000"/>
          <w:sz w:val="22"/>
        </w:rPr>
        <w:t xml:space="preserve">(f)    Failure or delay on the part of any Lender or the Issuing Bank to demand compensation pursuant to this Section shall not constitute a waiver of such Lender’s or the Issuing Bank’s right to demand such compensation;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none of the Parent Borrower or any Foreign Subsidiary Borrower shall be required to compensate a Lender or the Issuing Bank pursuant to this Section for any increased costs or reductions incurred more than 270 days prior to the date that such Lender or the Issuing Bank, as the case may be, notifies the Parent Borrower (on behalf of itself and the Foreign Subsidiary Borrowers) of the Change in Law giving rise to such increased costs or reductions and of such Lender’s or the Issuing Bank’s intention to claim compensation therefor;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if the Change in Law giving rise to such increased costs or reductions is retroactive, then the 270-day period referred to above shall be extended to include the period of retroactive effect thereof.</w:t>
      </w:r>
    </w:p>
    <w:p>
      <w:pPr>
        <w:pStyle w:val="TextBody"/>
        <w:spacing w:lineRule="auto" w:line="240" w:before="0" w:after="240"/>
        <w:ind w:left="0" w:right="0" w:firstLine="1440"/>
        <w:rPr/>
      </w:pPr>
      <w:r>
        <w:rPr>
          <w:rFonts w:ascii="Times New Roman;sans-serif" w:hAnsi="Times New Roman;sans-serif"/>
          <w:b w:val="false"/>
          <w:color w:val="000000"/>
          <w:sz w:val="22"/>
        </w:rPr>
        <w:t>SECTION 2.16    </w:t>
      </w:r>
      <w:r>
        <w:rPr>
          <w:rFonts w:ascii="Times New Roman;sans-serif" w:hAnsi="Times New Roman;sans-serif"/>
          <w:b w:val="false"/>
          <w:color w:val="000000"/>
          <w:sz w:val="22"/>
          <w:u w:val="single"/>
        </w:rPr>
        <w:t>Break Funding Payments</w:t>
      </w:r>
      <w:r>
        <w:rPr>
          <w:rFonts w:ascii="Times New Roman;sans-serif" w:hAnsi="Times New Roman;sans-serif"/>
          <w:b w:val="false"/>
          <w:color w:val="000000"/>
          <w:sz w:val="22"/>
        </w:rPr>
        <w:t xml:space="preserve">. </w:t>
      </w:r>
      <w:r>
        <w:rPr>
          <w:rFonts w:ascii="Times New Roman;sans-serif" w:hAnsi="Times New Roman;sans-serif"/>
          <w:b w:val="false"/>
          <w:strike/>
          <w:color w:val="FF0000"/>
          <w:sz w:val="22"/>
        </w:rPr>
        <w:t>In</w:t>
      </w:r>
    </w:p>
    <w:p>
      <w:pPr>
        <w:pStyle w:val="TextBody"/>
        <w:spacing w:lineRule="auto" w:line="240" w:before="0" w:after="240"/>
        <w:ind w:left="0" w:right="0" w:firstLine="1440"/>
        <w:rPr/>
      </w:pPr>
      <w:r>
        <w:rPr>
          <w:rFonts w:ascii="Times New Roman;sans-serif" w:hAnsi="Times New Roman;sans-serif"/>
          <w:b w:val="false"/>
          <w:color w:val="0000FF"/>
          <w:sz w:val="22"/>
          <w:highlight w:val="lightGray"/>
          <w:u w:val="single"/>
        </w:rPr>
        <w:t>(a)</w:t>
      </w:r>
      <w:r>
        <w:rPr>
          <w:color w:val="000000"/>
        </w:rPr>
        <w:t>    </w:t>
      </w:r>
      <w:r>
        <w:rPr>
          <w:rFonts w:ascii="Times New Roman;sans-serif" w:hAnsi="Times New Roman;sans-serif"/>
          <w:b w:val="false"/>
          <w:color w:val="0000FF"/>
          <w:sz w:val="22"/>
          <w:highlight w:val="lightGray"/>
          <w:u w:val="single"/>
        </w:rPr>
        <w:t>With respect to Loans that are not RFR Loans, in</w:t>
      </w:r>
      <w:r>
        <w:rPr>
          <w:color w:val="000000"/>
        </w:rPr>
        <w:t xml:space="preserve"> </w:t>
      </w:r>
      <w:r>
        <w:rPr>
          <w:rFonts w:ascii="Times New Roman;sans-serif" w:hAnsi="Times New Roman;sans-serif"/>
          <w:b w:val="false"/>
          <w:color w:val="000000"/>
          <w:sz w:val="22"/>
        </w:rPr>
        <w:t>the event of (</w:t>
      </w:r>
      <w:r>
        <w:rPr>
          <w:rFonts w:ascii="Times New Roman;sans-serif" w:hAnsi="Times New Roman;sans-serif"/>
          <w:b w:val="false"/>
          <w:strike/>
          <w:color w:val="FF0000"/>
          <w:sz w:val="22"/>
        </w:rPr>
        <w:t>a</w:t>
      </w:r>
      <w:r>
        <w:rPr>
          <w:rFonts w:ascii="Times New Roman;sans-serif" w:hAnsi="Times New Roman;sans-serif"/>
          <w:b w:val="false"/>
          <w:color w:val="0000FF"/>
          <w:sz w:val="22"/>
          <w:highlight w:val="lightGray"/>
          <w:u w:val="single"/>
        </w:rPr>
        <w:t>i</w:t>
      </w:r>
      <w:r>
        <w:rPr>
          <w:rFonts w:ascii="Times New Roman;sans-serif" w:hAnsi="Times New Roman;sans-serif"/>
          <w:b w:val="false"/>
          <w:color w:val="000000"/>
          <w:sz w:val="22"/>
        </w:rPr>
        <w:t>) the payment of any principal of any Eurocurrency Loan other than on the last day of an Interest Period applicable thereto (including as a result of an Event of Default), (</w:t>
      </w:r>
      <w:r>
        <w:rPr>
          <w:rFonts w:ascii="Times New Roman;sans-serif" w:hAnsi="Times New Roman;sans-serif"/>
          <w:b w:val="false"/>
          <w:strike/>
          <w:color w:val="FF0000"/>
          <w:sz w:val="22"/>
        </w:rPr>
        <w:t>b</w:t>
      </w:r>
      <w:r>
        <w:rPr>
          <w:rFonts w:ascii="Times New Roman;sans-serif" w:hAnsi="Times New Roman;sans-serif"/>
          <w:b w:val="false"/>
          <w:color w:val="0000FF"/>
          <w:sz w:val="22"/>
          <w:highlight w:val="lightGray"/>
          <w:u w:val="single"/>
        </w:rPr>
        <w:t>ii</w:t>
      </w:r>
      <w:r>
        <w:rPr>
          <w:rFonts w:ascii="Times New Roman;sans-serif" w:hAnsi="Times New Roman;sans-serif"/>
          <w:b w:val="false"/>
          <w:color w:val="000000"/>
          <w:sz w:val="22"/>
        </w:rPr>
        <w:t>) the conversion of any Eurocurrency Loan other than on the last day of the Interest Period applicable thereto, (</w:t>
      </w:r>
      <w:r>
        <w:rPr>
          <w:rFonts w:ascii="Times New Roman;sans-serif" w:hAnsi="Times New Roman;sans-serif"/>
          <w:b w:val="false"/>
          <w:strike/>
          <w:color w:val="FF0000"/>
          <w:sz w:val="22"/>
        </w:rPr>
        <w:t>c</w:t>
      </w:r>
      <w:r>
        <w:rPr>
          <w:rFonts w:ascii="Times New Roman;sans-serif" w:hAnsi="Times New Roman;sans-serif"/>
          <w:b w:val="false"/>
          <w:color w:val="0000FF"/>
          <w:sz w:val="22"/>
          <w:highlight w:val="lightGray"/>
          <w:u w:val="single"/>
        </w:rPr>
        <w:t>iii</w:t>
      </w:r>
      <w:r>
        <w:rPr>
          <w:rFonts w:ascii="Times New Roman;sans-serif" w:hAnsi="Times New Roman;sans-serif"/>
          <w:b w:val="false"/>
          <w:color w:val="000000"/>
          <w:sz w:val="22"/>
        </w:rPr>
        <w:t>) the failure to borrow, convert, continue or prepay any Revolving Loan on the date specified in any notice delivered pursuant hereto (regardless of whether such notice may be revoked under Section 2.11(f) and is revoked in accordance therewith), or (</w:t>
      </w:r>
      <w:r>
        <w:rPr>
          <w:rFonts w:ascii="Times New Roman;sans-serif" w:hAnsi="Times New Roman;sans-serif"/>
          <w:b w:val="false"/>
          <w:strike/>
          <w:color w:val="FF0000"/>
          <w:sz w:val="22"/>
        </w:rPr>
        <w:t>d</w:t>
      </w:r>
      <w:r>
        <w:rPr>
          <w:rFonts w:ascii="Times New Roman;sans-serif" w:hAnsi="Times New Roman;sans-serif"/>
          <w:b w:val="false"/>
          <w:color w:val="0000FF"/>
          <w:sz w:val="22"/>
          <w:highlight w:val="lightGray"/>
          <w:u w:val="single"/>
        </w:rPr>
        <w:t>iv</w:t>
      </w:r>
      <w:r>
        <w:rPr>
          <w:rFonts w:ascii="Times New Roman;sans-serif" w:hAnsi="Times New Roman;sans-serif"/>
          <w:b w:val="false"/>
          <w:color w:val="000000"/>
          <w:sz w:val="22"/>
        </w:rPr>
        <w:t>) the assignment of any Eurocurrency Loan other than on the last day of the Interest Period applicable thereto as a result of a request by the Parent Borrower or any Foreign Subsidiary Borrower pursuant to Section 2.19, then, in any such event, the Parent Borrower or the applicable Foreign Subsidiary Borrower, as the case may be, shall compensate each Lender for the loss, cost and expense attributable to such event. In the case of a Eurocurrency Loan, such loss, cost or expense to any Lender shall be deemed to include an amount determined by such Lender to be the excess, if any, of (</w:t>
      </w:r>
      <w:r>
        <w:rPr>
          <w:rFonts w:ascii="Times New Roman;sans-serif" w:hAnsi="Times New Roman;sans-serif"/>
          <w:b w:val="false"/>
          <w:strike/>
          <w:color w:val="FF0000"/>
          <w:sz w:val="22"/>
        </w:rPr>
        <w:t>i</w:t>
      </w:r>
      <w:r>
        <w:rPr>
          <w:rFonts w:ascii="Times New Roman;sans-serif" w:hAnsi="Times New Roman;sans-serif"/>
          <w:b w:val="false"/>
          <w:color w:val="0000FF"/>
          <w:sz w:val="22"/>
          <w:highlight w:val="lightGray"/>
          <w:u w:val="single"/>
        </w:rPr>
        <w:t>x</w:t>
      </w:r>
      <w:r>
        <w:rPr>
          <w:rFonts w:ascii="Times New Roman;sans-serif" w:hAnsi="Times New Roman;sans-serif"/>
          <w:b w:val="false"/>
          <w:color w:val="000000"/>
          <w:sz w:val="22"/>
        </w:rPr>
        <w:t>) the amount of interest that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w:t>
      </w:r>
      <w:r>
        <w:rPr>
          <w:rFonts w:ascii="Times New Roman;sans-serif" w:hAnsi="Times New Roman;sans-serif"/>
          <w:b w:val="false"/>
          <w:strike/>
          <w:color w:val="FF0000"/>
          <w:sz w:val="22"/>
        </w:rPr>
        <w:t>ii</w:t>
      </w:r>
      <w:r>
        <w:rPr>
          <w:rFonts w:ascii="Times New Roman;sans-serif" w:hAnsi="Times New Roman;sans-serif"/>
          <w:b w:val="false"/>
          <w:color w:val="0000FF"/>
          <w:sz w:val="22"/>
          <w:highlight w:val="lightGray"/>
          <w:u w:val="single"/>
        </w:rPr>
        <w:t>y</w:t>
      </w:r>
      <w:r>
        <w:rPr>
          <w:rFonts w:ascii="Times New Roman;sans-serif" w:hAnsi="Times New Roman;sans-serif"/>
          <w:b w:val="false"/>
          <w:color w:val="000000"/>
          <w:sz w:val="22"/>
        </w:rPr>
        <w:t>) the amount of interest that would accrue on such principal amount for such period at the interest rate which such Lender would bid were it to bid, at the commencement of such period, for deposits in the applicable currency of a comparable amount and period from other banks in the Eurocurrency market. A certificate of any Lender setting forth any amount or amounts that such Lender is entitled to receive pursuant to this Section shall be delivered to the Parent Borrower (on behalf of itself and the Foreign Subsidiary Borrowers) and shall be conclusive absent manifest error. The Parent Borrower or the applicable Foreign Subsidiary Borrower, as the case may be, shall pay such Lender the amount shown as due on any such certificate within 10 days after receipt thereof.</w:t>
      </w:r>
    </w:p>
    <w:p>
      <w:pPr>
        <w:pStyle w:val="TextBody"/>
        <w:spacing w:lineRule="auto" w:line="240" w:before="0" w:after="240"/>
        <w:ind w:left="0" w:right="0" w:firstLine="720"/>
        <w:rPr/>
      </w:pPr>
      <w:r>
        <w:rPr>
          <w:rFonts w:ascii="Times New Roman;sans-serif" w:hAnsi="Times New Roman;sans-serif"/>
          <w:b w:val="false"/>
          <w:color w:val="0000FF"/>
          <w:sz w:val="22"/>
          <w:highlight w:val="lightGray"/>
          <w:u w:val="single"/>
        </w:rPr>
        <w:t>(b)</w:t>
      </w:r>
      <w:r>
        <w:rPr>
          <w:color w:val="000000"/>
        </w:rPr>
        <w:t>    </w:t>
      </w:r>
      <w:r>
        <w:rPr>
          <w:rFonts w:ascii="Times New Roman;sans-serif" w:hAnsi="Times New Roman;sans-serif"/>
          <w:b w:val="false"/>
          <w:color w:val="0000FF"/>
          <w:sz w:val="22"/>
          <w:highlight w:val="lightGray"/>
          <w:u w:val="single"/>
        </w:rPr>
        <w:t xml:space="preserve">With respect to RFR Loans, in the event of (i) the payment of any principal of any RFR Loan other than on the Interest Payment Date applicable thereto (including as a result of an Event of Default), (ii) the failure to borrow or prepay any RFR Loan on the date specified in any notice delivered pursuant hereto (regardless of whether such notice may be revoked under Section 2.11(f) and is revoked in accordance therewith) or (iii) the assignment of any RFR Loan other than on the Interest Payment Date applicable thereto as a result of a </w:t>
      </w:r>
      <w:r>
        <w:br w:type="page"/>
      </w:r>
    </w:p>
    <w:p>
      <w:pPr>
        <w:pStyle w:val="TextBody"/>
        <w:spacing w:before="0" w:after="0"/>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60655"/>
                <wp:effectExtent l="0" t="0" r="0" b="0"/>
                <wp:wrapNone/>
                <wp:docPr id="170" name="Frame16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-68-</w:t>
                      </w:r>
                    </w:p>
                  </w:txbxContent>
                </v:textbox>
              </v:rect>
            </w:pict>
          </mc:Fallback>
        </mc:AlternateContent>
      </w:r>
    </w:p>
    <w:p>
      <w:pPr>
        <w:pStyle w:val="TextBody"/>
        <w:spacing w:lineRule="auto" w:line="240" w:before="0" w:after="240"/>
        <w:rPr>
          <w:rFonts w:ascii="Times New Roman;sans-serif" w:hAnsi="Times New Roman;sans-serif"/>
          <w:b w:val="false"/>
          <w:color w:val="0000FF"/>
          <w:sz w:val="22"/>
          <w:highlight w:val="lightGray"/>
          <w:u w:val="single"/>
        </w:rPr>
      </w:pPr>
      <w:r>
        <w:rPr>
          <w:rFonts w:ascii="Times New Roman;sans-serif" w:hAnsi="Times New Roman;sans-serif"/>
          <w:b w:val="false"/>
          <w:color w:val="0000FF"/>
          <w:sz w:val="22"/>
          <w:highlight w:val="lightGray"/>
          <w:u w:val="single"/>
        </w:rPr>
        <w:t>request by the Parent Borrower or any Foreign Subsidiary Borrower pursuant to Section 2.19 then, in any such event, the Parent Borrower or the applicable Foreign Subsidiary Borrower, as the case may be, shall compensate each Lender for the loss, cost and expense attributable to such event. A certificate of any Lender setting forth any amount or amounts that such Lender is entitled to receive pursuant to this Section shall be delivered to the Parent Borrower (on behalf of itself and the Foreign Subsidiary Borrowers) and shall be conclusive absent manifest error. The Parent Borrower or the applicable Foreign Subsidiary Borrower, as the case may be, shall pay such Lender the amount shown as due on any such certificate within 10 days after receipt thereof.</w:t>
      </w:r>
    </w:p>
    <w:p>
      <w:pPr>
        <w:pStyle w:val="TextBody"/>
        <w:spacing w:lineRule="auto" w:line="240" w:before="0" w:after="240"/>
        <w:ind w:left="0" w:right="0" w:firstLine="1440"/>
        <w:rPr/>
      </w:pPr>
      <w:r>
        <w:rPr>
          <w:rFonts w:ascii="Times New Roman;sans-serif" w:hAnsi="Times New Roman;sans-serif"/>
          <w:b w:val="false"/>
          <w:color w:val="000000"/>
          <w:sz w:val="22"/>
        </w:rPr>
        <w:t>SECTION 2.17    </w:t>
      </w:r>
      <w:r>
        <w:rPr>
          <w:rFonts w:ascii="Times New Roman;sans-serif" w:hAnsi="Times New Roman;sans-serif"/>
          <w:b w:val="false"/>
          <w:color w:val="000000"/>
          <w:sz w:val="22"/>
          <w:u w:val="single"/>
        </w:rPr>
        <w:t>Taxes</w:t>
      </w:r>
      <w:r>
        <w:rPr>
          <w:rFonts w:ascii="Times New Roman;sans-serif" w:hAnsi="Times New Roman;sans-serif"/>
          <w:b w:val="false"/>
          <w:color w:val="000000"/>
          <w:sz w:val="22"/>
        </w:rPr>
        <w:t>.</w:t>
      </w:r>
    </w:p>
    <w:p>
      <w:pPr>
        <w:pStyle w:val="TextBody"/>
        <w:spacing w:lineRule="auto" w:line="240" w:before="0" w:after="240"/>
        <w:ind w:left="0" w:right="0" w:firstLine="1440"/>
        <w:rPr/>
      </w:pPr>
      <w:r>
        <w:rPr>
          <w:rFonts w:ascii="Times New Roman;sans-serif" w:hAnsi="Times New Roman;sans-serif"/>
          <w:b w:val="false"/>
          <w:color w:val="000000"/>
          <w:sz w:val="22"/>
        </w:rPr>
        <w:t xml:space="preserve">(a)    Any and all payments by or on account of any obligation of the Parent Borrower or any Foreign Subsidiary Borrower hereunder or under any other Loan Document shall be made free and clear of and without deduction for any Indemnified Taxes;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Parent Borrower or any Foreign Subsidiary Borrower (the “</w:t>
      </w:r>
      <w:r>
        <w:rPr>
          <w:rFonts w:ascii="Times New Roman;sans-serif" w:hAnsi="Times New Roman;sans-serif"/>
          <w:b w:val="false"/>
          <w:color w:val="000000"/>
          <w:sz w:val="22"/>
          <w:u w:val="single"/>
        </w:rPr>
        <w:t>Applicable Borrower</w:t>
      </w:r>
      <w:r>
        <w:rPr>
          <w:color w:val="000000"/>
        </w:rPr>
        <w:t>”</w:t>
      </w:r>
      <w:r>
        <w:rPr>
          <w:rFonts w:ascii="Times New Roman;sans-serif" w:hAnsi="Times New Roman;sans-serif"/>
          <w:b w:val="false"/>
          <w:color w:val="000000"/>
          <w:sz w:val="22"/>
        </w:rPr>
        <w:t>) or the Administrative Agent shall be required to deduct any Indemnified Taxes from such payments, then (i) the sum payable shall be increased as necessary so that after making all required deductions (including deductions applicable to additional sums payable under this Section) the Administrative Agent or the Lender (as the case may be) receives an amount equal to the sum it would have received had no such deductions been made, (ii) the Applicable Borrower or the Administrative Agent shall make such deductions and (iii) the Applicable Borrower or the Administrative Agent shall pay the full amount deducted to the relevant Governmental Authority in accordance with applicable law.</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(b)    In addition, the Applicable Borrower shall timely pay any Other Taxes to the relevant Governmental Authority in accordance with applicable law, or at the option of the Administrative Agent timely reimburse it for the payment of any Other Taxes.</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(c)    The Applicable Borrower shall indemnify the Administrative Agent, each Lender and the Issuing Bank, within 10 Business Days after written demand therefor, for the full amount of any Indemnified Taxes paid by the Administrative Agent, such Lender or the Issuing Bank, as the case may be, on or with respect to any payment by or on account of any obligation of the Applicable Borrower, hereunder or under any other Loan Document (including Indemnified Taxes imposed or asserted on or attributable to amounts payable under this Section) and any reasonable expenses arising therefrom or with respect thereto, whether or not such Indemnified Taxes were correctly or legally imposed or asserted by the relevant Governmental Authority. A certificate as to the amount of such payment or liability delivered to the Applicable Borrower by a Lender (with a copy to the Administrative Agent) or by the Administrative Agent on its own behalf or on behalf of a Lender, shall be conclusive absent manifest error.</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(d)    As soon as practicable after any payment of Indemnified Taxes or Other Taxes by the Applicable Borrower to a Governmental Authority, the Applicable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(e)    Each Lender shall severally indemnify the Administrative Agent for any Taxes (but, in the case of any Indemnified Taxes, only to the extent that any Loan Party has not already indemnified the Administrative Agent for such Indemnified Taxes and without limiting or expanding the obligation of the Applicable Borrower to do so) attributable to such Lender that are paid or payable by the Administrative Agent in connection with any Loan Document and any reasonable expenses arising therefrom or with respect thereto, whether or not such Taxes were correctly or legally imposed or asserted by the relevant Governmental Authority. The indemnity under this Section shall be paid within 10 days after the Administrative Agent delivers to the applicable Lender a certificate stating the amount of Taxes so paid or payable by the Administrative Agent. Such certificate shall be conclusive of the amount so paid or payable absent manifest error.</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(f)    Any Lender that is entitled to an exemption from, or reduction of, any applicable withholding Tax with respect to any payments under any Loan Document shall deliver to the Parent </w:t>
      </w:r>
      <w:r>
        <w:br w:type="page"/>
      </w:r>
    </w:p>
    <w:p>
      <w:pPr>
        <w:pStyle w:val="TextBody"/>
        <w:spacing w:before="0" w:after="0"/>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60655"/>
                <wp:effectExtent l="0" t="0" r="0" b="0"/>
                <wp:wrapNone/>
                <wp:docPr id="171" name="Frame17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-69-</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Borrower (on behalf of itself and the Foreign Subsidiary Borrowers) (with a copy to the Administrative Agent), at the time or times prescribed by applicable law, such properly completed and executed documentation prescribed by applicable law or reasonably requested by the Parent Borrower (on behalf of itself and the Foreign Subsidiary Borrowers) or the Administrative Agent as will permit such payments to be made without withholding, or at a reduced rate of, withholding. In addition, any Lender, if reasonably requested by the Parent Borrower or the Administrate Agent, shall deliver such other documentation prescribed by applicable law or reasonably requested by the Parent Borrower or the Administrative Agent as will enable the Parent Borrower or the Administrative Agent to determine whether or not such Lender is subject to backup withholding or information reporting requirements. If any form or certification previously delivered pursuant to this Section expires or becomes obsolete or inaccurate in any respect with respect to a Lender, such Lender shall promptly (and in any event within 10 Business Days after such expiration, obsolescence or inaccuracy) notify the Parent Borrower (on behalf of itself and the Foreign Subsidiary Borrowers) and the Administrative Agent in writing of such expiration, obsolescence or inaccuracy and update the form or certification if it is legally eligible to do so. </w:t>
      </w:r>
    </w:p>
    <w:p>
      <w:pPr>
        <w:pStyle w:val="TextBody"/>
        <w:spacing w:lineRule="auto" w:line="240" w:before="0" w:after="240"/>
        <w:ind w:left="0" w:right="0" w:firstLine="1008"/>
        <w:rPr/>
      </w:pPr>
      <w:r>
        <w:rPr>
          <w:rFonts w:ascii="Times New Roman;sans-serif" w:hAnsi="Times New Roman;sans-serif"/>
          <w:b w:val="false"/>
          <w:color w:val="000000"/>
          <w:sz w:val="22"/>
        </w:rPr>
        <w:t>(i)    Without limiting the generality of the foregoing, with respect to any Loan made to the Parent Borrower or a Foreign Subsidiary Borrower that is or deemed a U.S. Person (the “</w:t>
      </w:r>
      <w:r>
        <w:rPr>
          <w:rFonts w:ascii="Times New Roman;sans-serif" w:hAnsi="Times New Roman;sans-serif"/>
          <w:b w:val="false"/>
          <w:color w:val="000000"/>
          <w:sz w:val="22"/>
          <w:u w:val="single"/>
        </w:rPr>
        <w:t>Applicable U.S. Borrower</w:t>
      </w:r>
      <w:r>
        <w:rPr>
          <w:color w:val="000000"/>
        </w:rPr>
        <w:t>”</w:t>
      </w:r>
      <w:r>
        <w:rPr>
          <w:rFonts w:ascii="Times New Roman;sans-serif" w:hAnsi="Times New Roman;sans-serif"/>
          <w:b w:val="false"/>
          <w:color w:val="000000"/>
          <w:sz w:val="22"/>
        </w:rPr>
        <w:t>), any Lender shall, to the extent it is legally eligible to do so, deliver to the Applicable U.S. Borrower and the Administrative Agent (in such number of copies reasonably requested by the Applicable U.S. Borrower and the Administrative Agent) on or prior to the date on which such Lender becomes a party hereto, duly completed and executed copies of whichever of the following is applicable:</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    in the case of a Lender that is a U.S. Person, IRS Form W-9 certifying that such Lender is exempt from U.S. Federal backup withholding tax;</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    in the case of a Non-U.S. Lender claiming the benefits of an income tax treaty to which the United States is a party (1) with respect to payments of interest under any Loan Document, the applicable IRS Form W-8BEN or W-8BEN-E establishing an exemption from, or reduction of, U.S. Federal withholding Tax pursuant to the “interest” article of such tax treaty and (2) with respect to any other applicable payments under this Agreement, the applicable IRS Form W-8BEN or W-8BEN-E establishing an exemption from, or reduction of, U.S. Federal withholding Tax pursuant to the “business profits” or “other income” article of such tax treaty;</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    in the case of a Non-U.S. Lender for whom payments under this Agreement constitute income that is effectively connected with such Lender’s conduct of a trade or business in the United States, IRS Form W-8ECI;</w:t>
      </w:r>
    </w:p>
    <w:p>
      <w:pPr>
        <w:pStyle w:val="TextBody"/>
        <w:spacing w:lineRule="auto" w:line="240" w:before="0" w:after="240"/>
        <w:ind w:left="0" w:right="0" w:firstLine="720"/>
        <w:rPr/>
      </w:pPr>
      <w:r>
        <w:rPr>
          <w:rFonts w:ascii="Times New Roman;sans-serif" w:hAnsi="Times New Roman;sans-serif"/>
          <w:b w:val="false"/>
          <w:color w:val="000000"/>
          <w:sz w:val="22"/>
        </w:rPr>
        <w:t>(D)    in the case of a Non-U.S. Lender claiming the benefits of the exemption for portfolio interest under Section 881(c) of the Code both (1) the applicable IRS Form W-8BEN or W-8BEN-E and (2) a certificate substantially in the form of Exhibit I to the effect that such Lender is not (a) a “bank” within the meaning of Section 881(c)(3)(A) of the Code, (b) a “10 percent shareholder” of the Applicable U.S. Borrower within the meaning of Section 881(c)(3)(B) of the Code (c) a “controlled foreign corporation” described in Section 881(c)(3)(C) of the Code and (d) conducting a trade or business in the United States with which the relevant interest payments are effectively connected (a “</w:t>
      </w:r>
      <w:r>
        <w:rPr>
          <w:rFonts w:ascii="Times New Roman;sans-serif" w:hAnsi="Times New Roman;sans-serif"/>
          <w:b w:val="false"/>
          <w:color w:val="000000"/>
          <w:sz w:val="22"/>
          <w:u w:val="single"/>
        </w:rPr>
        <w:t>U.S. Tax Certificate</w:t>
      </w:r>
      <w:r>
        <w:rPr>
          <w:color w:val="000000"/>
        </w:rPr>
        <w:t>”</w:t>
      </w:r>
      <w:r>
        <w:rPr>
          <w:rFonts w:ascii="Times New Roman;sans-serif" w:hAnsi="Times New Roman;sans-serif"/>
          <w:b w:val="false"/>
          <w:color w:val="000000"/>
          <w:sz w:val="22"/>
        </w:rPr>
        <w:t>);</w:t>
      </w:r>
    </w:p>
    <w:p>
      <w:pPr>
        <w:pStyle w:val="TextBody"/>
        <w:spacing w:lineRule="auto" w:line="240" w:before="0" w:after="240"/>
        <w:ind w:left="0" w:right="0" w:firstLine="720"/>
        <w:rPr/>
      </w:pPr>
      <w:r>
        <w:rPr>
          <w:rFonts w:ascii="Times New Roman;sans-serif" w:hAnsi="Times New Roman;sans-serif"/>
          <w:b w:val="false"/>
          <w:color w:val="000000"/>
          <w:sz w:val="22"/>
        </w:rPr>
        <w:t xml:space="preserve">(E)    in the case of a Non-U.S. Lender that is not the beneficial owner of payments made under this Agreement (including a partnership or a participating Lender) (1) an IRS Form W-8IMY on behalf of itself, accompanied by IRS Form W-8ECI, IRS Form W-8BEN or IRS Form W-8BEN-E, as applicable, and (2) a U.S. Tax Certificate substantially in the form of Exhibit I-2 or Exhibit I-3, IRS Form W-9, and/or other certification documents from each beneficial owner, as applicable;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if the Lender is a partnership and one or more of its partners are claiming the exemption for portfolio interest under Section 881(c) of the Code, such Lender may </w:t>
      </w:r>
      <w:r>
        <w:br w:type="page"/>
      </w:r>
    </w:p>
    <w:p>
      <w:pPr>
        <w:pStyle w:val="TextBody"/>
        <w:spacing w:before="0" w:after="0"/>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60655"/>
                <wp:effectExtent l="0" t="0" r="0" b="0"/>
                <wp:wrapNone/>
                <wp:docPr id="172" name="Frame17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-70-</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provide a U.S. Tax Certificate substantially in the form of Exhibit I-4 on behalf of each such partner; or</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    any other form prescribed by law as a basis for claiming exemption from, or a reduction of, U.S. Federal withholding Tax together with such supplementary documentation necessary to enable the Applicable U.S. Borrower or the Administrative Agent to determine the amount of Tax (if any) required by law to be withheld.</w:t>
      </w:r>
    </w:p>
    <w:p>
      <w:pPr>
        <w:pStyle w:val="TextBody"/>
        <w:spacing w:lineRule="auto" w:line="240" w:before="0" w:after="240"/>
        <w:ind w:left="0" w:right="0" w:firstLine="1008"/>
        <w:rPr/>
      </w:pPr>
      <w:r>
        <w:rPr>
          <w:rFonts w:ascii="Times New Roman;sans-serif" w:hAnsi="Times New Roman;sans-serif"/>
          <w:b w:val="false"/>
          <w:color w:val="000000"/>
          <w:sz w:val="22"/>
        </w:rPr>
        <w:t>(ii)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Applicable U.S. Borrower and the Administrative Agent, at the time or times prescribed by law and at such time or times reasonably requested by the Applicable U.S. Borrower or the Administrative Agent, such documentation prescribed by applicable law (including as prescribed by Section 1471(b)(3)(C)(i) of the Code) and such additional documentation reasonably requested by the Applicable U.S. Borrower or the Administrative Agent as may be necessary for the Applicable U.S. Borrower or the Administrative Agent, to comply with its obligations under FATCA, to determine that such Lender has or has not complied with such Lender’s obligations under FATCA and, as necessary, to determine the amount to deduct and withhold from such payment. Solely for purposes of this Section 2.17(f)(ii), “</w:t>
      </w:r>
      <w:r>
        <w:rPr>
          <w:rFonts w:ascii="Times New Roman;sans-serif" w:hAnsi="Times New Roman;sans-serif"/>
          <w:b w:val="false"/>
          <w:color w:val="000000"/>
          <w:sz w:val="22"/>
          <w:u w:val="single"/>
        </w:rPr>
        <w:t>FATCA</w:t>
      </w:r>
      <w:r>
        <w:rPr>
          <w:color w:val="000000"/>
        </w:rPr>
        <w:t xml:space="preserve">” </w:t>
      </w:r>
      <w:r>
        <w:rPr>
          <w:rFonts w:ascii="Times New Roman;sans-serif" w:hAnsi="Times New Roman;sans-serif"/>
          <w:b w:val="false"/>
          <w:color w:val="000000"/>
          <w:sz w:val="22"/>
        </w:rPr>
        <w:t>shall include any amendments made to FATCA after the Second Restatement Date.</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Each Lender hereby authorizes the Administrative Agent to deliver to the Loan Parties and to any successor Administrative Agent any documentation provided by such Lender to the Administrative Agent pursuant to Section 2.17(f).</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For purposes of determining withholding Taxes imposed under FATCA, from and after the Restatement Date, the Parent Borrower (on behalf of itself and the Foreign Subsidiary Borrowers) and the Administrative Agent shall treat (and the Lenders hereby authorize the Administrative Agent to treat) the Loan Documents as not qualifying as a “grandfathered obligation” within the meaning of Treasury Regulation Section 1.1471-2(b)(2)(i)</w:t>
      </w:r>
    </w:p>
    <w:p>
      <w:pPr>
        <w:pStyle w:val="TextBody"/>
        <w:spacing w:lineRule="auto" w:line="240" w:before="0" w:after="240"/>
        <w:ind w:left="0" w:right="0" w:firstLine="1440"/>
        <w:rPr/>
      </w:pPr>
      <w:r>
        <w:rPr>
          <w:rFonts w:ascii="Times New Roman;sans-serif" w:hAnsi="Times New Roman;sans-serif"/>
          <w:b w:val="false"/>
          <w:color w:val="000000"/>
          <w:sz w:val="22"/>
        </w:rPr>
        <w:t xml:space="preserve">(g)    If any party determines, in its sole discretion exercised in good faith, that it has received a refund of any Indemnified Taxes (including additional amounts paid pursuant to this Section 2.17), it shall pay to the indemnifying party an amount equal to such refund (but only to the extent of indemnity payments made, or additional amounts paid, under this Section 2.17 with respect to the Indemnified Taxes giving rise to such refund), net of all out-of-pocket expenses (including any Taxes) of such indemnified party and without interest (other than any interest paid by the relevant Governmental Authority with respect to such refund);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such indemnifying party, upon the request of such indemnified party, agrees to repay to such indemnified party the amount paid to such indemnified party pursuant to the previous sentence (plus any penalties, interest or other charges imposed by the relevant Governmental Authority) in the event such indemnified party is required to repay such refund to such Governmental Authority. Nothing contained in this Section 2.17(g) shall require any indemnified party to make available its Tax returns or any other information relating to its Taxes which it deems confidential to the indemnifying party or any other Person.</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(h)    For purposes of Section 2.17, the term “Lender” includes any Issuing Bank.</w:t>
      </w:r>
    </w:p>
    <w:p>
      <w:pPr>
        <w:pStyle w:val="TextBody"/>
        <w:spacing w:lineRule="auto" w:line="240" w:before="0" w:after="240"/>
        <w:ind w:left="0" w:right="0" w:firstLine="1440"/>
        <w:rPr/>
      </w:pPr>
      <w:r>
        <w:rPr>
          <w:rFonts w:ascii="Times New Roman;sans-serif" w:hAnsi="Times New Roman;sans-serif"/>
          <w:b w:val="false"/>
          <w:color w:val="000000"/>
          <w:sz w:val="22"/>
        </w:rPr>
        <w:t>(i)    Without limiting the provisions of Section 2.17(g), if a UK Tax Deduction is required by law to be made by a Loan Party from an Applicable UK Payment to a Revolving Lender which is a Treaty Lender and any Loan Party makes an increased payment to that Treaty Lender under Sections 2.17(a) or 2.17(c) in respect of that UK Tax Deduction but the Treaty Lender is or becomes entitled to a refund of the relevant Tax by virtue of the relevant Treaty (a “</w:t>
      </w:r>
      <w:r>
        <w:rPr>
          <w:rFonts w:ascii="Times New Roman;sans-serif" w:hAnsi="Times New Roman;sans-serif"/>
          <w:b w:val="false"/>
          <w:color w:val="000000"/>
          <w:sz w:val="22"/>
          <w:u w:val="single"/>
        </w:rPr>
        <w:t>Treaty Rebate</w:t>
      </w:r>
      <w:r>
        <w:rPr>
          <w:color w:val="000000"/>
        </w:rPr>
        <w:t>”</w:t>
      </w:r>
      <w:r>
        <w:rPr>
          <w:rFonts w:ascii="Times New Roman;sans-serif" w:hAnsi="Times New Roman;sans-serif"/>
          <w:b w:val="false"/>
          <w:color w:val="000000"/>
          <w:sz w:val="22"/>
        </w:rPr>
        <w:t xml:space="preserve">), the Treaty Lender shall, following written request to do so from the relevant Loan Party, use commercially reasonable endeavors to claim that Treaty Rebate from the relevant Governmental Authority and shall pay to the relevant Loan Party a sum equal to the amount of that Treaty Rebate, net of all out-of-pocket expenses (including any Taxes) and without interest (other than any interest paid by the relevant </w:t>
      </w:r>
      <w:r>
        <w:br w:type="page"/>
      </w:r>
    </w:p>
    <w:p>
      <w:pPr>
        <w:pStyle w:val="TextBody"/>
        <w:spacing w:before="0" w:after="0"/>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60655"/>
                <wp:effectExtent l="0" t="0" r="0" b="0"/>
                <wp:wrapNone/>
                <wp:docPr id="173" name="Frame17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-71-</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Governmental Authority in respect of such refund), as soon as reasonably practicable following receipt of the Treaty Rebate from the relevant Governmental Authority. Nothing contained in this Section 2.17(j) shall require any Treaty Lender to make available its Tax returns or any other information relating to its Taxes which it deems confidential to that Lender or any other person.</w:t>
      </w:r>
    </w:p>
    <w:p>
      <w:pPr>
        <w:pStyle w:val="TextBody"/>
        <w:spacing w:lineRule="auto" w:line="240" w:before="0" w:after="240"/>
        <w:ind w:left="0" w:right="0" w:firstLine="1440"/>
        <w:rPr/>
      </w:pPr>
      <w:r>
        <w:rPr>
          <w:rFonts w:ascii="Times New Roman;sans-serif" w:hAnsi="Times New Roman;sans-serif"/>
          <w:b w:val="false"/>
          <w:color w:val="000000"/>
          <w:sz w:val="22"/>
        </w:rPr>
        <w:t>(j)    Notwithstanding anything to the contrary in any other provision of this Section 2.17, in the case of any UK Loan, no payment by any Loan Party under any Loan Document to that Revolving Lender in connection with that UK Loan (an “</w:t>
      </w:r>
      <w:r>
        <w:rPr>
          <w:rFonts w:ascii="Times New Roman;sans-serif" w:hAnsi="Times New Roman;sans-serif"/>
          <w:b w:val="false"/>
          <w:color w:val="000000"/>
          <w:sz w:val="22"/>
          <w:u w:val="single"/>
        </w:rPr>
        <w:t>Applicable UK Payment</w:t>
      </w:r>
      <w:r>
        <w:rPr>
          <w:color w:val="000000"/>
        </w:rPr>
        <w:t>”</w:t>
      </w:r>
      <w:r>
        <w:rPr>
          <w:rFonts w:ascii="Times New Roman;sans-serif" w:hAnsi="Times New Roman;sans-serif"/>
          <w:b w:val="false"/>
          <w:color w:val="000000"/>
          <w:sz w:val="22"/>
        </w:rPr>
        <w:t>) shall be increased pursuant to Section 2.17(a) by reason of any deduction or withholding on account of Taxes imposed by the United Kingdom (a “</w:t>
      </w:r>
      <w:r>
        <w:rPr>
          <w:rFonts w:ascii="Times New Roman;sans-serif" w:hAnsi="Times New Roman;sans-serif"/>
          <w:b w:val="false"/>
          <w:color w:val="000000"/>
          <w:sz w:val="22"/>
          <w:u w:val="single"/>
        </w:rPr>
        <w:t>UK Tax Deduction</w:t>
      </w:r>
      <w:r>
        <w:rPr>
          <w:color w:val="000000"/>
        </w:rPr>
        <w:t>”</w:t>
      </w:r>
      <w:r>
        <w:rPr>
          <w:rFonts w:ascii="Times New Roman;sans-serif" w:hAnsi="Times New Roman;sans-serif"/>
          <w:b w:val="false"/>
          <w:color w:val="000000"/>
          <w:sz w:val="22"/>
        </w:rPr>
        <w:t>) and no Loan Party shall be liable to make any payment under Section 2.17(c) to a Revolving Lender as a result of or in connection with any such UK Tax Deduction if, on the date on which the Applicable UK Payment falls due:</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    the payment could have been made to the relevant Lender without a UK Tax Deduction if the Lender had been a Qualifying Lender but, on that date, that Lender is not or has ceased to be a Qualifying Lender other than as a result of any change after the date it became a Lender under this Agreement in (or in the interpretation, administration, or application of) any law or Treaty or any published practice or published concession of any relevant taxing authority; or</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(ii)    the relevant Lender is a Qualifying Lender solely by virtue of clause (a)(ii) of the definition of Qualifying Lender, and:</w:t>
      </w:r>
    </w:p>
    <w:p>
      <w:pPr>
        <w:pStyle w:val="TextBody"/>
        <w:spacing w:lineRule="auto" w:line="240" w:before="0" w:after="240"/>
        <w:ind w:left="0" w:right="0" w:firstLine="720"/>
        <w:rPr/>
      </w:pPr>
      <w:r>
        <w:rPr>
          <w:rFonts w:ascii="Times New Roman;sans-serif" w:hAnsi="Times New Roman;sans-serif"/>
          <w:b w:val="false"/>
          <w:color w:val="000000"/>
          <w:sz w:val="22"/>
        </w:rPr>
        <w:t>(A)    an officer of H.M. Revenue &amp; Customs has given (and not revoked) a direction (a “</w:t>
      </w:r>
      <w:r>
        <w:rPr>
          <w:rFonts w:ascii="Times New Roman;sans-serif" w:hAnsi="Times New Roman;sans-serif"/>
          <w:b w:val="false"/>
          <w:color w:val="000000"/>
          <w:sz w:val="22"/>
          <w:u w:val="single"/>
        </w:rPr>
        <w:t>Direction</w:t>
      </w:r>
      <w:r>
        <w:rPr>
          <w:color w:val="000000"/>
        </w:rPr>
        <w:t>”</w:t>
      </w:r>
      <w:r>
        <w:rPr>
          <w:rFonts w:ascii="Times New Roman;sans-serif" w:hAnsi="Times New Roman;sans-serif"/>
          <w:b w:val="false"/>
          <w:color w:val="000000"/>
          <w:sz w:val="22"/>
        </w:rPr>
        <w:t>) under section 931 of the ITA which relates to the payment and that Lender has received from the UK Borrower making the payment a certified copy of that Direction; and</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    the payment could have been made to the Lender without any UK Tax Deduction if that Direction had not been made; or</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(iii)    the relevant Lender is a Qualifying Lender solely by virtue of clause (a)(ii) of the definition of Qualifying Lender and:</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    the relevant Lender has not given a Tax Confirmation to the UK Borrower; and</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    the payment could have been made to the Lender without any UK Tax Deduction if the Lender had given a Tax Confirmation to the UK Borrower, on the basis that the Tax Confirmation would have enabled the UK Borrower to have formed a reasonable belief that the payment was an “excepted payment” for the purpose of section 930 of the ITA; or</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(iv)    the relevant Lender is a Treaty Lender and the Loan Party making the payment is able to demonstrate that the payment could have been made to the Lender without a UK Tax Deduction had the Lender complied with its obligations under paragraphs (l)(i) and (l)(iii) below.</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(k)    Without limiting the provisions of Section 2.17(f):</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    a Treaty Lender and each relevant UK Borrower which makes a payment to which that Treaty Lender is entitled shall co-operate in completing any procedural formalities necessary for that Loan Party to obtain authorisation to make that payment without a UK Tax Deduction and, upon satisfying a. or b. below, such Treaty Lender shall be deemed to have satisfied its obligations under this paragraph:</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(A)    a Treaty Lender which (a) is a party to this Agreement on the date on which a UK Borrower becomes a party to this Agreement pursuant to Section 2.20,(b) </w:t>
      </w:r>
      <w:r>
        <w:br w:type="page"/>
      </w:r>
    </w:p>
    <w:p>
      <w:pPr>
        <w:pStyle w:val="TextBody"/>
        <w:spacing w:before="0" w:after="0"/>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60655"/>
                <wp:effectExtent l="0" t="0" r="0" b="0"/>
                <wp:wrapNone/>
                <wp:docPr id="174" name="Frame17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-72-</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wishes to lend to that UK Borrower, and (c) holds a passport under the HMRC DT Treaty Passport scheme which it wishes to apply to this Agreement, shall confirm its scheme reference number and its jurisdiction of tax residence in writing to the Parent Borrower and the Administrative Agent on or before (y) the date on which the UK Borrower becomes a party to this Agreement or, if later, (z) the date falling 5 Business Days after the Administrative Agent has notified the Treaty Lender that the UK Borrower has or will become a party to this Agreement in accordance with Section 2.20;</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    a Treaty Lender which (a) becomes a party to this Agreement after the date on which a UK Borrower has become a party to this Agreement pursuant to Section 2.20, (b) wishes to lend to that UK Borrower, and (c) holds a passport under the HMRC DT Treaty Passport scheme which it wishes to apply to this Agreement, shall confirm its scheme reference number and its jurisdiction of tax residence in writing to the Parent Borrower and the Administrative Agent on or before the date on which it becomes a party to this Agreement;</w:t>
      </w:r>
    </w:p>
    <w:p>
      <w:pPr>
        <w:pStyle w:val="TextBody"/>
        <w:spacing w:lineRule="auto" w:line="240" w:before="0" w:after="240"/>
        <w:ind w:left="0" w:right="0" w:firstLine="1008"/>
        <w:rPr/>
      </w:pPr>
      <w:r>
        <w:rPr>
          <w:rFonts w:ascii="Times New Roman;sans-serif" w:hAnsi="Times New Roman;sans-serif"/>
          <w:b w:val="false"/>
          <w:color w:val="000000"/>
          <w:sz w:val="22"/>
        </w:rPr>
        <w:t>(ii)    (within 30 days of a Treaty Lender satisfying a. or b. in paragraph (i) above, each relevant UK Borrower shall duly complete and file an HM Revenue &amp; Customs form DTTP2 which contains the Treaty Lender’s scheme reference number and jurisdiction of tax residence as notified to the Parent Borrower in accordance with a. or b. in paragraph (i) above (a “</w:t>
      </w:r>
      <w:r>
        <w:rPr>
          <w:rFonts w:ascii="Times New Roman;sans-serif" w:hAnsi="Times New Roman;sans-serif"/>
          <w:b w:val="false"/>
          <w:color w:val="000000"/>
          <w:sz w:val="22"/>
          <w:u w:val="single"/>
        </w:rPr>
        <w:t>UK Borrower DTTP Filing</w:t>
      </w:r>
      <w:r>
        <w:rPr>
          <w:color w:val="000000"/>
        </w:rPr>
        <w:t>”</w:t>
      </w:r>
      <w:r>
        <w:rPr>
          <w:rFonts w:ascii="Times New Roman;sans-serif" w:hAnsi="Times New Roman;sans-serif"/>
          <w:b w:val="false"/>
          <w:color w:val="000000"/>
          <w:sz w:val="22"/>
        </w:rPr>
        <w:t>);</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(iii)    if a Treaty Lender has confirmed its scheme reference number and its jurisdiction of tax residence in accordance with a. or b. of paragraph (i) above and:</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    a UK Borrower making a payment to that Treaty Lender has not made a UK Borrower DTTP Filing in respect of that Lender within the period provided for in paragraph (ii) above; or</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    a UK Borrower making a payment to that Treaty Lender has made a UK Borrower DTTP Filing in respect of that Treaty Lender but:</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    that UK Borrower DTTP Filing has been rejected by HM Revenue &amp; Customs; or</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(ii)    HM Revenue &amp; Customs has not given the UK Borrower authority to make payments to that Treaty Lender without a UK Tax Deduction within 60 days of the date of the UK Borrower DTTP Filing,</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and in each case, the UK Borrower has notified that Treaty Lender in writing, that Treaty Lender and the UK Borrower shall co-operate in completing any additional procedural formalities necessary for that UK Borrower to obtain authorisation to make that payment without a UK Tax Deduction;</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(iv)    if a Lender has not confirmed its scheme reference number and jurisdiction of tax residence in accordance with a. or b. in paragraph (i) above, no Loan Party shall make a UK Borrower DTTP Filing or file any other form relating to the HMRC DT Treaty Passport scheme in respect of that Lender’s Commitment(s) or its participation in any Loan unless the Lender otherwise agrees;</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(v)    a UK Borrower shall, promptly on making a UK Borrower DTTP Filing, deliver a copy of that UK Borrower DTTP Filing to the Administrative Agent for delivery to the relevant Lender.</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(l)    A Lender which is a Qualifying Lender solely by virtue of clause (a)(ii) of the definition of Qualifying Lender:</w:t>
      </w:r>
      <w:r>
        <w:br w:type="page"/>
      </w:r>
    </w:p>
    <w:p>
      <w:pPr>
        <w:pStyle w:val="TextBody"/>
        <w:spacing w:before="0" w:after="0"/>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60655"/>
                <wp:effectExtent l="0" t="0" r="0" b="0"/>
                <wp:wrapNone/>
                <wp:docPr id="175" name="Frame17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-73-</w:t>
                      </w:r>
                    </w:p>
                  </w:txbxContent>
                </v:textbox>
              </v:rect>
            </w:pict>
          </mc:Fallback>
        </mc:AlternateConten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    which wishes to lend to a UK Borrower and which is a party to this Agreement on the date on which that UK Borrower becomes a party to this Agreement pursuant to Section 2.20 shall give a Tax Confirmation to the Parent Borrower on or before the date on which the UK Borrower becomes a party to this Agreement or, if later, the date falling 5 Business Days after the Administrative Agent has notified the Lender that the UK Borrower has or will become a party to this Agreement in accordance with Section 2.20;</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(ii)    which wishes to lend to a UK Borrower and which becomes a party to this Agreement after the date on which that UK Borrower has become a party to this Agreement pursuant to Section 2.20 shall give a Tax Confirmation to the Parent Borrower on or before the date on which it becomes a party to this Agreement; and</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(iii)    shall promptly notify the Parent Borrower if there is any change in the position from that set out in its Tax Confirmation.</w:t>
      </w:r>
    </w:p>
    <w:p>
      <w:pPr>
        <w:pStyle w:val="TextBody"/>
        <w:spacing w:lineRule="auto" w:line="240" w:before="0" w:after="240"/>
        <w:ind w:left="0" w:right="0" w:firstLine="1440"/>
        <w:rPr/>
      </w:pPr>
      <w:r>
        <w:rPr>
          <w:rFonts w:ascii="Times New Roman;sans-serif" w:hAnsi="Times New Roman;sans-serif"/>
          <w:b w:val="false"/>
          <w:color w:val="000000"/>
          <w:sz w:val="22"/>
        </w:rPr>
        <w:t>SECTION 2.18    </w:t>
      </w:r>
      <w:r>
        <w:rPr>
          <w:rFonts w:ascii="Times New Roman;sans-serif" w:hAnsi="Times New Roman;sans-serif"/>
          <w:b w:val="false"/>
          <w:color w:val="000000"/>
          <w:sz w:val="22"/>
          <w:u w:val="single"/>
        </w:rPr>
        <w:t>Payments Generally; Pro Rata Treatment; Sharing of Set-offs</w:t>
      </w:r>
      <w:r>
        <w:rPr>
          <w:rFonts w:ascii="Times New Roman;sans-serif" w:hAnsi="Times New Roman;sans-serif"/>
          <w:b w:val="false"/>
          <w:color w:val="000000"/>
          <w:sz w:val="22"/>
        </w:rPr>
        <w: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(a)    The Parent Borrower (on behalf of itself and the Foreign Subsidiary Borrowers) shall make each payment (other than any payment in respect of the principal or interest on, or the fronting fee with respect to, the Foreign Currency Loans or reimbursement of LC Disbursements made in LC Foreign Currencies) required to be made by it hereunder or under any other Loan Document (whether of principal, interest or fees or reimbursement of LC Disbursements, or of amounts payable under Section 2.15, 2.16 or 2.17, or otherwise), on or before the time expressly required hereunder or under such other Loan Document for such payment (or, if no such time is expressly required, prior to 12:00 noon, New York City time), on the date when due, in immediately available funds, without set-off or counterclaim. The Parent Borrower (on behalf of itself and the Foreign Subsidiary Borrowers) shall make each payment in respect of the principal or interest on, or the fronting fee with respect to, the Foreign Currency Loans or reimbursement of LC Disbursements made in LC Foreign Currencies, in each case, required to be made by it hereunder or under any other Loan Document, on or before the time expressly required hereunder or under such other Loan Document for such payment (or, if no such time is expressly required, prior to the time for payment for the relevant currency set forth on the Administrative Schedule),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(other than payments on account of principal or interest on, or the fronting fee with respect to, Foreign Currency Loans and reimbursements of LC Disbursements made in LC Foreign Currencies) shall be made to the Administrative Agent at its offices at 383 Madison Avenue, New York, New York (or such other office as notified by the Administrative Agent to the Parent Borrower in writing), except that payments to be made directly to the Issuing Bank or Swingline Lenders as expressly provided herein shall be so made and except that payments pursuant to Sections 2.15, 2.16, 2.17 and 10.03 shall be made directly to the Persons entitled thereto and payments pursuant to other Loan Documents shall be made to the Persons specified therein. All payments on account of principal or interest on, or the fronting fee with respect to, Foreign Currency Loans and reimbursements of LC Disbursements made in LC Foreign Currencies shall be made to the Administrative Agent, for the account of the applicable Foreign Currency Lenders (or, with respect to the fronting fee, the Fronting Lender) at the office set forth on the Administrative Schedule. The Administrative Agent shall distribute any such payments received by it for the account of any other Person to the appropriate recipient promptly following receipt thereof. If any payment under any Loan Document shall be due on a day that is not a Business Day, the date for payment shall be extended to the next succeeding Business Day, and, in the case of any payment accruing interest, interest thereon shall be payable for the period of such extension. Subject to Section 9.01, all payments (including prepayments) to be made by the Parent Borrower (on behalf of itself and the Foreign Subsidiary Borrowers) hereunder and under each other Loan Document, whether on account of principal, interest, fees or otherwise (other than payments in respect of the principal or interest on, or the fronting fee with respect to, the Foreign Currency Loans or reimbursement of LC Disbursements made in LC Foreign Currencies) shall be made in dollars. Subject to Section 9.01 and other than as set forth in Section 2.05 or Section 2.24(d), all payments (including prepayments) to be made by the Parent Borrower (on behalf of itself and the Foreign Subsidiary Borrowers) hereunder or under each other Loan Document on account of principal or interest on, or the fronting fee with respect to, the Foreign Currency Loans and reimbursements of LC </w:t>
      </w:r>
      <w:r>
        <w:br w:type="page"/>
      </w:r>
    </w:p>
    <w:p>
      <w:pPr>
        <w:pStyle w:val="TextBody"/>
        <w:spacing w:before="0" w:after="0"/>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60655"/>
                <wp:effectExtent l="0" t="0" r="0" b="0"/>
                <wp:wrapNone/>
                <wp:docPr id="176" name="Frame17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-74-</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Disbursements made in LC Foreign Currencies shall be made in the relevant Foreign Currency. To the extent prohibited by applicable law, as described in the definition of “Excluded Swap Obligation,” no amounts received from, or set off with respect to, any Loan Party shall be applied to any Excluded Swap Obligations of such Loan Party.</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(b)    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pStyle w:val="TextBody"/>
        <w:spacing w:lineRule="auto" w:line="240" w:before="0" w:after="240"/>
        <w:ind w:left="0" w:right="0" w:firstLine="1440"/>
        <w:rPr/>
      </w:pPr>
      <w:r>
        <w:rPr>
          <w:rFonts w:ascii="Times New Roman;sans-serif" w:hAnsi="Times New Roman;sans-serif"/>
          <w:b w:val="false"/>
          <w:color w:val="000000"/>
          <w:sz w:val="22"/>
        </w:rPr>
        <w:t xml:space="preserve">(c)    If any Lender shall, by exercising any right of set-off or counterclaim or otherwise, obtain payment in respect of any principal of or interest on any of its Revolving Loans or participations in LC Disbursements or Swingline Loans resulting in such Lender receiving payment of a greater proportion of the aggregate amount of its Revolving Loans and participations in LC Disbursements and Swingline Loans and accrued interest thereon than the proportion received by any other Lender, then the Lender receiving such greater proportion shall purchase (for cash at face value) participations in the Revolving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and participations in LC Disbursements and Swingline Loans;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Parent Borrower or any Foreign Subsidiary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Parent Borrower or any Subsidiary or Affiliate thereof (as to which the provisions of this paragraph shall apply). The Parent Borrower and each Foreign Subsidiary Borrower consents to the foregoing and agrees, to the extent it may effectively do so under applicable law, that any Lender acquiring a participation pursuant to the foregoing arrangements may exercise against the Parent Borrower or any Foreign Subsidiary Borrower, as the case may be, rights of set-off and counterclaim with respect to such participation as fully as if such Lender were a direct creditor of the Parent Borrower or such Foreign Subsidiary Borrower in the amount of such participation.</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(d)    Unless the Administrative Agent shall have received notice from the Parent Borrower (on behalf of itself and the Foreign Subsidiary Borrowers) prior to the date on which any payment hereunder is due to (a) the Administrative Agent for the account of the Lenders or the Issuing Bank or (b) the Administrative Agent for the account of the Foreign Currency Lenders, the Fronting Lender or the Issuing Bank that the Parent Borrower or any Foreign Subsidiary Borrower, as the case may be, will not make such payment, the Administrative Agent, as applicable, may assume that the Parent Borrower or such Foreign Subsidiary Borrower, as the case may be, has made such payment on such date in accordance herewith and may, in reliance upon such assumption, distribute to the Lenders, the Foreign Currency Lenders, the Fronting Lender or the Issuing Bank, as the case may be, the amount due. In such event, if the Parent Borrower or such Foreign Subsidiary Borrower, as the case may be, has not in fact made such payment due to (i) the Administrative Agent,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 or (ii) the Administrative Agent, then each of the Foreign Currency Lenders, the Fronting Lender or the Issuing Bank, as the case may be, severally agrees to repay to the Administrative Agent forthwith on demand the amount so distributed to such Foreign Currency Lenders, Fronting Lender or Issuing Bank with interest thereon, for each day from and including the date such amount is distributed to it to but excluding the date of payment to the </w:t>
      </w:r>
      <w:r>
        <w:br w:type="page"/>
      </w:r>
    </w:p>
    <w:p>
      <w:pPr>
        <w:pStyle w:val="TextBody"/>
        <w:spacing w:before="0" w:after="0"/>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60655"/>
                <wp:effectExtent l="0" t="0" r="0" b="0"/>
                <wp:wrapNone/>
                <wp:docPr id="177" name="Frame17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-75-</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Administrative Agent, at a rate determined by the Administrative Agent in accordance with banking industry rules on interbank compensation.</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(e)    If any Lender shall fail to make any payment required to be made by it pursuant to Section 2.04(d), 2.05(d) or (e), 2.06(b), 2.18(d) or 10.03(d),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pStyle w:val="TextBody"/>
        <w:spacing w:lineRule="auto" w:line="240" w:before="0" w:after="240"/>
        <w:ind w:left="0" w:right="0" w:firstLine="1440"/>
        <w:rPr/>
      </w:pPr>
      <w:r>
        <w:rPr>
          <w:rFonts w:ascii="Times New Roman;sans-serif" w:hAnsi="Times New Roman;sans-serif"/>
          <w:b w:val="false"/>
          <w:color w:val="000000"/>
          <w:sz w:val="22"/>
        </w:rPr>
        <w:t>SECTION 2.19    </w:t>
      </w:r>
      <w:r>
        <w:rPr>
          <w:rFonts w:ascii="Times New Roman;sans-serif" w:hAnsi="Times New Roman;sans-serif"/>
          <w:b w:val="false"/>
          <w:color w:val="000000"/>
          <w:sz w:val="22"/>
          <w:u w:val="single"/>
        </w:rPr>
        <w:t>Mitigation Obligations; Replacement of Lenders</w:t>
      </w:r>
      <w:r>
        <w:rPr>
          <w:rFonts w:ascii="Times New Roman;sans-serif" w:hAnsi="Times New Roman;sans-serif"/>
          <w:b w:val="false"/>
          <w:color w:val="000000"/>
          <w:sz w:val="22"/>
        </w:rPr>
        <w: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(a)    If any Lender requests compensation under Section 2.15, or if the Parent Borrower or any Foreign Subsidiary Borrower is required to pay any additional amount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Parent Borrower (on behalf of itself and the Foreign Subsidiary Borrowers) hereby agrees to pay all reasonable costs and expenses incurred by any Lender in connection with any such designation or assignment.</w:t>
      </w:r>
    </w:p>
    <w:p>
      <w:pPr>
        <w:pStyle w:val="TextBody"/>
        <w:spacing w:lineRule="auto" w:line="240" w:before="0" w:after="240"/>
        <w:ind w:left="0" w:right="0" w:firstLine="1440"/>
        <w:rPr/>
      </w:pPr>
      <w:r>
        <w:rPr>
          <w:rFonts w:ascii="Times New Roman;sans-serif" w:hAnsi="Times New Roman;sans-serif"/>
          <w:b w:val="false"/>
          <w:color w:val="000000"/>
          <w:sz w:val="22"/>
        </w:rPr>
        <w:t xml:space="preserve">(b)    If any Lender requests compensation under Section 2.15, or if the Parent Borrower or any Foreign Subsidiary Borrower is required to pay any additional amount to any Lender or any Governmental Authority for the account of any Lender pursuant to Section 2.17, or if any Lender defaults in its obligation to fund Loans hereunder (or, in the case of a Revolving Lender, becomes a Defaulting Lender), then the Parent Borrower (on behalf of itself and the Foreign Subsidiary Borrowers) may, at its sole expense and effort, upon notice to such Lender and the Administrative Agent, require such Lender to assign and delegate, without recourse (in accordance with and subject to the restrictions contained in Section 10.04), all its interests, rights and obligations under this Agreement to an assignee selected by the Parent Borrower that shall assume such obligations (which assignee may be another Lender, if a Lender accepts such assignment);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the Parent Borrower (on behalf of itself and the Foreign Subsidiary Borrowers) shall have received the prior written consent of the Administrative Agent, the Issuing Bank and Swingline Lenders,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Parent Borrower and the Foreign Subsidiary Borrowers (in the case of all other amounts) and (iii) in the case of any such assignment resulting from a claim for compensation under Section 2.15 or payments required to be made pursuant to Section 2.17, such assignment will result in a material reduction in such compensation or payments. A Lender shall not be required to make any such assignment and delegation if, prior thereto, as a result of a waiver by such Lender or otherwise, the circumstances entitling the Parent Borrower or any Foreign Subsidiary Borrower to require such assignment and delegation cease to apply.</w:t>
      </w:r>
    </w:p>
    <w:p>
      <w:pPr>
        <w:pStyle w:val="TextBody"/>
        <w:spacing w:lineRule="auto" w:line="240" w:before="0" w:after="240"/>
        <w:ind w:left="0" w:right="0" w:firstLine="1440"/>
        <w:rPr/>
      </w:pPr>
      <w:r>
        <w:rPr>
          <w:rFonts w:ascii="Times New Roman;sans-serif" w:hAnsi="Times New Roman;sans-serif"/>
          <w:b w:val="false"/>
          <w:color w:val="000000"/>
          <w:sz w:val="22"/>
        </w:rPr>
        <w:t>SECTION 2.20    </w:t>
      </w:r>
      <w:r>
        <w:rPr>
          <w:rFonts w:ascii="Times New Roman;sans-serif" w:hAnsi="Times New Roman;sans-serif"/>
          <w:b w:val="false"/>
          <w:color w:val="000000"/>
          <w:sz w:val="22"/>
          <w:u w:val="single"/>
        </w:rPr>
        <w:t>Designation of Foreign Subsidiary Borrowers</w:t>
      </w:r>
      <w:r>
        <w:rPr>
          <w:rFonts w:ascii="Times New Roman;sans-serif" w:hAnsi="Times New Roman;sans-serif"/>
          <w:b w:val="false"/>
          <w:color w:val="000000"/>
          <w:sz w:val="22"/>
        </w:rPr>
        <w:t xml:space="preserve">. (a) The Parent Borrower may at any time and from time to time, with the prior consent of the Administrative Agent (such consent not to be unreasonably withheld or delayed), designate any Foreign Subsidiary as a Foreign Subsidiary Borrower, by delivery to the Administrative Agent of a Foreign Subsidiary Borrowing Agreement executed by such Foreign Subsidiary and the Parent Borrower, and upon such consent and such delivery (together with the delivery of the applicable Foreign Security Documents and the satisfaction of the Foreign Security Collateral and Guarantee Requirement), such Foreign Subsidiary shall for all purposes of this Agreement and the other Loan Documents be a Foreign Subsidiary Borrower until the Parent Borrower shall terminate such designation pursuant to a termination agreement satisfactory to the Administrative Agent, whereupon such Foreign Subsidiary shall cease to be a Foreign Subsidiary Borrower and a party to this Agreement and any other applicable Loan Documents. Notwithstanding the preceding sentence, but subject to Section 10.04(a), no such termination will become effective as to any </w:t>
      </w:r>
      <w:r>
        <w:br w:type="page"/>
      </w:r>
    </w:p>
    <w:p>
      <w:pPr>
        <w:pStyle w:val="TextBody"/>
        <w:spacing w:before="0" w:after="0"/>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60655"/>
                <wp:effectExtent l="0" t="0" r="0" b="0"/>
                <wp:wrapNone/>
                <wp:docPr id="178" name="Frame17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-76-</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Foreign Subsidiary Borrower at a time when any principal of or interest on any Loan to such Foreign Subsidiary Borrower is outstanding. The Administrative Agent shall notify the Revolving Lenders at least five Business Days prior to granting such consent and, if any Revolving Lender notifies the Administrative Agent within five Business Days that it is not permitted by applicable requirements of law or any of its organizational policies to make Revolving Loans to, or participate in Letters of Credit for the account of, the relevant Foreign Subsidiary, shall withhold such consent or shall give such consent only upon effecting changes to the provisions of this Article II as are contemplated by paragraph (b) of this Section 2.20 that will ensure that such Revolving Lender is not required to make Revolving Loans to, or participate in Letters of Credit for the account of, such Foreign Subsidiary. As soon as practicable upon receipt of a Foreign Subsidiary Borrowing Agreement, the Administrative Agent shall send a copy thereof to each Lender. </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(b)    In order to accommodate (i) the designation of a Foreign Subsidiary as a Foreign Subsidiary Borrower or (ii) extensions of credit to a Foreign Subsidiary Borrower, in each case, where one or more Revolving Lenders are able and willing to lend Revolving Loans to, and participate in Letters of Credit issued for the account of, such Foreign Subsidiary, but other Revolving Lenders are not so able and willing, the Administrative Agent shall be permitted, with the consent of the Parent Borrower, to effect such changes to the provisions of this Article II as it reasonably believes are appropriate in order for such provisions to operate in a customary and usual manner for “multiple-currency” syndicated lending agreements to a limited liability company and certain of its foreign subsidiaries, all with the intention of providing procedures for the Revolving Lenders who are so able and willing to extend credit to such Foreign Subsidiaries and for the other Revolving Lenders not to be required to do so. Prior to effecting any such changes, the Administrative Agent shall give all Revolving Lenders at least three Business Days’ notice thereof and an opportunity to comment thereon. </w:t>
      </w:r>
    </w:p>
    <w:p>
      <w:pPr>
        <w:pStyle w:val="TextBody"/>
        <w:spacing w:lineRule="auto" w:line="240" w:before="0" w:after="240"/>
        <w:ind w:left="0" w:right="0" w:firstLine="1440"/>
        <w:rPr/>
      </w:pPr>
      <w:r>
        <w:rPr>
          <w:rFonts w:ascii="Times New Roman;sans-serif" w:hAnsi="Times New Roman;sans-serif"/>
          <w:b w:val="false"/>
          <w:color w:val="000000"/>
          <w:sz w:val="22"/>
        </w:rPr>
        <w:t>SECTION 2.21    </w:t>
      </w:r>
      <w:r>
        <w:rPr>
          <w:rFonts w:ascii="Times New Roman;sans-serif" w:hAnsi="Times New Roman;sans-serif"/>
          <w:b w:val="false"/>
          <w:color w:val="000000"/>
          <w:sz w:val="22"/>
          <w:u w:val="single"/>
        </w:rPr>
        <w:t>Incremental Facilities</w:t>
      </w:r>
      <w:r>
        <w:rPr>
          <w:rFonts w:ascii="Times New Roman;sans-serif" w:hAnsi="Times New Roman;sans-serif"/>
          <w:b w:val="false"/>
          <w:color w:val="000000"/>
          <w:sz w:val="22"/>
        </w:rPr>
        <w:t>.</w:t>
      </w:r>
    </w:p>
    <w:p>
      <w:pPr>
        <w:pStyle w:val="TextBody"/>
        <w:spacing w:lineRule="auto" w:line="240" w:before="0" w:after="240"/>
        <w:ind w:left="0" w:right="0" w:firstLine="1440"/>
        <w:rPr/>
      </w:pPr>
      <w:r>
        <w:rPr>
          <w:rFonts w:ascii="Times New Roman;sans-serif" w:hAnsi="Times New Roman;sans-serif"/>
          <w:b w:val="false"/>
          <w:color w:val="000000"/>
          <w:sz w:val="22"/>
        </w:rPr>
        <w:t xml:space="preserve">(a)    The Parent Borrower may on one or more occasions, by written notice to the Administrative Agent, request, during the Revolving Availability Period, the establishment of Incremental Revolving Commitments;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at the time of (and after giving effect to) the establishment of any Incremental Revolving Commitments, the aggregate amount of all Incremental Revolving Commitments established pursuant to this Section 2.21, together with the aggregate amount of all Incremental Equivalent Debt previously (or substantially simultaneously) incurred pursuant to Section 6.01(a)(xx), shall not exceed the sum of (A) $200,000,000 and (B) an amount such that, after giving effect to the making of such Incremental Revolving Commitments (and assuming any such Incremental Revolving Commitments are fully drawn) and the making of any other Indebtedness incurred substantially simultaneously therewith, the Senior Secured Net Leverage Ratio, calculated on a pro forma basis, is no greater than 3.00 to 1.00 (it being understood that </w:t>
      </w:r>
      <w:r>
        <w:rPr>
          <w:rFonts w:ascii="Times New Roman;sans-serif" w:hAnsi="Times New Roman;sans-serif"/>
          <w:b w:val="false"/>
          <w:color w:val="000000"/>
          <w:sz w:val="22"/>
          <w:highlight w:val="white"/>
        </w:rPr>
        <w:t>(i) the Parent Borrower may incur Incremental Revolving Commitments under clause (B) prior to incurring Incremental Revolving Commitments under clause (A) and (ii) if the Parent Borrower incurs Incremental Revolving Commitments under clause (A) and/or Incremental Equivalent Debt under clause (A)(1) of Section 6.01(a)(xx) on the same date that it incurs Incremental Revolving Commitments under clause (B), then the Senior Secured Net Leverage Ratio for purposes of clause (B) will be calculated without giving regard to any incurrence on such date of Incremental Revolving Commitments under clause (A) or Incremental Equivalent Debt under clause (A)(1) of Section 6.01(a)(xx))</w:t>
      </w:r>
      <w:r>
        <w:rPr>
          <w:rFonts w:ascii="Times New Roman;sans-serif" w:hAnsi="Times New Roman;sans-serif"/>
          <w:b w:val="false"/>
          <w:color w:val="000000"/>
          <w:sz w:val="22"/>
        </w:rPr>
        <w:t>. Each such notice shall specify (1) the date on which the Parent Borrower proposes that the Incremental Revolving Commitments shall be effective, which shall be a date not less than 10 Business Days (or such shorter period as may be agreed to by the Administrative Agent) after the date on which such notice is delivered to the Administrative Agent, and (2) the amount of the Incremental Revolving Commitments being requested (it being agreed that (x) any Lender approached to provide any Incremental Revolving Commitment may elect or decline, in its sole discretion, to provide such Incremental Revolving Commitment and (y) any Person that the Parent Borrower proposes to become an Incremental Lender, if such Person is not then a Lender, must be reasonably acceptable to the Administrative Agent, the Issuing Bank and the Swingline Lenders).</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(b)    The terms and conditions of any Incremental Revolving Commitment and Loans and other extensions of credit to be made thereunder shall be identical to those of any then existing Class of Revolving Commitments and Loans and other extensions of credit made thereunder, and shall be treated as a single Class with such Revolving Commitments and Loans. </w:t>
      </w:r>
      <w:r>
        <w:br w:type="page"/>
      </w:r>
    </w:p>
    <w:p>
      <w:pPr>
        <w:pStyle w:val="TextBody"/>
        <w:spacing w:before="0" w:after="0"/>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60655"/>
                <wp:effectExtent l="0" t="0" r="0" b="0"/>
                <wp:wrapNone/>
                <wp:docPr id="179" name="Frame17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-77-</w:t>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00000"/>
          <w:sz w:val="22"/>
        </w:rPr>
        <w:t xml:space="preserve">(c)    The Incremental Commitments shall be effected pursuant to one or more Incremental Facility Agreements executed and delivered by Holdings, the Parent Borrower, each Incremental Lender providing such Incremental Commitments and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Incremental Commitments shall become effective unless (i) no Default or Event of Default shall have occurred and be continuing on the date of effectiveness thereof, both immediately prior to and immediately after giving effect to such Incremental Commitments and the making of Loans and issuance of Letters of Credit thereunder to be made on such date, (ii) on the date of effectiveness thereof, the representations and warranties of each Loan Party set forth in the Loan Documents shall be true and correct on and as of such date, (iii) after giving effect to such Incremental Commitments and the making of Loans and other extensions of credit thereunder to be made on the date of effectiveness thereof (and assuming in the case of any Incremental Revolving Commitments to be made on the date of effectiveness thereof that such Incremental Revolving Commitments are fully drawn), Holdings and the Parent Borrower shall be in pro forma compliance with the financial covenants set forth in Sections 6.12 and 6.13, (iv) the Parent Borrower shall make any payments required to be made pursuant to Section 2.16 in connection with such Incremental Commitments and the related transactions under this Section, and (v) the other conditions, if any, set forth in the applicable Incremental Facility Agreement are satisfied. Each Incremental Facility Agreement may, without the consent of any Lender, effect such amendments to this Agreement and the other Loan Documents as may be necessary or appropriate, in the opinion of the Administrative Agent, to give effect to the provisions of this Section.</w:t>
      </w:r>
    </w:p>
    <w:p>
      <w:pPr>
        <w:pStyle w:val="TextBody"/>
        <w:spacing w:lineRule="auto" w:line="240" w:before="0" w:after="240"/>
        <w:ind w:left="0" w:right="0" w:firstLine="1440"/>
        <w:rPr/>
      </w:pPr>
      <w:r>
        <w:rPr>
          <w:rFonts w:ascii="Times New Roman;sans-serif" w:hAnsi="Times New Roman;sans-serif"/>
          <w:b w:val="false"/>
          <w:color w:val="000000"/>
          <w:sz w:val="22"/>
        </w:rPr>
        <w:t>(d)    Upon the effectiveness of an Incremental Commitment of any Incremental Lender, (i) such Incremental Lender shall be deemed to be a “</w:t>
      </w:r>
      <w:r>
        <w:rPr>
          <w:rFonts w:ascii="Times New Roman;sans-serif" w:hAnsi="Times New Roman;sans-serif"/>
          <w:b w:val="false"/>
          <w:color w:val="000000"/>
          <w:sz w:val="22"/>
          <w:u w:val="single"/>
        </w:rPr>
        <w:t>Lender</w:t>
      </w:r>
      <w:r>
        <w:rPr>
          <w:color w:val="000000"/>
        </w:rPr>
        <w:t xml:space="preserve">” </w:t>
      </w:r>
      <w:r>
        <w:rPr>
          <w:rFonts w:ascii="Times New Roman;sans-serif" w:hAnsi="Times New Roman;sans-serif"/>
          <w:b w:val="false"/>
          <w:color w:val="000000"/>
          <w:sz w:val="22"/>
        </w:rPr>
        <w:t>(and a Lender in respect of the Commitments and Loans of the applicable Class) hereunder, and henceforth shall be entitled to all the rights of, and benefits accruing to, Lenders (or Lenders in respect of Commitments and Loans of the applicable Class) hereunder and shall be bound by all agreements, acknowledgements and other obligations of Lenders (or Lenders in respect of Commitments and Loans of the applicable Class) hereunder and under the other Loan Documents, and (ii) (A) such Incremental Revolving Commitment shall constitute (or, in the event such Incremental Lender already has a Revolving Commitment, shall increase) the Revolving Commitment of such Incremental Lender and (B) the total Revolving Commitments shall be increased by the amount of such Incremental Revolving Commitment, in each case, subject to further increase or reduction from time to time as set forth in the definition of the term “</w:t>
      </w:r>
      <w:r>
        <w:rPr>
          <w:rFonts w:ascii="Times New Roman;sans-serif" w:hAnsi="Times New Roman;sans-serif"/>
          <w:b w:val="false"/>
          <w:color w:val="000000"/>
          <w:sz w:val="22"/>
          <w:u w:val="single"/>
        </w:rPr>
        <w:t>Revolving Commitment</w:t>
      </w:r>
      <w:r>
        <w:rPr>
          <w:rFonts w:ascii="Times New Roman;sans-serif" w:hAnsi="Times New Roman;sans-serif"/>
          <w:b w:val="false"/>
          <w:color w:val="000000"/>
          <w:sz w:val="22"/>
        </w:rPr>
        <w:t>.” For the avoidance of doubt, upon the effectiveness of any Incremental Revolving Commitment, the Revolving Exposure of the Incremental Revolving Lender holding such Commitment, and the Applicable Percentage of all the Revolving Lenders, shall automatically be adjusted to give effect thereto.</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(e)    On the date of effectiveness of any Incremental Revolving Commitments, each Revolving Lender shall assign to each Incremental Revolving Lender holding such Incremental Revolving Commitment, and each such Incremental Revolving Lender shall purchase from each Revolving Lender, at the principal amount thereof (together with accrued interest), such interests in the Revolving Loans and participations in Letters of Credit outstanding on such date as shall be necessary in order that, after giving effect to all such assignments and purchases, such Revolving Loans and participations in Letters of Credit will be held by all the Revolving Lenders ratably in accordance with their Applicable Percentages after giving effect to the effectiveness of such Incremental Revolving Commitment.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(f)    [Reserved].</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(g)    The Administrative Agent shall notify the Lenders promptly upon receipt by the Administrative Agent of any notice from the Parent Borrower referred to in paragraph (a) above and of the effectiveness of any Incremental Commitments, in each case advising the Lenders of the details thereof and, in the case of effectiveness of any Incremental Revolving Commitments, of the Applicable Percentages of the Revolving Lenders after giving effect thereto and of the assignments required to be made pursuant to paragraph (e) above.</w:t>
      </w:r>
    </w:p>
    <w:p>
      <w:pPr>
        <w:pStyle w:val="TextBody"/>
        <w:spacing w:lineRule="auto" w:line="240" w:before="0" w:after="240"/>
        <w:ind w:left="0" w:right="0" w:firstLine="1440"/>
        <w:rPr/>
      </w:pPr>
      <w:r>
        <w:rPr>
          <w:rFonts w:ascii="Times New Roman;sans-serif" w:hAnsi="Times New Roman;sans-serif"/>
          <w:b w:val="false"/>
          <w:color w:val="000000"/>
          <w:sz w:val="22"/>
        </w:rPr>
        <w:t>SECTION 2.22    </w:t>
      </w:r>
      <w:r>
        <w:rPr>
          <w:rFonts w:ascii="Times New Roman;sans-serif" w:hAnsi="Times New Roman;sans-serif"/>
          <w:b w:val="false"/>
          <w:color w:val="000000"/>
          <w:sz w:val="22"/>
          <w:u w:val="single"/>
        </w:rPr>
        <w:t>Defaulting Lenders</w:t>
      </w:r>
      <w:r>
        <w:rPr>
          <w:rFonts w:ascii="Times New Roman;sans-serif" w:hAnsi="Times New Roman;sans-serif"/>
          <w:b w:val="false"/>
          <w:color w:val="000000"/>
          <w:sz w:val="22"/>
        </w:rPr>
        <w:t>. Notwithstanding any provision of this Agreement to the contrary, if any Revolving Lender becomes a Defaulting Lender, then the following provisions shall apply for so long as such Lender is a Defaulting Lender:</w:t>
      </w:r>
      <w:r>
        <w:br w:type="page"/>
      </w:r>
    </w:p>
    <w:p>
      <w:pPr>
        <w:pStyle w:val="TextBody"/>
        <w:spacing w:before="0" w:after="0"/>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60655"/>
                <wp:effectExtent l="0" t="0" r="0" b="0"/>
                <wp:wrapNone/>
                <wp:docPr id="180" name="Frame17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-78-</w:t>
                      </w:r>
                    </w:p>
                  </w:txbxContent>
                </v:textbox>
              </v:rect>
            </w:pict>
          </mc:Fallback>
        </mc:AlternateConten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    Fees shall cease to accrue on the unfunded portion of the Revolving Commitment of such Defaulting Lender pursuant to Section 2.12(a).</w:t>
      </w:r>
    </w:p>
    <w:p>
      <w:pPr>
        <w:pStyle w:val="TextBody"/>
        <w:spacing w:lineRule="auto" w:line="240" w:before="0" w:after="240"/>
        <w:ind w:left="0" w:right="0" w:firstLine="720"/>
        <w:rPr/>
      </w:pPr>
      <w:r>
        <w:rPr>
          <w:rFonts w:ascii="Times New Roman;sans-serif" w:hAnsi="Times New Roman;sans-serif"/>
          <w:b w:val="false"/>
          <w:color w:val="000000"/>
          <w:sz w:val="22"/>
        </w:rPr>
        <w:t xml:space="preserve">(b)    The Revolving Commitment and Revolving Credit Exposure of such Defaulting Lender shall not be included in determining whether the requisite Lenders have taken or may take any action hereunder or under any other Loan Document (including any consent to any amendment or waiver pursuant to Section 10.02);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no Commitment of a Defaulting Lender may be increased or extended without such Defaulting Lender’s consent, (ii) no waiver, amendment or other modification may reduce the amount of principal owing to a Defaulting Lender without such Defaulting Lender’s consent and (iii) any waiver, amendment or other modification requiring the consent of all Lenders or each affected Lender which affects such Defaulting Lender differently than other affected Lenders shall require the consent of such Defaulting Lender.</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    If any Swingline Exposure or LC Exposure exists or any Foreign Currency Loans are outstanding at the time a Revolving Lender becomes a Defaulting Lender then (i) all or any part of such Swingline Exposure, LC Exposure and Foreign Currency Participating Interest of such Defaulting Lender (other than the portion of such Swingline Exposure referred to in clause (b) of the definition of such term) shall be reallocated among the Revolving Lenders that are Non-Defaulting Lenders in accordance with their respective Applicable Percentages but only to the extent (x) the sum of a Non-Defaulting Lenders’ Revolving Exposures plus such Defaulting Lender’s Swingline Exposure, LC Exposure and Foreign Currency Participating Interest does not exceed such Non-Defaulting Lenders’ Revolving Commitments and (y) the conditions set forth in Section 4.02 are satisfied at such time. In the case of any such reallocation, the fees payable to the Revolving Lenders pursuant to Section 2.12(a) and Section 2.12(b)(i) and the Foreign Currency Loan Participants pursuant to Section 2.12(e) shall be adjusted in accordance with such Non-Defaulting Lenders’ Applicable Percentages.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(d)    If the reallocation described in clause (c) above cannot, or can only partially, be effected, the Parent Borrower shall, within one Business Day following notice by the Administrative Agent (x) first, prepay such Swingline Exposure, (y) second, cash collateralize such Defaulting Lender’s LC Exposure (after giving effect to any partial reallocation pursuant to clause (c) above) in accordance with the procedures set forth in Section 2.05(j) for so long as such LC Exposure is outstanding and (z) third, cash collateralize for the benefit of the Fronting Lender, the obligations of the Parent Borrower and any Foreign Subsidiary Borrower corresponding to such Defaulting Lender’s Foreign Currency Participating Interest (after giving effect to any partial reallocation pursuant to clause (c) above) for so long as the circumstances giving rise to such obligation to provide such cash collateral remain relevant (which cash collateralization requirement shall be satisfied by the Parent Borrower depositing such cash collateral into an account opened by the Administrative Agent). In the case of any such cash collateralization, the Parent Borrower shall not be required to pay any fees to such Defaulting Lender pursuant to Section 2.12(b)(i) (with respect to such Defaulting Lender’s LC Exposure) or Section 2.12(e) (with respect to such Defaulting Lender’s Foreign Currency Participating Interest) for so long as such Defaulting Lender’s LC Exposure is cash collateralized.</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(e)    If any Defaulting Lender’s LC Exposure is neither cash collateralized nor reallocated pursuant to paragraph (c) or (d) above, then, without prejudice to any rights or remedies of the Issuing Bank or any Revolving Lender that is not a Defaulting Lender hereunder, all participation fees payable under Section 2.12(b)(i) with respect to such Defaulting Lender’s LC Exposure shall be payable to the Issuing Bank until such LC Exposure is cash collateralized and/or reallocated pursuant to paragraph (c) and (d) above.</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(f)    If all or any portion of such Defaulting Lender’s Foreign Currency Participating Interest is neither cash collateralized nor reallocated pursuant to paragraph (c) or (d) above, then, without prejudice to any rights or remedies of the Fronting Lender or any Revolving Lender that is not a Defaulting Lender hereunder, all participation fees payable under Section 2.12(e) with respect to such Defaulting Lender’s Foreign Currency Participating Interest that has not been reallocated or cash collateralized shall be payable to the Fronting Lender until and to the extent </w:t>
      </w:r>
      <w:r>
        <w:br w:type="page"/>
      </w:r>
    </w:p>
    <w:p>
      <w:pPr>
        <w:pStyle w:val="TextBody"/>
        <w:spacing w:before="0" w:after="0"/>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60655"/>
                <wp:effectExtent l="0" t="0" r="0" b="0"/>
                <wp:wrapNone/>
                <wp:docPr id="181" name="Frame18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-79-</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such Foreign Currency Participating Interest is cash collateralized and/or reallocated pursuant to paragraph (c) and (d) above.</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(g)    So long as any Lender is a Defaulting Lender, the Swingline Lenders shall not be required to fund any Swingline Loan and the Issuing Bank shall not be required to issue, amend or increase any Letter of Credit, unless it is satisfied that the related exposure will be 100% covered by the Revolving Commitments of the Revolving Lenders that are not Defaulting Lenders and/or cash collateral will be provided by the Parent Borrower in accordance with paragraph (c) above, and participating interests in any such newly issued or increased Letter of Credit or newly made Swingline Loan shall be allocated among Revolving Lenders that are not Defaulting Lenders in a manner consistent with paragraph (c) above (and Defaulting Lenders shall not participate therein).</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(h)    So long as any Lender is a defaulting Lender, the Fronting Lender shall not be required to fund any Fronted Foreign Currency Loan unless it is satisfied that the related exposure and the Defaulting Lender’s Foreign Currency Participating Interest will be 100% covered by the Revolving Commitments of the Revolving Lenders that are not Defaulting Lenders and/or cash collateral will be provided by the Parent Borrower in accordance with paragraph (c) above.</w:t>
      </w:r>
    </w:p>
    <w:p>
      <w:pPr>
        <w:pStyle w:val="TextBody"/>
        <w:spacing w:lineRule="auto" w:line="240" w:before="0" w:after="240"/>
        <w:ind w:left="0" w:right="0" w:firstLine="720"/>
        <w:rPr/>
      </w:pPr>
      <w:r>
        <w:rPr>
          <w:rFonts w:ascii="Times New Roman;sans-serif" w:hAnsi="Times New Roman;sans-serif"/>
          <w:b w:val="false"/>
          <w:color w:val="000000"/>
          <w:sz w:val="22"/>
        </w:rPr>
        <w:t>(i)    In the event that (i) a Lender becomes a Defaulting Lender as a result of the occurrence of any event described in clause (d) of the definition of the term “</w:t>
      </w:r>
      <w:r>
        <w:rPr>
          <w:rFonts w:ascii="Times New Roman;sans-serif" w:hAnsi="Times New Roman;sans-serif"/>
          <w:b w:val="false"/>
          <w:color w:val="000000"/>
          <w:sz w:val="22"/>
          <w:u w:val="single"/>
        </w:rPr>
        <w:t>Defaulting Lender</w:t>
      </w:r>
      <w:r>
        <w:rPr>
          <w:color w:val="000000"/>
        </w:rPr>
        <w:t xml:space="preserve">” </w:t>
      </w:r>
      <w:r>
        <w:rPr>
          <w:rFonts w:ascii="Times New Roman;sans-serif" w:hAnsi="Times New Roman;sans-serif"/>
          <w:b w:val="false"/>
          <w:color w:val="000000"/>
          <w:sz w:val="22"/>
        </w:rPr>
        <w:t>with respect to such Lender’s parent company and for so long as such event shall continue or (ii) the Swingline Lenders, the Issuing Bank or the Fronting Lender has a good faith belief that any Revolving Lender has defaulted in fulfilling its obligations under one or more other agreements in which such Lender commits to extend credit, the Swingline Lenders shall not be required to fund any Swingline Loan, the Issuing Bank shall not be required to issue, amend, renew or extend any Letter of Credit, and the Fronting Lender shall not be required to fund any Fronted Foreign Currency Loan, unless the Swingline Lenders, the Issuing Bank or the Fronting Lender, as the case may be, shall have entered into arrangements with Holdings and the Parent Borrower or such Revolving Lender satisfactory to the Swingline Lenders, the Issuing Bank or the Fronting Lender, as the case may be, to defease any risk to it in respect of such Lender hereunder.</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(j)    In the event that (x) a Bankruptcy Event or a Bail-In Action with respect to a Revolving Lender Parent shall have occurred following the Second Restatement Date and for so long as such Bankruptcy Event or Bail-In Action shall continue or (y) the Swingline Lenders, the Issuing Bank or the Fronting Lender has a good faith belief that any Revolving Lender has defaulted in fulfilling its obligations under one or more other agreements in which such Lender commits to extend credit, the Swingline Lenders shall not be required to fund any Swingline Loan, the Issuing Bank shall not be required to issue, amend, renew or extend any Letter of Credit, and the Fronting Lender shall not be required to fund any Fronted Foreign Currency Loan, unless the Swingline Lenders, the Issuing Bank or the Fronting Lender, as the case may be, shall have entered into arrangements with Holdings and the Parent Borrower or such Revolving Lender satisfactory to the Swingline Lenders or the Issuing Bank, as the case may be, to defease any risk to it in respect of such Lender hereunder.</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(k)    In the event that the Administrative Agent, the Parent Borrower, the Issuing Bank, the Fronting Lender and the Swingline Lenders each agree that a Defaulting Lender has adequately remedied all matters that caused such Lender to be a Defaulting Lender, then the Swingline Exposure and LC Exposure of the Revolving Lenders shall be readjusted to reflect the inclusion of such Lender’s Commitment and on such date such Lender shall purchase at par such of (i) the Revolving Loans of the other Revolving Lenders (other than Swingline Loans and (other than in the case of any Defaulting Lender that is a Foreign Currency Lender) Foreign Currency Loans) as the Administrative shall determine may be necessary in order for such Lender to hold such Revolving Loans in accordance with its Applicable Percentage and (ii) the Foreign Currency Participating Interests of the other Revolving Lenders as the Administrative shall determine may be necessary in order for such Lender to hold such in Foreign Currency Participating Interests accordance with its ratable share thereof.</w:t>
      </w:r>
      <w:r>
        <w:br w:type="page"/>
      </w:r>
    </w:p>
    <w:p>
      <w:pPr>
        <w:pStyle w:val="TextBody"/>
        <w:spacing w:before="0" w:after="0"/>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60655"/>
                <wp:effectExtent l="0" t="0" r="0" b="0"/>
                <wp:wrapNone/>
                <wp:docPr id="182" name="Frame18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-80-</w:t>
                      </w:r>
                    </w:p>
                  </w:txbxContent>
                </v:textbox>
              </v:rect>
            </w:pict>
          </mc:Fallback>
        </mc:AlternateConten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(l)    If all or any portion of a Defaulting Lender’s Swingline Exposure, LC Exposure or Foreign Currency Participating Interest is reallocated to non-Defaulting Lenders pursuant to this Section 2.22, then the defined terms hereunder (including “Applicable Percentage”) shall, as necessary or advisable (in the reasonable determination of the Administrative Agent) be read as used in this Agreement to give effect to such reallocation.</w:t>
      </w:r>
    </w:p>
    <w:p>
      <w:pPr>
        <w:pStyle w:val="TextBody"/>
        <w:spacing w:lineRule="auto" w:line="240" w:before="0" w:after="240"/>
        <w:ind w:left="0" w:right="0" w:firstLine="1440"/>
        <w:rPr/>
      </w:pPr>
      <w:r>
        <w:rPr>
          <w:rFonts w:ascii="Times New Roman;sans-serif" w:hAnsi="Times New Roman;sans-serif"/>
          <w:b w:val="false"/>
          <w:color w:val="000000"/>
          <w:sz w:val="22"/>
        </w:rPr>
        <w:t>SECTION 2.23    </w:t>
      </w:r>
      <w:r>
        <w:rPr>
          <w:rFonts w:ascii="Times New Roman;sans-serif" w:hAnsi="Times New Roman;sans-serif"/>
          <w:b w:val="false"/>
          <w:color w:val="000000"/>
          <w:sz w:val="22"/>
          <w:u w:val="single"/>
        </w:rPr>
        <w:t>Extensions</w:t>
      </w:r>
      <w:r>
        <w:rPr>
          <w:rFonts w:ascii="Times New Roman;sans-serif" w:hAnsi="Times New Roman;sans-serif"/>
          <w:b w:val="false"/>
          <w:color w:val="000000"/>
          <w:sz w:val="22"/>
        </w:rPr>
        <w:t>.</w:t>
      </w:r>
    </w:p>
    <w:p>
      <w:pPr>
        <w:pStyle w:val="TextBody"/>
        <w:spacing w:lineRule="auto" w:line="240" w:before="0" w:after="240"/>
        <w:ind w:left="0" w:right="0" w:firstLine="1440"/>
        <w:rPr/>
      </w:pPr>
      <w:r>
        <w:rPr>
          <w:rFonts w:ascii="Times New Roman;sans-serif" w:hAnsi="Times New Roman;sans-serif"/>
          <w:b w:val="false"/>
          <w:color w:val="000000"/>
          <w:sz w:val="22"/>
        </w:rPr>
        <w:t>(a)    Notwithstanding anything to the contrary in this Agreement, pursuant to one or more offers (each, an “</w:t>
      </w:r>
      <w:r>
        <w:rPr>
          <w:rFonts w:ascii="Times New Roman;sans-serif" w:hAnsi="Times New Roman;sans-serif"/>
          <w:b w:val="false"/>
          <w:color w:val="000000"/>
          <w:sz w:val="22"/>
          <w:u w:val="single"/>
        </w:rPr>
        <w:t>Extension Offer</w:t>
      </w:r>
      <w:r>
        <w:rPr>
          <w:color w:val="000000"/>
        </w:rPr>
        <w:t>”</w:t>
      </w:r>
      <w:r>
        <w:rPr>
          <w:rFonts w:ascii="Times New Roman;sans-serif" w:hAnsi="Times New Roman;sans-serif"/>
          <w:b w:val="false"/>
          <w:color w:val="000000"/>
          <w:sz w:val="22"/>
        </w:rPr>
        <w:t>) made from time to time by the Parent Borrower to all Lenders with Revolving Commitments with a like maturity date, in each case on a pro rata basis (based on the aggregate outstanding amount of Revolving Commitments with a like maturity date, as the case may be) and on the same terms to each such Lender, the Parent Borrower is hereby permitted to consummate from time to time transactions with individual Lenders that accept the terms contained in such Extension Offers to extend the maturity date of each such Lender’s Revolving Commitments and otherwise modify the terms of such Revolving Commitments pursuant to the terms of the relevant Extension Offer (including, without limitation, by increasing the interest rate or fees payable in respect of such Revolving Commitments (and related outstandings)) (each, an “</w:t>
      </w:r>
      <w:r>
        <w:rPr>
          <w:rFonts w:ascii="Times New Roman;sans-serif" w:hAnsi="Times New Roman;sans-serif"/>
          <w:b w:val="false"/>
          <w:color w:val="000000"/>
          <w:sz w:val="22"/>
          <w:u w:val="single"/>
        </w:rPr>
        <w:t>Extension</w:t>
      </w:r>
      <w:r>
        <w:rPr>
          <w:rFonts w:ascii="Times New Roman;sans-serif" w:hAnsi="Times New Roman;sans-serif"/>
          <w:b w:val="false"/>
          <w:color w:val="000000"/>
          <w:sz w:val="22"/>
        </w:rPr>
        <w:t>,” and each group of Revolving Commitments as so extended, as well as the original Revolving Commitments (not so extended), being a “</w:t>
      </w:r>
      <w:r>
        <w:rPr>
          <w:rFonts w:ascii="Times New Roman;sans-serif" w:hAnsi="Times New Roman;sans-serif"/>
          <w:b w:val="false"/>
          <w:color w:val="000000"/>
          <w:sz w:val="22"/>
          <w:u w:val="single"/>
        </w:rPr>
        <w:t>tranche</w:t>
      </w:r>
      <w:r>
        <w:rPr>
          <w:color w:val="000000"/>
        </w:rPr>
        <w:t>”</w:t>
      </w:r>
      <w:r>
        <w:rPr>
          <w:rFonts w:ascii="Times New Roman;sans-serif" w:hAnsi="Times New Roman;sans-serif"/>
          <w:b w:val="false"/>
          <w:color w:val="000000"/>
          <w:sz w:val="22"/>
        </w:rPr>
        <w:t>; any Extended Revolving Commitments shall constitute a separate tranche of Revolving Commitments from the tranche of Revolving Commitments from which they were converted), so long as the following terms are satisfied: (i) no Default or Event of Default shall have occurred and be continuing at the time the offering document in respect of an Extension Offer is delivered to the Lenders, (ii) except as to interest rates, fees and final maturity (which shall be determined by the Parent Borrower and set forth in the relevant Extension Offer), the Revolving Commitment of any Revolving Lender that agrees to an extension with respect to such Revolving Commitment extended pursuant to an Extension (an “</w:t>
      </w:r>
      <w:r>
        <w:rPr>
          <w:rFonts w:ascii="Times New Roman;sans-serif" w:hAnsi="Times New Roman;sans-serif"/>
          <w:b w:val="false"/>
          <w:color w:val="000000"/>
          <w:sz w:val="22"/>
          <w:u w:val="single"/>
        </w:rPr>
        <w:t>Extended Revolving Commitment</w:t>
      </w:r>
      <w:r>
        <w:rPr>
          <w:color w:val="000000"/>
        </w:rPr>
        <w:t>”</w:t>
      </w:r>
      <w:r>
        <w:rPr>
          <w:rFonts w:ascii="Times New Roman;sans-serif" w:hAnsi="Times New Roman;sans-serif"/>
          <w:b w:val="false"/>
          <w:color w:val="000000"/>
          <w:sz w:val="22"/>
        </w:rPr>
        <w:t xml:space="preserve">), and the related outstandings, shall be a Revolving Commitment (or related outstandings, as the case may be) with the same terms as the original Revolving Commitments (and related outstandings);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(x) subject to the provisions of Sections 2.04(e) and 2.05(k) to the extent dealing with Swingline Loans and Letters of Credit which mature or expire after a maturity date when there exist Extended Revolving Commitments with a longer maturity date, all Swingline Loans and Letters of Credit shall be participated in on a pro rata basis by all Lenders with Revolving Commitments in accordance with their Applicable Percentage of the Revolving Commitments (and except as provided in Sections 2.04(e) and 2.05(k), without giving effect to changes thereto on an earlier maturity date with respect to Swingline Loans and Letters of Credit theretofore incurred or issued) and all borrowings under Revolving Commitments and repayments thereunder shall be made on a pro rata basis (except for (A) payments of interest and fees at different rates on Extended Revolving Commitments (and related outstandings) and (B) repayments required upon the scheduled maturity date of the non-Extended Revolving Commitments) and (y) at no time shall there be Revolving Commitments hereunder (including Extended Revolving Commitments and any original Revolving Commitments) which have more than three different maturity dates, (iii) if the aggregate amount of Revolving Commitments in respect of which Revolving Lenders shall have accepted the relevant Extension Offer shall exceed the maximum aggregate principal amount of Revolving Commitments offered to be extended by the Parent Borrower pursuant to such Extension Offer, then the Revolving Loans of such Revolving Lenders shall be extended ratably up to such maximum amount based on the respective principal amounts (but not to exceed actual holdings of record) with respect to which such Revolving Lenders have accepted such Extension Offer, (iv) all documentation in respect of such Extension shall be consistent with the foregoing and (v) any applicable Minimum Extension Condition shall be satisfied unless waived by the Parent Borrower. </w:t>
      </w:r>
    </w:p>
    <w:p>
      <w:pPr>
        <w:pStyle w:val="TextBody"/>
        <w:spacing w:lineRule="auto" w:line="240" w:before="0" w:after="240"/>
        <w:ind w:left="0" w:right="0" w:firstLine="1440"/>
        <w:rPr/>
      </w:pPr>
      <w:r>
        <w:rPr>
          <w:rFonts w:ascii="Times New Roman;sans-serif" w:hAnsi="Times New Roman;sans-serif"/>
          <w:b w:val="false"/>
          <w:color w:val="000000"/>
          <w:sz w:val="22"/>
        </w:rPr>
        <w:t xml:space="preserve">(b)    With respect to all Extensions consummated by the Parent Borrower pursuant to this Section, (i) such Extensions shall not constitute voluntary or mandatory payments or prepayments for purposes of Section 2.11 and (ii) no Extension Offer is required to be in any minimum amount or any minimum increment,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Parent Borrower may at its election specify as a condition (a “</w:t>
      </w:r>
      <w:r>
        <w:rPr>
          <w:rFonts w:ascii="Times New Roman;sans-serif" w:hAnsi="Times New Roman;sans-serif"/>
          <w:b w:val="false"/>
          <w:color w:val="000000"/>
          <w:sz w:val="22"/>
          <w:u w:val="single"/>
        </w:rPr>
        <w:t>Minimum Extension Condition</w:t>
      </w:r>
      <w:r>
        <w:rPr>
          <w:color w:val="000000"/>
        </w:rPr>
        <w:t>”</w:t>
      </w:r>
      <w:r>
        <w:rPr>
          <w:rFonts w:ascii="Times New Roman;sans-serif" w:hAnsi="Times New Roman;sans-serif"/>
          <w:b w:val="false"/>
          <w:color w:val="000000"/>
          <w:sz w:val="22"/>
        </w:rPr>
        <w:t xml:space="preserve">) to consummating any such Extension that a minimum amount (to be determined and specified in the relevant Extension Offer in the Parent Borrower’s sole discretion and may be waived by the Parent Borrower) of Revolving Commitments of any or all applicable tranches be tendered. The Administrative Agent and the Lenders hereby consent to the transactions contemplated by this Section (including, for the avoidance of doubt, payment of any interest, fees or premium in respect of </w:t>
      </w:r>
      <w:r>
        <w:br w:type="page"/>
      </w:r>
    </w:p>
    <w:p>
      <w:pPr>
        <w:pStyle w:val="TextBody"/>
        <w:spacing w:before="0" w:after="0"/>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60655"/>
                <wp:effectExtent l="0" t="0" r="0" b="0"/>
                <wp:wrapNone/>
                <wp:docPr id="183" name="Frame18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-81-</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any Extended Revolving Commitments on the such terms as may be set forth in the relevant Extension Offer) and hereby waive the requirements of any provision of this Agreement (including, without limitation, Sections 2.11 and 2.18) or any other Loan Document that may otherwise prohibit any such Extension or any other transaction contemplated by this Section.</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(c)    No consent of any Lender or the Administrative Agent shall be required to effectuate any Extension, other than (A) the consent of each Lender agreeing to such Extension with respect to one or more of its Revolving Commitments (or a portion thereof) and (B) the consent of the Issuing Bank and Swingline Lenders, which consent shall, in each case, not be unreasonably withheld or delayed. All Extended Revolving Commitments and all obligations in respect thereof shall be Obligations under this Agreement and the other Loan Documents that are secured by the Collateral on a pari passu basis with all other applicable Obligations under this Agreement and the other Loan Documents. The Lenders hereby irrevocably authorize the Administrative Agent to enter into amendments to this Agreement and the other Loan Documents with the Parent Borrower as may be necessary in order to establish new tranches or sub-tranches in respect of Revolving Commitments so extended and such technical amendments as may be necessary or appropriate in the reasonable opinion of the Administrative Agent and the Parent Borrower in connection with the establishment of such new tranches or sub-tranches, in each case on terms consistent with this Section. Without limiting the foregoing, in connection with any Extensions the respective Loan Parties shall (at their expense) amend (and the Administrative Agent is hereby directed to amend) any Mortgage that has a maturity date prior to the then latest maturity date so that such maturity date is extended to the then latest maturity date (or such later date as may be advised by local counsel to the Administrative Agent).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(d)    In connection with any Extension, the Parent Borrower shall provide the Administrative Agent at least five Business Days’ (or such shorter period as may be agreed by the Administrative Agent) prior written notice thereof, and shall agree to such procedures (including, without limitation,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Section.</w:t>
      </w:r>
    </w:p>
    <w:p>
      <w:pPr>
        <w:pStyle w:val="TextBody"/>
        <w:spacing w:lineRule="auto" w:line="240" w:before="0" w:after="240"/>
        <w:ind w:left="0" w:right="0" w:firstLine="1440"/>
        <w:rPr/>
      </w:pPr>
      <w:r>
        <w:rPr>
          <w:rFonts w:ascii="Times New Roman;sans-serif" w:hAnsi="Times New Roman;sans-serif"/>
          <w:b w:val="false"/>
          <w:color w:val="000000"/>
          <w:sz w:val="22"/>
        </w:rPr>
        <w:t>SECTION 2.24    </w:t>
      </w:r>
      <w:r>
        <w:rPr>
          <w:rFonts w:ascii="Times New Roman;sans-serif" w:hAnsi="Times New Roman;sans-serif"/>
          <w:b w:val="false"/>
          <w:color w:val="000000"/>
          <w:sz w:val="22"/>
          <w:u w:val="single"/>
        </w:rPr>
        <w:t>Foreign Currency Participations; Conversion of Foreign Currency Loans</w:t>
      </w:r>
      <w:r>
        <w:rPr>
          <w:rFonts w:ascii="Times New Roman;sans-serif" w:hAnsi="Times New Roman;sans-serif"/>
          <w:b w:val="false"/>
          <w:color w:val="000000"/>
          <w:sz w:val="22"/>
        </w:rPr>
        <w:t>.</w:t>
      </w:r>
    </w:p>
    <w:p>
      <w:pPr>
        <w:pStyle w:val="TextBody"/>
        <w:spacing w:lineRule="auto" w:line="240" w:before="0" w:after="240"/>
        <w:ind w:left="0" w:right="0" w:firstLine="1440"/>
        <w:rPr/>
      </w:pPr>
      <w:r>
        <w:rPr>
          <w:rFonts w:ascii="Times New Roman;sans-serif" w:hAnsi="Times New Roman;sans-serif"/>
          <w:b w:val="false"/>
          <w:color w:val="000000"/>
          <w:sz w:val="22"/>
        </w:rPr>
        <w:t>(a)    With respect to each Foreign Currency Loan in any Foreign Currency, the Fronting Lender irrevocably agrees to grant and hereby grants to each Lender that is a Foreign Currency Loan Participant with respect to Foreign Currency Loans made in such Foreign Currency, and, to induce the Fronting Lender to make Foreign Currency Loans in any applicable Foreign Currency hereunder, each Lender that is a Foreign Currency Loan Participant with respect to Foreign Currency Loans made in such Foreign Currency irrevocably agrees to accept and purchase and hereby accepts and purchases from the Fronting Lender, on the terms and conditions hereinafter stated, for such Foreign Currency Loan Participant’s own account and risk, with respect to any Fronted Foreign Currency Loan in any Foreign Currency in which such Lender is a Foreign Currency Loan Participant, an undivided interest (a “</w:t>
      </w:r>
      <w:r>
        <w:rPr>
          <w:rFonts w:ascii="Times New Roman;sans-serif" w:hAnsi="Times New Roman;sans-serif"/>
          <w:b w:val="false"/>
          <w:color w:val="000000"/>
          <w:sz w:val="22"/>
          <w:u w:val="single"/>
        </w:rPr>
        <w:t>Foreign Currency Participating Interest</w:t>
      </w:r>
      <w:r>
        <w:rPr>
          <w:color w:val="000000"/>
        </w:rPr>
        <w:t>”</w:t>
      </w:r>
      <w:r>
        <w:rPr>
          <w:rFonts w:ascii="Times New Roman;sans-serif" w:hAnsi="Times New Roman;sans-serif"/>
          <w:b w:val="false"/>
          <w:color w:val="000000"/>
          <w:sz w:val="22"/>
        </w:rPr>
        <w:t>), in an amount equal to such Foreign Currency Loan Participant’s Applicable Percentage of the outstanding principal amount of such Foreign Currency Loan (it being understood that such calculation shall be made in respect of the outstanding principal amount of such Foreign Currency Loan, and not the portion thereof constituting a Fronted Foreign Currency Loan), in the Fronting Lender’s obligations and rights under such Fronted Foreign Currency Loan made hereunder. Each Revolving Lender that is a Foreign Currency Loan Participant with respect to any Foreign Currency unconditionally and irrevocably agrees with the Fronting Lender that, solely upon the occurrence of an event set forth in Section 2.24(d)(i) or (ii), such Revolving Lender shall pay to the Fronting Lender upon demand an amount equal to (i) in the case of an event set forth in Section 2.24(d)(i) with respect to a Foreign Currency Loan for which such Revolving Lender is a Foreign Currency Loan Participant, the Dollar Equivalent of such Foreign Currency Loan Participant’s Applicable Percentage of the amount of such payment which is not so paid as required under this Agreement and (ii) in the case of an event set forth in Section 2.24(d)(ii), the Dollar Equivalent of such Revolving Lender’s Applicable Percentage of the Foreign Currency Loans then outstanding in any Foreign Currency in which such Revolving Lender is a Foreign Currency Loan Participant.</w:t>
      </w:r>
      <w:r>
        <w:br w:type="page"/>
      </w:r>
    </w:p>
    <w:p>
      <w:pPr>
        <w:pStyle w:val="TextBody"/>
        <w:spacing w:before="0" w:after="0"/>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60655"/>
                <wp:effectExtent l="0" t="0" r="0" b="0"/>
                <wp:wrapNone/>
                <wp:docPr id="184" name="Frame18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-82-</w:t>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00000"/>
          <w:sz w:val="22"/>
        </w:rPr>
        <w:t xml:space="preserve">(b)    If any amount required to be paid by any Foreign Currency Loan Participant to the Fronting Lender pursuant to Section 2.24(a) or Section 2.24(d) is not made available to the Fronting Lender when due, such Foreign Currency Loan Participant shall pay to the Fronting Lender, on demand, such amount with interest thereon at a rate equal to the greater of the daily average Overnight LIBO Rate and a rate determined by the Administrative Agent in accordance with banking industry rules on interbank compensation for the period until such Foreign Currency Loan Participant makes such amount immediately available to the Fronting Lender. If such amount is not made available to the Fronting Lender by such Foreign Currency Loan Participant within three Business Days of such due date, the Fronting Lender shall also be entitled to recover such amount with interest thereon at the rate per annum applicable to Eurocurrency Loans </w:t>
      </w:r>
      <w:r>
        <w:rPr>
          <w:rFonts w:ascii="Times New Roman;sans-serif" w:hAnsi="Times New Roman;sans-serif"/>
          <w:b w:val="false"/>
          <w:color w:val="0000FF"/>
          <w:sz w:val="22"/>
          <w:highlight w:val="lightGray"/>
          <w:u w:val="single"/>
        </w:rPr>
        <w:t>or RFR Loans, as applicable,</w:t>
      </w:r>
      <w:r>
        <w:rPr>
          <w:color w:val="000000"/>
        </w:rPr>
        <w:t xml:space="preserve"> </w:t>
      </w:r>
      <w:r>
        <w:rPr>
          <w:rFonts w:ascii="Times New Roman;sans-serif" w:hAnsi="Times New Roman;sans-serif"/>
          <w:b w:val="false"/>
          <w:color w:val="000000"/>
          <w:sz w:val="22"/>
        </w:rPr>
        <w:t>under the Revolving Facility, on demand. A certificate of the Fronting Lender submitted to any Foreign Currency Loan Participant with respect to amounts owed under this Section shall be conclusive absent manifest error.</w:t>
      </w:r>
    </w:p>
    <w:p>
      <w:pPr>
        <w:pStyle w:val="TextBody"/>
        <w:spacing w:lineRule="auto" w:line="240" w:before="0" w:after="240"/>
        <w:ind w:left="0" w:right="0" w:firstLine="1440"/>
        <w:rPr/>
      </w:pPr>
      <w:r>
        <w:rPr>
          <w:rFonts w:ascii="Times New Roman;sans-serif" w:hAnsi="Times New Roman;sans-serif"/>
          <w:b w:val="false"/>
          <w:color w:val="000000"/>
          <w:sz w:val="22"/>
        </w:rPr>
        <w:t xml:space="preserve">(c)    Whenever, at any time after the Fronting Lender has received from any Foreign Currency Loan Participant its </w:t>
      </w:r>
      <w:r>
        <w:rPr>
          <w:rFonts w:ascii="Times New Roman;sans-serif" w:hAnsi="Times New Roman;sans-serif"/>
          <w:b w:val="false"/>
          <w:color w:val="000000"/>
          <w:sz w:val="22"/>
          <w:u w:val="single"/>
        </w:rPr>
        <w:t>pro</w:t>
      </w:r>
      <w:r>
        <w:rPr>
          <w:color w:val="000000"/>
        </w:rPr>
        <w:t xml:space="preserve"> </w:t>
      </w:r>
      <w:r>
        <w:rPr>
          <w:rFonts w:ascii="Times New Roman;sans-serif" w:hAnsi="Times New Roman;sans-serif"/>
          <w:b w:val="false"/>
          <w:color w:val="000000"/>
          <w:sz w:val="22"/>
          <w:u w:val="single"/>
        </w:rPr>
        <w:t>rata</w:t>
      </w:r>
      <w:r>
        <w:rPr>
          <w:color w:val="000000"/>
        </w:rPr>
        <w:t xml:space="preserve"> </w:t>
      </w:r>
      <w:r>
        <w:rPr>
          <w:rFonts w:ascii="Times New Roman;sans-serif" w:hAnsi="Times New Roman;sans-serif"/>
          <w:b w:val="false"/>
          <w:color w:val="000000"/>
          <w:sz w:val="22"/>
        </w:rPr>
        <w:t xml:space="preserve">share of such payment in accordance with subsection 2.24(a) in respect of any Fronted Foreign Currency Loan, the Fronting Lender receives any payment related to such Foreign Currency Loan (whether directly from a Borrower or otherwise, including proceeds of collateral applied thereto by the Fronting Lender or the Administrative Agent, on behalf of the Fronting Lender), or any payment of interest on account thereof, the Fronting Lender will, within three Business Days after receipt thereof, distribute to such Foreign Currency Loan Participant its </w:t>
      </w:r>
      <w:r>
        <w:rPr>
          <w:rFonts w:ascii="Times New Roman;sans-serif" w:hAnsi="Times New Roman;sans-serif"/>
          <w:b w:val="false"/>
          <w:color w:val="000000"/>
          <w:sz w:val="22"/>
          <w:u w:val="single"/>
        </w:rPr>
        <w:t>pro</w:t>
      </w:r>
      <w:r>
        <w:rPr>
          <w:color w:val="000000"/>
        </w:rPr>
        <w:t xml:space="preserve"> </w:t>
      </w:r>
      <w:r>
        <w:rPr>
          <w:rFonts w:ascii="Times New Roman;sans-serif" w:hAnsi="Times New Roman;sans-serif"/>
          <w:b w:val="false"/>
          <w:color w:val="000000"/>
          <w:sz w:val="22"/>
          <w:u w:val="single"/>
        </w:rPr>
        <w:t>rata</w:t>
      </w:r>
      <w:r>
        <w:rPr>
          <w:color w:val="000000"/>
        </w:rPr>
        <w:t xml:space="preserve"> </w:t>
      </w:r>
      <w:r>
        <w:rPr>
          <w:rFonts w:ascii="Times New Roman;sans-serif" w:hAnsi="Times New Roman;sans-serif"/>
          <w:b w:val="false"/>
          <w:color w:val="000000"/>
          <w:sz w:val="22"/>
        </w:rPr>
        <w:t xml:space="preserve">share thereof (and hereby directs the Administrative Agent to remit such </w:t>
      </w:r>
      <w:r>
        <w:rPr>
          <w:rFonts w:ascii="Times New Roman;sans-serif" w:hAnsi="Times New Roman;sans-serif"/>
          <w:b w:val="false"/>
          <w:color w:val="000000"/>
          <w:sz w:val="22"/>
          <w:u w:val="single"/>
        </w:rPr>
        <w:t>pro</w:t>
      </w:r>
      <w:r>
        <w:rPr>
          <w:color w:val="000000"/>
        </w:rPr>
        <w:t xml:space="preserve"> </w:t>
      </w:r>
      <w:r>
        <w:rPr>
          <w:rFonts w:ascii="Times New Roman;sans-serif" w:hAnsi="Times New Roman;sans-serif"/>
          <w:b w:val="false"/>
          <w:color w:val="000000"/>
          <w:sz w:val="22"/>
          <w:u w:val="single"/>
        </w:rPr>
        <w:t>rata</w:t>
      </w:r>
      <w:r>
        <w:rPr>
          <w:color w:val="000000"/>
        </w:rPr>
        <w:t xml:space="preserve"> </w:t>
      </w:r>
      <w:r>
        <w:rPr>
          <w:rFonts w:ascii="Times New Roman;sans-serif" w:hAnsi="Times New Roman;sans-serif"/>
          <w:b w:val="false"/>
          <w:color w:val="000000"/>
          <w:sz w:val="22"/>
        </w:rPr>
        <w:t xml:space="preserve">share to such Foreign Currency Loan Participant out of any such payment received by the Administrative Agent for the account of the Fronting Lender (it being understood that any such payment shall be made in dollars and the Fronting Lender or Administrative Agent, as applicable, shall convert any such amounts received by it in a currency other than dollars into the Dollar Equivalent thereof for purposes of such payment));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in the event that any such payment received by the Fronting Lender shall be required to be returned by the Fronting Lender, such Foreign Currency Loan Participant shall, within three Business Days, return to the Fronting Lender the portion thereof previously distributed by the Fronting Lender to it. If any amount required to be paid under this paragraph is paid within three Business Days after such payment is due, the Foreign Currency Loan Participant or Fronting Lender, as the case may be, which owes such amount shall pay to the Fronting Lender or Foreign Currency Loan Participant, as the case may be, to which such amount is owed, on demand, such amount with interest thereon at a rate equal to the greater of the daily average Overnight LIBO Rate and a rate determined by the Administrative Agent in accordance with banking industry rules on interbank compensation for the period until such Foreign Currency Loan Participant or the Fronting Lender, as the case may be, makes such amount immediately available to the Fronting Lender or Foreign Currency Loan Participant, as the case may be. If such amount is not made available to the Fronting Lender or Foreign Currency Loan Participant, as the case may be, by such Foreign Currency Loan Participant or Fronting Lender, as the case may be, within three Business Days of such due date, the Fronting Lender or Foreign Currency Participant, as the case may be, shall also be entitled to recover such amount with interest thereon at the rate per annum applicable to Eurocurrency Loans </w:t>
      </w:r>
      <w:r>
        <w:rPr>
          <w:rFonts w:ascii="Times New Roman;sans-serif" w:hAnsi="Times New Roman;sans-serif"/>
          <w:b w:val="false"/>
          <w:color w:val="0000FF"/>
          <w:sz w:val="22"/>
          <w:highlight w:val="lightGray"/>
          <w:u w:val="single"/>
        </w:rPr>
        <w:t>or RFR Loans, as applicable,</w:t>
      </w:r>
      <w:r>
        <w:rPr>
          <w:color w:val="000000"/>
        </w:rPr>
        <w:t xml:space="preserve"> </w:t>
      </w:r>
      <w:r>
        <w:rPr>
          <w:rFonts w:ascii="Times New Roman;sans-serif" w:hAnsi="Times New Roman;sans-serif"/>
          <w:b w:val="false"/>
          <w:color w:val="000000"/>
          <w:sz w:val="22"/>
        </w:rPr>
        <w:t>under the Revolving Facility, on demand.</w:t>
      </w:r>
    </w:p>
    <w:p>
      <w:pPr>
        <w:pStyle w:val="TextBody"/>
        <w:spacing w:lineRule="auto" w:line="240" w:before="0" w:after="240"/>
        <w:ind w:left="0" w:right="0" w:firstLine="1440"/>
        <w:rPr/>
      </w:pPr>
      <w:r>
        <w:rPr>
          <w:rFonts w:ascii="Times New Roman;sans-serif" w:hAnsi="Times New Roman;sans-serif"/>
          <w:b w:val="false"/>
          <w:color w:val="000000"/>
          <w:sz w:val="22"/>
        </w:rPr>
        <w:t xml:space="preserve">(d)    In the event that any Foreign Currency Loan shall be outstanding and (i) the principal of or interest on such Foreign Currency Loan shall not be paid (x) with respect to a payment due on a scheduled payment date, on such Business Day (with respect to principal) and within five Business Days after such date (with respect to interest) and (y) with respect to a payment due on any other date, within five Business Days after the Parent Borrower receives notice of such due date from the Administrative Agent or Required Lenders, and, in either case, the Fronting Lender shall deliver to the Administrative Agent and the Parent Borrower a request that the provisions of this Section 2.24(d) take effect with respect to such Foreign Currency Loan or (ii) the Commitments shall be terminated or the Loans accelerated pursuant to Article VII, then (unless such request is revoked by the Fronting Lender) (x) the obligations of the Parent Borrower and the Foreign Subsidiary Borrowers in respect of the principal of and interest on such Fronted Foreign Currency Loan shall without further action be converted into obligations denominated in dollars based upon the Exchange Rate in effect for the day on which such conversion occurs, as determined by the Administrative Agent in accordance with the terms hereof, (y) such converted obligations will bear interest at the rate applicable to overdue Eurocurrency Loans </w:t>
      </w:r>
      <w:r>
        <w:rPr>
          <w:rFonts w:ascii="Times New Roman;sans-serif" w:hAnsi="Times New Roman;sans-serif"/>
          <w:b w:val="false"/>
          <w:color w:val="0000FF"/>
          <w:sz w:val="22"/>
          <w:highlight w:val="lightGray"/>
          <w:u w:val="single"/>
        </w:rPr>
        <w:t>or RFR Loans, as applicable,</w:t>
      </w:r>
      <w:r>
        <w:rPr>
          <w:color w:val="000000"/>
        </w:rPr>
        <w:t xml:space="preserve"> </w:t>
      </w:r>
      <w:r>
        <w:rPr>
          <w:rFonts w:ascii="Times New Roman;sans-serif" w:hAnsi="Times New Roman;sans-serif"/>
          <w:b w:val="false"/>
          <w:color w:val="000000"/>
          <w:sz w:val="22"/>
        </w:rPr>
        <w:t xml:space="preserve">under the Revolving Facility and (z) each applicable Foreign Currency Loan Participant shall pay the purchase price for its Foreign Currency Participating Interest in such Foreign </w:t>
      </w:r>
      <w:r>
        <w:br w:type="page"/>
      </w:r>
    </w:p>
    <w:p>
      <w:pPr>
        <w:pStyle w:val="TextBody"/>
        <w:spacing w:before="0" w:after="0"/>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60655"/>
                <wp:effectExtent l="0" t="0" r="0" b="0"/>
                <wp:wrapNone/>
                <wp:docPr id="185" name="Frame18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-83-</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Currency Loan by wire transfer of immediately available funds in dollars to the Administrative Agent in the manner provided in Section 2.24(a) and (b) (and the Administrative Agent shall promptly wire the amounts so received to the Fronting Lender). Upon any event specified in clause (ii) above, the commitments of the Foreign Currency Lenders to make Foreign Currency Loans pursuant to Section 2.01(a) shall be permanently terminated. The obligations of the Revolving Lenders to acquire and pay for their Foreign Currency Participating Interests pursuant to this Section 2.24(d) shall be absolute and unconditional under any and all circumstances.</w:t>
      </w:r>
    </w:p>
    <w:p>
      <w:pPr>
        <w:pStyle w:val="TextBody"/>
        <w:spacing w:lineRule="auto" w:line="240" w:before="0" w:after="240"/>
        <w:ind w:left="0" w:right="0" w:firstLine="1440"/>
        <w:rPr/>
      </w:pPr>
      <w:r>
        <w:rPr>
          <w:rFonts w:ascii="Times New Roman;sans-serif" w:hAnsi="Times New Roman;sans-serif"/>
          <w:b w:val="false"/>
          <w:color w:val="000000"/>
          <w:sz w:val="22"/>
        </w:rPr>
        <w:t>SECTION 2.25    </w:t>
      </w:r>
      <w:r>
        <w:rPr>
          <w:rFonts w:ascii="Times New Roman;sans-serif" w:hAnsi="Times New Roman;sans-serif"/>
          <w:b w:val="false"/>
          <w:color w:val="000000"/>
          <w:sz w:val="22"/>
          <w:u w:val="single"/>
        </w:rPr>
        <w:t>Currency Fluctuations</w:t>
      </w:r>
      <w:r>
        <w:rPr>
          <w:rFonts w:ascii="Times New Roman;sans-serif" w:hAnsi="Times New Roman;sans-serif"/>
          <w:b w:val="false"/>
          <w:color w:val="000000"/>
          <w:sz w:val="22"/>
        </w:rPr>
        <w:t>.</w:t>
      </w:r>
    </w:p>
    <w:p>
      <w:pPr>
        <w:pStyle w:val="TextBody"/>
        <w:spacing w:lineRule="auto" w:line="240" w:before="0" w:after="240"/>
        <w:ind w:left="0" w:right="0" w:firstLine="1440"/>
        <w:rPr/>
      </w:pPr>
      <w:r>
        <w:rPr>
          <w:rFonts w:ascii="Times New Roman;sans-serif" w:hAnsi="Times New Roman;sans-serif"/>
          <w:b w:val="false"/>
          <w:color w:val="000000"/>
          <w:sz w:val="22"/>
        </w:rPr>
        <w:t xml:space="preserve">(a)    No later than 11:00 A.M. (London time) on each Calculation Date, the Administrative Agent shall determine the Exchange Rate as of such Calculation Date with respect to each applicable Foreign Currency,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upon receipt of a Borrowing Request pursuant to Section 2.03, the Administrative Agent shall determine the Exchange Rate with respect to the relevant Foreign Currency on the related Calculation Date (it being acknowledged and agreed that the Administrative Agent shall use such Exchange Rate for the purposes of determining compliance with Section 2.01(a) with respect to such Borrowing Request). The Exchange Rates so determined shall become effective on the relevant Calculation Date (a “</w:t>
      </w:r>
      <w:r>
        <w:rPr>
          <w:rFonts w:ascii="Times New Roman;sans-serif" w:hAnsi="Times New Roman;sans-serif"/>
          <w:b w:val="false"/>
          <w:color w:val="000000"/>
          <w:sz w:val="22"/>
          <w:u w:val="single"/>
        </w:rPr>
        <w:t>Reset Date</w:t>
      </w:r>
      <w:r>
        <w:rPr>
          <w:color w:val="000000"/>
        </w:rPr>
        <w:t>”</w:t>
      </w:r>
      <w:r>
        <w:rPr>
          <w:rFonts w:ascii="Times New Roman;sans-serif" w:hAnsi="Times New Roman;sans-serif"/>
          <w:b w:val="false"/>
          <w:color w:val="000000"/>
          <w:sz w:val="22"/>
        </w:rPr>
        <w:t>), shall remain effective until the next succeeding Reset Date and shall for all purposes of this Agreement (other than Section 10.14 and any other provision expressly requiring the use of a current Exchange Rate) be the Exchange Rates employed in converting any amounts between dollars and any Foreign Currency.</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(b)    No later than 11:00 A.M. (London time) on each Reset Date, the Administrative Agent shall determine the aggregate amount of the Dollar Equivalents of (i) the principal amounts of the Foreign Currency Loans then outstanding (after giving effect to any Foreign Currency Loans to be made or repaid on such date) and (ii) the total LC Exposure in currencies other than dollars at such time.</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(c)    The Administrative Agent shall promptly notify the Parent Borrower, any applicable Foreign Subsidiary Borrower and the Foreign Currency Lenders of each determination of an Exchange Rate hereunder.</w:t>
      </w:r>
    </w:p>
    <w:p>
      <w:pPr>
        <w:pStyle w:val="TextBody"/>
        <w:spacing w:lineRule="auto" w:line="240" w:before="0" w:after="240"/>
        <w:ind w:left="0" w:right="0" w:firstLine="1440"/>
        <w:rPr/>
      </w:pPr>
      <w:r>
        <w:rPr>
          <w:rFonts w:ascii="Times New Roman;sans-serif" w:hAnsi="Times New Roman;sans-serif"/>
          <w:b w:val="false"/>
          <w:color w:val="000000"/>
          <w:sz w:val="22"/>
        </w:rPr>
        <w:t>SECTION 2.26    </w:t>
      </w:r>
      <w:r>
        <w:rPr>
          <w:rFonts w:ascii="Times New Roman;sans-serif" w:hAnsi="Times New Roman;sans-serif"/>
          <w:b w:val="false"/>
          <w:color w:val="000000"/>
          <w:sz w:val="22"/>
          <w:u w:val="single"/>
        </w:rPr>
        <w:t>Illegality</w:t>
      </w:r>
      <w:r>
        <w:rPr>
          <w:rFonts w:ascii="Times New Roman;sans-serif" w:hAnsi="Times New Roman;sans-serif"/>
          <w:b w:val="false"/>
          <w:color w:val="000000"/>
          <w:sz w:val="22"/>
        </w:rPr>
        <w:t>. Notwithstanding any other provision herein, if any Change in Law shall make it unlawful for any Lender to issue, make, maintain, fund or charge interest with respect to any extension of credit to any Foreign Subsidiary Borrower or to give effect to its obligations as contemplated by this Agreement with respect to any extensions of credit to any Foreign Subsidiary Borrower, then, upon written notice by such Lender (each such Lender providing such notice, an “</w:t>
      </w:r>
      <w:r>
        <w:rPr>
          <w:rFonts w:ascii="Times New Roman;sans-serif" w:hAnsi="Times New Roman;sans-serif"/>
          <w:b w:val="false"/>
          <w:color w:val="000000"/>
          <w:sz w:val="22"/>
          <w:u w:val="single"/>
        </w:rPr>
        <w:t>Impacted Lender</w:t>
      </w:r>
      <w:r>
        <w:rPr>
          <w:color w:val="000000"/>
        </w:rPr>
        <w:t>”</w:t>
      </w:r>
      <w:r>
        <w:rPr>
          <w:rFonts w:ascii="Times New Roman;sans-serif" w:hAnsi="Times New Roman;sans-serif"/>
          <w:b w:val="false"/>
          <w:color w:val="000000"/>
          <w:sz w:val="22"/>
        </w:rPr>
        <w:t xml:space="preserve">) to the Parent Borrower and the Administrative Agent: </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(a)    the obligations of the Lenders hereunder to make extensions of credit to such Foreign Subsidiary Borrower shall forthwith be (x) suspended until each Impacted Lender notifies the Parent Borrower and the Administrative Agent in writing that it is no longer unlawful for such Impacted Lender to issue, make, maintain, fund or charge interest with respect to any extension of credit to such Foreign Subsidiary Borrower or (y) to the extent required by law, cancelled;</w:t>
      </w:r>
    </w:p>
    <w:p>
      <w:pPr>
        <w:pStyle w:val="TextBody"/>
        <w:spacing w:lineRule="auto" w:line="240" w:before="0" w:after="240"/>
        <w:ind w:left="0" w:right="0" w:firstLine="1440"/>
        <w:rPr/>
      </w:pPr>
      <w:r>
        <w:rPr>
          <w:rFonts w:ascii="Times New Roman;sans-serif" w:hAnsi="Times New Roman;sans-serif"/>
          <w:b w:val="false"/>
          <w:color w:val="000000"/>
          <w:sz w:val="22"/>
        </w:rPr>
        <w:t xml:space="preserve">(b)    if it shall be unlawful for any Impacted Lender to maintain or charge interest with respect to any outstanding Loan to such Foreign Subsidiary Borrower, such Foreign Subsidiary Borrower shall repay (or at its option and to the extent permitted by law, assign to the Parent Borrower) (x) all outstanding ABR Loans </w:t>
      </w:r>
      <w:r>
        <w:rPr>
          <w:rFonts w:ascii="Times New Roman;sans-serif" w:hAnsi="Times New Roman;sans-serif"/>
          <w:b w:val="false"/>
          <w:color w:val="0000FF"/>
          <w:sz w:val="22"/>
          <w:highlight w:val="lightGray"/>
          <w:u w:val="single"/>
        </w:rPr>
        <w:t>or RFR Loans</w:t>
      </w:r>
      <w:r>
        <w:rPr>
          <w:color w:val="000000"/>
        </w:rPr>
        <w:t xml:space="preserve"> </w:t>
      </w:r>
      <w:r>
        <w:rPr>
          <w:rFonts w:ascii="Times New Roman;sans-serif" w:hAnsi="Times New Roman;sans-serif"/>
          <w:b w:val="false"/>
          <w:color w:val="000000"/>
          <w:sz w:val="22"/>
        </w:rPr>
        <w:t>made to such Foreign Subsidiary Borrower within three Business Days or such earlier period as required by law and (y) all outstanding Eurocurrency Loans made to such Foreign Subsidiary Borrower on the last day of the then current Interest Periods with respect to such Eurocurrency Loans or within such earlier period as required by law; and</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(c)    if it shall be unlawful for any Impacted Lender to maintain, charge interest or hold any participation with respect to any Letter of Credit issued on behalf of such Foreign Subsidiary Borrower, such Foreign Subsidiary Borrower shall deposit in a cash collateral account opened by the Administrative Agent an amount equal to the LC Exposure with respect to such Letters of Credit within three Business Days or within such earlier period as required by law.</w:t>
      </w:r>
      <w:r>
        <w:br w:type="page"/>
      </w:r>
    </w:p>
    <w:p>
      <w:pPr>
        <w:pStyle w:val="TextBody"/>
        <w:spacing w:before="0" w:after="0"/>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60655"/>
                <wp:effectExtent l="0" t="0" r="0" b="0"/>
                <wp:wrapNone/>
                <wp:docPr id="186" name="Frame18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-84-</w:t>
                      </w:r>
                    </w:p>
                  </w:txbxContent>
                </v:textbox>
              </v:rect>
            </w:pict>
          </mc:Fallback>
        </mc:AlternateContent>
      </w:r>
    </w:p>
    <w:p>
      <w:pPr>
        <w:pStyle w:val="TextBody"/>
        <w:spacing w:lineRule="auto" w:line="240" w:before="0" w:after="240"/>
        <w:jc w:val="center"/>
        <w:rPr/>
      </w:pPr>
      <w:r>
        <w:rPr>
          <w:rFonts w:ascii="Times New Roman;sans-serif" w:hAnsi="Times New Roman;sans-serif"/>
          <w:b w:val="false"/>
          <w:color w:val="000000"/>
          <w:sz w:val="22"/>
        </w:rPr>
        <w:t>ARTICLE III</w:t>
      </w:r>
      <w:r>
        <w:rPr>
          <w:rFonts w:ascii="Times New Roman;sans-serif" w:hAnsi="Times New Roman;sans-serif"/>
          <w:b w:val="false"/>
          <w:color w:val="000000"/>
          <w:sz w:val="22"/>
          <w:u w:val="single"/>
        </w:rPr>
        <w:br/>
        <w:br/>
        <w:t>Representations and Warranties</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Each of Holdings, the Parent Borrower and each Foreign Subsidiary Borrower (as to itself only) represents and warrants to the Lenders that:</w:t>
      </w:r>
    </w:p>
    <w:p>
      <w:pPr>
        <w:pStyle w:val="TextBody"/>
        <w:spacing w:lineRule="auto" w:line="240" w:before="0" w:after="240"/>
        <w:ind w:left="0" w:right="0" w:firstLine="1440"/>
        <w:rPr/>
      </w:pPr>
      <w:r>
        <w:rPr>
          <w:rFonts w:ascii="Times New Roman;sans-serif" w:hAnsi="Times New Roman;sans-serif"/>
          <w:b w:val="false"/>
          <w:color w:val="000000"/>
          <w:sz w:val="22"/>
        </w:rPr>
        <w:t>SECTION 3.01    </w:t>
      </w:r>
      <w:r>
        <w:rPr>
          <w:rFonts w:ascii="Times New Roman;sans-serif" w:hAnsi="Times New Roman;sans-serif"/>
          <w:b w:val="false"/>
          <w:color w:val="000000"/>
          <w:sz w:val="22"/>
          <w:u w:val="single"/>
        </w:rPr>
        <w:t>Organization; Powers</w:t>
      </w:r>
      <w:r>
        <w:rPr>
          <w:rFonts w:ascii="Times New Roman;sans-serif" w:hAnsi="Times New Roman;sans-serif"/>
          <w:b w:val="false"/>
          <w:color w:val="000000"/>
          <w:sz w:val="22"/>
        </w:rPr>
        <w:t>. Each of Holdings, the Parent Borrower and its Subsidiaries (including the Receivables Subsidiary)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pStyle w:val="TextBody"/>
        <w:spacing w:lineRule="auto" w:line="240" w:before="0" w:after="240"/>
        <w:ind w:left="0" w:right="0" w:firstLine="1440"/>
        <w:rPr/>
      </w:pPr>
      <w:r>
        <w:rPr>
          <w:rFonts w:ascii="Times New Roman;sans-serif" w:hAnsi="Times New Roman;sans-serif"/>
          <w:b w:val="false"/>
          <w:color w:val="000000"/>
          <w:sz w:val="22"/>
        </w:rPr>
        <w:t>SECTION 3.02    </w:t>
      </w:r>
      <w:r>
        <w:rPr>
          <w:rFonts w:ascii="Times New Roman;sans-serif" w:hAnsi="Times New Roman;sans-serif"/>
          <w:b w:val="false"/>
          <w:color w:val="000000"/>
          <w:sz w:val="22"/>
          <w:u w:val="single"/>
        </w:rPr>
        <w:t>Authorization; Enforceability</w:t>
      </w:r>
      <w:r>
        <w:rPr>
          <w:rFonts w:ascii="Times New Roman;sans-serif" w:hAnsi="Times New Roman;sans-serif"/>
          <w:b w:val="false"/>
          <w:color w:val="000000"/>
          <w:sz w:val="22"/>
        </w:rPr>
        <w:t>. The Transactions to be entered into by each Loan Party are within such Loan Party’s powers and have been duly authorized by all necessary action. This Agreement has been duly executed and delivered by each of Holdings and the Parent Borrower and constitutes, and each other Loan Document to which any Loan Party is to be a party, when executed and delivered by such Loan Party, will constitute, a legal, valid and binding obligation of Holdings, the Parent Borrower or such Loan Party (as the case may be),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spacing w:lineRule="auto" w:line="240" w:before="0" w:after="240"/>
        <w:ind w:left="0" w:right="0" w:firstLine="1440"/>
        <w:rPr/>
      </w:pPr>
      <w:r>
        <w:rPr>
          <w:rFonts w:ascii="Times New Roman;sans-serif" w:hAnsi="Times New Roman;sans-serif"/>
          <w:b w:val="false"/>
          <w:color w:val="000000"/>
          <w:sz w:val="22"/>
        </w:rPr>
        <w:t>SECTION 3.03    </w:t>
      </w:r>
      <w:r>
        <w:rPr>
          <w:rFonts w:ascii="Times New Roman;sans-serif" w:hAnsi="Times New Roman;sans-serif"/>
          <w:b w:val="false"/>
          <w:color w:val="000000"/>
          <w:sz w:val="22"/>
          <w:u w:val="single"/>
        </w:rPr>
        <w:t>Governmental Approvals; No Conflicts</w:t>
      </w:r>
      <w:r>
        <w:rPr>
          <w:rFonts w:ascii="Times New Roman;sans-serif" w:hAnsi="Times New Roman;sans-serif"/>
          <w:b w:val="false"/>
          <w:color w:val="000000"/>
          <w:sz w:val="22"/>
        </w:rPr>
        <w:t>. The Transactions and the other transactions contemplated hereby (a) do not require any consent or approval of, registration or filing with, or any other action by, any Governmental Authority, except (i) such as have been obtained or made and are in full force and effect, (ii) filings necessary to perfect Liens created under the Loan Documents and (iii) consents, approvals, registrations, filings or actions the failure of which to obtain or perform could not reasonably be expected to result in a Material Adverse Effect, (b) will not violate any applicable law or regulation or the charter, by-laws or other organizational documents of Holdings, the Parent Borrower or any of its Subsidiaries (including the Receivables Subsidiary) or any order of any Governmental Authority, (c) will not violate or result in a default under any indenture, agreement or other instrument binding upon Holdings, the Parent Borrower or any of its Subsidiaries (including the Receivables Subsidiary) or their assets, or give rise to a right thereunder to require any payment to be made by Holdings, the Parent Borrower or any of its Subsidiaries (including the Receivables Subsidiary), except for violations, defaults or the creation of such rights that could not reasonably be expected to result in a Material Adverse Effect, and (d) will not result in the creation or imposition of any Lien on any asset of Holdings, the Parent Borrower or any of its Subsidiaries (including the Receivables Subsidiary), except Liens created under the Loan Documents and Liens permitted by Section 6.02.</w:t>
      </w:r>
    </w:p>
    <w:p>
      <w:pPr>
        <w:pStyle w:val="TextBody"/>
        <w:spacing w:lineRule="auto" w:line="240" w:before="0" w:after="240"/>
        <w:ind w:left="0" w:right="0" w:firstLine="1440"/>
        <w:rPr/>
      </w:pPr>
      <w:r>
        <w:rPr>
          <w:rFonts w:ascii="Times New Roman;sans-serif" w:hAnsi="Times New Roman;sans-serif"/>
          <w:b w:val="false"/>
          <w:color w:val="000000"/>
          <w:sz w:val="22"/>
        </w:rPr>
        <w:t>SECTION 3.04    </w:t>
      </w:r>
      <w:r>
        <w:rPr>
          <w:rFonts w:ascii="Times New Roman;sans-serif" w:hAnsi="Times New Roman;sans-serif"/>
          <w:b w:val="false"/>
          <w:color w:val="000000"/>
          <w:sz w:val="22"/>
          <w:u w:val="single"/>
        </w:rPr>
        <w:t>Financial Condition; No Material Adverse Change</w:t>
      </w:r>
      <w:r>
        <w:rPr>
          <w:rFonts w:ascii="Times New Roman;sans-serif" w:hAnsi="Times New Roman;sans-serif"/>
          <w:b w:val="false"/>
          <w:color w:val="000000"/>
          <w:sz w:val="22"/>
        </w:rPr>
        <w: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(a)    Holdings has heretofore furnished to the Lenders its consolidated balance sheet and statements of income, stockholders equity and cash flows as of and for the fiscal year ended December 31, 2020, reported on by Deloitte &amp; Touche LLP, independent public accountants, certified by its chief financial officer (it being understood that Holdings has furnished the foregoing to the Lenders by the filing with the Commission Holdings’ annual report on Form 10-K for the fiscal year ended December 31, 2020). Such financial statements present fairly, in all material respects, the financial position and results of operations and cash flows of Holdings and its consolidated Subsidiaries as of such dates and for such periods in accordance with GAAP.</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(b)    Except as disclosed in the financial statements referred to above or the notes thereto or in the Information Memorandum, except for the Disclosed Matters and except for liabilities arising as a result of the Transactions, after giving effect to the Transactions, none of Holdings, the Parent Borrower or the Subsidiaries (including the Receivables Subsidiary) has, as of the Second Restatement Date, any contingent liabilities that would be material to Holdings, the Parent Borrower and the Subsidiaries (including the Receivables Subsidiary), taken as a whole.</w:t>
      </w:r>
      <w:r>
        <w:br w:type="page"/>
      </w:r>
    </w:p>
    <w:p>
      <w:pPr>
        <w:pStyle w:val="TextBody"/>
        <w:spacing w:before="0" w:after="0"/>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60655"/>
                <wp:effectExtent l="0" t="0" r="0" b="0"/>
                <wp:wrapNone/>
                <wp:docPr id="187" name="Frame18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-85-</w:t>
                      </w:r>
                    </w:p>
                  </w:txbxContent>
                </v:textbox>
              </v:rect>
            </w:pict>
          </mc:Fallback>
        </mc:AlternateConten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(c)    Since December 31, 2020, there has been no event, change or occurrence that, individually or in the aggregate, has had or could reasonably be expected to result in a Material Adverse Effect.</w:t>
      </w:r>
    </w:p>
    <w:p>
      <w:pPr>
        <w:pStyle w:val="TextBody"/>
        <w:spacing w:lineRule="auto" w:line="240" w:before="0" w:after="240"/>
        <w:ind w:left="0" w:right="0" w:firstLine="1440"/>
        <w:rPr/>
      </w:pPr>
      <w:r>
        <w:rPr>
          <w:rFonts w:ascii="Times New Roman;sans-serif" w:hAnsi="Times New Roman;sans-serif"/>
          <w:b w:val="false"/>
          <w:color w:val="000000"/>
          <w:sz w:val="22"/>
        </w:rPr>
        <w:t>SECTION 3.05    </w:t>
      </w:r>
      <w:r>
        <w:rPr>
          <w:rFonts w:ascii="Times New Roman;sans-serif" w:hAnsi="Times New Roman;sans-serif"/>
          <w:b w:val="false"/>
          <w:color w:val="000000"/>
          <w:sz w:val="22"/>
          <w:u w:val="single"/>
        </w:rPr>
        <w:t>Properties</w:t>
      </w:r>
      <w:r>
        <w:rPr>
          <w:rFonts w:ascii="Times New Roman;sans-serif" w:hAnsi="Times New Roman;sans-serif"/>
          <w:b w:val="false"/>
          <w:color w:val="000000"/>
          <w:sz w:val="22"/>
        </w:rPr>
        <w: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(a)    Each of Holdings, the Parent Borrower and its Subsidiaries has good title to, or valid leasehold interests in, all its real and personal property material to its business (including its Mortgaged Properties), except for minor defects in title that do not interfere with its ability to conduct its business as currently conducted or to utilize such properties for their intended purposes.</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(b)    Each of Holdings, the Parent Borrower and its Subsidiaries owns, or is licensed to use, all trademarks, tradenames, copyrights, patents and other intellectual property material to its business, and the use thereof by Holdings, the Parent Borrower and its Subsidiaries does not infringe upon the rights of any other Person, except for any such infringements that, individually or in the aggregate, could not reasonably be expected to result in a Material Adverse Effect.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(c)    Schedule 3.05 sets forth the address of each real property that is owned or leased by Holdings, the Parent Borrower or any of its Subsidiaries as of the Second Restatement Date after giving effect to the Transactions.</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(d)    As of the Second Restatement Date, none of Holdings, the Parent Borrower or any of its Subsidiaries has received written notice of any pending or contemplated condemnation proceeding affecting any Mortgaged Property or any sale or disposition thereof in lieu of condemnation. Neither any Mortgaged Property nor any interest therein is subject to any right of first refusal, option or other contractual right to purchase such Mortgaged Property or interest therein.</w:t>
      </w:r>
    </w:p>
    <w:p>
      <w:pPr>
        <w:pStyle w:val="TextBody"/>
        <w:spacing w:lineRule="auto" w:line="240" w:before="0" w:after="240"/>
        <w:ind w:left="0" w:right="0" w:firstLine="1440"/>
        <w:rPr/>
      </w:pPr>
      <w:r>
        <w:rPr>
          <w:rFonts w:ascii="Times New Roman;sans-serif" w:hAnsi="Times New Roman;sans-serif"/>
          <w:b w:val="false"/>
          <w:color w:val="000000"/>
          <w:sz w:val="22"/>
        </w:rPr>
        <w:t>SECTION 3.06    </w:t>
      </w:r>
      <w:r>
        <w:rPr>
          <w:rFonts w:ascii="Times New Roman;sans-serif" w:hAnsi="Times New Roman;sans-serif"/>
          <w:b w:val="false"/>
          <w:color w:val="000000"/>
          <w:sz w:val="22"/>
          <w:u w:val="single"/>
        </w:rPr>
        <w:t>Litigation and Environmental Matters</w:t>
      </w:r>
      <w:r>
        <w:rPr>
          <w:rFonts w:ascii="Times New Roman;sans-serif" w:hAnsi="Times New Roman;sans-serif"/>
          <w:b w:val="false"/>
          <w:color w:val="000000"/>
          <w:sz w:val="22"/>
        </w:rPr>
        <w: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(a)    There are no actions, suits or proceedings by or before any arbitrator or Governmental Authority pending against or, to the knowledge of Holdings or the Parent Borrower, threatened against or affecting Holdings, the Parent Borrower or any of its Subsidiaries (including the Receivables Subsidiary) (i) as to which there is a reasonable possibility of an adverse determination and that, if adversely determined, could reasonably be expected, individually or in the aggregate, to result in a Material Adverse Effect (other than the Disclosed Matters) or (ii) that involve any of the Loan Documents or the Transactions.</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(b)    Except for the Disclosed Matters and except with respect to any other matters that, individually or in the aggregate, could not reasonably be expected to result in a Material Adverse Effect, none of Holdings, the Parent Borrower or any of its Subsidiaries (including the Receivables Subsidiary)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(c)    Since the Second Restatement Date, there has been no change in the status of the Disclosed Matters that, individually or in the aggregate, has resulted in, or materially increased the likelihood of, a Material Adverse Effect.</w:t>
      </w:r>
    </w:p>
    <w:p>
      <w:pPr>
        <w:pStyle w:val="TextBody"/>
        <w:spacing w:lineRule="auto" w:line="240" w:before="0" w:after="240"/>
        <w:ind w:left="0" w:right="0" w:firstLine="1440"/>
        <w:rPr/>
      </w:pPr>
      <w:r>
        <w:rPr>
          <w:rFonts w:ascii="Times New Roman;sans-serif" w:hAnsi="Times New Roman;sans-serif"/>
          <w:b w:val="false"/>
          <w:color w:val="000000"/>
          <w:sz w:val="22"/>
        </w:rPr>
        <w:t>SECTION 3.07    </w:t>
      </w:r>
      <w:r>
        <w:rPr>
          <w:rFonts w:ascii="Times New Roman;sans-serif" w:hAnsi="Times New Roman;sans-serif"/>
          <w:b w:val="false"/>
          <w:color w:val="000000"/>
          <w:sz w:val="22"/>
          <w:u w:val="single"/>
        </w:rPr>
        <w:t>Compliance with Laws and Agreements</w:t>
      </w:r>
      <w:r>
        <w:rPr>
          <w:rFonts w:ascii="Times New Roman;sans-serif" w:hAnsi="Times New Roman;sans-serif"/>
          <w:b w:val="false"/>
          <w:color w:val="000000"/>
          <w:sz w:val="22"/>
        </w:rPr>
        <w:t>. Each of Holdings, the Parent Borrower and its Subsidiaries (including the Receivables Subsidiary)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No Default has occurred and is continuing.</w:t>
      </w:r>
      <w:r>
        <w:br w:type="page"/>
      </w:r>
    </w:p>
    <w:p>
      <w:pPr>
        <w:pStyle w:val="TextBody"/>
        <w:spacing w:before="0" w:after="0"/>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60655"/>
                <wp:effectExtent l="0" t="0" r="0" b="0"/>
                <wp:wrapNone/>
                <wp:docPr id="188" name="Frame18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-86-</w:t>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00000"/>
          <w:sz w:val="22"/>
        </w:rPr>
        <w:t>SECTION 3.08    </w:t>
      </w:r>
      <w:r>
        <w:rPr>
          <w:rFonts w:ascii="Times New Roman;sans-serif" w:hAnsi="Times New Roman;sans-serif"/>
          <w:b w:val="false"/>
          <w:color w:val="000000"/>
          <w:sz w:val="22"/>
          <w:u w:val="single"/>
        </w:rPr>
        <w:t>Investment Company Status</w:t>
      </w:r>
      <w:r>
        <w:rPr>
          <w:rFonts w:ascii="Times New Roman;sans-serif" w:hAnsi="Times New Roman;sans-serif"/>
          <w:b w:val="false"/>
          <w:color w:val="000000"/>
          <w:sz w:val="22"/>
        </w:rPr>
        <w:t>. None of Holdings, the Parent Borrower or any of its Subsidiaries (including the Receivables Subsidiary) is an “investment company” as defined in, or subject to regulation under, the Investment Company Act of 1940.</w:t>
      </w:r>
    </w:p>
    <w:p>
      <w:pPr>
        <w:pStyle w:val="TextBody"/>
        <w:spacing w:lineRule="auto" w:line="240" w:before="0" w:after="240"/>
        <w:ind w:left="0" w:right="0" w:firstLine="1440"/>
        <w:rPr/>
      </w:pPr>
      <w:r>
        <w:rPr>
          <w:rFonts w:ascii="Times New Roman;sans-serif" w:hAnsi="Times New Roman;sans-serif"/>
          <w:b w:val="false"/>
          <w:color w:val="000000"/>
          <w:sz w:val="22"/>
        </w:rPr>
        <w:t>SECTION 3.09    </w:t>
      </w:r>
      <w:r>
        <w:rPr>
          <w:rFonts w:ascii="Times New Roman;sans-serif" w:hAnsi="Times New Roman;sans-serif"/>
          <w:b w:val="false"/>
          <w:color w:val="000000"/>
          <w:sz w:val="22"/>
          <w:u w:val="single"/>
        </w:rPr>
        <w:t>Taxes</w:t>
      </w:r>
      <w:r>
        <w:rPr>
          <w:rFonts w:ascii="Times New Roman;sans-serif" w:hAnsi="Times New Roman;sans-serif"/>
          <w:b w:val="false"/>
          <w:color w:val="000000"/>
          <w:sz w:val="22"/>
        </w:rPr>
        <w:t>. Each of Holdings, the Parent Borrower and its Subsidiaries (including the Receivables Subsidiary) has timely filed or caused to be filed all Tax returns and reports required to have been filed and has paid or caused to be paid all Taxes required to have been paid by it, except (a) any Taxes that are being contested in good faith by appropriate proceedings and for which Holdings, the Parent Borrower or such Subsidiary (including the Receivables Subsidiaries), as applicable, has set aside on its books adequate reserves or (b) to the extent that the failure to do so could not reasonably be expected to result in a Material Adverse Effect.</w:t>
      </w:r>
    </w:p>
    <w:p>
      <w:pPr>
        <w:pStyle w:val="TextBody"/>
        <w:spacing w:lineRule="auto" w:line="240" w:before="0" w:after="240"/>
        <w:ind w:left="0" w:right="0" w:firstLine="1440"/>
        <w:rPr/>
      </w:pPr>
      <w:r>
        <w:rPr>
          <w:rFonts w:ascii="Times New Roman;sans-serif" w:hAnsi="Times New Roman;sans-serif"/>
          <w:b w:val="false"/>
          <w:color w:val="000000"/>
          <w:sz w:val="22"/>
        </w:rPr>
        <w:t>SECTION 3.10    </w:t>
      </w:r>
      <w:r>
        <w:rPr>
          <w:rFonts w:ascii="Times New Roman;sans-serif" w:hAnsi="Times New Roman;sans-serif"/>
          <w:b w:val="false"/>
          <w:color w:val="000000"/>
          <w:sz w:val="22"/>
          <w:u w:val="single"/>
        </w:rPr>
        <w:t>ERISA</w:t>
      </w:r>
      <w:r>
        <w:rPr>
          <w:rFonts w:ascii="Times New Roman;sans-serif" w:hAnsi="Times New Roman;sans-serif"/>
          <w:b w:val="false"/>
          <w:color w:val="000000"/>
          <w:sz w:val="22"/>
        </w:rPr>
        <w:t>. No ERISA Event has occurred or is reasonably expected to occur that, when taken together with all other such ERISA Events for which liability is reasonably expected to occur, could reasonably be expected to result in a Material Adverse Effect. As of the Second Restatement Date, the present value of all accumulated benefit obligations of all underfunded Plans (based on the assumptions used for purposes of the Financial Accounting Standards Board Accounting Standards Codification Topic No. 715-30) did not, as of the date of the most recent financial statements reflecting such amounts, exceed by more than $20,000,000 the fair market value of the assets of all such underfunded Plans.</w:t>
      </w:r>
    </w:p>
    <w:p>
      <w:pPr>
        <w:pStyle w:val="TextBody"/>
        <w:spacing w:lineRule="auto" w:line="240" w:before="0" w:after="240"/>
        <w:ind w:left="0" w:right="0" w:firstLine="1440"/>
        <w:rPr/>
      </w:pPr>
      <w:r>
        <w:rPr>
          <w:rFonts w:ascii="Times New Roman;sans-serif" w:hAnsi="Times New Roman;sans-serif"/>
          <w:b w:val="false"/>
          <w:color w:val="000000"/>
          <w:sz w:val="22"/>
        </w:rPr>
        <w:t>SECTION 3.11    </w:t>
      </w:r>
      <w:r>
        <w:rPr>
          <w:rFonts w:ascii="Times New Roman;sans-serif" w:hAnsi="Times New Roman;sans-serif"/>
          <w:b w:val="false"/>
          <w:color w:val="000000"/>
          <w:sz w:val="22"/>
          <w:u w:val="single"/>
        </w:rPr>
        <w:t>Disclosure</w:t>
      </w:r>
      <w:r>
        <w:rPr>
          <w:rFonts w:ascii="Times New Roman;sans-serif" w:hAnsi="Times New Roman;sans-serif"/>
          <w:b w:val="false"/>
          <w:color w:val="000000"/>
          <w:sz w:val="22"/>
        </w:rPr>
        <w:t xml:space="preserve">. </w:t>
      </w:r>
    </w:p>
    <w:p>
      <w:pPr>
        <w:pStyle w:val="TextBody"/>
        <w:spacing w:lineRule="auto" w:line="240" w:before="0" w:after="240"/>
        <w:ind w:left="0" w:right="0" w:firstLine="1440"/>
        <w:rPr/>
      </w:pPr>
      <w:r>
        <w:rPr>
          <w:rFonts w:ascii="Times New Roman;sans-serif" w:hAnsi="Times New Roman;sans-serif"/>
          <w:b w:val="false"/>
          <w:color w:val="000000"/>
          <w:sz w:val="22"/>
        </w:rPr>
        <w:t xml:space="preserve">(a)    Each of Holdings and the Parent Borrower has disclosed to the Lenders all agreements, instruments and corporate or other restrictions to which Holdings, the Parent Borrower or any of its Subsidiaries (including the Receivables Subsidiary) is subject, and all other matters known to any of them, that, individually or in the aggregate, could reasonably be expected to result in a Material Adverse Effect. Neither the Information Memorandum nor any of the other reports, financial statements, certificates or other information furnished by or on behalf of any Loan Party to the Administrative Agent or any Lender in connection with the negotiation of this Agreement or any other Loan Document or delivered hereunder or thereunder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with respect to projected financial information, Holdings and the Parent Borrower represent only that such information was prepared in good faith based upon assumptions believed to be reasonable at the time such projections were prepared.</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(b)    [Reserved].</w:t>
      </w:r>
    </w:p>
    <w:p>
      <w:pPr>
        <w:pStyle w:val="TextBody"/>
        <w:spacing w:lineRule="auto" w:line="240" w:before="0" w:after="240"/>
        <w:ind w:left="0" w:right="0" w:firstLine="1440"/>
        <w:rPr/>
      </w:pPr>
      <w:r>
        <w:rPr>
          <w:rFonts w:ascii="Times New Roman;sans-serif" w:hAnsi="Times New Roman;sans-serif"/>
          <w:b w:val="false"/>
          <w:color w:val="000000"/>
          <w:sz w:val="22"/>
        </w:rPr>
        <w:t>SECTION 3.12    </w:t>
      </w:r>
      <w:r>
        <w:rPr>
          <w:rFonts w:ascii="Times New Roman;sans-serif" w:hAnsi="Times New Roman;sans-serif"/>
          <w:b w:val="false"/>
          <w:color w:val="000000"/>
          <w:sz w:val="22"/>
          <w:u w:val="single"/>
        </w:rPr>
        <w:t>Subsidiaries</w:t>
      </w:r>
      <w:r>
        <w:rPr>
          <w:rFonts w:ascii="Times New Roman;sans-serif" w:hAnsi="Times New Roman;sans-serif"/>
          <w:b w:val="false"/>
          <w:color w:val="000000"/>
          <w:sz w:val="22"/>
        </w:rPr>
        <w:t>. Holdings does not have any subsidiaries other than the Parent Borrower and the Parent Borrower’s Subsidiaries. Schedule 3.12 sets forth the name of, and the ownership interest of the Parent Borrower in, each Subsidiary of the Parent Borrower and identifies each Subsidiary that is a Subsidiary Loan Party, in each case as of the Second Restatement Date.</w:t>
      </w:r>
    </w:p>
    <w:p>
      <w:pPr>
        <w:pStyle w:val="TextBody"/>
        <w:spacing w:lineRule="auto" w:line="240" w:before="0" w:after="240"/>
        <w:ind w:left="0" w:right="0" w:firstLine="1440"/>
        <w:rPr/>
      </w:pPr>
      <w:r>
        <w:rPr>
          <w:rFonts w:ascii="Times New Roman;sans-serif" w:hAnsi="Times New Roman;sans-serif"/>
          <w:b w:val="false"/>
          <w:color w:val="000000"/>
          <w:sz w:val="22"/>
        </w:rPr>
        <w:t>SECTION 3.13    </w:t>
      </w:r>
      <w:r>
        <w:rPr>
          <w:rFonts w:ascii="Times New Roman;sans-serif" w:hAnsi="Times New Roman;sans-serif"/>
          <w:b w:val="false"/>
          <w:color w:val="000000"/>
          <w:sz w:val="22"/>
          <w:u w:val="single"/>
        </w:rPr>
        <w:t>Insurance</w:t>
      </w:r>
      <w:r>
        <w:rPr>
          <w:rFonts w:ascii="Times New Roman;sans-serif" w:hAnsi="Times New Roman;sans-serif"/>
          <w:b w:val="false"/>
          <w:color w:val="000000"/>
          <w:sz w:val="22"/>
        </w:rPr>
        <w:t>. Schedule 3.13 sets forth a description of all material insurance policies maintained by or on behalf of Holdings, the Parent Borrower and the Subsidiaries as of the Second Restatement Date. As of the Second Restatement Date, all premiums due in respect of such insurance have been paid.</w:t>
      </w:r>
    </w:p>
    <w:p>
      <w:pPr>
        <w:pStyle w:val="TextBody"/>
        <w:spacing w:lineRule="auto" w:line="240" w:before="0" w:after="240"/>
        <w:ind w:left="0" w:right="0" w:firstLine="1440"/>
        <w:rPr/>
      </w:pPr>
      <w:r>
        <w:rPr>
          <w:rFonts w:ascii="Times New Roman;sans-serif" w:hAnsi="Times New Roman;sans-serif"/>
          <w:b w:val="false"/>
          <w:color w:val="000000"/>
          <w:sz w:val="22"/>
        </w:rPr>
        <w:t>SECTION 3.14    </w:t>
      </w:r>
      <w:r>
        <w:rPr>
          <w:rFonts w:ascii="Times New Roman;sans-serif" w:hAnsi="Times New Roman;sans-serif"/>
          <w:b w:val="false"/>
          <w:color w:val="000000"/>
          <w:sz w:val="22"/>
          <w:u w:val="single"/>
        </w:rPr>
        <w:t>Labor Matters</w:t>
      </w:r>
      <w:r>
        <w:rPr>
          <w:rFonts w:ascii="Times New Roman;sans-serif" w:hAnsi="Times New Roman;sans-serif"/>
          <w:b w:val="false"/>
          <w:color w:val="000000"/>
          <w:sz w:val="22"/>
        </w:rPr>
        <w:t xml:space="preserve">. As of the Second Restatement Date, there are no strikes, lockouts or slowdowns against Holdings, the Parent Borrower or any Subsidiary pending or, to the knowledge of Holdings or the Parent Borrower, threatened that could reasonably be expected to have a Material Adverse Effect. All payments due from Holdings, the Parent Borrower or any Subsidiary, or for which any claim may be made against Holdings, the Parent Borrower or any Subsidiary, on account of wages and employee health and welfare insurance and other benefits, have been paid or accrued as a liability on the books of Holdings, the Parent Borrower or such Subsidiary except for those which, individually or in the aggregate, would not reasonably be expected to have a Material Adverse Effect. The consummation of the Transactions will not give rise to any right of termination or right of </w:t>
      </w:r>
      <w:r>
        <w:br w:type="page"/>
      </w:r>
    </w:p>
    <w:p>
      <w:pPr>
        <w:pStyle w:val="TextBody"/>
        <w:spacing w:before="0" w:after="0"/>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60655"/>
                <wp:effectExtent l="0" t="0" r="0" b="0"/>
                <wp:wrapNone/>
                <wp:docPr id="189" name="Frame18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-87-</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renegotiation on the part of any union under any collective bargaining agreement to which Holdings, the Parent Borrower or any Subsidiary is bound.</w:t>
      </w:r>
    </w:p>
    <w:p>
      <w:pPr>
        <w:pStyle w:val="TextBody"/>
        <w:spacing w:lineRule="auto" w:line="240" w:before="0" w:after="240"/>
        <w:ind w:left="0" w:right="0" w:firstLine="1440"/>
        <w:rPr/>
      </w:pPr>
      <w:r>
        <w:rPr>
          <w:rFonts w:ascii="Times New Roman;sans-serif" w:hAnsi="Times New Roman;sans-serif"/>
          <w:b w:val="false"/>
          <w:color w:val="000000"/>
          <w:sz w:val="22"/>
        </w:rPr>
        <w:t>SECTION 3.15    </w:t>
      </w:r>
      <w:r>
        <w:rPr>
          <w:rFonts w:ascii="Times New Roman;sans-serif" w:hAnsi="Times New Roman;sans-serif"/>
          <w:b w:val="false"/>
          <w:color w:val="000000"/>
          <w:sz w:val="22"/>
          <w:u w:val="single"/>
        </w:rPr>
        <w:t>Solvency</w:t>
      </w:r>
      <w:r>
        <w:rPr>
          <w:rFonts w:ascii="Times New Roman;sans-serif" w:hAnsi="Times New Roman;sans-serif"/>
          <w:b w:val="false"/>
          <w:color w:val="000000"/>
          <w:sz w:val="22"/>
        </w:rPr>
        <w:t>. Immediately after the consummation of the Transactions to occur on the Second Restatement Date and immediately following the making of each Loan made on the Second Restatement Date and after giving effect to the application of the proceeds of such Loans, (a) the fair value of the assets of each Loan Party, at a fair valuation, will exceed its debts and liabilities, subordinated, contingent or otherwise, (b) the present fair saleable value of the property of each Loan Party will be greater than the amount that will be required to pay the probable liability of its debts and other liabilities, subordinated, contingent or otherwise, as such debts and other liabilities become absolute and matured, (c) each Loan Party will be able to pay its debts and liabilities, subordinated, contingent or otherwise, as such debts and liabilities become absolute and matured and (d) the Loan Parties, on a consolidated basis, will not have unreasonably small capital with which to conduct the business in which it is engaged as such business is now conducted and is proposed to be conducted following the Second Restatement Date.</w:t>
      </w:r>
    </w:p>
    <w:p>
      <w:pPr>
        <w:pStyle w:val="TextBody"/>
        <w:spacing w:lineRule="auto" w:line="240" w:before="0" w:after="240"/>
        <w:ind w:left="0" w:right="0" w:firstLine="1440"/>
        <w:rPr/>
      </w:pPr>
      <w:r>
        <w:rPr>
          <w:rFonts w:ascii="Times New Roman;sans-serif" w:hAnsi="Times New Roman;sans-serif"/>
          <w:b w:val="false"/>
          <w:color w:val="000000"/>
          <w:sz w:val="22"/>
        </w:rPr>
        <w:t>SECTION 3.16    </w:t>
      </w:r>
      <w:r>
        <w:rPr>
          <w:rFonts w:ascii="Times New Roman;sans-serif" w:hAnsi="Times New Roman;sans-serif"/>
          <w:b w:val="false"/>
          <w:color w:val="000000"/>
          <w:sz w:val="22"/>
          <w:u w:val="single"/>
        </w:rPr>
        <w:t>Senior Indebtedness</w:t>
      </w:r>
      <w:r>
        <w:rPr>
          <w:rFonts w:ascii="Times New Roman;sans-serif" w:hAnsi="Times New Roman;sans-serif"/>
          <w:b w:val="false"/>
          <w:color w:val="000000"/>
          <w:sz w:val="22"/>
        </w:rPr>
        <w:t>. The Obligations constitute “Senior Indebtedness” under the terms of any Indebtedness that is subordinated in right of payment to the Obligations.</w:t>
      </w:r>
    </w:p>
    <w:p>
      <w:pPr>
        <w:pStyle w:val="TextBody"/>
        <w:spacing w:lineRule="auto" w:line="240" w:before="0" w:after="240"/>
        <w:ind w:left="0" w:right="0" w:firstLine="1440"/>
        <w:rPr/>
      </w:pPr>
      <w:r>
        <w:rPr>
          <w:rFonts w:ascii="Times New Roman;sans-serif" w:hAnsi="Times New Roman;sans-serif"/>
          <w:b w:val="false"/>
          <w:color w:val="000000"/>
          <w:sz w:val="22"/>
        </w:rPr>
        <w:t>SECTION 3.17    </w:t>
      </w:r>
      <w:r>
        <w:rPr>
          <w:rFonts w:ascii="Times New Roman;sans-serif" w:hAnsi="Times New Roman;sans-serif"/>
          <w:b w:val="false"/>
          <w:color w:val="000000"/>
          <w:sz w:val="22"/>
          <w:u w:val="single"/>
        </w:rPr>
        <w:t>Security Documents</w:t>
      </w:r>
      <w:r>
        <w:rPr>
          <w:rFonts w:ascii="Times New Roman;sans-serif" w:hAnsi="Times New Roman;sans-serif"/>
          <w:b w:val="false"/>
          <w:color w:val="000000"/>
          <w:sz w:val="22"/>
        </w:rPr>
        <w: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(a)    The Pledge Agreement is effective to create in favor of the Collateral Agent, for the benefit of the Secured Parties, a legal, valid and enforceable security interest in the Collateral (as defined in the Pledge Agreement) and, when such Collateral is delivered to the Collateral Agent and for so long as the Collateral Agent remains in possession of such Collateral, the security interest created by the Pledge Agreement shall constitute a perfected first priority security interest in all right, title and interest of the pledgor thereunder in such Collateral, in each case prior and superior in right to any other Person.</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(b)    The Security Agreement is effective to create in favor of the Collateral Agent, for the benefit of the Secured Parties, a legal, valid and enforceable security interest in the Collateral (as defined in the Security Agreement) and, when financing statements in appropriate form are filed in the offices specified on Schedule 6 to the Perfection Certificate, the security interest created by the Security Agreement shall constitute a perfected security interest in all right, title and interest of the grantors thereunder in such Collateral (other than the Intellectual Property (as defined in the Security Agreement)), in each case prior and superior in right to any other Person, other than with respect to Liens permitted by Section 6.02.</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(c)    When the Security Agreement (or a summary thereof) is filed in the United States Patent and Trademark Office and the United States Copyright Office and the financing statements referred to in Section 3.17(b) above are appropriately filed, the security interest created by the Security Agreement shall constitute a perfected security interest in all right, title and interest of the grantors thereunder in the Intellectual Property (as defined in the Security Agreement) in which a security interest may be perfected by filing, recording or registering a security agreement, financing statement or analogous document in the United States Patent and Trademark Office or the United States Copyright Office, as applicable, in each case prior and superior in right to any other Person (it being understood that subsequent recordings in the United States Patent and Trademark Office and the United States Copyright Office and subsequent UCC filings may be necessary to perfect a lien on registered trademarks, trademark applications and copyrights acquired by the Loan Parties after the Closing Date), other than with respect to Liens permitted by Section 6.02.</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(d)    Each Mortgage, upon execution and delivery thereof by the parties thereto, is effective to create, subject to the exceptions listed in each title insurance policy covering such Mortgage, in favor of the Collateral Agent, for the benefit of the Secured Parties, a legal, valid and enforceable Lien on all of the applicable mortgagor’s right, title and interest in and to the Mortgaged Properties thereunder and the proceeds thereof, and when the Mortgages are filed in the appropriate offices, the Lien created by each Mortgage shall constitute a perfected Lien on all right, title and interest of the applicable mortgagor </w:t>
      </w:r>
      <w:r>
        <w:br w:type="page"/>
      </w:r>
    </w:p>
    <w:p>
      <w:pPr>
        <w:pStyle w:val="TextBody"/>
        <w:spacing w:before="0" w:after="0"/>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60655"/>
                <wp:effectExtent l="0" t="0" r="0" b="0"/>
                <wp:wrapNone/>
                <wp:docPr id="190" name="Frame18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-88-</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in such Mortgaged Properties and the proceeds thereof, in each case prior and superior in right to any other Person, other than with respect to the rights of Persons pursuant to Liens permitted by Section 6.02.</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(e)    Following the execution of any Foreign Security Document pursuant to Section 4.03, each Foreign Security Document shall be effective to create in favor of the Collateral Agent, for the benefit of the Secured Parties, a legal, valid and enforceable security interest in the applicable collateral covered by such Foreign Security Document, and when the actions specified in such Foreign Security Document, if any, are completed, the security interest created by such Foreign Security Document shall constitute a perfected security interest in all right, title and interest of the grantors thereunder in such collateral to the full extent possible under the laws of the applicable foreign jurisdiction, in each case prior and superior in right to any other Person, other than with respect to Liens permitted by Section 6.02.</w:t>
      </w:r>
    </w:p>
    <w:p>
      <w:pPr>
        <w:pStyle w:val="TextBody"/>
        <w:spacing w:lineRule="auto" w:line="240" w:before="0" w:after="240"/>
        <w:ind w:left="0" w:right="0" w:firstLine="1440"/>
        <w:rPr/>
      </w:pPr>
      <w:r>
        <w:rPr>
          <w:rFonts w:ascii="Times New Roman;sans-serif" w:hAnsi="Times New Roman;sans-serif"/>
          <w:b w:val="false"/>
          <w:color w:val="000000"/>
          <w:sz w:val="22"/>
        </w:rPr>
        <w:t>SECTION 3.18    </w:t>
      </w:r>
      <w:r>
        <w:rPr>
          <w:rFonts w:ascii="Times New Roman;sans-serif" w:hAnsi="Times New Roman;sans-serif"/>
          <w:b w:val="false"/>
          <w:color w:val="000000"/>
          <w:sz w:val="22"/>
          <w:u w:val="single"/>
        </w:rPr>
        <w:t>Federal Reserve Regulations</w:t>
      </w:r>
      <w:r>
        <w:rPr>
          <w:rFonts w:ascii="Times New Roman;sans-serif" w:hAnsi="Times New Roman;sans-serif"/>
          <w:b w:val="false"/>
          <w:color w:val="000000"/>
          <w:sz w:val="22"/>
        </w:rPr>
        <w: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(a)    None of Holdings, the Parent Borrower or any of the Subsidiaries (including the Receivables Subsidiary) is engaged principally, or as one of its important activities, in the business of extending credit for the purpose of buying or carrying Margin Stock.</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(b)    No part of the proceeds of any Loan or any Letter of Credit will be used, whether directly or indirectly, and whether immediately, incidentally or ultimately, for any purpose that entails a violation of the provisions of the Regulations of the Board, including Regulation U or X.</w:t>
      </w:r>
    </w:p>
    <w:p>
      <w:pPr>
        <w:pStyle w:val="TextBody"/>
        <w:spacing w:lineRule="auto" w:line="240" w:before="0" w:after="240"/>
        <w:ind w:left="0" w:right="0" w:firstLine="1440"/>
        <w:rPr/>
      </w:pPr>
      <w:r>
        <w:rPr>
          <w:rFonts w:ascii="Times New Roman;sans-serif" w:hAnsi="Times New Roman;sans-serif"/>
          <w:b w:val="false"/>
          <w:color w:val="000000"/>
          <w:sz w:val="22"/>
        </w:rPr>
        <w:t>SECTION 3.19    </w:t>
      </w:r>
      <w:r>
        <w:rPr>
          <w:rFonts w:ascii="Times New Roman;sans-serif" w:hAnsi="Times New Roman;sans-serif"/>
          <w:b w:val="false"/>
          <w:color w:val="000000"/>
          <w:sz w:val="22"/>
          <w:u w:val="single"/>
        </w:rPr>
        <w:t>Anti-Corruption Laws and Sanctions</w:t>
      </w:r>
      <w:r>
        <w:rPr>
          <w:rFonts w:ascii="Times New Roman;sans-serif" w:hAnsi="Times New Roman;sans-serif"/>
          <w:b w:val="false"/>
          <w:color w:val="000000"/>
          <w:sz w:val="22"/>
        </w:rPr>
        <w:t>. The Parent Borrower has implemented and maintains in effect policies and procedures designed to ensure compliance by Holdings, the Parent Borrower, its Subsidiaries and their respective directors, officers, employees and agents with Anti-Corruption Laws and applicable Sanctions, and Holdings, the Parent Borrower, its Subsidiaries and their respective officers and directors and to the knowledge of the Parent Borrower its employees and agents, are in compliance with Anti-Corruption Laws and applicable Sanctions in all material respects. None of (a) Holdings, the Parent Borrower, any Subsidiary or any of their respective directors, officers or employees, or (b) to the knowledge of the Parent Borrower, any agent of Holdings, the Parent Borrower or any Subsidiary that will act in any capacity in connection with or benefit from the credit facility established hereby, is a Sanctioned Person. No Borrowing or Letter of Credit, use of proceeds or other transaction contemplated by the Credit Agreement will violate Anti-Corruption Laws or applicable Sanctions.</w:t>
      </w:r>
    </w:p>
    <w:p>
      <w:pPr>
        <w:pStyle w:val="TextBody"/>
        <w:spacing w:lineRule="auto" w:line="240" w:before="0" w:after="240"/>
        <w:ind w:left="0" w:right="0" w:firstLine="1440"/>
        <w:rPr/>
      </w:pPr>
      <w:r>
        <w:rPr>
          <w:rFonts w:ascii="Times New Roman;sans-serif" w:hAnsi="Times New Roman;sans-serif"/>
          <w:b w:val="false"/>
          <w:color w:val="000000"/>
          <w:sz w:val="22"/>
        </w:rPr>
        <w:t>SECTION 3.20    </w:t>
      </w:r>
      <w:r>
        <w:rPr>
          <w:rFonts w:ascii="Times New Roman;sans-serif" w:hAnsi="Times New Roman;sans-serif"/>
          <w:b w:val="false"/>
          <w:color w:val="000000"/>
          <w:sz w:val="22"/>
          <w:u w:val="single"/>
        </w:rPr>
        <w:t>Affected Financial Institutions</w:t>
      </w:r>
      <w:r>
        <w:rPr>
          <w:rFonts w:ascii="Times New Roman;sans-serif" w:hAnsi="Times New Roman;sans-serif"/>
          <w:b w:val="false"/>
          <w:color w:val="000000"/>
          <w:sz w:val="22"/>
        </w:rPr>
        <w:t xml:space="preserve">. No Loan Party is an Affected Financial Institution. </w:t>
      </w:r>
    </w:p>
    <w:p>
      <w:pPr>
        <w:pStyle w:val="TextBody"/>
        <w:spacing w:lineRule="auto" w:line="240" w:before="0" w:after="240"/>
        <w:ind w:left="0" w:right="0" w:firstLine="1440"/>
        <w:rPr/>
      </w:pPr>
      <w:r>
        <w:rPr>
          <w:rFonts w:ascii="Times New Roman;sans-serif" w:hAnsi="Times New Roman;sans-serif"/>
          <w:b w:val="false"/>
          <w:color w:val="000000"/>
          <w:sz w:val="22"/>
        </w:rPr>
        <w:t>SECTION 3.21    </w:t>
      </w:r>
      <w:r>
        <w:rPr>
          <w:rFonts w:ascii="Times New Roman;sans-serif" w:hAnsi="Times New Roman;sans-serif"/>
          <w:b w:val="false"/>
          <w:color w:val="000000"/>
          <w:sz w:val="22"/>
          <w:u w:val="single"/>
        </w:rPr>
        <w:t>Persons of Significant Control</w:t>
      </w:r>
      <w:r>
        <w:rPr>
          <w:rFonts w:ascii="Times New Roman;sans-serif" w:hAnsi="Times New Roman;sans-serif"/>
          <w:b w:val="false"/>
          <w:color w:val="000000"/>
          <w:sz w:val="22"/>
        </w:rPr>
        <w:t>. In respect of any shares of a Person incorporated in England and Wales over which security or Collateral under the Security Documents is created, or purported to be created, pursuant to any Security Documents (the “</w:t>
      </w:r>
      <w:r>
        <w:rPr>
          <w:rFonts w:ascii="Times New Roman;sans-serif" w:hAnsi="Times New Roman;sans-serif"/>
          <w:b w:val="false"/>
          <w:color w:val="000000"/>
          <w:sz w:val="22"/>
          <w:u w:val="single"/>
        </w:rPr>
        <w:t>Secured English Shares</w:t>
      </w:r>
      <w:r>
        <w:rPr>
          <w:color w:val="000000"/>
        </w:rPr>
        <w:t>”</w:t>
      </w:r>
      <w:r>
        <w:rPr>
          <w:rFonts w:ascii="Times New Roman;sans-serif" w:hAnsi="Times New Roman;sans-serif"/>
          <w:b w:val="false"/>
          <w:color w:val="000000"/>
          <w:sz w:val="22"/>
        </w:rPr>
        <w:t>): (a) no “warning notice” as defined in paragraph 1 of Schedule 1B of the Companies Act 2006 (a “</w:t>
      </w:r>
      <w:r>
        <w:rPr>
          <w:rFonts w:ascii="Times New Roman;sans-serif" w:hAnsi="Times New Roman;sans-serif"/>
          <w:b w:val="false"/>
          <w:color w:val="000000"/>
          <w:sz w:val="22"/>
          <w:u w:val="single"/>
        </w:rPr>
        <w:t>Warning Notice</w:t>
      </w:r>
      <w:r>
        <w:rPr>
          <w:color w:val="000000"/>
        </w:rPr>
        <w:t>”</w:t>
      </w:r>
      <w:r>
        <w:rPr>
          <w:rFonts w:ascii="Times New Roman;sans-serif" w:hAnsi="Times New Roman;sans-serif"/>
          <w:b w:val="false"/>
          <w:color w:val="000000"/>
          <w:sz w:val="22"/>
        </w:rPr>
        <w:t>) and no “restrictions notice” as defined in paragraph 1 of Schedule 1B of the Companies Act 2006 (a “</w:t>
      </w:r>
      <w:r>
        <w:rPr>
          <w:rFonts w:ascii="Times New Roman;sans-serif" w:hAnsi="Times New Roman;sans-serif"/>
          <w:b w:val="false"/>
          <w:color w:val="000000"/>
          <w:sz w:val="22"/>
          <w:u w:val="single"/>
        </w:rPr>
        <w:t>Restrictions Notice</w:t>
      </w:r>
      <w:r>
        <w:rPr>
          <w:color w:val="000000"/>
        </w:rPr>
        <w:t>”</w:t>
      </w:r>
      <w:r>
        <w:rPr>
          <w:rFonts w:ascii="Times New Roman;sans-serif" w:hAnsi="Times New Roman;sans-serif"/>
          <w:b w:val="false"/>
          <w:color w:val="000000"/>
          <w:sz w:val="22"/>
        </w:rPr>
        <w:t xml:space="preserve">) pursuant to Part 21A of the Companies Act 2006 has been issued to a Loan Party in respect of any Secured English Shares; and (b) each Loan Party has complied with any Warning Notices or Restrictions Notices pursuant to Part 21A of the Companies Act 2006 issued to it in respect of any Secured English Shares. </w:t>
      </w:r>
    </w:p>
    <w:p>
      <w:pPr>
        <w:pStyle w:val="TextBody"/>
        <w:spacing w:lineRule="auto" w:line="240" w:before="0" w:after="240"/>
        <w:ind w:left="0" w:right="0" w:firstLine="1440"/>
        <w:rPr/>
      </w:pPr>
      <w:r>
        <w:rPr>
          <w:rFonts w:ascii="Times New Roman;sans-serif" w:hAnsi="Times New Roman;sans-serif"/>
          <w:b w:val="false"/>
          <w:color w:val="000000"/>
          <w:sz w:val="22"/>
        </w:rPr>
        <w:t>SECTION 3.22    </w:t>
      </w:r>
      <w:r>
        <w:rPr>
          <w:rFonts w:ascii="Times New Roman;sans-serif" w:hAnsi="Times New Roman;sans-serif"/>
          <w:b w:val="false"/>
          <w:color w:val="000000"/>
          <w:sz w:val="22"/>
          <w:u w:val="single"/>
        </w:rPr>
        <w:t>Regulation (EU) 2015/858.</w:t>
      </w:r>
      <w:r>
        <w:rPr>
          <w:color w:val="000000"/>
        </w:rPr>
        <w:t xml:space="preserve"> </w:t>
      </w:r>
      <w:r>
        <w:rPr>
          <w:rFonts w:ascii="Times New Roman;sans-serif" w:hAnsi="Times New Roman;sans-serif"/>
          <w:b w:val="false"/>
          <w:color w:val="000000"/>
          <w:sz w:val="22"/>
        </w:rPr>
        <w:t>For the purposes of Regulation (EU) 2015/848 on insolvency proceedings (recast) (the “</w:t>
      </w:r>
      <w:r>
        <w:rPr>
          <w:rFonts w:ascii="Times New Roman;sans-serif" w:hAnsi="Times New Roman;sans-serif"/>
          <w:b w:val="false"/>
          <w:color w:val="000000"/>
          <w:sz w:val="22"/>
          <w:u w:val="single"/>
        </w:rPr>
        <w:t>Regulation</w:t>
      </w:r>
      <w:r>
        <w:rPr>
          <w:color w:val="000000"/>
        </w:rPr>
        <w:t>”</w:t>
      </w:r>
      <w:r>
        <w:rPr>
          <w:rFonts w:ascii="Times New Roman;sans-serif" w:hAnsi="Times New Roman;sans-serif"/>
          <w:b w:val="false"/>
          <w:color w:val="000000"/>
          <w:sz w:val="22"/>
        </w:rPr>
        <w:t xml:space="preserve">), the Dutch Foreign Subsidiary Borrower has a centre of main interest (as that term is used in Article 3(1) of the Regulation) that is situated in the Netherlands and it has no establishment (as that term is used in Article 2(10) of the Regulation) in any other jurisdiction. </w:t>
      </w:r>
    </w:p>
    <w:p>
      <w:pPr>
        <w:pStyle w:val="TextBody"/>
        <w:spacing w:lineRule="auto" w:line="240" w:before="0" w:after="240"/>
        <w:jc w:val="center"/>
        <w:rPr/>
      </w:pPr>
      <w:r>
        <w:rPr>
          <w:rFonts w:ascii="Times New Roman;sans-serif" w:hAnsi="Times New Roman;sans-serif"/>
          <w:b w:val="false"/>
          <w:color w:val="000000"/>
          <w:sz w:val="22"/>
        </w:rPr>
        <w:t>ARTICLE IV</w:t>
      </w:r>
      <w:r>
        <w:rPr>
          <w:rFonts w:ascii="Times New Roman;sans-serif" w:hAnsi="Times New Roman;sans-serif"/>
          <w:b w:val="false"/>
          <w:color w:val="000000"/>
          <w:sz w:val="22"/>
          <w:u w:val="single"/>
        </w:rPr>
        <w:br/>
        <w:br/>
        <w:t>Conditions</w:t>
      </w:r>
      <w:r>
        <w:br w:type="page"/>
      </w:r>
    </w:p>
    <w:p>
      <w:pPr>
        <w:pStyle w:val="TextBody"/>
        <w:spacing w:before="0" w:after="0"/>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60655"/>
                <wp:effectExtent l="0" t="0" r="0" b="0"/>
                <wp:wrapNone/>
                <wp:docPr id="191" name="Frame19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-89-</w:t>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00000"/>
          <w:sz w:val="22"/>
        </w:rPr>
        <w:t>SECTION 4.01    </w:t>
      </w:r>
      <w:r>
        <w:rPr>
          <w:rFonts w:ascii="Times New Roman;sans-serif" w:hAnsi="Times New Roman;sans-serif"/>
          <w:b w:val="false"/>
          <w:color w:val="000000"/>
          <w:sz w:val="22"/>
          <w:u w:val="single"/>
        </w:rPr>
        <w:t>Closing Date</w:t>
      </w:r>
      <w:r>
        <w:rPr>
          <w:rFonts w:ascii="Times New Roman;sans-serif" w:hAnsi="Times New Roman;sans-serif"/>
          <w:b w:val="false"/>
          <w:color w:val="000000"/>
          <w:sz w:val="22"/>
        </w:rPr>
        <w:t>. Subject to the last sentence of this Section 4.01, the obligations of the Lenders to make Loans and of the Issuing Bank to issue Letters of Credit hereunder on the Closing Date shall not become effective and are subject to the satisfaction of the following conditions (it being understood and acknowledged that the Closing Date occurred on October 16, 2013 and that capitalized terms and Section references used in this Section 4.01 shall be used with the meanings assigned thereto in the Original Credit Agreement):</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    The Administrative Agent (or its counsel) shall have received from each party hereto either (i) a counterpart of this Agreement signed on behalf of such party or (ii) written evidence satisfactory to the Administrative Agent (which may include facsimile or other electronic transmission of a signed signature page of this Agreement) that such party has signed a counterpart of this Agreement.</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    The Agents shall have received a favorable written opinion (addressed to the Administrative Agent and the Lenders and dated the Closing Date) of each of (i) Cahill Gordon &amp; Reindel LLP, (ii) McDonald Hopkins LLC, (iii) Barnes &amp; Thornburg LLP, and (iv) Jones &amp; Day in each case in form and substance reasonably satisfactory to the Administrative Agent. Each of Holdings and the Parent Borrower hereby requests such counsel to deliver such opinions.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    The Administrative Agent shall have received such documents and certificates as the Administrative Agent or its counsel may reasonably request relating to the organization, existence and good standing of each Loan Party, the authorization of the Transactions and any other legal matters relating to the Loan Parties, the Loan Documents or the Transactions, all in form and substance satisfactory to the Administrative Agent and its counsel.</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(d)    The Administrative Agent shall have received a certificate, dated the Closing Date and signed by the President, a Vice President or a Financial Officer of Holdings and the Parent Borrower, confirming compliance with the conditions set forth in paragraphs (a) and (b) of Section 4.02.</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(e)    The Administrative Agent shall have received all fees and other amounts due and payable on or prior to the Closing Date, including, to the extent invoiced, reimbursement or payment of all out-of-pocket expenses (including fees, charges and disbursements of counsel) required to be reimbursed or paid by any Loan Party hereunder or under any Loan Document.</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(f)    The Collateral and Guarantee Requirement shall have been satisfied and the Administrative Agent shall have received a completed Perfection Certificate dated the Closing Date and signed by an executive officer or Financial Officer of the Parent Borrower, together with all attachments contemplated thereby, including the results of a search of the Uniform Commercial Code (or equivalent) filings made with respect to the Loan Parties in the jurisdictions contemplated by the Perfection Certificate and copies of the financing statements (or similar documents) disclosed by such search and evidence reasonably satisfactory to the Administrative Agent that the Liens indicated by such financing statements (or similar documents) are permitted by Section 6.02 or have been released or will be released pursuant to UCC-3 financing statements or other release documentation delivered to the Collateral Agent. </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(g)    The Administrative Agent shall have received evidence that the insurance required by Section 5.07 and the Security Documents is in effect, together with endorsements naming the Collateral Agent, for the benefit of the Secured Parties, as additional insured and loss payee thereunder, to the extent required by Section 5.07.</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(h)    The Transactions shall have been consummated or shall be consummated substantially simultaneously with the initial funding of the Tranche A Term Loans on the Closing Date in accordance with applicable law and all other related documentation in all material respects (without giving effect to any amendments not approved by the Administrative Agent), and after giving effect to the Transactions and the other transactions contemplated hereby, none of Holdings, the Parent Borrower or any of the Subsidiaries shall have outstanding any shares of preferred stock or any Indebtedness to a Person other than the Parent Borrower or any Subsidiary, </w:t>
      </w:r>
      <w:r>
        <w:br w:type="page"/>
      </w:r>
    </w:p>
    <w:p>
      <w:pPr>
        <w:pStyle w:val="TextBody"/>
        <w:spacing w:before="0" w:after="0"/>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60655"/>
                <wp:effectExtent l="0" t="0" r="0" b="0"/>
                <wp:wrapNone/>
                <wp:docPr id="192" name="Frame19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-90-</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2"/>
        </w:rPr>
        <w:t xml:space="preserve">other than (i) Indebtedness incurred under the Loan Documents and (ii) Indebtedness incurred and outstanding as of the Closing Date in compliance with Section 6.01 of this Agreement. The Liens securing the obligations under the Existing Credit Agreement shall have been released or shall be released substantially simultaneously with the initial funding of the Tranche A Term Loans on the Closing Date. Each Lender party hereto that is also a "Lender" under the Existing Credit Agreement hereby waives the requirement for advance notice of termination of “Commitments” under the Existing Credit Agreement and prepayment of any “Loans” outstanding thereunder;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such notice of termination and prepayment is delivered on the Closing Date of this Agreement.</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    The Lenders shall have received the financial statements referred to in Section 3.04(a).</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(j)    The Administrative Agent shall have received a certificate, in form and substance reasonably satisfactory to the Administrative Agent, dated the Closing Date and signed by the chief financial officer of each of Holdings and the Parent Borrower, certifying that Holdings and its Subsidiaries, on a consolidated basis after giving effect to the Transactions, are solvent.</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(k)    The Administrative Agent and the Lenders shall have received all documentation and other information required by bank regulatory authorities under applicable “know your customer” and anti-money laundering rules and regulations, including the PATRIOT Act.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Administrative Agent shall notify the Parent Borrower and the Lenders of the Closing Date, and such notice shall be conclusive and binding. Notwithstanding the foregoing, the obligations of the Lenders to make Loans and of the Issuing Bank to issue Letters of Credit hereunder shall not become effective unless each of the foregoing conditions is satisfied (or waived pursuant to Section 10.02) at or prior to 5:00 p.m., New York City time, on October 16, 2013 (and, in the event such conditions are not so satisfied or waived, the Commitments shall terminate at such time).</w:t>
      </w:r>
    </w:p>
    <w:p>
      <w:pPr>
        <w:pStyle w:val="TextBody"/>
        <w:spacing w:lineRule="auto" w:line="240" w:before="0" w:after="240"/>
        <w:ind w:left="0" w:right="0" w:firstLine="1440"/>
        <w:rPr/>
      </w:pPr>
      <w:r>
        <w:rPr>
          <w:rFonts w:ascii="Times New Roman;sans-serif" w:hAnsi="Times New Roman;sans-serif"/>
          <w:b w:val="false"/>
          <w:color w:val="000000"/>
          <w:sz w:val="22"/>
        </w:rPr>
        <w:t>SECTION 4.02    </w:t>
      </w:r>
      <w:r>
        <w:rPr>
          <w:rFonts w:ascii="Times New Roman;sans-serif" w:hAnsi="Times New Roman;sans-serif"/>
          <w:b w:val="false"/>
          <w:color w:val="000000"/>
          <w:sz w:val="22"/>
          <w:u w:val="single"/>
        </w:rPr>
        <w:t>Each Credit Event</w:t>
      </w:r>
      <w:r>
        <w:rPr>
          <w:rFonts w:ascii="Times New Roman;sans-serif" w:hAnsi="Times New Roman;sans-serif"/>
          <w:b w:val="false"/>
          <w:color w:val="000000"/>
          <w:sz w:val="22"/>
        </w:rPr>
        <w:t>. The obligation of each Lender to make a Loan on the occasion of any Borrowing (other than (i) any Revolving Loan made pursuant to Section 2.04(d) or Section 2.05(d) and (ii) any continuation or conversion of a Borrowing pursuant to the terms hereof that does not result in the increase of the aggregate principal amount of the Borrowings then outstanding), and of the Issuing Bank to issue, amend, renew or extend any Letter of Credit, is subject to receipt of the request therefor in accordance herewith and to the satisfaction of the following conditions: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    The representations and warranties of each Loan Party set forth in the Loan Documents shall be true and correct on and as of the date of such Borrowing or the date of issuance, amendment, renewal or extension of such Letter of Credit, as applicable.</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    At the time of and immediately after giving effect to such Borrowing or the issuance, amendment, renewal or extension of such Letter of Credit, as applicable, no Default shall have occurred and be continuing.</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Each Borrowing and each issuance, amendment, renewal or extension of a Letter of Credit shall be deemed to constitute a representation and warranty by Holdings and the Parent Borrower on the date thereof as to the matters specified in paragraphs (a) and (b) of this Section.</w:t>
      </w:r>
    </w:p>
    <w:p>
      <w:pPr>
        <w:pStyle w:val="TextBody"/>
        <w:spacing w:lineRule="auto" w:line="240" w:before="0" w:after="240"/>
        <w:ind w:left="0" w:right="0" w:firstLine="1440"/>
        <w:rPr/>
      </w:pPr>
      <w:r>
        <w:rPr>
          <w:rFonts w:ascii="Times New Roman;sans-serif" w:hAnsi="Times New Roman;sans-serif"/>
          <w:b w:val="false"/>
          <w:color w:val="000000"/>
          <w:sz w:val="22"/>
        </w:rPr>
        <w:t>SECTION 4.03    </w:t>
      </w:r>
      <w:r>
        <w:rPr>
          <w:rFonts w:ascii="Times New Roman;sans-serif" w:hAnsi="Times New Roman;sans-serif"/>
          <w:b w:val="false"/>
          <w:color w:val="000000"/>
          <w:sz w:val="22"/>
          <w:u w:val="single"/>
        </w:rPr>
        <w:t>Credit Events Relating to Foreign Subsidiary Borrowers</w:t>
      </w:r>
      <w:r>
        <w:rPr>
          <w:rFonts w:ascii="Times New Roman;sans-serif" w:hAnsi="Times New Roman;sans-serif"/>
          <w:b w:val="false"/>
          <w:color w:val="000000"/>
          <w:sz w:val="22"/>
        </w:rPr>
        <w:t>. The obligation of each Lender to make Loans to any Foreign Subsidiary Borrower, and of the Issuing Bank to issue, amend, renew or extend any Letter of Credit to any Foreign Subsidiary Borrower, is subject to the satisfaction of the following conditions: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    With respect to the earlier to occur of the initial Loan made to or the initial Letter of Credit issued for the account of such Foreign Subsidiary Borrower:</w:t>
      </w:r>
      <w:r>
        <w:br w:type="page"/>
      </w:r>
    </w:p>
    <w:p>
      <w:pPr>
        <w:pStyle w:val="TextBody"/>
        <w:spacing w:before="0" w:after="0"/>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60655"/>
                <wp:effectExtent l="0" t="0" r="0" b="0"/>
                <wp:wrapNone/>
                <wp:docPr id="193" name="Frame19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-91-</w:t>
                      </w:r>
                    </w:p>
                  </w:txbxContent>
                </v:textbox>
              </v:rect>
            </w:pict>
          </mc:Fallback>
        </mc:AlternateContent>
      </w:r>
    </w:p>
    <w:p>
      <w:pPr>
        <w:pStyle w:val="TextBody"/>
        <w:spacing w:lineRule="auto" w:line="240" w:before="0" w:after="240"/>
        <w:rPr>
          <w:color w:val="000000"/>
        </w:rPr>
      </w:pPr>
      <w:r>
        <w:rPr>
          <w:color w:val="000000"/>
        </w:rPr>
        <w:t>    </w:t>
      </w:r>
      <w:r>
        <w:rPr>
          <w:rFonts w:ascii="Times New Roman;sans-serif" w:hAnsi="Times New Roman;sans-serif"/>
          <w:b w:val="false"/>
          <w:color w:val="000000"/>
          <w:sz w:val="22"/>
        </w:rPr>
        <w:t xml:space="preserve">(i)    the Administrative Agent (or its counsel) shall have received such Foreign Subsidiary Borrower’s Foreign Subsidiary Borrowing Agreement duly executed and delivered by all parties thereto; </w:t>
      </w:r>
    </w:p>
    <w:p>
      <w:pPr>
        <w:pStyle w:val="TextBody"/>
        <w:spacing w:lineRule="auto" w:line="240" w:before="0" w:after="240"/>
        <w:rPr>
          <w:color w:val="000000"/>
        </w:rPr>
      </w:pPr>
      <w:r>
        <w:rPr>
          <w:color w:val="000000"/>
        </w:rPr>
        <w:t>    </w:t>
      </w:r>
      <w:r>
        <w:rPr>
          <w:rFonts w:ascii="Times New Roman;sans-serif" w:hAnsi="Times New Roman;sans-serif"/>
          <w:b w:val="false"/>
          <w:color w:val="000000"/>
          <w:sz w:val="22"/>
        </w:rPr>
        <w:t>(ii)    the Administrative Agent shall have received such documents (including legal opinions) and certificates as the Administrative Agent or its counsel may reasonably request relating to the formation, existence and good standing of such Foreign Subsidiary Borrower, the authorization of the transactions contemplated hereby relating to such Foreign Subsidiary Borrower and any other legal matters relating to such Foreign Subsidiary Borrower or its Foreign Subsidiary Borrowing Agreement, all in form and substance satisfactory to the Administrative Agent and its counsel; and</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(iii)    the Administrative Agent and the Lenders shall have received all documentation and other information relating to such Foreign Subsidiary Borrower required by bank regulatory authorities under applicable “know your customer” and anti-money laundering rules and regulations, including the PATRIOT Act and, if applicable, the Beneficial Ownership Regulation, in all cases reasonably satisfactory to the Administrative Agent and the Lenders.</w:t>
      </w:r>
    </w:p>
    <w:p>
      <w:pPr>
        <w:pStyle w:val="TextBody"/>
        <w:spacing w:lineRule="auto" w:line="240" w:before="0" w:after="240"/>
        <w:ind w:left="0" w:right="0" w:firstLine="1440"/>
        <w:rPr/>
      </w:pPr>
      <w:r>
        <w:rPr>
          <w:rFonts w:ascii="Times New Roman;sans-serif" w:hAnsi="Times New Roman;sans-serif"/>
          <w:b w:val="false"/>
          <w:color w:val="000000"/>
          <w:sz w:val="22"/>
        </w:rPr>
        <w:t>SECTION 4.04    </w:t>
      </w:r>
      <w:r>
        <w:rPr>
          <w:rFonts w:ascii="Times New Roman;sans-serif" w:hAnsi="Times New Roman;sans-serif"/>
          <w:b w:val="false"/>
          <w:color w:val="000000"/>
          <w:sz w:val="22"/>
          <w:u w:val="single"/>
        </w:rPr>
        <w:t>Conditions to the Second Restatement Date</w:t>
      </w:r>
      <w:r>
        <w:rPr>
          <w:rFonts w:ascii="Times New Roman;sans-serif" w:hAnsi="Times New Roman;sans-serif"/>
          <w:b w:val="false"/>
          <w:color w:val="000000"/>
          <w:sz w:val="22"/>
        </w:rPr>
        <w:t>. The obligations of the Lenders to make Loans and of the Issuing Bank to issue Letters of Credit hereunder on the Second Restatement Date are subject to, and shall not become effective until, the satisfaction of the following conditions: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    The Administrative Agent (or its counsel) shall have received (i) counterparts of (or written evidence satisfactory to the Administrative Agent that such party has signed a counterpart of the Second Replacement Revolving Facility Amendment, executed by the Parent Borrower, each Foreign Subsidiary Borrower, each other Loan Party, the Administrative Agent, the Fronting Lender, each Issuing Bank, each Swingline Lender and Persons with aggregate Revolving Commitments of $300,000,000 and (ii) reasonably satisfactory evidence that all Existing Revolving Commitments and Existing Revolving Loans shall be replaced with Revolving Commitments or Revolving Loans, as applicable, hereunder or otherwise terminated or repaid, as applicable (and in each case all accrued interest on the Existing Revolving Loans and Existing Revolving Commitments and other amounts (including fees) outstanding in respect thereof shall have been paid in full).</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    The Administrative Agent shall have received a favorable written opinion (addressed to the Administrative Agent and the Lenders and dated the Second Restatement Date) of each of (i) Jones Day, (ii) Barnes &amp; Thornburg and (iii) Simpson Thacher &amp; Bartlett, in each case in form and substance reasonably satisfactory to the Administrative Agent. Each of Holdings and the Parent Borrower hereby requests such counsel to deliver such opinions.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    The Administrative Agent shall have received such documents and certificates as the Administrative Agent or its counsel may reasonably request relating to the organization, existence and good standing of the Parent Borrower and each Foreign Subsidiary Borrower, the authorization of the Transactions and any other legal matters relating to the Parent Borrower, the Foreign Subsidiary Borrowers, the Loan Documents or the Transactions, all in form and substance satisfactory to the Administrative Agent and its counsel.</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(d)    The Administrative Agent shall have received a certificate, dated the Second Restatement Date and signed by the President, a Vice President or a Financial Officer of Holdings and the Parent Borrower, confirming compliance with the conditions set forth in paragraphs (a) and (b) of Section 4.02.</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(e)    The Administrative Agent shall have received all fees and other amounts due and payable on or prior to the Second Restatement Date, including, to the extent invoiced, reimbursement or payment of all out-of-pocket expenses (including fees, charges and disbursements of counsel) required to be reimbursed or paid by any Loan Party hereunder or </w:t>
      </w:r>
      <w:r>
        <w:br w:type="page"/>
      </w:r>
    </w:p>
    <w:p>
      <w:pPr>
        <w:pStyle w:val="TextBody"/>
        <w:spacing w:before="0" w:after="0"/>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60655"/>
                <wp:effectExtent l="0" t="0" r="0" b="0"/>
                <wp:wrapNone/>
                <wp:docPr id="194" name="Frame19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-92-</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under any Loan Document (and for the avoidance of doubt, including all interest, fees, expenses and other amounts due under the Existing Credit Agreement).</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    The Collateral and Guarantee Requirement shall have been satisfied as of the Second Restatement Date.</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(g)    The Lenders shall have received the financial statements referred to in Section 3.04(a).</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(h)    The Administrative Agent shall have received, at least five days prior to the Second Restatement Date, all documentation and other information regarding the Borrowers requested in connection with applicable “know your customer” and anti-money laundering rules and regulations, including the PATRIOT Act, to the extent requested in writing of the Parent Borrower at least 10 days prior to the Second Restatement Date and (ii) to the extent the Parent Borrower qualifies as a “legal entity customer” under the Beneficial Ownership Regulation, at least five days prior to the Second Restatement Date, any Lender that has requested, in a written notice to the Parent Borrower at least 10 days prior to the Second Restatement Date, a Beneficial Ownership Certification in relation to the Parent Borrower shall have received such Beneficial Ownership Certification (provided that, upon the execution and delivery by such Lender of its signature page to this Agreement, the condition set forth in this clause (h) shall be deemed to be satisfied).</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The Administrative Agent shall notify the Parent Borrower and the Lenders of the Second Restatement Date, and such notice shall be conclusive and binding. </w:t>
      </w:r>
    </w:p>
    <w:p>
      <w:pPr>
        <w:pStyle w:val="TextBody"/>
        <w:spacing w:lineRule="auto" w:line="240" w:before="0" w:after="240"/>
        <w:jc w:val="center"/>
        <w:rPr/>
      </w:pPr>
      <w:r>
        <w:rPr>
          <w:rFonts w:ascii="Times New Roman;sans-serif" w:hAnsi="Times New Roman;sans-serif"/>
          <w:b w:val="false"/>
          <w:color w:val="000000"/>
          <w:sz w:val="22"/>
        </w:rPr>
        <w:t>ARTICLE V</w:t>
      </w:r>
      <w:r>
        <w:rPr>
          <w:rFonts w:ascii="Times New Roman;sans-serif" w:hAnsi="Times New Roman;sans-serif"/>
          <w:b w:val="false"/>
          <w:color w:val="000000"/>
          <w:sz w:val="22"/>
          <w:u w:val="single"/>
        </w:rPr>
        <w:br/>
        <w:br/>
        <w:t>Affirmative Covenants</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Until the Commitments have expired or been terminated and the principal of and interest on each Loan and all fees payable hereunder shall have been paid in full and all Letters of Credit shall have expired or terminated and all LC Disbursements shall have been reimbursed, each of Holdings, the Parent Borrower and each Foreign Subsidiary Borrower (as to itself only) covenants and agrees with the Lenders that:</w:t>
      </w:r>
    </w:p>
    <w:p>
      <w:pPr>
        <w:pStyle w:val="TextBody"/>
        <w:spacing w:lineRule="auto" w:line="240" w:before="0" w:after="240"/>
        <w:ind w:left="0" w:right="0" w:firstLine="1440"/>
        <w:rPr/>
      </w:pPr>
      <w:r>
        <w:rPr>
          <w:rFonts w:ascii="Times New Roman;sans-serif" w:hAnsi="Times New Roman;sans-serif"/>
          <w:b w:val="false"/>
          <w:color w:val="000000"/>
          <w:sz w:val="22"/>
        </w:rPr>
        <w:t>SECTION 5.01    </w:t>
      </w:r>
      <w:r>
        <w:rPr>
          <w:rFonts w:ascii="Times New Roman;sans-serif" w:hAnsi="Times New Roman;sans-serif"/>
          <w:b w:val="false"/>
          <w:color w:val="000000"/>
          <w:sz w:val="22"/>
          <w:u w:val="single"/>
        </w:rPr>
        <w:t>Financial Statements and Other Information</w:t>
      </w:r>
      <w:r>
        <w:rPr>
          <w:rFonts w:ascii="Times New Roman;sans-serif" w:hAnsi="Times New Roman;sans-serif"/>
          <w:b w:val="false"/>
          <w:color w:val="000000"/>
          <w:sz w:val="22"/>
        </w:rPr>
        <w:t>. Holdings or the Parent Borrower will furnish to the Administrative Agent and each Lender:</w:t>
      </w:r>
    </w:p>
    <w:p>
      <w:pPr>
        <w:pStyle w:val="TextBody"/>
        <w:spacing w:lineRule="auto" w:line="240" w:before="0" w:after="240"/>
        <w:ind w:left="0" w:right="0" w:firstLine="720"/>
        <w:rPr/>
      </w:pPr>
      <w:r>
        <w:rPr>
          <w:rFonts w:ascii="Times New Roman;sans-serif" w:hAnsi="Times New Roman;sans-serif"/>
          <w:b w:val="false"/>
          <w:color w:val="000000"/>
          <w:sz w:val="22"/>
        </w:rPr>
        <w:t>(a)    within 90 days after the end of each fiscal year of Holdings, its audited consolidated balance sheet and related statements of operations, stockholders’ equity and cash flows as of the end of and for such year, setting forth in each case in comparative form the figures for the previous fiscal year, all reported on by Deloitte &amp; Touche LLP or other independent public accountants of recognized national standing (without a “</w:t>
      </w:r>
      <w:r>
        <w:rPr>
          <w:rFonts w:ascii="Times New Roman;sans-serif" w:hAnsi="Times New Roman;sans-serif"/>
          <w:b w:val="false"/>
          <w:color w:val="000000"/>
          <w:sz w:val="22"/>
          <w:u w:val="single"/>
        </w:rPr>
        <w:t>going concern</w:t>
      </w:r>
      <w:r>
        <w:rPr>
          <w:color w:val="000000"/>
        </w:rPr>
        <w:t xml:space="preserve">” </w:t>
      </w:r>
      <w:r>
        <w:rPr>
          <w:rFonts w:ascii="Times New Roman;sans-serif" w:hAnsi="Times New Roman;sans-serif"/>
          <w:b w:val="false"/>
          <w:color w:val="000000"/>
          <w:sz w:val="22"/>
        </w:rPr>
        <w:t>or like qualification or exception (except for any such qualification or exception resulting from any current maturity of Loans hereunder) and without any qualification or exception as to the scope of such audit) to the effect that such consolidated financial statements present fairly in all material respects the financial condition and results of operations of Holdings and its consolidated subsidiaries on a consolidated basis in accordance with GAAP consistently applied (it being understood that the obligation to furnish the foregoing to the Administrative Agent and the Lenders shall be deemed to be satisfied in respect of any fiscal year of Holdings by the filing of Holdings’ annual report on Form 10-K for such fiscal year with the Commission to the extent the foregoing are included therein);</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(b)    within 45 days after the end of each of the first three fiscal quarters of each fiscal year of Holdings,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w:t>
      </w:r>
      <w:r>
        <w:br w:type="page"/>
      </w:r>
    </w:p>
    <w:p>
      <w:pPr>
        <w:pStyle w:val="TextBody"/>
        <w:spacing w:before="0" w:after="0"/>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60655"/>
                <wp:effectExtent l="0" t="0" r="0" b="0"/>
                <wp:wrapNone/>
                <wp:docPr id="195" name="Frame19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-93-</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previous fiscal year, all certified by one of its Financial Officers as presenting fairly in all material respects the financial condition and results of operations of Holdings and its consolidated subsidiaries on a consolidated basis in accordance with GAAP consistently applied, subject to normal year-end audit adjustments and the absence of footnotes (it being understood that the obligation to furnish the foregoing to the Administrative Agent and the Lenders shall be deemed to be satisfied in respect of any fiscal quarter of Holdings by the filing of Holdings’ quarterly report on Form 10-Q for such fiscal quarter with the Commission to the extent the foregoing are included therein);</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    within 90 days after the end of each fiscal year of Holdings (but in any event no later than two Business Days after any delivery of financial statements under clause (a) above), or within 45 days after the end of each of the first three fiscal quarters of each fiscal year of Holdings (but in any event no later than two Business Days after any delivery of financial statements under clause (b) above), a certificate of a Financial Officer of Holdings or the Parent Borrower (i) certifying as to whether a Default has occurred and, if a Default has occurred, specifying the details thereof and any action taken or proposed to be taken with respect thereto, (ii) setting forth reasonably detailed calculations (x) demonstrating compliance with Sections 6.12 and 6.13 and (y) of Consolidated Net Income and Consolidated EBITDA on a quarterly basis for any fiscal quarter ending after the Second Restatement Date, (iii) stating whether any change in GAAP or in the application thereof has occurred since the date of Holdings’ audited financial statements referred to in Section 3.04 and, if any such change has occurred, specifying the effect of such change on the financial statements accompanying such certificate and (iv) identifying all Subsidiaries existing on the date of such certificate and indicating, for each such Subsidiary, whether such Subsidiary is a Domestic Subsidiary (and if so, whether such Subsidiary is a Subsidiary Loan Party) or a Foreign Subsidiary and whether such Subsidiary was formed or acquired since the end of the previous fiscal quarter;</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(d)    within 90 days after the end of each fiscal year of Holdings, (i) a certificate of the accounting firm that reported on such financial statements stating whether they obtained knowledge during the course of their examination of such financial statements of any Default (which certificate may be limited to the extent required by accounting rules or guidelines) and (ii) a certificate of a Financial Officer of Holdings or the Parent Borrower (A) identifying any parcels of real property or improvements thereto with a value exceeding $5,000,000 that have been acquired by any Loan Party since the end of the previous fiscal year, (B) identifying any changes of the type described in Section 5.03(a) that have not been previously reported by the Parent Borrower, (C) identifying any Permitted Acquisitions that have been consummated since the end of the previous fiscal year, including the date on which each such Permitted Acquisition was consummated and the consideration therefor, and (D) identifying any Intellectual Property (as defined in the Security Agreement) with respect to which a notice is required to be delivered under the Security Agreement and has not been previously delivered;</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(e)    no later than February 15 of each fiscal year of Holdings (commencing with the fiscal year ending December 31, 2013), a detailed consolidated budget for such fiscal year (including a projected consolidated balance sheet and related statements of projected operations and cash flow as of the end of and for such fiscal year and setting forth the assumptions used for purposes of preparing such budget) and, promptly when available, any material revisions of such budget that have been approved by senior management of Holdings;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(f)    promptly after the same become publicly available, copies of all periodic and other reports, proxy statements and other materials filed by Holdings, the Parent Borrower or any Subsidiary with the Commission or with any national securities exchange, as the case may be (it being understood that the obligation to furnish the foregoing to the Administrative Agent and the Lenders shall be deemed to be satisfied to the extent the foregoing are filed with the Commission); </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(g)    no later than five business days prior to any proposed utilization of the Available Amount, a certificate of a Financial Officer of Holdings or the Parent Borrower setting forth a </w:t>
      </w:r>
      <w:r>
        <w:br w:type="page"/>
      </w:r>
    </w:p>
    <w:p>
      <w:pPr>
        <w:pStyle w:val="TextBody"/>
        <w:spacing w:before="0" w:after="0"/>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60655"/>
                <wp:effectExtent l="0" t="0" r="0" b="0"/>
                <wp:wrapNone/>
                <wp:docPr id="196" name="Frame19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-94-</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reasonably detailed calculations of the Available Amount as of the date of the proposed utilization (prior to giving effect thereto); and</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(h)    promptly following any request therefor, (x) such other information regarding the operations, business affairs and financial condition of Holdings, the Parent Borrower or any Subsidiary, or compliance with the terms of any Loan Document, as the Administrative Agent or any Lender may reasonably request and (y) information and documentation reasonably requested by the Administrative Agent or any Lender for purposes of compliance with “know your customer” and anti-money laundering rules and regulations, including the Patriot Act and the Beneficial Ownership Regulation, in each case, to the extent applicable.</w:t>
      </w:r>
    </w:p>
    <w:p>
      <w:pPr>
        <w:pStyle w:val="TextBody"/>
        <w:spacing w:lineRule="auto" w:line="240" w:before="0" w:after="240"/>
        <w:ind w:left="0" w:right="0" w:firstLine="1440"/>
        <w:rPr/>
      </w:pPr>
      <w:r>
        <w:rPr>
          <w:rFonts w:ascii="Times New Roman;sans-serif" w:hAnsi="Times New Roman;sans-serif"/>
          <w:b w:val="false"/>
          <w:color w:val="000000"/>
          <w:sz w:val="22"/>
        </w:rPr>
        <w:t>SECTION 5.02    </w:t>
      </w:r>
      <w:r>
        <w:rPr>
          <w:rFonts w:ascii="Times New Roman;sans-serif" w:hAnsi="Times New Roman;sans-serif"/>
          <w:b w:val="false"/>
          <w:color w:val="000000"/>
          <w:sz w:val="22"/>
          <w:u w:val="single"/>
        </w:rPr>
        <w:t>Notices of Material Events</w:t>
      </w:r>
      <w:r>
        <w:rPr>
          <w:rFonts w:ascii="Times New Roman;sans-serif" w:hAnsi="Times New Roman;sans-serif"/>
          <w:b w:val="false"/>
          <w:color w:val="000000"/>
          <w:sz w:val="22"/>
        </w:rPr>
        <w:t>. Holdings and the Parent Borrower will furnish to the Administrative Agent and each Lender prompt written notice of the following:</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    the occurrence of any Default;</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    the filing or commencement of any action, suit or proceeding by or before any arbitrator or Governmental Authority against or affecting Holdings, the Parent Borrower or any Subsidiary thereof that, if adversely determined, could reasonably be expected to result in a Material Adverse Effect;</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(c)    the occurrence of any ERISA Event that, alone or together with any other ERISA Events that have occurred, could reasonably be expected to result in liability of Holdings, the Parent Borrower and its Subsidiaries in an aggregate amount exceeding $15,000,000; </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(d)    any other development that results in, or could reasonably be expected to result in, a Material Adverse Effect; and</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(e)    if applicable, any change in the information provided in the Beneficial Ownership Certification delivered to such Lender that would result in a change to the list of beneficial owners identified in such certification.</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Each notice delivered under this Section shall be accompanied by a statement of a Financial Officer or other executive officer of the Parent Borrower setting forth the details of the event or development requiring such notice and any action taken or proposed to be taken with respect thereto.</w:t>
      </w:r>
    </w:p>
    <w:p>
      <w:pPr>
        <w:pStyle w:val="TextBody"/>
        <w:spacing w:lineRule="auto" w:line="240" w:before="0" w:after="240"/>
        <w:ind w:left="0" w:right="0" w:firstLine="1440"/>
        <w:rPr/>
      </w:pPr>
      <w:r>
        <w:rPr>
          <w:rFonts w:ascii="Times New Roman;sans-serif" w:hAnsi="Times New Roman;sans-serif"/>
          <w:b w:val="false"/>
          <w:color w:val="000000"/>
          <w:sz w:val="22"/>
        </w:rPr>
        <w:t>SECTION 5.03    </w:t>
      </w:r>
      <w:r>
        <w:rPr>
          <w:rFonts w:ascii="Times New Roman;sans-serif" w:hAnsi="Times New Roman;sans-serif"/>
          <w:b w:val="false"/>
          <w:color w:val="000000"/>
          <w:sz w:val="22"/>
          <w:u w:val="single"/>
        </w:rPr>
        <w:t>Information Regarding Collateral</w:t>
      </w:r>
      <w:r>
        <w:rPr>
          <w:rFonts w:ascii="Times New Roman;sans-serif" w:hAnsi="Times New Roman;sans-serif"/>
          <w:b w:val="false"/>
          <w:color w:val="000000"/>
          <w:sz w:val="22"/>
        </w:rPr>
        <w: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(a)    The Parent Borrower will furnish to the Administrative Agent prompt written notice of any change (i) in any Loan Party’s legal name or in any trade name used to identify it in the conduct of its business or in the ownership of its properties, (ii) in the location of any Loan Party’s chief executive office, its principal place of business, any office in which it maintains books or records relating to Collateral owned by it or any office or facility at which Collateral owned by it is located (including the establishment of any such new office or facility), (iii) in any Loan Party’s identity or structure, (iv) in any Loan Party’s jurisdiction of organization or (v) in any Loan Party’s Federal Taxpayer Identification Number. The Parent Borrower agrees not to effect or permit any change referred to in the preceding sentence unless written notice has been delivered to the Collateral Agent, together with all applicable information to enable the Administrative Agent to make all filings under the Uniform Commercial Code or otherwise that are required in order for the Collateral Agent (on behalf of the Secured Parties) to continue at all times following such change to have a valid, legal and perfected security interest in all the Collateral.</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(b)    Each year, within 90 days after the end of each fiscal year of Holdings, Holdings (on behalf of itself and the other Loan Parties) shall deliver to the Administrative Agent a certificate of a Financial Officer of Holdings (i) setting forth the information required pursuant to the Perfection Certificate or confirming that there has been no change in such information since the date of the Perfection Certificate delivered on the Closing Date or the date of the most recent certificate delivered pursuant to this Section and (ii) certifying that all Uniform Commercial Code financing statements </w:t>
      </w:r>
      <w:r>
        <w:br w:type="page"/>
      </w:r>
    </w:p>
    <w:p>
      <w:pPr>
        <w:pStyle w:val="TextBody"/>
        <w:spacing w:before="0" w:after="0"/>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60655"/>
                <wp:effectExtent l="0" t="0" r="0" b="0"/>
                <wp:wrapNone/>
                <wp:docPr id="197" name="Frame19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-95-</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(including fixture filings, as applicable) or other appropriate filings, recordings or registrations, including all refilings, rerecordings and reregistrations, containing a description of the Collateral have been filed of record in each governmental, municipal or other appropriate office in each jurisdiction identified pursuant to clause (i) above to the extent necessary to protect and perfect the security interests under the Security Documents for a period of not less than 18 months after the date of such certificate (except as noted therein with respect to any continuation statements to be filed within such period).</w:t>
      </w:r>
    </w:p>
    <w:p>
      <w:pPr>
        <w:pStyle w:val="TextBody"/>
        <w:spacing w:lineRule="auto" w:line="240" w:before="0" w:after="240"/>
        <w:ind w:left="0" w:right="0" w:firstLine="1440"/>
        <w:rPr/>
      </w:pPr>
      <w:r>
        <w:rPr>
          <w:rFonts w:ascii="Times New Roman;sans-serif" w:hAnsi="Times New Roman;sans-serif"/>
          <w:b w:val="false"/>
          <w:color w:val="000000"/>
          <w:sz w:val="22"/>
        </w:rPr>
        <w:t>SECTION 5.04    </w:t>
      </w:r>
      <w:r>
        <w:rPr>
          <w:rFonts w:ascii="Times New Roman;sans-serif" w:hAnsi="Times New Roman;sans-serif"/>
          <w:b w:val="false"/>
          <w:color w:val="000000"/>
          <w:sz w:val="22"/>
          <w:u w:val="single"/>
        </w:rPr>
        <w:t>Existence; Conduct of Business</w:t>
      </w:r>
      <w:r>
        <w:rPr>
          <w:rFonts w:ascii="Times New Roman;sans-serif" w:hAnsi="Times New Roman;sans-serif"/>
          <w:b w:val="false"/>
          <w:color w:val="000000"/>
          <w:sz w:val="22"/>
        </w:rPr>
        <w:t>.</w:t>
      </w:r>
    </w:p>
    <w:p>
      <w:pPr>
        <w:pStyle w:val="TextBody"/>
        <w:spacing w:lineRule="auto" w:line="240" w:before="0" w:after="240"/>
        <w:ind w:left="0" w:right="0" w:firstLine="1440"/>
        <w:rPr/>
      </w:pPr>
      <w:r>
        <w:rPr>
          <w:rFonts w:ascii="Times New Roman;sans-serif" w:hAnsi="Times New Roman;sans-serif"/>
          <w:b w:val="false"/>
          <w:color w:val="000000"/>
          <w:sz w:val="22"/>
        </w:rPr>
        <w:t xml:space="preserve">(a)    Each of Holdings, the Parent Borrower and the Foreign Subsidiary Borrowers will, and will cause each of the Subsidiaries to, do or cause to be done all things necessary to preserve, renew and keep in full force and effect its legal existence and the rights, licenses, permits, privileges, franchises, patents, copyrights, trademarks and trade names the loss of which would have a Material Adverse Effect;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foregoing shall not prohibit any merger, consolidation, liquidation or dissolution permitted under Section 6.03 or disposition permitted under Section 6.05.</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(b)    Holdings and the Parent Borrower will cause all the Equity Interests of the Foreign Subsidiary Borrowers to be owned, directly or indirectly, by the Parent Borrower or any Subsidiary.</w:t>
      </w:r>
    </w:p>
    <w:p>
      <w:pPr>
        <w:pStyle w:val="TextBody"/>
        <w:spacing w:lineRule="auto" w:line="240" w:before="0" w:after="240"/>
        <w:ind w:left="0" w:right="0" w:firstLine="1440"/>
        <w:rPr/>
      </w:pPr>
      <w:r>
        <w:rPr>
          <w:rFonts w:ascii="Times New Roman;sans-serif" w:hAnsi="Times New Roman;sans-serif"/>
          <w:b w:val="false"/>
          <w:color w:val="000000"/>
          <w:sz w:val="22"/>
        </w:rPr>
        <w:t>SECTION 5.05    </w:t>
      </w:r>
      <w:r>
        <w:rPr>
          <w:rFonts w:ascii="Times New Roman;sans-serif" w:hAnsi="Times New Roman;sans-serif"/>
          <w:b w:val="false"/>
          <w:color w:val="000000"/>
          <w:sz w:val="22"/>
          <w:u w:val="single"/>
        </w:rPr>
        <w:t>Payment of Obligations</w:t>
      </w:r>
      <w:r>
        <w:rPr>
          <w:rFonts w:ascii="Times New Roman;sans-serif" w:hAnsi="Times New Roman;sans-serif"/>
          <w:b w:val="false"/>
          <w:color w:val="000000"/>
          <w:sz w:val="22"/>
        </w:rPr>
        <w:t xml:space="preserve">. Each of Holdings, the Parent Borrower and the Foreign Subsidiary Borrowers will, and will cause each of the Subsidiaries (including the Receivables Subsidiary) to, pay its Indebtedness and other obligations, including Tax liabilities, before the same shall become delinquent or in default, except (a) those being contested in good faith by appropriate proceedings and for which Holdings, the Parent Borrower, or a Foreign Subsidiary Borrower or such Subsidiary, as applicable, has set aside on its books adequate reserves with respect thereto in accordance with GAAP, or (b) to the extent the failure to make payment could not reasonably be expected to result in a Material Adverse Effect;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amounts received from any Loan Party shall be applied to Excluded Swap Obligations of such Loan Party.</w:t>
      </w:r>
    </w:p>
    <w:p>
      <w:pPr>
        <w:pStyle w:val="TextBody"/>
        <w:spacing w:lineRule="auto" w:line="240" w:before="0" w:after="240"/>
        <w:ind w:left="0" w:right="0" w:firstLine="1440"/>
        <w:rPr/>
      </w:pPr>
      <w:r>
        <w:rPr>
          <w:rFonts w:ascii="Times New Roman;sans-serif" w:hAnsi="Times New Roman;sans-serif"/>
          <w:b w:val="false"/>
          <w:color w:val="000000"/>
          <w:sz w:val="22"/>
        </w:rPr>
        <w:t>SECTION 5.06    </w:t>
      </w:r>
      <w:r>
        <w:rPr>
          <w:rFonts w:ascii="Times New Roman;sans-serif" w:hAnsi="Times New Roman;sans-serif"/>
          <w:b w:val="false"/>
          <w:color w:val="000000"/>
          <w:sz w:val="22"/>
          <w:u w:val="single"/>
        </w:rPr>
        <w:t>Maintenance of Properties</w:t>
      </w:r>
      <w:r>
        <w:rPr>
          <w:rFonts w:ascii="Times New Roman;sans-serif" w:hAnsi="Times New Roman;sans-serif"/>
          <w:b w:val="false"/>
          <w:color w:val="000000"/>
          <w:sz w:val="22"/>
        </w:rPr>
        <w:t xml:space="preserve">. Each of Holdings, the Parent Borrower and the Foreign Subsidiary Borrowers will, and will cause each of the Subsidiaries to, keep and maintain all property material to the conduct of their business, taken as a whole, in good working order and condition, ordinary wear and tear excepted;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foregoing shall not prohibit any merger, consolidation, liquidation or dissolution permitted under Section 6.03 or disposition permitted under Section 6.05.</w:t>
      </w:r>
    </w:p>
    <w:p>
      <w:pPr>
        <w:pStyle w:val="TextBody"/>
        <w:spacing w:lineRule="auto" w:line="240" w:before="0" w:after="240"/>
        <w:ind w:left="0" w:right="0" w:firstLine="1440"/>
        <w:rPr/>
      </w:pPr>
      <w:r>
        <w:rPr>
          <w:rFonts w:ascii="Times New Roman;sans-serif" w:hAnsi="Times New Roman;sans-serif"/>
          <w:b w:val="false"/>
          <w:color w:val="000000"/>
          <w:sz w:val="22"/>
        </w:rPr>
        <w:t>SECTION 5.07    </w:t>
      </w:r>
      <w:r>
        <w:rPr>
          <w:rFonts w:ascii="Times New Roman;sans-serif" w:hAnsi="Times New Roman;sans-serif"/>
          <w:b w:val="false"/>
          <w:color w:val="000000"/>
          <w:sz w:val="22"/>
          <w:u w:val="single"/>
        </w:rPr>
        <w:t>Insurance</w:t>
      </w:r>
      <w:r>
        <w:rPr>
          <w:rFonts w:ascii="Times New Roman;sans-serif" w:hAnsi="Times New Roman;sans-serif"/>
          <w:b w:val="false"/>
          <w:color w:val="000000"/>
          <w:sz w:val="22"/>
        </w:rPr>
        <w:t xml:space="preserve">. Each of Holdings, the Parent Borrower and the Foreign Subsidiary Borrowers will, and will cause each of the Subsidiaries to, maintain insurance in such amounts (with no greater risk retention) and against such risks as are customarily maintained by companies of established repute engaged in the same or similar businesses operating in the same or similar locations, except where the failure to do so could not reasonably be expected to result in a Material Adverse Effect. Such insurance shall be maintained with financially sound and reputable insurance companies, except that a portion of such insurance program (not to exceed that which is customary in the case of companies engaged in the same or similar business or having similar properties similarly situated) may be effected through self-insurance;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adequate reserves therefor, in accordance with GAAP, are maintained. In addition, each of Holdings, the Parent Borrower and the Foreign Subsidiary Borrowers will, and will cause each of its Subsidiaries to, maintain all insurance required to be maintained pursuant to the Security Documents. With respect to each Mortgaged Property that is located in an area determined by the Federal Emergency Management Agency to have special flood hazards, the applicable Loan Party will maintain, with financially sound and reputable insurance companies, such flood insurance as is required under applicable law, including the Flood Laws. The Parent Borrower will furnish to the Lenders, upon request of the Administrative Agent, information in reasonable detail as to the insurance so maintained. All insurance policies or certificates (or certified copies thereof) with respect to such insurance shall be endorsed to the Collateral Agent’s reasonable satisfaction for the benefit of the Lenders (including, without limitation, by naming the Collateral Agent as loss payee or additional insured, as appropriate).</w:t>
      </w:r>
      <w:r>
        <w:br w:type="page"/>
      </w:r>
    </w:p>
    <w:p>
      <w:pPr>
        <w:pStyle w:val="TextBody"/>
        <w:spacing w:before="0" w:after="0"/>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60655"/>
                <wp:effectExtent l="0" t="0" r="0" b="0"/>
                <wp:wrapNone/>
                <wp:docPr id="198" name="Frame19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-96-</w:t>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00000"/>
          <w:sz w:val="22"/>
        </w:rPr>
        <w:t>SECTION 5.08    </w:t>
      </w:r>
      <w:r>
        <w:rPr>
          <w:rFonts w:ascii="Times New Roman;sans-serif" w:hAnsi="Times New Roman;sans-serif"/>
          <w:b w:val="false"/>
          <w:color w:val="000000"/>
          <w:sz w:val="22"/>
          <w:u w:val="single"/>
        </w:rPr>
        <w:t>Casualty and Condemnation</w:t>
      </w:r>
      <w:r>
        <w:rPr>
          <w:rFonts w:ascii="Times New Roman;sans-serif" w:hAnsi="Times New Roman;sans-serif"/>
          <w:b w:val="false"/>
          <w:color w:val="000000"/>
          <w:sz w:val="22"/>
        </w:rPr>
        <w:t>. The Parent Borrower will furnish to the Administrative Agent and the Lenders prompt written notice of casualty or other insured damage to any material portion of any Collateral having a book value or fair market value of $1,000,000 or more or the commencement of any action or proceeding for the taking of any Collateral having a book value or fair market value of $1,000,000 or more or any part thereof or interest therein under power of eminent domain or by condemnation or similar proceeding.</w:t>
      </w:r>
    </w:p>
    <w:p>
      <w:pPr>
        <w:pStyle w:val="TextBody"/>
        <w:spacing w:lineRule="auto" w:line="240" w:before="0" w:after="240"/>
        <w:ind w:left="0" w:right="0" w:firstLine="1440"/>
        <w:rPr/>
      </w:pPr>
      <w:r>
        <w:rPr>
          <w:rFonts w:ascii="Times New Roman;sans-serif" w:hAnsi="Times New Roman;sans-serif"/>
          <w:b w:val="false"/>
          <w:color w:val="000000"/>
          <w:sz w:val="22"/>
        </w:rPr>
        <w:t>SECTION 5.09    </w:t>
      </w:r>
      <w:r>
        <w:rPr>
          <w:rFonts w:ascii="Times New Roman;sans-serif" w:hAnsi="Times New Roman;sans-serif"/>
          <w:b w:val="false"/>
          <w:color w:val="000000"/>
          <w:sz w:val="22"/>
          <w:u w:val="single"/>
        </w:rPr>
        <w:t>Books and Records; Inspection and Audit Rights</w:t>
      </w:r>
      <w:r>
        <w:rPr>
          <w:rFonts w:ascii="Times New Roman;sans-serif" w:hAnsi="Times New Roman;sans-serif"/>
          <w:b w:val="false"/>
          <w:color w:val="000000"/>
          <w:sz w:val="22"/>
        </w:rPr>
        <w:t>. Each of Holdings, the Parent Borrower, the and the Foreign Subsidiary Borrowers will, and will cause each of the Subsidiaries to, keep proper books of record and account in which full, true and correct entries are made of all dealings and transactions in relation to its business and activities. Each of Holdings, the Parent Borrower and the Foreign Subsidiary Borrowers will, and will cause each of the Subsidiaries to, permit any representatives designated by the 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w:t>
      </w:r>
    </w:p>
    <w:p>
      <w:pPr>
        <w:pStyle w:val="TextBody"/>
        <w:spacing w:lineRule="auto" w:line="240" w:before="0" w:after="240"/>
        <w:ind w:left="0" w:right="0" w:firstLine="1440"/>
        <w:rPr/>
      </w:pPr>
      <w:r>
        <w:rPr>
          <w:rFonts w:ascii="Times New Roman;sans-serif" w:hAnsi="Times New Roman;sans-serif"/>
          <w:b w:val="false"/>
          <w:color w:val="000000"/>
          <w:sz w:val="22"/>
        </w:rPr>
        <w:t>SECTION 5.10    </w:t>
      </w:r>
      <w:r>
        <w:rPr>
          <w:rFonts w:ascii="Times New Roman;sans-serif" w:hAnsi="Times New Roman;sans-serif"/>
          <w:b w:val="false"/>
          <w:color w:val="000000"/>
          <w:sz w:val="22"/>
          <w:u w:val="single"/>
        </w:rPr>
        <w:t>Compliance with Laws</w:t>
      </w:r>
      <w:r>
        <w:rPr>
          <w:rFonts w:ascii="Times New Roman;sans-serif" w:hAnsi="Times New Roman;sans-serif"/>
          <w:b w:val="false"/>
          <w:color w:val="000000"/>
          <w:sz w:val="22"/>
        </w:rPr>
        <w:t>. Each of Holdings, the Parent Borrower and the Foreign Subsidiary Borrowers will, and will cause each of the Subsidiaries to, comply with all laws, rules, regulations and orders of any Governmental Authority applicable to it or its property, except where the failure to do so, individually or in the aggregate, could not reasonably be expected to result in a Material Adverse Effect. The Parent Borrower will maintain in effect and enforce policies and procedures designed to ensure compliance by Holdings, the Parent Borrower, its Subsidiaries and their respective directors, officers, employees and agents with Anti-Corruption Laws and applicable Sanctions. Each Loan Party shall (and Holdings will ensure that each Subsidiary shall) (a) comply with any notice served on it pursuant to Part 21A of the Companies Act 2006 with respect to any Secured English Shares within the timeframe specified in the notice, and promptly provide the Collateral Agent with a copy of any such notice, and (b) procure that neither it nor any of its subsidiaries shall issue a Warning Notice or Restrictions Notice with respect to Secured English Shares unless it is required by law to do so.</w:t>
      </w:r>
    </w:p>
    <w:p>
      <w:pPr>
        <w:pStyle w:val="TextBody"/>
        <w:spacing w:lineRule="auto" w:line="240" w:before="0" w:after="240"/>
        <w:ind w:left="0" w:right="0" w:firstLine="1440"/>
        <w:rPr/>
      </w:pPr>
      <w:r>
        <w:rPr>
          <w:rFonts w:ascii="Times New Roman;sans-serif" w:hAnsi="Times New Roman;sans-serif"/>
          <w:b w:val="false"/>
          <w:color w:val="000000"/>
          <w:sz w:val="22"/>
        </w:rPr>
        <w:t>SECTION 5.11    </w:t>
      </w:r>
      <w:r>
        <w:rPr>
          <w:rFonts w:ascii="Times New Roman;sans-serif" w:hAnsi="Times New Roman;sans-serif"/>
          <w:b w:val="false"/>
          <w:color w:val="000000"/>
          <w:sz w:val="22"/>
          <w:u w:val="single"/>
        </w:rPr>
        <w:t>Use of Proceeds and Letters of Credit</w:t>
      </w:r>
      <w:r>
        <w:rPr>
          <w:rFonts w:ascii="Times New Roman;sans-serif" w:hAnsi="Times New Roman;sans-serif"/>
          <w:b w:val="false"/>
          <w:color w:val="000000"/>
          <w:sz w:val="22"/>
        </w:rPr>
        <w:t>. The proceeds of the Revolving Loans and Swingline Loans will be used only for general corporate purposes and, to the extent permitted by Section 6.01(a)(i), Permitted Acquisitions. Letters of Credit will be available only for general corporate purposes. No part of the proceeds of any Loan will be used, whether directly or indirectly, for any purpose that entails a violation of any of the Regulations of the Board, including Regulations T, U and X.</w:t>
      </w:r>
    </w:p>
    <w:p>
      <w:pPr>
        <w:pStyle w:val="TextBody"/>
        <w:spacing w:lineRule="auto" w:line="240" w:before="0" w:after="240"/>
        <w:ind w:left="0" w:right="0" w:firstLine="1440"/>
        <w:rPr/>
      </w:pPr>
      <w:r>
        <w:rPr>
          <w:rFonts w:ascii="Times New Roman;sans-serif" w:hAnsi="Times New Roman;sans-serif"/>
          <w:b w:val="false"/>
          <w:color w:val="000000"/>
          <w:sz w:val="22"/>
        </w:rPr>
        <w:t>SECTION 5.12    </w:t>
      </w:r>
      <w:r>
        <w:rPr>
          <w:rFonts w:ascii="Times New Roman;sans-serif" w:hAnsi="Times New Roman;sans-serif"/>
          <w:b w:val="false"/>
          <w:color w:val="000000"/>
          <w:sz w:val="22"/>
          <w:u w:val="single"/>
        </w:rPr>
        <w:t>Additional Subsidiaries</w:t>
      </w:r>
      <w:r>
        <w:rPr>
          <w:rFonts w:ascii="Times New Roman;sans-serif" w:hAnsi="Times New Roman;sans-serif"/>
          <w:b w:val="false"/>
          <w:color w:val="000000"/>
          <w:sz w:val="22"/>
        </w:rPr>
        <w:t>. If any additional Subsidiary is formed or acquired after the Second Restatement Date, the Parent Borrower will, within five Business Days after such Subsidiary is formed or acquired, notify the Administrative Agent and the Lenders thereof and, within 30 days (or such longer period as may be agreed to by the Administrative Agent) after such Subsidiary is formed or acquired, cause the Collateral and Guarantee Requirement and the Foreign Security Collateral and Guarantee Requirement to be satisfied with respect to such Subsidiary, including with respect to any Equity Interest in or Indebtedness of such Subsidiary owned by or on behalf of any Loan Party.</w:t>
      </w:r>
    </w:p>
    <w:p>
      <w:pPr>
        <w:pStyle w:val="TextBody"/>
        <w:spacing w:lineRule="auto" w:line="240" w:before="0" w:after="240"/>
        <w:ind w:left="0" w:right="0" w:firstLine="1440"/>
        <w:rPr/>
      </w:pPr>
      <w:r>
        <w:rPr>
          <w:rFonts w:ascii="Times New Roman;sans-serif" w:hAnsi="Times New Roman;sans-serif"/>
          <w:b w:val="false"/>
          <w:color w:val="000000"/>
          <w:sz w:val="22"/>
        </w:rPr>
        <w:t>SECTION 5.13    </w:t>
      </w:r>
      <w:r>
        <w:rPr>
          <w:rFonts w:ascii="Times New Roman;sans-serif" w:hAnsi="Times New Roman;sans-serif"/>
          <w:b w:val="false"/>
          <w:color w:val="000000"/>
          <w:sz w:val="22"/>
          <w:u w:val="single"/>
        </w:rPr>
        <w:t>Further Assurances</w:t>
      </w:r>
      <w:r>
        <w:rPr>
          <w:rFonts w:ascii="Times New Roman;sans-serif" w:hAnsi="Times New Roman;sans-serif"/>
          <w:b w:val="false"/>
          <w:color w:val="000000"/>
          <w:sz w:val="22"/>
        </w:rPr>
        <w: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(a)    Each of Holdings, the Parent Borrower and the Foreign Subsidiary Borrowers will, and will cause each Subsidiary Loan Party to, execute any and all further documents, financing statements, agreements and instruments, and take all such further actions (including the filing and recording of financing statements, fixture filings, mortgages, deeds of trust, landlord waivers and other documents), which may be required under any applicable law, or which the Administrative Agent or the Required Lenders may reasonably request, to cause the Collateral and Guarantee Requirement and the Foreign Security Collateral and Guarantee Requirement to be and remain satisfied, all at the expense of the Loan Parties. Holdings, the Parent Borrower and the Foreign Subsidiary Borrowers also agree to provide to the Administrative Agent, from time to time upon request, evidence reasonably satisfactory to </w:t>
      </w:r>
      <w:r>
        <w:br w:type="page"/>
      </w:r>
    </w:p>
    <w:p>
      <w:pPr>
        <w:pStyle w:val="TextBody"/>
        <w:spacing w:before="0" w:after="0"/>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60655"/>
                <wp:effectExtent l="0" t="0" r="0" b="0"/>
                <wp:wrapNone/>
                <wp:docPr id="199" name="Frame19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-97-</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Administrative Agent as to the perfection and priority of the Liens created or intended to be created by the Security Documents.</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(b)    If any assets (including any real property or improvements thereto or any interest therein) having a book value or fair market value of $10,000,000 or more in the aggregate are acquired by the Parent Borrower or any Subsidiary Loan Party after the Second Restatement Date or through the acquisition of a Subsidiary Loan Party under Section 5.12 (other than, in each case, assets constituting Collateral under the Security Agreement or the Pledge Agreement that become subject to the Lien of the Security Agreement or the Pledge Agreement upon acquisition thereof), the Parent Borrower or, if applicable, the relevant Subsidiary Loan Party will notify the Administrative Agent and the Lenders thereof, and, if reasonably requested by the Administrative Agent or the Required Lenders, the Parent Borrower will cause such assets to be subjected to a Lien securing the Obligations and will take, and cause the Subsidiary Loan Parties to take, such actions as shall be necessary or reasonably requested by the Administrative Agent to grant and perfect such Liens, including actions described in paragraph (a) of this Section, all at the expense of the Loan Parties. Notwithstanding the foregoing, the Administrative Agent shall not enter into any Mortgage in respect of any real property acquired by the Parent Borrower or any other Loan Party after the Second Restatement Date until the date that is 45 days after the Administrative Agent has delivered to the Lenders (which may be delivered electronically) the following documents in respect of such real property: (i) completed “Life of Loan” Federal Emergency Management Agency standard flood hazard determination(s) with respect to the Mortgaged Property and related documents with respect to the Mortgaged Property reasonably requested by any Lender; (ii) if such real property is located in a “special flood hazard area”, a notification to each Parent Borrower (and applicable Loan Party) of that fact and notification to each Borrower (and applicable Loan Party) stating whether flood insurance coverage is available, and evidence that each Borrower (or other Loan Party) to which a notice was sent, has signed and returned the notice; and (iii) if such notice is required to be provided to the Parent Borrower (or applicable Loan Party) and flood insurance is available in the community in which such real property is located, a copy of the policy, or declaration evidencing such required flood insurance in an amount and with terms required by the Flood Laws.</w:t>
      </w:r>
    </w:p>
    <w:p>
      <w:pPr>
        <w:pStyle w:val="TextBody"/>
        <w:spacing w:lineRule="auto" w:line="240" w:before="0" w:after="240"/>
        <w:jc w:val="center"/>
        <w:rPr/>
      </w:pPr>
      <w:r>
        <w:rPr>
          <w:rFonts w:ascii="Times New Roman;sans-serif" w:hAnsi="Times New Roman;sans-serif"/>
          <w:b w:val="false"/>
          <w:color w:val="000000"/>
          <w:sz w:val="22"/>
        </w:rPr>
        <w:t>ARTICLE VI</w:t>
      </w:r>
      <w:r>
        <w:rPr>
          <w:rFonts w:ascii="Times New Roman;sans-serif" w:hAnsi="Times New Roman;sans-serif"/>
          <w:b w:val="false"/>
          <w:color w:val="000000"/>
          <w:sz w:val="22"/>
          <w:u w:val="single"/>
        </w:rPr>
        <w:br/>
        <w:br/>
        <w:t>Negative Covenants</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Until the Commitments have expired or terminated and the principal of and interest on each Loan and all fees payable hereunder have been paid in full and all Letters of Credit have expired or terminated and all LC Disbursements shall have been reimbursed, each of Holdings, the Parent Borrower and each Foreign Subsidiary Borrower (as to itself only) covenants and agrees with the Lenders that:</w:t>
      </w:r>
    </w:p>
    <w:p>
      <w:pPr>
        <w:pStyle w:val="TextBody"/>
        <w:spacing w:lineRule="auto" w:line="240" w:before="0" w:after="240"/>
        <w:ind w:left="0" w:right="0" w:firstLine="1440"/>
        <w:rPr/>
      </w:pPr>
      <w:r>
        <w:rPr>
          <w:rFonts w:ascii="Times New Roman;sans-serif" w:hAnsi="Times New Roman;sans-serif"/>
          <w:b w:val="false"/>
          <w:color w:val="000000"/>
          <w:sz w:val="22"/>
        </w:rPr>
        <w:t>SECTION 6.01    </w:t>
      </w:r>
      <w:r>
        <w:rPr>
          <w:rFonts w:ascii="Times New Roman;sans-serif" w:hAnsi="Times New Roman;sans-serif"/>
          <w:b w:val="false"/>
          <w:color w:val="000000"/>
          <w:sz w:val="22"/>
          <w:u w:val="single"/>
        </w:rPr>
        <w:t>Indebtedness; Certain Equity Securities</w:t>
      </w:r>
      <w:r>
        <w:rPr>
          <w:rFonts w:ascii="Times New Roman;sans-serif" w:hAnsi="Times New Roman;sans-serif"/>
          <w:b w:val="false"/>
          <w:color w:val="000000"/>
          <w:sz w:val="22"/>
        </w:rPr>
        <w: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(a)    None of Holdings, the Parent Borrower or any Foreign Subsidiary Borrower will, nor will they permit any Subsidiary to, create, incur, assume or permit to exist any Indebtedness, except:</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    Indebtedness created under the Loan Documents;</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(ii)    (A) the Permitted Receivables Financing, (B) financings in respect of sales of accounts receivable by a Foreign Subsidiary permitted by Section 6.05(c)(ii) and (C) the Specified Vendor Receivables Financing;</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(iii)    Indebtedness existing on the Second Restatement Date and set forth in Schedule 6.01 and extensions, renewals and replacements of any such Indebtedness that do not increase the outstanding principal amount as specified on such Schedule 6.01, plus any additional Indebtedness incurred to pay premiums (including tender premiums), accrued and unpaid interest, expenses, defeasance costs and fees in connection therewith, or result in an earlier maturity date or decreased weighted average life thereof;</w:t>
      </w:r>
    </w:p>
    <w:p>
      <w:pPr>
        <w:pStyle w:val="TextBody"/>
        <w:spacing w:lineRule="auto" w:line="240" w:before="0" w:after="240"/>
        <w:ind w:left="0" w:right="0" w:firstLine="1008"/>
        <w:rPr/>
      </w:pPr>
      <w:r>
        <w:rPr>
          <w:rFonts w:ascii="Times New Roman;sans-serif" w:hAnsi="Times New Roman;sans-serif"/>
          <w:b w:val="false"/>
          <w:color w:val="000000"/>
          <w:sz w:val="22"/>
        </w:rPr>
        <w:t xml:space="preserve">(iv)    Permitted Unsecured Debt of the Parent Borrower;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Total Net Leverage Ratio, on a pro forma basis after giving effect to the incurrence of such Permitted </w:t>
      </w:r>
      <w:r>
        <w:br w:type="page"/>
      </w:r>
    </w:p>
    <w:p>
      <w:pPr>
        <w:pStyle w:val="TextBody"/>
        <w:spacing w:before="0" w:after="0"/>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60655"/>
                <wp:effectExtent l="0" t="0" r="0" b="0"/>
                <wp:wrapNone/>
                <wp:docPr id="200" name="Frame19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-98-</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2"/>
        </w:rPr>
        <w:t>Unsecured Debt and recomputed as of the last day of the most recently ended fiscal quarter of Holdings for which financial statements are available, as if such incurrence (and any related repayment of Indebtedness) had occurred on the first day of the relevant period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incurrence of Permitted Unsecured Debt that occurs prior to the first testing period under Section 6.13 shall be deemed to have occurred during such first testing period), is at least 0.25 less than is otherwise required pursuant to Section 6.13 at the time of such event;</w:t>
      </w:r>
    </w:p>
    <w:p>
      <w:pPr>
        <w:pStyle w:val="TextBody"/>
        <w:spacing w:lineRule="auto" w:line="240" w:before="0" w:after="240"/>
        <w:ind w:left="0" w:right="0" w:firstLine="1008"/>
        <w:rPr/>
      </w:pPr>
      <w:r>
        <w:rPr>
          <w:rFonts w:ascii="Times New Roman;sans-serif" w:hAnsi="Times New Roman;sans-serif"/>
          <w:b w:val="false"/>
          <w:color w:val="000000"/>
          <w:sz w:val="22"/>
        </w:rPr>
        <w:t xml:space="preserve">(v)    Indebtedness of the Parent Borrower to any Subsidiary and of any Subsidiary to the Parent Borrower or any other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Indebtedness of any Subsidiary that is not a Domestic Loan Party to the Parent Borrower or any Subsidiary Loan Party shall be subject to Section 6.04;</w:t>
      </w:r>
    </w:p>
    <w:p>
      <w:pPr>
        <w:pStyle w:val="TextBody"/>
        <w:spacing w:lineRule="auto" w:line="240" w:before="0" w:after="240"/>
        <w:ind w:left="0" w:right="0" w:firstLine="1008"/>
        <w:rPr/>
      </w:pPr>
      <w:r>
        <w:rPr>
          <w:rFonts w:ascii="Times New Roman;sans-serif" w:hAnsi="Times New Roman;sans-serif"/>
          <w:b w:val="false"/>
          <w:color w:val="000000"/>
          <w:sz w:val="22"/>
        </w:rPr>
        <w:t xml:space="preserve">(vi)    Guarantees by the Parent Borrower of Indebtedness of any Subsidiary and by any Subsidiary of Indebtedness of the Parent Borrower or any other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Guarantees by the Parent Borrower or any Subsidiary Loan Party of Indebtedness of any Subsidiary that is not a Domestic Loan Party shall be subject to Section 6.04;</w:t>
      </w:r>
    </w:p>
    <w:p>
      <w:pPr>
        <w:pStyle w:val="TextBody"/>
        <w:spacing w:lineRule="auto" w:line="240" w:before="0" w:after="240"/>
        <w:ind w:left="0" w:right="0" w:firstLine="1008"/>
        <w:rPr/>
      </w:pPr>
      <w:r>
        <w:rPr>
          <w:rFonts w:ascii="Times New Roman;sans-serif" w:hAnsi="Times New Roman;sans-serif"/>
          <w:b w:val="false"/>
          <w:color w:val="000000"/>
          <w:sz w:val="22"/>
        </w:rPr>
        <w:t xml:space="preserve">(vii)    Guarantees by Holdings, the Parent Borrower or any Subsidiary, as the case may be, in respect of (A) any Incremental Equivalent Debt or (B) any Permitted Unsecured Debt;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none of Holdings, the Parent Borrower or any Subsidiary, as the case may be, shall Guarantee such Indebtedness unless it also has Guaranteed the Obligations pursuant to the Guarantee Agreement;</w:t>
      </w:r>
    </w:p>
    <w:p>
      <w:pPr>
        <w:pStyle w:val="TextBody"/>
        <w:spacing w:lineRule="auto" w:line="240" w:before="0" w:after="240"/>
        <w:ind w:left="0" w:right="0" w:firstLine="1008"/>
        <w:rPr/>
      </w:pPr>
      <w:r>
        <w:rPr>
          <w:rFonts w:ascii="Times New Roman;sans-serif" w:hAnsi="Times New Roman;sans-serif"/>
          <w:b w:val="false"/>
          <w:color w:val="000000"/>
          <w:sz w:val="22"/>
        </w:rPr>
        <w:t xml:space="preserve">(viii)    Indebtedness of the Parent Borrower or any Subsidiary incurred to finance the acquisition, construction or improvement of any fixed or capital assets, including Financing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or result in an earlier maturity date or decreased weighted average life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such Indebtedness is incurred prior to or within 270 days after such acquisition or the completion of such construction or improvement and (B) the aggregate principal amount of Indebtedness permitted by this clause (viii) shall not exceed the greater of $60,000,000 and 5.5% of Consolidated Total Assets of Holdings (as of the date of incurrence of such Indebtedness) at any time outstanding;</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(ix)    Indebtedness arising as a result of an Acquisition Lease Financing or any other sale and leaseback transaction permitted under Section 6.06;</w:t>
      </w:r>
    </w:p>
    <w:p>
      <w:pPr>
        <w:pStyle w:val="TextBody"/>
        <w:spacing w:lineRule="auto" w:line="240" w:before="0" w:after="240"/>
        <w:ind w:left="0" w:right="0" w:firstLine="1008"/>
        <w:rPr/>
      </w:pPr>
      <w:r>
        <w:rPr>
          <w:rFonts w:ascii="Times New Roman;sans-serif" w:hAnsi="Times New Roman;sans-serif"/>
          <w:b w:val="false"/>
          <w:color w:val="000000"/>
          <w:sz w:val="22"/>
        </w:rPr>
        <w:t xml:space="preserve">(x)    Indebtedness of any Person that becomes a Subsidiary after the Second Restatement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such Indebtedness exists at the time such Person becomes a Subsidiary and is not created in contemplation of or in connection with such Person becoming a Subsidiary and (B) the aggregate principal amount of Indebtedness permitted by this clause (x) shall not exceed the greater of 5.0% of Consolidated Total Assets of Holdings (as of the date of incurrence of such Indebtedness) and $60,000,000, at any time outstanding, less the liquidation value of any outstanding Assumed Preferred Stock;</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(xi)    Indebtedness of Holdings, the Parent Borrower or any Subsidiary in respect of workers’ compensation claims, self-insurance obligations, performance bonds, surety appeal or similar bonds, completion guarantees and similar obligations provided by Holdings, the Parent Borrower and the Subsidiaries in the ordinary course of their business or consistent with past practice or industry practice;</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(xii)    other Indebtedness of Holdings, the Parent Borrower or any Subsidiary in an aggregate principal amount not exceeding the greater of $35,000,000 and 3.5% of Consolidated Total Assets of Holdings (as of the date of incurrence of such Indebtedness) at any time outstanding, less the liquidation value of any applicable Qualified Holdings Preferred Stock issued and outstanding pursuant to clause (b) of the definition of Qualified Holdings Preferred Stock;</w:t>
      </w:r>
      <w:r>
        <w:br w:type="page"/>
      </w:r>
    </w:p>
    <w:p>
      <w:pPr>
        <w:pStyle w:val="TextBody"/>
        <w:spacing w:before="0" w:after="0"/>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60655"/>
                <wp:effectExtent l="0" t="0" r="0" b="0"/>
                <wp:wrapNone/>
                <wp:docPr id="201" name="Frame20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-99-</w:t>
                      </w:r>
                    </w:p>
                  </w:txbxContent>
                </v:textbox>
              </v:rect>
            </w:pict>
          </mc:Fallback>
        </mc:AlternateConten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(xiii)    Indebtedness (which may be secured) of Foreign Subsidiaries in an aggregate amount not exceeding the greater of 12.5% of Consolidated Total Assets of Holdings (as of the date of incurrence of such Indebtedness) and $150,000,000, at any time outstanding;</w:t>
      </w:r>
    </w:p>
    <w:p>
      <w:pPr>
        <w:pStyle w:val="TextBody"/>
        <w:spacing w:lineRule="auto" w:line="240" w:before="0" w:after="240"/>
        <w:ind w:left="0" w:right="0" w:firstLine="1008"/>
        <w:rPr/>
      </w:pPr>
      <w:r>
        <w:rPr>
          <w:rFonts w:ascii="Times New Roman;sans-serif" w:hAnsi="Times New Roman;sans-serif"/>
          <w:b w:val="false"/>
          <w:color w:val="000000"/>
          <w:sz w:val="22"/>
        </w:rPr>
        <w:t xml:space="preserve">(xiv)    Indebtedness arising from the honoring by a bank or other financial institution of a check, draft or similar instrument drawn against insufficient funds in the ordinary course of business;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such Indebtedness is extinguished within ten Business Days of incurrence;</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(xv)    Indebtedness arising in connection with endorsement of instruments for deposit in the ordinary course of business;</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(xvi)    Indebtedness incurred in connection with (1) the financing of insurance premiums or (2) take-or-pay obligations contained in supply arrangements, in each case, in the ordinary course of business;</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(xvii)    contingent obligations to financial institutions, in each case to the extent in the ordinary course of business and on terms and conditions which are within the general parameters customary in the banking industry (as determined in good faith by the Parent Borrower), entered into to obtain cash management services or deposit account overdraft protection services (in an amount similar to those offered for comparable services in the financial industry) or other services in connection with the management or opening of deposit accounts or incurred as a result of endorsement of negotiable instruments for deposit or collection purposes and other customary, contingent obligations of the Parent Borrower and its Subsidiaries incurred in the ordinary course of business;</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(xviii)    unsecured guarantees by the Parent Borrower or any Subsidiary Loan Party of facility leases of any Loan Party;</w:t>
      </w:r>
    </w:p>
    <w:p>
      <w:pPr>
        <w:pStyle w:val="TextBody"/>
        <w:spacing w:lineRule="auto" w:line="240" w:before="0" w:after="240"/>
        <w:ind w:left="0" w:right="0" w:firstLine="1008"/>
        <w:rPr/>
      </w:pPr>
      <w:r>
        <w:rPr>
          <w:rFonts w:ascii="Times New Roman;sans-serif" w:hAnsi="Times New Roman;sans-serif"/>
          <w:b w:val="false"/>
          <w:color w:val="000000"/>
          <w:sz w:val="22"/>
        </w:rPr>
        <w:t xml:space="preserve">(xix)    Indebtedness of the Parent Borrower or any Subsidiary Loan Party under Hedging Agreements with respect to interest rates, foreign currency exchange rates or commodity prices, in each case not entered into for speculative purposes;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such Hedging Agreements relate to interest rates, (A) such Hedging Agreements relate to payment obligations on Indebtedness otherwise permitted to be incurred by the Loan Documents and (B) the notional principal amount of such Hedging Agreements at the time incurred does not exceed the principal amount of the Indebtedness to which such Hedging Agreements relate; </w:t>
      </w:r>
    </w:p>
    <w:p>
      <w:pPr>
        <w:pStyle w:val="TextBody"/>
        <w:spacing w:lineRule="auto" w:line="240" w:before="0" w:after="240"/>
        <w:ind w:left="0" w:right="0" w:firstLine="1008"/>
        <w:rPr/>
      </w:pPr>
      <w:r>
        <w:rPr>
          <w:rFonts w:ascii="Times New Roman;sans-serif" w:hAnsi="Times New Roman;sans-serif"/>
          <w:b w:val="false"/>
          <w:color w:val="000000"/>
          <w:sz w:val="22"/>
        </w:rPr>
        <w:t>(xx)    secured or unsecured notes (such notes, “</w:t>
      </w:r>
      <w:r>
        <w:rPr>
          <w:rFonts w:ascii="Times New Roman;sans-serif" w:hAnsi="Times New Roman;sans-serif"/>
          <w:b w:val="false"/>
          <w:color w:val="000000"/>
          <w:sz w:val="22"/>
          <w:u w:val="single"/>
        </w:rPr>
        <w:t>Incremental Equivalent Debt</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at the time of (and after giving effect to) the incurrence of any Incremental Equivalent Debt, the aggregate amount of all Incremental Equivalent Debt, together with the aggregate amount of all Incremental Revolving Commitments incurred after the Second Restatement Date (and prior to (or substantially simultaneously with) the incurrence of such Incremental Equivalent Debt), shall not exceed the sum of (1) $200,000,000 and (2) an amount such that, after giving effect to the incurrence of such Incremental Equivalent Debt and the making of any other Indebtedness incurred substantially simultaneously therewith (and assuming in the case of any Incremental Revolving Commitments established substantially simultaneously therewith that such Incremental Revolving Commitments are fully drawn), the Senior Secured Net Leverage Ratio, calculated on a pro forma basis, is no greater than 3.00 to 1.00 (it being understood that </w:t>
      </w:r>
      <w:r>
        <w:rPr>
          <w:rFonts w:ascii="Times New Roman;sans-serif" w:hAnsi="Times New Roman;sans-serif"/>
          <w:b w:val="false"/>
          <w:color w:val="000000"/>
          <w:sz w:val="22"/>
          <w:highlight w:val="white"/>
        </w:rPr>
        <w:t>(i) indebtedness may be incurred under clause (2) prior to indebtedness being incurred under clause (1) and (ii) if indebtedness is incurred under clause (1) and/or Incremental Revolving Commitments are incurred under clause (A) of Section 2.21(a) on the same date that indebtedness is incurred under clause (2), then the Senior Secured Net Leverage Ratio for purposes of clause (2) will be calculated without giving regard to any incurrence on such date of indebtedness under clause (1) or any incurrence of Incremental Revolving Commitments under clause (A) of Section 2.21(a))</w:t>
      </w:r>
      <w:r>
        <w:rPr>
          <w:rFonts w:ascii="Times New Roman;sans-serif" w:hAnsi="Times New Roman;sans-serif"/>
          <w:b w:val="false"/>
          <w:color w:val="000000"/>
          <w:sz w:val="22"/>
        </w:rPr>
        <w:t xml:space="preserve">, (B) the incurrence of such Indebtedness shall be subject to clauses (i) through (iii) of Section 2.21(c) as if such Incremental Equivalent Debt were an Incremental Revolving Commitment, (C) such Indebtedness shall mature no earlier than 91 days after the Latest Maturity Date then in effect, (D) such Incremental Equivalent Debt shall not have a </w:t>
      </w:r>
      <w:r>
        <w:br w:type="page"/>
      </w:r>
    </w:p>
    <w:p>
      <w:pPr>
        <w:pStyle w:val="TextBody"/>
        <w:spacing w:before="0" w:after="0"/>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60655"/>
                <wp:effectExtent l="0" t="0" r="0" b="0"/>
                <wp:wrapNone/>
                <wp:docPr id="202" name="Frame20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definition of “Change of Control” or “Change in Control” (or any other defined term having a similar purpose) that is materially more restrictive than the definition of Change of Control set forth herein and (E) such Incremental Equivalent Debt shall not be subject to a financial maintenance covenant more favorable to the holders thereof than those contained in the Loan Documents (other than for periods after the Latest Maturity Date then in effect); </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(xxi)    unsecured Indebtedness in an aggregate outstanding amount not to exceed the Net Proceeds received by Holdings after the Second Restatement Date from (A) cash contributions (other than from the Parent Borrower or a Subsidiary) to Holdings or (B) the issuance and sale of its Equity Interests (other than Disqualified Equity Interests and other than a sale to the Parent Borrower or a Subsidiary);</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 xml:space="preserve">(xxii)    Indebtedness in respect of obligations of the Parent Borrower or any Subsidiary to pay the deferred purchase price of goods or services or progress payments in connection with such goods and services; provided that such obligations are incurred in connection with open accounts extended by suppliers on customary trade terms in the ordinary course of business and not in connection with the borrowing of any money or any Hedging Agreements. </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(b)    None of Holdings, the Parent Borrower or any Foreign Subsidiary Borrower will, nor will they permit any Subsidiary to, issue any preferred stock or other preferred Equity Interests, except (i) Qualified Holdings Preferred Stock, (ii) Assumed Preferred Stock and (iii) preferred stock or preferred Equity Interests held by Holdings, the Parent Borrower or any Subsidiary.</w:t>
      </w:r>
    </w:p>
    <w:p>
      <w:pPr>
        <w:pStyle w:val="TextBody"/>
        <w:spacing w:lineRule="auto" w:line="240" w:before="0" w:after="240"/>
        <w:ind w:left="0" w:right="0" w:firstLine="1440"/>
        <w:rPr/>
      </w:pPr>
      <w:r>
        <w:rPr>
          <w:rFonts w:ascii="Times New Roman;sans-serif" w:hAnsi="Times New Roman;sans-serif"/>
          <w:b w:val="false"/>
          <w:color w:val="000000"/>
          <w:sz w:val="22"/>
        </w:rPr>
        <w:t>SECTION 6.02    </w:t>
      </w:r>
      <w:r>
        <w:rPr>
          <w:rFonts w:ascii="Times New Roman;sans-serif" w:hAnsi="Times New Roman;sans-serif"/>
          <w:b w:val="false"/>
          <w:color w:val="000000"/>
          <w:sz w:val="22"/>
          <w:u w:val="single"/>
        </w:rPr>
        <w:t>Liens</w:t>
      </w:r>
      <w:r>
        <w:rPr>
          <w:rFonts w:ascii="Times New Roman;sans-serif" w:hAnsi="Times New Roman;sans-serif"/>
          <w:b w:val="false"/>
          <w:color w:val="000000"/>
          <w:sz w:val="22"/>
        </w:rPr>
        <w:t>. None of Holdings, the Parent Borrower or any Foreign Subsidiary Borrower will, nor will they permit any Subsidiary to, create, incur, assume or permit to exist any Lien on any property or asset now owned or hereafter acquired by it, or assign or sell any income or revenues (including accounts receivable) or rights in respect of any thereof, except:</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    Liens created under the Loan Documents;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    Permitted Encumbrances;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    Liens in respect of the Permitted Receivables Financing and the Specified Vendor Receivables Financing;</w:t>
      </w:r>
    </w:p>
    <w:p>
      <w:pPr>
        <w:pStyle w:val="TextBody"/>
        <w:spacing w:lineRule="auto" w:line="240" w:before="0" w:after="240"/>
        <w:ind w:left="0" w:right="0" w:firstLine="720"/>
        <w:rPr/>
      </w:pPr>
      <w:r>
        <w:rPr>
          <w:rFonts w:ascii="Times New Roman;sans-serif" w:hAnsi="Times New Roman;sans-serif"/>
          <w:b w:val="false"/>
          <w:color w:val="000000"/>
          <w:sz w:val="22"/>
        </w:rPr>
        <w:t xml:space="preserve">(d)    any Lien on any property or asset of Holdings, the Parent Borrower or any Subsidiary existing on the Second Restatement Date and set forth in Schedule 6.02;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such Lien shall not apply to any other property or asset of Holdings, the Parent Borrower or any Subsidiary and (ii) such Lien shall secure only those obligations which it secures on the Second Restatement Date and extensions, renewals and replacements thereof that do not increase the outstanding principal amount thereof;</w:t>
      </w:r>
    </w:p>
    <w:p>
      <w:pPr>
        <w:pStyle w:val="TextBody"/>
        <w:spacing w:lineRule="auto" w:line="240" w:before="0" w:after="240"/>
        <w:ind w:left="0" w:right="0" w:firstLine="720"/>
        <w:rPr/>
      </w:pPr>
      <w:r>
        <w:rPr>
          <w:rFonts w:ascii="Times New Roman;sans-serif" w:hAnsi="Times New Roman;sans-serif"/>
          <w:b w:val="false"/>
          <w:color w:val="000000"/>
          <w:sz w:val="22"/>
        </w:rPr>
        <w:t xml:space="preserve">(e)    any Lien existing on any property or asset prior to the acquisition thereof by the Parent Borrower or any Subsidiary or existing on any property or asset of any Person that becomes a Subsidiary after the Second Restatement Date prior to the time such Person becomes a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such Lien is not created in contemplation of or in connection with such acquisition or such Person becoming a Subsidiary, as the case may be, (ii) such Lien shall not apply to any other property or assets of the Parent Borrower or any Subsidiary and (iii) such Lien shall secure only those obligations which it secures on the date of such acquisition or the date such Person becomes a Subsidiary, as the case may be;</w:t>
      </w:r>
    </w:p>
    <w:p>
      <w:pPr>
        <w:pStyle w:val="TextBody"/>
        <w:spacing w:lineRule="auto" w:line="240" w:before="0" w:after="240"/>
        <w:ind w:left="0" w:right="0" w:firstLine="720"/>
        <w:rPr/>
      </w:pPr>
      <w:r>
        <w:rPr>
          <w:rFonts w:ascii="Times New Roman;sans-serif" w:hAnsi="Times New Roman;sans-serif"/>
          <w:b w:val="false"/>
          <w:color w:val="000000"/>
          <w:sz w:val="22"/>
        </w:rPr>
        <w:t xml:space="preserve">(f)    Liens on fixed or capital assets acquired, constructed or improved by, or in respect of Financing Lease Obligations of, the Parent Borrower or any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such security interests secure Indebtedness permitted by Section 6.01(a)(viii), (ii) such security interests and the Indebtedness secured thereby are incurred prior to or within 270 days after such acquisition or the completion of such construction or improvement, (iii) the Indebtedness secured thereby does not exceed the cost of acquiring, constructing or improving such fixed or capital </w:t>
      </w:r>
      <w:r>
        <w:br w:type="page"/>
      </w:r>
    </w:p>
    <w:p>
      <w:pPr>
        <w:pStyle w:val="TextBody"/>
        <w:spacing w:before="0" w:after="0"/>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60655"/>
                <wp:effectExtent l="0" t="0" r="0" b="0"/>
                <wp:wrapNone/>
                <wp:docPr id="203" name="Frame20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-101-</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assets and (iv) such security interests shall not apply to any other property or assets of the Parent Borrower or any Subsidiary;</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(g)    Liens, with respect to any Mortgaged Property, described in the applicable schedule of the title policy covering such Mortgaged Property;</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(h)    Liens in respect of sales of accounts receivable by Foreign Subsidiaries permitted by Section 6.05(c)(ii);</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    other Liens securing liabilities permitted hereunder in an aggregate amount not exceeding the greater of $45,000,000 and 3.5% of Consolidated Total Assets of Holdings (as of the date of incurrence of such Liens), at any time outstanding;</w:t>
      </w:r>
    </w:p>
    <w:p>
      <w:pPr>
        <w:pStyle w:val="TextBody"/>
        <w:spacing w:lineRule="auto" w:line="240" w:before="0" w:after="240"/>
        <w:ind w:left="0" w:right="0" w:firstLine="720"/>
        <w:rPr/>
      </w:pPr>
      <w:r>
        <w:rPr>
          <w:rFonts w:ascii="Times New Roman;sans-serif" w:hAnsi="Times New Roman;sans-serif"/>
          <w:b w:val="false"/>
          <w:color w:val="000000"/>
          <w:sz w:val="22"/>
        </w:rPr>
        <w:t xml:space="preserve">(j)    Liens in respect of Indebtedness permitted by Section 6.01(a)(xiii);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assets subject to such Liens are not located in the United States;</w:t>
      </w:r>
    </w:p>
    <w:p>
      <w:pPr>
        <w:pStyle w:val="TextBody"/>
        <w:spacing w:lineRule="auto" w:line="240" w:before="0" w:after="240"/>
        <w:ind w:left="0" w:right="0" w:firstLine="720"/>
        <w:rPr/>
      </w:pPr>
      <w:r>
        <w:rPr>
          <w:rFonts w:ascii="Times New Roman;sans-serif" w:hAnsi="Times New Roman;sans-serif"/>
          <w:b w:val="false"/>
          <w:color w:val="000000"/>
          <w:sz w:val="22"/>
        </w:rPr>
        <w:t xml:space="preserve">(k)    Liens, rights of setoff and other similar Liens existing solely with respect to cash and Permitted Investments on deposit in one or more accounts maintained by any Lender, in each case granted in the ordinary course of business in favor of such Lender with which such accounts are maintained, securing amounts owing to such Lender with respect to cash management and operating account arrangements, including those involving pooled accounts and netting arrangements;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unless such Liens are non-consensual and arise by operation of law, in no case shall any such Liens secure (either directly or indirectly) the repayment of any Indebtedness for borrowed money;</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(l)    licenses or sublicenses of Intellectual Property (as defined in the Security Agreement) granted by any Company in the ordinary course of business and not interfering in any material respect with the ordinary conduct of business of the Company;</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(m)    the filing of UCC financing statements solely as a precautionary measure in connection with operating leases or consignment of goods;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(n)    Liens for the benefit of a seller deemed to attach solely to cash earnest money deposits in connection with a letter of intent or acquisition agreement with respect to a Permitted Acquisition;</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    Liens deemed to exist in connection with Investments permitted under Section 6.04 that constitute repurchase obligations and in connection with related set-off rights;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(p)    Liens of a collection bank arising in the ordinary course of business under Section 4-210 of the UCC in effect in the relevant jurisdiction covering only the items being collected upon;</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(q)    Liens of sellers of goods to the Parent Borrower or any of its Subsidiaries arising under Article 2 of the UCC in effect in the relevant jurisdiction in the ordinary course of business, covering only the goods sold and covering only the unpaid purchase price for such goods and related expenses; </w:t>
      </w:r>
    </w:p>
    <w:p>
      <w:pPr>
        <w:pStyle w:val="TextBody"/>
        <w:spacing w:lineRule="auto" w:line="240" w:before="0" w:after="240"/>
        <w:ind w:left="0" w:right="0" w:firstLine="720"/>
        <w:rPr/>
      </w:pPr>
      <w:r>
        <w:rPr>
          <w:rFonts w:ascii="Times New Roman;sans-serif" w:hAnsi="Times New Roman;sans-serif"/>
          <w:b w:val="false"/>
          <w:color w:val="000000"/>
          <w:sz w:val="22"/>
        </w:rPr>
        <w:t xml:space="preserve">(r)    Liens with respect to property or assets of the Parent Borrower or any Subsidiary securing Incremental Equivalent Debt,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Incremental Equivalent Debt shall be secured only by a Lien on the Collateral and on a pari passu or subordinated basis with the Obligations and shall be subject to a customary intercreditor agreement in form and substance reasonably satisfactory to the Administrative Agent;</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(s)    Liens on inventory or other goods and proceeds of any Person securing such Person’s obligations in respect of documentary letters of credit, bank guarantees or bankers’ </w:t>
      </w:r>
      <w:r>
        <w:br w:type="page"/>
      </w:r>
    </w:p>
    <w:p>
      <w:pPr>
        <w:pStyle w:val="TextBody"/>
        <w:spacing w:before="0" w:after="0"/>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60655"/>
                <wp:effectExtent l="0" t="0" r="0" b="0"/>
                <wp:wrapNone/>
                <wp:docPr id="204" name="Frame20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-102-</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acceptances issued or created for the account of such Person to facilitate the purchase, shipment or storage of such inventory or goods;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(t)    pledges and deposits and other Liens made in the ordinary course of business to secure liability to insurance carriers; </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(u)    leases or subleases, and non-exclusive licenses or sublicenses (including with respect to intellectual property) granted to others in the ordinary course of business;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(v)    any encumbrance or restriction (including put and call arrangements) with respect to Equity Interests of any joint venture or similar arrangement securing obligations of such joint venture or pursuant to any joint venture or similar agreement;</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    Liens that are contractual rights of set-off relating to purchase orders and other agreements entered into with customers, suppliers or service providers of the Parent Borrower or any Subsidiary in the ordinary course of business;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(x)    agreements to subordinate any interest of the Parent Borrower or any Subsidiary in any accounts receivable or other proceeds, in each case arising from inventory consigned by the Parent Borrower or any such Subsidiary pursuant to an agreement entered into in the ordinary course of business; and</w:t>
      </w:r>
    </w:p>
    <w:p>
      <w:pPr>
        <w:pStyle w:val="TextBody"/>
        <w:spacing w:lineRule="auto" w:line="240" w:before="0" w:after="240"/>
        <w:ind w:left="0" w:right="0" w:firstLine="720"/>
        <w:rPr/>
      </w:pPr>
      <w:r>
        <w:rPr>
          <w:rFonts w:ascii="Times New Roman;sans-serif" w:hAnsi="Times New Roman;sans-serif"/>
          <w:b w:val="false"/>
          <w:color w:val="000000"/>
          <w:sz w:val="22"/>
        </w:rPr>
        <w:t xml:space="preserve">(y)    Liens securing insurance premium financing arrangements;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Liens are limited to the applicable unearned insurance premiums.</w:t>
      </w:r>
    </w:p>
    <w:p>
      <w:pPr>
        <w:pStyle w:val="TextBody"/>
        <w:spacing w:lineRule="auto" w:line="240" w:before="0" w:after="240"/>
        <w:ind w:left="0" w:right="0" w:firstLine="1440"/>
        <w:rPr/>
      </w:pPr>
      <w:r>
        <w:rPr>
          <w:rFonts w:ascii="Times New Roman;sans-serif" w:hAnsi="Times New Roman;sans-serif"/>
          <w:b w:val="false"/>
          <w:color w:val="000000"/>
          <w:sz w:val="22"/>
        </w:rPr>
        <w:t>SECTION 6.03    </w:t>
      </w:r>
      <w:r>
        <w:rPr>
          <w:rFonts w:ascii="Times New Roman;sans-serif" w:hAnsi="Times New Roman;sans-serif"/>
          <w:b w:val="false"/>
          <w:color w:val="000000"/>
          <w:sz w:val="22"/>
          <w:u w:val="single"/>
        </w:rPr>
        <w:t>Fundamental Changes</w:t>
      </w:r>
      <w:r>
        <w:rPr>
          <w:rFonts w:ascii="Times New Roman;sans-serif" w:hAnsi="Times New Roman;sans-serif"/>
          <w:b w:val="false"/>
          <w:color w:val="000000"/>
          <w:sz w:val="22"/>
        </w:rPr>
        <w:t>.</w:t>
      </w:r>
    </w:p>
    <w:p>
      <w:pPr>
        <w:pStyle w:val="TextBody"/>
        <w:spacing w:lineRule="auto" w:line="240" w:before="0" w:after="240"/>
        <w:ind w:left="0" w:right="0" w:firstLine="1440"/>
        <w:rPr/>
      </w:pPr>
      <w:r>
        <w:rPr>
          <w:rFonts w:ascii="Times New Roman;sans-serif" w:hAnsi="Times New Roman;sans-serif"/>
          <w:b w:val="false"/>
          <w:color w:val="000000"/>
          <w:sz w:val="22"/>
        </w:rPr>
        <w:t>(a)    None of Holdings, the Parent Borrower or any Foreign Subsidiary Borrower will, nor will they permit any other Person to merge into or consolidate with any of them, or liquidate or dissolve, except that, if at the time thereof and immediately after giving effect thereto no Default shall have occurred and be continuing (i) any Subsidiary may merge into the Parent Borrower in a transaction in which the Parent Borrower is the surviving corporation, (ii) any Subsidiary may merge into any Subsidiary in a transaction in which the surviving entity is a Subsidiary and (if any party to such merger is a Subsidiary Loan Party) is a Subsidiary Loan Party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with respect to any such merger involving the Foreign Subsidiary Borrowers, the surviving entity of such merger shall be a Foreign Subsidiary Borrower, as the case may be) and (iii) any Subsidiary (other than a Subsidiary Loan Party) may liquidate or dissolve if the Parent Borrower determines in good faith that such liquidation or dissolution is in the best interests of the Parent Borrower and is not materially disadvantageous to the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such merger involving a Person that is not a wholly owned Subsidiary immediately prior to such merger shall not be permitted unless also permitted by Section 6.04. Notwithstanding the foregoing, this Section 6.03 shall not prohibit any Permitted Acquisition.</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(b)    The Parent Borrower will not, and will not permit any of its Subsidiaries to, engage to any material extent in any business other than businesses of the type conducted by the Parent Borrower and its Subsidiaries on the Second Restatement Date and businesses reasonably related thereto.</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(c)    Holdings will not engage in any business or activity other than (i) the ownership of all the outstanding shares of capital stock of the Parent Borrower, (ii) performing its obligations (A) under the Loan Documents, and (B) under the Permitted Receivables Financing, (iii) activities incidental thereto and to Holdings’ existence, (iv) activities related to the performance of all its obligations in respect of the Transactions, (v) performing its obligations under guarantees in respect of sale and leaseback transactions permitted by Section 6.06 and (vi) other activities (including the incurrence of Indebtedness and the issuance of its Equity Interests) that are permitted by this Agreement. Holdings will not own or acquire any assets (other than shares of capital stock of the Parent Borrower and the Permitted Investments or incur any liabilities (other than liabilities imposed by law, including tax liabilities, liabilities related to its existence and permitted business and activities specified in the immediately preceding sentence).</w:t>
      </w:r>
      <w:r>
        <w:br w:type="page"/>
      </w:r>
    </w:p>
    <w:p>
      <w:pPr>
        <w:pStyle w:val="TextBody"/>
        <w:spacing w:before="0" w:after="0"/>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60655"/>
                <wp:effectExtent l="0" t="0" r="0" b="0"/>
                <wp:wrapNone/>
                <wp:docPr id="205" name="Frame20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-103-</w:t>
                      </w:r>
                    </w:p>
                  </w:txbxContent>
                </v:textbox>
              </v:rect>
            </w:pict>
          </mc:Fallback>
        </mc:AlternateConten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(d)    The Receivables Subsidiary will not engage in any business or business activity other than the activities related to the Permitted Receivables Financing and its existence. The Receivables Subsidiary will not own or acquire any assets (other than the receivables subject to the Permitted Receivables Financing) or incur any liabilities (other than the liabilities imposed by law including tax liabilities, and other liabilities related to its existence and permitted business and activities specified in the immediately preceding sentence, including liabilities arising under the Permitted Receivables Financing).</w:t>
      </w:r>
    </w:p>
    <w:p>
      <w:pPr>
        <w:pStyle w:val="TextBody"/>
        <w:spacing w:lineRule="auto" w:line="240" w:before="0" w:after="240"/>
        <w:ind w:left="0" w:right="0" w:firstLine="1440"/>
        <w:rPr/>
      </w:pPr>
      <w:r>
        <w:rPr>
          <w:rFonts w:ascii="Times New Roman;sans-serif" w:hAnsi="Times New Roman;sans-serif"/>
          <w:b w:val="false"/>
          <w:color w:val="000000"/>
          <w:sz w:val="22"/>
        </w:rPr>
        <w:t>SECTION 6.04    </w:t>
      </w:r>
      <w:r>
        <w:rPr>
          <w:rFonts w:ascii="Times New Roman;sans-serif" w:hAnsi="Times New Roman;sans-serif"/>
          <w:b w:val="false"/>
          <w:color w:val="000000"/>
          <w:sz w:val="22"/>
          <w:u w:val="single"/>
        </w:rPr>
        <w:t>Investments, Loans, Advances, Guarantees and Acquisitions</w:t>
      </w:r>
      <w:r>
        <w:rPr>
          <w:rFonts w:ascii="Times New Roman;sans-serif" w:hAnsi="Times New Roman;sans-serif"/>
          <w:b w:val="false"/>
          <w:color w:val="000000"/>
          <w:sz w:val="22"/>
        </w:rPr>
        <w:t>. None of the Parent Borrower or any Foreign Subsidiary Borrower will, nor will they permit any Subsidiary to, purchase, hold or acquire (including pursuant to any merger with any Person that was not a wholly owned Subsidiary prior to such merger) any Equity Interests in or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except:</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    Permitted Investments;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    investments existing pursuant to agreements existing on or made pursuant to, binding commitments existing on, on the Second Restatement Date and set forth on Schedule 6.04;</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    Permitted Acquisitions;</w:t>
      </w:r>
    </w:p>
    <w:p>
      <w:pPr>
        <w:pStyle w:val="TextBody"/>
        <w:spacing w:lineRule="auto" w:line="240" w:before="0" w:after="240"/>
        <w:ind w:left="0" w:right="0" w:firstLine="720"/>
        <w:rPr/>
      </w:pPr>
      <w:r>
        <w:rPr>
          <w:rFonts w:ascii="Times New Roman;sans-serif" w:hAnsi="Times New Roman;sans-serif"/>
          <w:b w:val="false"/>
          <w:color w:val="000000"/>
          <w:sz w:val="22"/>
        </w:rPr>
        <w:t xml:space="preserve">(d)    investments by the Parent Borrower and the Subsidiaries in their respective Subsidiaries that exist immediately prior to any applicable transaction;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any such Equity Interests held by a Loan Party shall be pledged pursuant to the Pledge Agreement or any applicable Foreign Security Documents, as the case may be, to the extent required by this Agreement and (ii) the aggregate amount of investments (excluding any such investments, loans, advances and Guarantees to such Subsidiaries that are assumed and exist on the date any Permitted Acquisition is consummated and that are not made, incurred or created in contemplation of or in connection with such Permitted Acquisition) by Loan Parties in, and loans and advances by Loan Parties to, and Guarantees by Loan Parties of Indebtedness of, Subsidiaries that are not Domestic Loan Parties (or if Domestic Loan Parties, in respect of which the Administrative Agent has not received the documents required by clause (a) of the definition of Collateral and Guarantee Requirement) made after the Second Restatement Date shall not at any time exceed the greater of $100,000,000 and 10.0% of Consolidated Total Assets of Holdings (as of the date of the making of such investment);</w:t>
      </w:r>
    </w:p>
    <w:p>
      <w:pPr>
        <w:pStyle w:val="TextBody"/>
        <w:spacing w:lineRule="auto" w:line="240" w:before="0" w:after="240"/>
        <w:ind w:left="0" w:right="0" w:firstLine="720"/>
        <w:rPr/>
      </w:pPr>
      <w:r>
        <w:rPr>
          <w:rFonts w:ascii="Times New Roman;sans-serif" w:hAnsi="Times New Roman;sans-serif"/>
          <w:b w:val="false"/>
          <w:color w:val="000000"/>
          <w:sz w:val="22"/>
        </w:rPr>
        <w:t xml:space="preserve">(e)    loans or advances made by the Parent Borrower to any Subsidiary and made by any Subsidiary to the Parent Borrower or any other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any such loans and advances made by a Loan Party shall be evidenced by a promissory note pledged pursuant to the Pledge Agreement or any applicable Foreign Security Documents, as the case may be, and (ii) the amount of such loans and advances made by Loan Parties to Subsidiaries that are not Loan Parties shall be subject to the limitation set forth in clause (d) above;</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    Guarantees permitted by Section 6.01(a)(vii);</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(g)    investments arising as a result of any Permitted Receivables Financing or Specified Vendor Receivables Financing;</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(h)    investments received in connection with the bankruptcy or reorganization of, or settlement of delinquent accounts and disputes with, customers and suppliers, in each case in the ordinary course of business;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    any investments in or loans to any other Person received as noncash consideration for sales, transfers, leases and other dispositions permitted by Section 6.05;</w:t>
      </w:r>
      <w:r>
        <w:br w:type="page"/>
      </w:r>
    </w:p>
    <w:p>
      <w:pPr>
        <w:pStyle w:val="TextBody"/>
        <w:spacing w:before="0" w:after="0"/>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60655"/>
                <wp:effectExtent l="0" t="0" r="0" b="0"/>
                <wp:wrapNone/>
                <wp:docPr id="206" name="Frame20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-104-</w:t>
                      </w:r>
                    </w:p>
                  </w:txbxContent>
                </v:textbox>
              </v:rect>
            </w:pict>
          </mc:Fallback>
        </mc:AlternateContent>
      </w:r>
    </w:p>
    <w:p>
      <w:pPr>
        <w:pStyle w:val="TextBody"/>
        <w:spacing w:lineRule="auto" w:line="240" w:before="0" w:after="240"/>
        <w:ind w:left="0" w:right="0" w:firstLine="720"/>
        <w:rPr/>
      </w:pPr>
      <w:r>
        <w:rPr>
          <w:rFonts w:ascii="Times New Roman;sans-serif" w:hAnsi="Times New Roman;sans-serif"/>
          <w:b w:val="false"/>
          <w:color w:val="000000"/>
          <w:sz w:val="22"/>
        </w:rPr>
        <w:t xml:space="preserve">(j)    Guarantees by Holdings, the Parent Borrower and the Subsidiaries of leases entered into by any Subsidiary as lessee;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amount of such Guarantees made by Loan Parties to Subsidiaries that are not Loan Parties shall be subject to the limitation set forth in clause (d) above;</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(k)    extensions of credit in the nature of accounts receivable or notes receivable in the ordinary course of business;</w:t>
      </w:r>
    </w:p>
    <w:p>
      <w:pPr>
        <w:pStyle w:val="TextBody"/>
        <w:spacing w:lineRule="auto" w:line="240" w:before="0" w:after="240"/>
        <w:ind w:left="0" w:right="0" w:firstLine="720"/>
        <w:rPr/>
      </w:pPr>
      <w:r>
        <w:rPr>
          <w:rFonts w:ascii="Times New Roman;sans-serif" w:hAnsi="Times New Roman;sans-serif"/>
          <w:b w:val="false"/>
          <w:color w:val="000000"/>
          <w:sz w:val="22"/>
        </w:rPr>
        <w:t xml:space="preserve">(l)    loans or advances to employees made (i) in the ordinary course of business consistent with prudent business practice and not exceeding $5,000,000 in the aggregate outstanding at any one time, (ii) in respect of payroll payments and expenses in the ordinary course of business and (iii) in connection with such Person’s purchase of Equity Interests of Holdings or any direct or indirect parent of Holdings solely to the extent that the amount of such loans and advances shall be contributed to Holdings in cash as common equity;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notwithstanding anything to the contrary in this Agreement, the amount of such cash contribution, to the extent of any such outstanding loan or advance, shall not be considered a cash contribution for any other purpose of this Agreement;</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(m)    investments in the form of Hedging Agreements permitted under Section 6.07;</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(n)    investments by the Parent Borrower or any Subsidiary in (i) the capital stock of a Receivables Subsidiary and (ii) other interests in a Receivables Subsidiary, in each case to the extent required by the terms of the Permitted Receivables Financing;</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    payroll, travel and similar advances to cover matters that are expected at the time of such advances ultimately to be treated as expenses for accounting purposes and that are made in the ordinary course of business;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(p)    Permitted Joint Venture and Foreign Subsidiary Investments;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(q)    investments, loans or advances in addition to those permitted by clauses (a) through (p) above not exceeding in the aggregate the greater of $100,000,000 and 10.0% of Consolidated Total Assets of Holdings (as of the date of the making of such investment, loan or advance) at any time outstanding;</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(r)    investments made (i) in an amount not to exceed the Net Proceeds Not Otherwise Applied of any issuance of Equity Interests (other than Disqualified Equity Interests and other than any issuance to the Parent Borrower or a Subsidiary) in Holdings issued on or after the Second Restatement Date or (ii) with Equity Interests in Holdings; </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(s)    investments by the Parent Borrower or any Subsidiary in an aggregate amount not to exceed the Available Amount; </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(t)    investments received in compromise or resolution of litigation, arbitration or other disputes; </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(u)    investments; provided that after giving effect to any such investment (and any Indebtedness incurred in connection therewith), the Total Net Leverage Ratio at the time of the making of such investment would be less than or equal to 3.00 to 1.00; and</w:t>
      </w:r>
    </w:p>
    <w:p>
      <w:pPr>
        <w:pStyle w:val="TextBody"/>
        <w:spacing w:lineRule="auto" w:line="240" w:before="0" w:after="240"/>
        <w:ind w:left="0" w:right="0" w:firstLine="720"/>
        <w:rPr/>
      </w:pPr>
      <w:r>
        <w:rPr>
          <w:rFonts w:ascii="Times New Roman;sans-serif" w:hAnsi="Times New Roman;sans-serif"/>
          <w:b w:val="false"/>
          <w:color w:val="000000"/>
          <w:sz w:val="22"/>
        </w:rPr>
        <w:t>(v)    additional investments; provided that the aggregate amount of investments made pursuant to this clause (v), together with the aggregate amount of Restricted Payments made pursuant to Section 6.08(a)(xiv) and the aggregate amount of payments of Indebtedness made pursuant to Section 6.08(b)(ix), during the period from the date 12 months prior to the date of the making of such investment (the “</w:t>
      </w:r>
      <w:r>
        <w:rPr>
          <w:rFonts w:ascii="Times New Roman;sans-serif" w:hAnsi="Times New Roman;sans-serif"/>
          <w:b w:val="false"/>
          <w:color w:val="000000"/>
          <w:sz w:val="22"/>
          <w:u w:val="single"/>
        </w:rPr>
        <w:t>Investment Date</w:t>
      </w:r>
      <w:r>
        <w:rPr>
          <w:color w:val="000000"/>
        </w:rPr>
        <w:t>”</w:t>
      </w:r>
      <w:r>
        <w:rPr>
          <w:rFonts w:ascii="Times New Roman;sans-serif" w:hAnsi="Times New Roman;sans-serif"/>
          <w:b w:val="false"/>
          <w:color w:val="000000"/>
          <w:sz w:val="22"/>
        </w:rPr>
        <w:t>) through (and including) the Investment Date shall not exceed $25,000,000.</w:t>
      </w:r>
      <w:r>
        <w:br w:type="page"/>
      </w:r>
    </w:p>
    <w:p>
      <w:pPr>
        <w:pStyle w:val="TextBody"/>
        <w:spacing w:before="0" w:after="0"/>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60655"/>
                <wp:effectExtent l="0" t="0" r="0" b="0"/>
                <wp:wrapNone/>
                <wp:docPr id="207" name="Frame20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-105-</w:t>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00000"/>
          <w:sz w:val="22"/>
        </w:rPr>
        <w:t>SECTION 6.05    </w:t>
      </w:r>
      <w:r>
        <w:rPr>
          <w:rFonts w:ascii="Times New Roman;sans-serif" w:hAnsi="Times New Roman;sans-serif"/>
          <w:b w:val="false"/>
          <w:color w:val="000000"/>
          <w:sz w:val="22"/>
          <w:u w:val="single"/>
        </w:rPr>
        <w:t>Asset Sales</w:t>
      </w:r>
      <w:r>
        <w:rPr>
          <w:rFonts w:ascii="Times New Roman;sans-serif" w:hAnsi="Times New Roman;sans-serif"/>
          <w:b w:val="false"/>
          <w:color w:val="000000"/>
          <w:sz w:val="22"/>
        </w:rPr>
        <w:t>. None of Holdings, the Parent Borrower or any Foreign Subsidiary Borrower will, nor will they permit any Subsidiary to, sell, transfer, lease or otherwise dispose of any asset, including any Equity Interest owned by it, nor will they permit any Subsidiary to issue any additional Equity Interest in such Subsidiary, except:</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    sales, transfers, leases and other dispositions of inventory, used or surplus equipment, obsolete, damaged or worn-out equipment or other assets, Permitted Investments and Investments referred to in Section 6.04(h) in the ordinary course of business;</w:t>
      </w:r>
    </w:p>
    <w:p>
      <w:pPr>
        <w:pStyle w:val="TextBody"/>
        <w:spacing w:lineRule="auto" w:line="240" w:before="0" w:after="240"/>
        <w:ind w:left="0" w:right="0" w:firstLine="720"/>
        <w:rPr/>
      </w:pPr>
      <w:r>
        <w:rPr>
          <w:rFonts w:ascii="Times New Roman;sans-serif" w:hAnsi="Times New Roman;sans-serif"/>
          <w:b w:val="false"/>
          <w:color w:val="000000"/>
          <w:sz w:val="22"/>
        </w:rPr>
        <w:t xml:space="preserve">(b)    sales, transfers and dispositions to the Parent Borrower or a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such sales, transfers or dispositions involving a Subsidiary that is not a Domestic Loan Party shall be made in compliance with Section 6.09;</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    (i) sales of accounts receivable and related assets pursuant to the Receivables Purchase Agreement, (ii) sales of accounts receivable and related assets by a Foreign Subsidiary pursuant to customary terms whereby recourse and exposure in respect thereof to any Foreign Subsidiary does not exceed at any time the greater of $60,000,000 and 5.0% of Consolidated Total Assets of Holdings (as of the date of such disposition), and (iii) sales of accounts receivables and related assets pursuant to the Specified Vendor Receivables Financing.</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(d)    the creation of Liens permitted by Section 6.02 and dispositions as a result thereof; </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(e)    sales or transfers that are permitted sale and leaseback transactions pursuant to Section 6.06;</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    sales and transfers that constitute part of an Acquisition Lease Financing;</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(g)    Restricted Payments permitted by Section 6.08;</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(h)    transfers and dispositions constituting investments permitted under Section 6.04;</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(i)    sales, transfers and other dispositions of property identified on Schedule 6.05; </w:t>
      </w:r>
    </w:p>
    <w:p>
      <w:pPr>
        <w:pStyle w:val="TextBody"/>
        <w:spacing w:lineRule="auto" w:line="240" w:before="0" w:after="240"/>
        <w:ind w:left="0" w:right="0" w:firstLine="720"/>
        <w:rPr/>
      </w:pPr>
      <w:r>
        <w:rPr>
          <w:rFonts w:ascii="Times New Roman;sans-serif" w:hAnsi="Times New Roman;sans-serif"/>
          <w:b w:val="false"/>
          <w:color w:val="000000"/>
          <w:sz w:val="22"/>
        </w:rPr>
        <w:t xml:space="preserve">(j)    sales, transfers and other dispositions of assets (other than Equity Interests in a Borrower) that are not permitted by any other clause of this Section;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aggregate fair market value of all assets sold, transferred or otherwise disposed of in reliance upon this clause (j) shall not exceed 35% of the aggregate fair market value of all assets of the Parent Borrower as of the Second Restatement Date, including any Equity Interests owned by it, during the term of this Agreement subsequent to the Second Restatement Date;</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(k)    any exchange of assets (including a combination of assets and Permitted Investments) for assets related to a Similar Business of comparable or greater market value or usefulness to the business of the Parent Borrower and its Subsidiaries, as a whole, as determined in good faith by the Parent Borrower;</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(l)    foreclosure, condemnation, taking by eminent domain or any similar action with respect to any property or other asset of the Parent Borrower or any of its Subsidiaries;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(m)    the lease, assignment or sublease of any real or personal property in the ordinary course of business; </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(n)    any grant in the ordinary course of any non-exclusive license, of patents, trademarks, know-how or any other intellectual property;</w:t>
      </w:r>
      <w:r>
        <w:br w:type="page"/>
      </w:r>
    </w:p>
    <w:p>
      <w:pPr>
        <w:pStyle w:val="TextBody"/>
        <w:spacing w:before="0" w:after="0"/>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60655"/>
                <wp:effectExtent l="0" t="0" r="0" b="0"/>
                <wp:wrapNone/>
                <wp:docPr id="208" name="Frame20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-106-</w:t>
                      </w:r>
                    </w:p>
                  </w:txbxContent>
                </v:textbox>
              </v:rect>
            </w:pict>
          </mc:Fallback>
        </mc:AlternateConten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     dispositions of receivables in connection with the compromise, settlement or collection thereof in the ordinary course of business or in bankruptcy or similar proceedings and exclusive of factoring or similar arrangements;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(p)    any surrender, expiration or waiver of contract rights or the settlement, release, recovery on or surrender of contract, tort or other claims of any kind; and</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(q)     the termination of a lease of real or personal property that is not necessary to the conduct of the business of the Parent Borrower and its Subsidiaries as a whole; </w:t>
      </w:r>
    </w:p>
    <w:p>
      <w:pPr>
        <w:pStyle w:val="TextBody"/>
        <w:spacing w:lineRule="auto" w:line="240" w:before="0" w:after="240"/>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(x) all sales, transfers, leases and other dispositions permitted hereby (other than those permitted by clauses (b), (o) and (q) above) shall be made for fair value and (y) all sales, transfers, leases and other dispositions permitted by clauses (i) and (j) above shall be for at least 75% cash consideration;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amount of (i) any secured liabilities (as shown on the Parent Borrower’s or a Subsidiary’s most recent balance sheet or in the notes thereto) of the Parent Borrower or a Subsidiary that are assumed by the transferee of any such assets or that are otherwise cancelled or terminated in connection with the transaction with such transferee, (ii) any notes or other obligations or other securities or assets received by the Parent Borrower or such Subsidiary from such transferee that are converted by the Parent Borrower or such Subsidiary into cash within 180 days of the receipt thereof (to the extent of the cash received), and (iii) any Designated Non-Cash Consideration received by the Parent Borrower or any Subsidiary in such sale, transfer, lease and other disposition having an aggregate fair market value (as determined in good faith by the Parent Borrower), taken together with all other Designated Non-Cash Consideration received pursuant to this clause (v) that is at that time outstanding, not to exceed the greater of $25,000,000 and 2.5% of Consolidated Total Assets of Holdings (as of the date of such disposition) (with the fair market value of each item of Designated Non-Cash Consideration being measured at the time received and without giving effect to subsequent changes in value), shall be deemed to be cash for the purposes of this provision.</w:t>
      </w:r>
    </w:p>
    <w:p>
      <w:pPr>
        <w:pStyle w:val="TextBody"/>
        <w:spacing w:lineRule="auto" w:line="240" w:before="0" w:after="240"/>
        <w:ind w:left="0" w:right="0" w:firstLine="1440"/>
        <w:rPr/>
      </w:pPr>
      <w:r>
        <w:rPr>
          <w:rFonts w:ascii="Times New Roman;sans-serif" w:hAnsi="Times New Roman;sans-serif"/>
          <w:b w:val="false"/>
          <w:color w:val="000000"/>
          <w:sz w:val="22"/>
        </w:rPr>
        <w:t>SECTION 6.06    </w:t>
      </w:r>
      <w:r>
        <w:rPr>
          <w:rFonts w:ascii="Times New Roman;sans-serif" w:hAnsi="Times New Roman;sans-serif"/>
          <w:b w:val="false"/>
          <w:color w:val="000000"/>
          <w:sz w:val="22"/>
          <w:u w:val="single"/>
        </w:rPr>
        <w:t>Sale and Leaseback Transactions</w:t>
      </w:r>
      <w:r>
        <w:rPr>
          <w:rFonts w:ascii="Times New Roman;sans-serif" w:hAnsi="Times New Roman;sans-serif"/>
          <w:b w:val="false"/>
          <w:color w:val="000000"/>
          <w:sz w:val="22"/>
        </w:rPr>
        <w:t>. None of Holdings, the Parent Borrower or any Foreign Subsidiary Borrower will, nor will they permit any Subsidiary to, enter into any arrangement, directly or indirectly, whereby it shall sell or transfer any property, real or personal, used or useful in its business, whether now owned or hereinafter acquired, and thereafter rent or lease such property or other property that it intends to use for substantially the same purpose or purposes as the property sold or transferred, except for (a) any such sale of any fixed or capital assets (other than any such transaction to which (b) or (c) below is applicable) that is made for cash consideration in an amount not less than the cost of such fixed or capital asset in an aggregate amount less than or equal to $20,000,000, so long as the Financing Lease Obligations associated therewith are permitted by Section 6.01(a)(viii), (b) in the case of property owned as of or after the Second Restatement Date, any such sale of any fixed or capital assets that is made for cash consideration in an aggregate amount not less than the fair market value of such fixed or capital assets not to exceed $35,000,000 in the aggregate, in each case, so long as the Financing Lease Obligations (if any) associated therewith are permitted by Section 6.01(a)(viii) and (c) any Acquisition Lease Financing.</w:t>
      </w:r>
    </w:p>
    <w:p>
      <w:pPr>
        <w:pStyle w:val="TextBody"/>
        <w:spacing w:lineRule="auto" w:line="240" w:before="0" w:after="240"/>
        <w:ind w:left="0" w:right="0" w:firstLine="1440"/>
        <w:rPr/>
      </w:pPr>
      <w:r>
        <w:rPr>
          <w:rFonts w:ascii="Times New Roman;sans-serif" w:hAnsi="Times New Roman;sans-serif"/>
          <w:b w:val="false"/>
          <w:color w:val="000000"/>
          <w:sz w:val="22"/>
        </w:rPr>
        <w:t>SECTION 6.07    </w:t>
      </w:r>
      <w:r>
        <w:rPr>
          <w:rFonts w:ascii="Times New Roman;sans-serif" w:hAnsi="Times New Roman;sans-serif"/>
          <w:b w:val="false"/>
          <w:color w:val="000000"/>
          <w:sz w:val="22"/>
          <w:u w:val="single"/>
        </w:rPr>
        <w:t>Hedging Agreements</w:t>
      </w:r>
      <w:r>
        <w:rPr>
          <w:rFonts w:ascii="Times New Roman;sans-serif" w:hAnsi="Times New Roman;sans-serif"/>
          <w:b w:val="false"/>
          <w:color w:val="000000"/>
          <w:sz w:val="22"/>
        </w:rPr>
        <w:t>. None of Holdings, the Parent Borrower or any Foreign Subsidiary Borrower will, nor will they permit any Subsidiary to, enter into any Hedging Agreement, other than Hedging Agreements entered into in the ordinary course of business and which are not speculative in nature to hedge or mitigate risks to which the Parent Borrower, any Foreign Subsidiary Borrower or any other Subsidiary is exposed in the conduct of its business or the management of its assets or liabilities (including Hedging Agreements that effectively cap, collar or exchange interest rates (from fixed to floating rates, from one floating rate to another floating rate or otherwise)).</w:t>
      </w:r>
    </w:p>
    <w:p>
      <w:pPr>
        <w:pStyle w:val="TextBody"/>
        <w:spacing w:lineRule="auto" w:line="240" w:before="0" w:after="240"/>
        <w:ind w:left="0" w:right="0" w:firstLine="1440"/>
        <w:rPr/>
      </w:pPr>
      <w:r>
        <w:rPr>
          <w:rFonts w:ascii="Times New Roman;sans-serif" w:hAnsi="Times New Roman;sans-serif"/>
          <w:b w:val="false"/>
          <w:color w:val="000000"/>
          <w:sz w:val="22"/>
        </w:rPr>
        <w:t>SECTION 6.08    </w:t>
      </w:r>
      <w:r>
        <w:rPr>
          <w:rFonts w:ascii="Times New Roman;sans-serif" w:hAnsi="Times New Roman;sans-serif"/>
          <w:b w:val="false"/>
          <w:color w:val="000000"/>
          <w:sz w:val="22"/>
          <w:u w:val="single"/>
        </w:rPr>
        <w:t>Restricted Payments; Certain Payments of Indebtedness</w:t>
      </w:r>
      <w:r>
        <w:rPr>
          <w:rFonts w:ascii="Times New Roman;sans-serif" w:hAnsi="Times New Roman;sans-serif"/>
          <w:b w:val="false"/>
          <w:color w:val="000000"/>
          <w:sz w:val="22"/>
        </w:rPr>
        <w: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(a)    None of Holdings, the Parent Borrower or any Foreign Subsidiary Borrower will, nor will they permit any Subsidiary to, declare or make, or agree to pay or make, directly or indirectly, any Restricted Payment, or incur any obligation (contingent or otherwise) to do so, except:</w:t>
      </w:r>
      <w:r>
        <w:br w:type="page"/>
      </w:r>
    </w:p>
    <w:p>
      <w:pPr>
        <w:pStyle w:val="TextBody"/>
        <w:spacing w:before="0" w:after="0"/>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60655"/>
                <wp:effectExtent l="0" t="0" r="0" b="0"/>
                <wp:wrapNone/>
                <wp:docPr id="209" name="Frame20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-107-</w:t>
                      </w:r>
                    </w:p>
                  </w:txbxContent>
                </v:textbox>
              </v:rect>
            </w:pict>
          </mc:Fallback>
        </mc:AlternateConten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    Holdings may declare and pay dividends with respect to its Equity Interests payable solely in additional Equity Interests in Holdings;</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(ii)    Subsidiaries may declare and pay dividends ratably with respect to their capital stock;</w:t>
      </w:r>
    </w:p>
    <w:p>
      <w:pPr>
        <w:pStyle w:val="TextBody"/>
        <w:spacing w:lineRule="auto" w:line="240" w:before="0" w:after="240"/>
        <w:ind w:left="0" w:right="0" w:firstLine="1008"/>
        <w:rPr/>
      </w:pPr>
      <w:r>
        <w:rPr>
          <w:rFonts w:ascii="Times New Roman;sans-serif" w:hAnsi="Times New Roman;sans-serif"/>
          <w:b w:val="false"/>
          <w:color w:val="000000"/>
          <w:sz w:val="22"/>
        </w:rPr>
        <w:t xml:space="preserve">(iii)    the Parent Borrower may make payments to Holdings to permit it to make, and Holdings may make, Restricted Payments pursuant to and in accordance with stock option plans, equity purchase programs or agreements or other benefit plans, in each case for any future, present or former employee, director, officer or consultant of the Parent Borrower and the Subsidiaries;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aggregate Restricted Payments made under this clause (iii) do not exceed $5,000,000 in any calendar year, with unused amounts in any calendar year being permitted to be carried over to the next succeeding calendar year (but not to any subsequent calendar year);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such amount in any calendar year may be increased by an amount not to exceed: </w:t>
      </w:r>
    </w:p>
    <w:p>
      <w:pPr>
        <w:pStyle w:val="TextBody"/>
        <w:spacing w:lineRule="auto" w:line="240" w:before="0" w:after="240"/>
        <w:ind w:left="0" w:right="0" w:firstLine="720"/>
        <w:rPr/>
      </w:pPr>
      <w:r>
        <w:rPr>
          <w:rFonts w:ascii="Times New Roman;sans-serif" w:hAnsi="Times New Roman;sans-serif"/>
          <w:b w:val="false"/>
          <w:color w:val="000000"/>
          <w:sz w:val="22"/>
        </w:rPr>
        <w:t xml:space="preserve">(a)    the Net Proceeds Not Otherwise Applied received by Holdings from the sale of Equity Interests of Holdings or any direct or indirect parent of Holdings (to the extent contributed to Holdings) to employees, directors, officers or consultants of Holdings, the Parent Borrower or the Subsidiaries that occurs after the Second Restatement Date, </w:t>
      </w:r>
      <w:r>
        <w:rPr>
          <w:rFonts w:ascii="Times New Roman;sans-serif" w:hAnsi="Times New Roman;sans-serif"/>
          <w:b w:val="false"/>
          <w:color w:val="000000"/>
          <w:sz w:val="22"/>
          <w:u w:val="single"/>
        </w:rPr>
        <w:t>plus</w:t>
      </w:r>
      <w:r>
        <w:rPr>
          <w:color w:val="000000"/>
        </w:rPr>
        <w:t xml:space="preserve"> </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(b)    the cash proceeds of key man life insurance policies received by the Parent Borrower or any direct or indirect parent of the Parent Borrower (to the extent contributed to the Parent Borrower) or the Subsidiaries after the Second Restatement Date; </w:t>
      </w:r>
    </w:p>
    <w:p>
      <w:pPr>
        <w:pStyle w:val="TextBody"/>
        <w:spacing w:lineRule="auto" w:line="240" w:before="0" w:after="240"/>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Parent Borrower may elect to apply all or any portion of the aggregate increase contemplated by clauses (a) and (b) above in any calendar year;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cancellation of Indebtedness owing to the Parent Borrower or any Subsidiary from any present or former employees, directors, officers or consultants of the Parent Borrower, any Subsidiary or any direct or indirect parent of the Parent Borrower in connection with a repurchase of Equity Interests of the Parent Borrower or any of its direct or indirect parents will not be deemed to constitute a Restricted Payment for purposes of this covenant or any other provision of this Agreement;</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(iv)    the Parent Borrower may make Permitted Tax Distributions to Holdings or any other direct or indirect equity owners of the Parent Borrower;</w:t>
      </w:r>
    </w:p>
    <w:p>
      <w:pPr>
        <w:pStyle w:val="TextBody"/>
        <w:spacing w:lineRule="auto" w:line="240" w:before="0" w:after="240"/>
        <w:ind w:left="0" w:right="0" w:firstLine="1008"/>
        <w:rPr/>
      </w:pPr>
      <w:r>
        <w:rPr>
          <w:rFonts w:ascii="Times New Roman;sans-serif" w:hAnsi="Times New Roman;sans-serif"/>
          <w:b w:val="false"/>
          <w:color w:val="000000"/>
          <w:sz w:val="22"/>
        </w:rPr>
        <w:t xml:space="preserve">(v)    the Parent Borrower may pay dividends to Holdings at such times and in such amounts as shall be necessary to permit Holdings to discharge and satisfy its obligations that are permitted hereunder (including (A) state and local taxes and other governmental charges, and administrative and routine expenses required to be paid by Holdings in the ordinary course of business and (B) cash dividends payable by Holdings in respect of Qualified Holdings Preferred Stock issued pursuant to clauses (b) and (c) of the definition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dividends payable by the Parent Borrower to Holdings pursuant to this clause (v) in order to satisfy cash dividends payable by Holdings in respect of Qualified Holdings Preferred Stock issued pursuant to clause (c) of the definition thereof shall be in an amount not to exceed the Available Amount;</w:t>
      </w:r>
    </w:p>
    <w:p>
      <w:pPr>
        <w:pStyle w:val="TextBody"/>
        <w:spacing w:lineRule="auto" w:line="240" w:before="0" w:after="240"/>
        <w:ind w:left="0" w:right="0" w:firstLine="1008"/>
        <w:rPr/>
      </w:pPr>
      <w:r>
        <w:rPr>
          <w:rFonts w:ascii="Times New Roman;sans-serif" w:hAnsi="Times New Roman;sans-serif"/>
          <w:b w:val="false"/>
          <w:color w:val="000000"/>
          <w:sz w:val="22"/>
        </w:rPr>
        <w:t xml:space="preserve">(vi)    the Parent Borrower may make payments to Holdings to permit it to make, and Holdings may make payments permitted by Section 6.09(d);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at the time of such payment and after giving effect thereto, no Default or Event of Default shall have occurred and be continuing and Holdings and the Parent Borrower are in compliance with Section 6.12;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any payments that are prohibited because of the immediately preceding proviso shall accrue and may be made as so accrued upon the curing or waiver of such Default, Event of Default or noncompliance; </w:t>
      </w:r>
      <w:r>
        <w:br w:type="page"/>
      </w:r>
    </w:p>
    <w:p>
      <w:pPr>
        <w:pStyle w:val="TextBody"/>
        <w:spacing w:before="0" w:after="0"/>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60655"/>
                <wp:effectExtent l="0" t="0" r="0" b="0"/>
                <wp:wrapNone/>
                <wp:docPr id="210" name="Frame20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-108-</w:t>
                      </w:r>
                    </w:p>
                  </w:txbxContent>
                </v:textbox>
              </v:rect>
            </w:pict>
          </mc:Fallback>
        </mc:AlternateContent>
      </w:r>
    </w:p>
    <w:p>
      <w:pPr>
        <w:pStyle w:val="TextBody"/>
        <w:spacing w:lineRule="auto" w:line="240" w:before="0" w:after="240"/>
        <w:ind w:left="0" w:right="0" w:firstLine="1008"/>
        <w:rPr/>
      </w:pPr>
      <w:r>
        <w:rPr>
          <w:rFonts w:ascii="Times New Roman;sans-serif" w:hAnsi="Times New Roman;sans-serif"/>
          <w:b w:val="false"/>
          <w:color w:val="000000"/>
          <w:sz w:val="22"/>
        </w:rPr>
        <w:t xml:space="preserve">(vii)    the Parent Borrower may make payments to Holdings to permit it to make, and Holdings may make, Restricted Payments in an amount equal to the Available Amount;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at the time of such Restricted Payment and after giving effect thereto, (i) no Default or Event of Default shall have occurred and be continuing and (ii) at the time of such Restricted Payment and after giving effect thereto and to the incurrence of any Indebtedness in connection therewith, Holdings and the Parent Borrower shall be in pro forma compliance with the financial covenants set forth in Sections 6.12 and 6.13; </w:t>
      </w:r>
    </w:p>
    <w:p>
      <w:pPr>
        <w:pStyle w:val="TextBody"/>
        <w:spacing w:lineRule="auto" w:line="240" w:before="0" w:after="240"/>
        <w:ind w:left="0" w:right="0" w:firstLine="1008"/>
        <w:rPr/>
      </w:pPr>
      <w:r>
        <w:rPr>
          <w:rFonts w:ascii="Times New Roman;sans-serif" w:hAnsi="Times New Roman;sans-serif"/>
          <w:b w:val="false"/>
          <w:color w:val="000000"/>
          <w:sz w:val="22"/>
        </w:rPr>
        <w:t xml:space="preserve">(viii)    the Parent Borrower may make payments to Holdings to permit it to make, and Holdings may make, Restricted Payments;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after giving effect to such Restricted Payments (and any Indebtedness incurred in connection therewith), the Total Net Leverage Ratio at the time of the making of such payments (the date of the making of such payments, the “</w:t>
      </w:r>
      <w:r>
        <w:rPr>
          <w:rFonts w:ascii="Times New Roman;sans-serif" w:hAnsi="Times New Roman;sans-serif"/>
          <w:b w:val="false"/>
          <w:color w:val="000000"/>
          <w:sz w:val="22"/>
          <w:u w:val="single"/>
        </w:rPr>
        <w:t>RP Date</w:t>
      </w:r>
      <w:r>
        <w:rPr>
          <w:color w:val="000000"/>
        </w:rPr>
        <w:t>”</w:t>
      </w:r>
      <w:r>
        <w:rPr>
          <w:rFonts w:ascii="Times New Roman;sans-serif" w:hAnsi="Times New Roman;sans-serif"/>
          <w:b w:val="false"/>
          <w:color w:val="000000"/>
          <w:sz w:val="22"/>
        </w:rPr>
        <w:t>) would be (1) less than or equal to 2.25 to 1.00, there shall be no limit on the amount of Restricted Payments made pursuant to this clause (viii), (2) less than or equal to 2.75 to 1.00, but greater than 2.25 to 1.00, the aggregate amount of Restricted Payments made pursuant to this clause (viii), together with the aggregate amount of payments of Indebtedness made pursuant to Section 6.08(b)(viii), during the period from the date 12 months prior to the RP Date through (and including) the RP Date (such period, the “</w:t>
      </w:r>
      <w:r>
        <w:rPr>
          <w:rFonts w:ascii="Times New Roman;sans-serif" w:hAnsi="Times New Roman;sans-serif"/>
          <w:b w:val="false"/>
          <w:color w:val="000000"/>
          <w:sz w:val="22"/>
          <w:u w:val="single"/>
        </w:rPr>
        <w:t>RP Period</w:t>
      </w:r>
      <w:r>
        <w:rPr>
          <w:color w:val="000000"/>
        </w:rPr>
        <w:t>”</w:t>
      </w:r>
      <w:r>
        <w:rPr>
          <w:rFonts w:ascii="Times New Roman;sans-serif" w:hAnsi="Times New Roman;sans-serif"/>
          <w:b w:val="false"/>
          <w:color w:val="000000"/>
          <w:sz w:val="22"/>
        </w:rPr>
        <w:t xml:space="preserve">) shall not exceed $100,000,000, (3) less than or equal to 3.25 to 1.00 but greater than 2.75 to 1.00, the aggregate amount of Restricted Payments made pursuant to this clause (viii), together with the aggregate amount of payments of Indebtedness made pursuant to Section 6.08(b)(viii), during the RP Period shall not exceed $50,000,000 and (4) greater than 3.25 to 1.00, no Restricted Payments may be made pursuant to this clause (viii);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 xml:space="preserve">that at the time of any payment pursuant to this clause (viii), no Default or Event of Default shall have occurred and be continuing; </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(ix)    the Parent Borrower may make payments to Holdings to permit it to make Restricted Payments in an amount not to exceed the Net Proceeds Not Otherwise Applied of any issuance of Equity Interests in Holdings issued on or after the Second Restatement Date (other than an issuance to the Parent Borrower or a Subsidiary and other than an issuance of Disqualified Equity Interests);</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(x)    the making of any Restricted Payment shall be permitted within 60 days after the date of declaration thereof if at the date of declaration such Restricted Payment would have complied with the provisions of this Agreement;</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(xi)    (i) the Parent Borrower may make payments to Holdings to permit it to purchase, redeem, defease, or otherwise acquire or retire for value its common stock in an amount not to exceed $100,000,000 and (ii) the Parent Borrower may make payments to Holdings to permit it to pay dividends on its common stock in an amount not to exceed, per annum, the greater of $20,000,000 and 2.0% of Market Capitalization;</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 xml:space="preserve">(xii)    the Parent Borrower and any Subsidiaries may pay or distribute Receivables Fees; </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(xiii)    Holdings, the Parent Borrower and any Subsidiary may make Restricted Payments to allow the payment of cash in lieu of the issuance of fractional shares upon the exercise of options or warrants or upon the conversion or exchange of Equity Interests of any such Person; and</w:t>
      </w:r>
    </w:p>
    <w:p>
      <w:pPr>
        <w:pStyle w:val="TextBody"/>
        <w:spacing w:lineRule="auto" w:line="240" w:before="0" w:after="240"/>
        <w:ind w:left="0" w:right="0" w:firstLine="1008"/>
        <w:rPr/>
      </w:pPr>
      <w:r>
        <w:rPr>
          <w:rFonts w:ascii="Times New Roman;sans-serif" w:hAnsi="Times New Roman;sans-serif"/>
          <w:b w:val="false"/>
          <w:color w:val="000000"/>
          <w:sz w:val="22"/>
        </w:rPr>
        <w:t xml:space="preserve">(xiv)    the Parent Borrower may make payments to Holdings to permit it to make, and Holdings may make, Restricted Payments; provided that the aggregate amount of such Restricted Payments, together with the aggregate amount of payments of Indebtedness made pursuant to Section 6.08(b)(ix) and the aggregate amount of investments made pursuant to Section 6.04(v), during the RP Period shall not exceed $25,000,000;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at the time of any payment pursuant to this clause (xiv), no Default or Event of Default shall have occurred and be continuing.</w:t>
      </w:r>
      <w:r>
        <w:br w:type="page"/>
      </w:r>
    </w:p>
    <w:p>
      <w:pPr>
        <w:pStyle w:val="TextBody"/>
        <w:spacing w:before="0" w:after="0"/>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60655"/>
                <wp:effectExtent l="0" t="0" r="0" b="0"/>
                <wp:wrapNone/>
                <wp:docPr id="211" name="Frame21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-109-</w:t>
                      </w:r>
                    </w:p>
                  </w:txbxContent>
                </v:textbox>
              </v:rect>
            </w:pict>
          </mc:Fallback>
        </mc:AlternateConten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(b)    None of Holdings, the Parent Borrower or any Foreign Subsidiary Borrower will, nor will they permit any Subsidiary to, make or agree to pay or make, directly or indirectly, any payment or other distribution (whether in cash, securities or other property) of or in respect of principal of or interest on any Indebtedness, or any payment or other distribution (whether in cash, securities or other property), including any sinking fund or similar deposit, on account of the purchase, redemption, retirement, acquisition, cancellation or termination of any Indebtedness, except:</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    payment of Indebtedness created under the Loan Documents;</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(ii)    payment of regularly scheduled interest and principal payments as and when due in respect of any Indebtedness, other than payments in respect of subordinated Indebtedness prohibited by the subordination provisions thereof;</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(iii)    refinancings of Indebtedness to the extent permitted by Section 6.01;</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(iv)    payment of secured Indebtedness;</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(v)    the making of any payment within 60 days of the giving of irrevocable notice in respect thereof shall be permitted if at the time of the giving of such irrevocable notice, such payment would have complied with the provisions of this Agreement;</w:t>
      </w:r>
    </w:p>
    <w:p>
      <w:pPr>
        <w:pStyle w:val="TextBody"/>
        <w:spacing w:lineRule="auto" w:line="240" w:before="0" w:after="240"/>
        <w:ind w:left="0" w:right="0" w:firstLine="1008"/>
        <w:rPr>
          <w:rFonts w:ascii="Times New Roman;sans-serif" w:hAnsi="Times New Roman;sans-serif"/>
          <w:b w:val="false"/>
          <w:color w:val="000000"/>
          <w:sz w:val="22"/>
        </w:rPr>
      </w:pPr>
      <w:r>
        <w:rPr>
          <w:rFonts w:ascii="Times New Roman;sans-serif" w:hAnsi="Times New Roman;sans-serif"/>
          <w:b w:val="false"/>
          <w:color w:val="000000"/>
          <w:sz w:val="22"/>
        </w:rPr>
        <w:t xml:space="preserve">(vi)    payments of Indebtedness with the Net Proceeds Not Otherwise Applied of an issuance of Equity Interests in Holdings issued on or after the Second Restatement Date (other than an issuance to the Parent Borrower or a Subsidiary and other than an issuance of Disqualified Equity Interests); </w:t>
      </w:r>
    </w:p>
    <w:p>
      <w:pPr>
        <w:pStyle w:val="TextBody"/>
        <w:spacing w:lineRule="auto" w:line="240" w:before="0" w:after="240"/>
        <w:ind w:left="0" w:right="0" w:firstLine="1008"/>
        <w:rPr/>
      </w:pPr>
      <w:r>
        <w:rPr>
          <w:rFonts w:ascii="Times New Roman;sans-serif" w:hAnsi="Times New Roman;sans-serif"/>
          <w:b w:val="false"/>
          <w:color w:val="000000"/>
          <w:sz w:val="22"/>
        </w:rPr>
        <w:t xml:space="preserve">(vii)    payments of Indebtedness in an amount equal to the Available Amount;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at the time of such payment and after giving effect thereto, (i) no Default or Event of Default shall have occurred and be continuing and (ii) at the time of such payment and after giving effect thereto and to the incurrence of any Indebtedness in connection therewith, the Total Net Leverage Ratio is not greater than 3.50 to 1.00; </w:t>
      </w:r>
    </w:p>
    <w:p>
      <w:pPr>
        <w:pStyle w:val="TextBody"/>
        <w:spacing w:lineRule="auto" w:line="240" w:before="0" w:after="240"/>
        <w:ind w:left="0" w:right="0" w:firstLine="1008"/>
        <w:rPr/>
      </w:pPr>
      <w:r>
        <w:rPr>
          <w:rFonts w:ascii="Times New Roman;sans-serif" w:hAnsi="Times New Roman;sans-serif"/>
          <w:b w:val="false"/>
          <w:color w:val="000000"/>
          <w:sz w:val="22"/>
        </w:rPr>
        <w:t xml:space="preserve">(viii)    payments of Indebtedness;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after giving effect to such payments (and any Indebtedness incurred in connection therewith), the Total Net Leverage Ratio at the time of the making of such payments (the date of the making of such payments, the “</w:t>
      </w:r>
      <w:r>
        <w:rPr>
          <w:rFonts w:ascii="Times New Roman;sans-serif" w:hAnsi="Times New Roman;sans-serif"/>
          <w:b w:val="false"/>
          <w:color w:val="000000"/>
          <w:sz w:val="22"/>
          <w:u w:val="single"/>
        </w:rPr>
        <w:t>Debt Repayment Date</w:t>
      </w:r>
      <w:r>
        <w:rPr>
          <w:color w:val="000000"/>
        </w:rPr>
        <w:t>”</w:t>
      </w:r>
      <w:r>
        <w:rPr>
          <w:rFonts w:ascii="Times New Roman;sans-serif" w:hAnsi="Times New Roman;sans-serif"/>
          <w:b w:val="false"/>
          <w:color w:val="000000"/>
          <w:sz w:val="22"/>
        </w:rPr>
        <w:t>) would be (1) less than or equal to 2.25 to 1.00, there shall be no limit on the amount of payments made pursuant to this clause (viii), (2) less than or equal to 2.75 to 1.00, but greater than 2.25 to 1.00, the aggregate amount of payments made pursuant to this clause (viii), together with the aggregate amount of Restricted Payments made pursuant to Section 6.08(a)(viii), during the period from the date 12 months prior to the Debt Repayment Date through (and including) the Debt Repayment Date (such period, the “</w:t>
      </w:r>
      <w:r>
        <w:rPr>
          <w:rFonts w:ascii="Times New Roman;sans-serif" w:hAnsi="Times New Roman;sans-serif"/>
          <w:b w:val="false"/>
          <w:color w:val="000000"/>
          <w:sz w:val="22"/>
          <w:u w:val="single"/>
        </w:rPr>
        <w:t>Debt Repayment Period</w:t>
      </w:r>
      <w:r>
        <w:rPr>
          <w:color w:val="000000"/>
        </w:rPr>
        <w:t>”</w:t>
      </w:r>
      <w:r>
        <w:rPr>
          <w:rFonts w:ascii="Times New Roman;sans-serif" w:hAnsi="Times New Roman;sans-serif"/>
          <w:b w:val="false"/>
          <w:color w:val="000000"/>
          <w:sz w:val="22"/>
        </w:rPr>
        <w:t xml:space="preserve">) shall not exceed $100,000,000, (3) less than or equal to 3.25 to 1.00 but greater than 2.75 to 1.00, the aggregate amount of payments of Indebtedness made pursuant to this clause (viii), together with the aggregate amount of Restricted Debt Payments made pursuant to Section 6.08(a)(viii), during the Debt Repayment Period shall not exceed $50,000,000 and (4) greater than 3.25 to 1.00, no payments of Indebtedness may be made pursuant to this clause (viii);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at the time of any payment pursuant to this clause (viii), no Default or Event of Default shall have occurred and be continuing; and</w:t>
      </w:r>
    </w:p>
    <w:p>
      <w:pPr>
        <w:pStyle w:val="TextBody"/>
        <w:spacing w:lineRule="auto" w:line="240" w:before="0" w:after="240"/>
        <w:ind w:left="0" w:right="0" w:firstLine="1008"/>
        <w:rPr/>
      </w:pPr>
      <w:r>
        <w:rPr>
          <w:rFonts w:ascii="Times New Roman;sans-serif" w:hAnsi="Times New Roman;sans-serif"/>
          <w:b w:val="false"/>
          <w:color w:val="000000"/>
          <w:sz w:val="22"/>
        </w:rPr>
        <w:t xml:space="preserve">(ix)    payments of Indebtedness;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aggregate amount of such payments, together with the aggregate amount of Restricted Payments made pursuant to Section 6.08(a)(xiv) and the aggregate amount of investments made pursuant to Section 6.04(v), during the Debt Repayment Period shall not exceed $25,000,000;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at the time of any payment pursuant to this clause (ix), no Default or Event of Default shall have occurred and be continuing.</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(c)    None of Holdings, the Parent Borrower or any Foreign Subsidiary Borrower will, nor will they permit any Subsidiary to, enter into or be party to, or make any payment under, any Synthetic Purchase Agreement unless (i) in the case of any Synthetic Purchase Agreement related to any </w:t>
      </w:r>
      <w:r>
        <w:br w:type="page"/>
      </w:r>
    </w:p>
    <w:p>
      <w:pPr>
        <w:pStyle w:val="TextBody"/>
        <w:spacing w:before="0" w:after="0"/>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60655"/>
                <wp:effectExtent l="0" t="0" r="0" b="0"/>
                <wp:wrapNone/>
                <wp:docPr id="212" name="Frame21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-110-</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Equity Interest of Holdings, the payments required to be made by Holdings are limited to amounts permitted to be paid under Section 6.08(a), (ii) in the case of any Synthetic Purchase Agreement related to any Restricted Indebtedness, the payments required to be made by Holdings, the Parent Borrower or the Subsidiaries thereunder are limited to the amount permitted under Section 6.08(b) and (iii) in the case of any Synthetic Purchase Agreement, the obligations of Holdings, the Parent Borrower and the Subsidiaries thereunder are subordinated to the Obligations on terms satisfactory to the Required Lenders.</w:t>
      </w:r>
    </w:p>
    <w:p>
      <w:pPr>
        <w:pStyle w:val="TextBody"/>
        <w:spacing w:lineRule="auto" w:line="240" w:before="0" w:after="240"/>
        <w:ind w:left="0" w:right="0" w:firstLine="1440"/>
        <w:rPr/>
      </w:pPr>
      <w:r>
        <w:rPr>
          <w:rFonts w:ascii="Times New Roman;sans-serif" w:hAnsi="Times New Roman;sans-serif"/>
          <w:b w:val="false"/>
          <w:color w:val="000000"/>
          <w:sz w:val="22"/>
        </w:rPr>
        <w:t>SECTION 6.09    </w:t>
      </w:r>
      <w:r>
        <w:rPr>
          <w:rFonts w:ascii="Times New Roman;sans-serif" w:hAnsi="Times New Roman;sans-serif"/>
          <w:b w:val="false"/>
          <w:color w:val="000000"/>
          <w:sz w:val="22"/>
          <w:u w:val="single"/>
        </w:rPr>
        <w:t>Transactions with Affiliates</w:t>
      </w:r>
      <w:r>
        <w:rPr>
          <w:rFonts w:ascii="Times New Roman;sans-serif" w:hAnsi="Times New Roman;sans-serif"/>
          <w:b w:val="false"/>
          <w:color w:val="000000"/>
          <w:sz w:val="22"/>
        </w:rPr>
        <w:t>. None of Holdings, the Parent Borrower or any Foreign Subsidiary Borrower will, nor will they permit any Subsidiary to, sell, lease or otherwise transfer any property or assets to, or purchase, lease or otherwise acquire any property or assets from, or otherwise engage in any other transactions with, any of its Affiliates, except:</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    transactions that are at prices and on terms and conditions not less favorable to the Parent Borrower or such Subsidiary than could be obtained on an arm’s-length basis from unrelated third parties;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    transactions between or among the Parent Borrower and the Subsidiaries not involving any other Affiliate (to the extent not otherwise prohibited by other provisions of this Agreement);</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(c)    any Restricted Payment permitted by Section 6.08; </w:t>
      </w:r>
    </w:p>
    <w:p>
      <w:pPr>
        <w:pStyle w:val="TextBody"/>
        <w:spacing w:lineRule="auto" w:line="240" w:before="0" w:after="240"/>
        <w:ind w:left="0" w:right="0" w:firstLine="720"/>
        <w:rPr/>
      </w:pPr>
      <w:r>
        <w:rPr>
          <w:rFonts w:ascii="Times New Roman;sans-serif" w:hAnsi="Times New Roman;sans-serif"/>
          <w:b w:val="false"/>
          <w:color w:val="000000"/>
          <w:sz w:val="22"/>
        </w:rPr>
        <w:t>(d)    transactions pursuant to agreements in effect on the Second Restatement Date and listed on Schedule 6.09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this clause (d) shall not apply to any extension, or renewal of, or any amendment or modification of such agreements that is less favorable to the Parent Borrower or the applicable Subsidiaries, as the case may be);</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(e)    payments or loans (or cancellations of loans) to officers, directors, employees or consultants which are approved by a majority of the board of directors of Holdings in good faith;</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    the issuance of Equity Interests (other than Disqualified Equity Interests) of Holdings to any Person;</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(g)    the issuances of securities or other payments, awards or grants in cash, securities or otherwise pursuant to, the funding of, or the making of payments pursuant to, employment, consulting and service agreements and arrangements, stock option and stock ownership plans, long-term incentive plans or similar employee or director benefit plans approved by the board of directors of Holdings or any direct or indirect parent of Holdings or the board of directors of the Parent Borrower or a Subsidiary, as appropriate, in good faith; </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(h)    any contribution to the capital of Holdings;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    transactions between Holdings, the Parent Borrower or any Subsidiary, on the one hand, and any Person, on the other hand, a director of which is also a director of Holdings or any direct or indirect parent of Holdings; provided that such director abstains from voting as a director of Holdings or such direct or indirect parent, as the case may be, on any matter involving such other Person; and</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(j)    any employment agreements or any similar or related agreements entered into by Holdings, the Parent Borrower or any Subsidiary, in each case in the ordinary course of business.</w:t>
      </w:r>
    </w:p>
    <w:p>
      <w:pPr>
        <w:pStyle w:val="TextBody"/>
        <w:spacing w:lineRule="auto" w:line="240" w:before="0" w:after="240"/>
        <w:ind w:left="0" w:right="0" w:firstLine="1440"/>
        <w:rPr/>
      </w:pPr>
      <w:r>
        <w:rPr>
          <w:rFonts w:ascii="Times New Roman;sans-serif" w:hAnsi="Times New Roman;sans-serif"/>
          <w:b w:val="false"/>
          <w:color w:val="000000"/>
          <w:sz w:val="22"/>
        </w:rPr>
        <w:t>SECTION 6.10    </w:t>
      </w:r>
      <w:r>
        <w:rPr>
          <w:rFonts w:ascii="Times New Roman;sans-serif" w:hAnsi="Times New Roman;sans-serif"/>
          <w:b w:val="false"/>
          <w:color w:val="000000"/>
          <w:sz w:val="22"/>
          <w:u w:val="single"/>
        </w:rPr>
        <w:t>Restrictive Agreements</w:t>
      </w:r>
      <w:r>
        <w:rPr>
          <w:rFonts w:ascii="Times New Roman;sans-serif" w:hAnsi="Times New Roman;sans-serif"/>
          <w:b w:val="false"/>
          <w:color w:val="000000"/>
          <w:sz w:val="22"/>
        </w:rPr>
        <w:t xml:space="preserve">. None of Holdings, the Parent Borrower or any Foreign Subsidiary Borrower will, nor will they permit any Subsidiary to, directly or indirectly, enter into, incur or permit to exist any agreement or other arrangement that prohibits, restricts or imposes any condition upon (a) the ability of Holdings, the Parent Borrower or any Subsidiary to create, incur or permit to exist any Lien upon any of its property or assets, or (b) the ability of any Subsidiary to pay dividends or other distributions with respect to any shares of its capital stock or to make or repay loans or </w:t>
      </w:r>
      <w:r>
        <w:br w:type="page"/>
      </w:r>
    </w:p>
    <w:p>
      <w:pPr>
        <w:pStyle w:val="TextBody"/>
        <w:spacing w:before="0" w:after="0"/>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60655"/>
                <wp:effectExtent l="0" t="0" r="0" b="0"/>
                <wp:wrapNone/>
                <wp:docPr id="213" name="Frame21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-111-</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2"/>
        </w:rPr>
        <w:t xml:space="preserve">advances to the Parent Borrower or any other Subsidiary or to Guarantee Indebtedness of the Parent Borrower or any other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the foregoing shall not apply to restrictions and conditions imposed by law, rule, regulation or order or by any Loan Document, Permitted Receivables Document or any Specified Vendor Receivables Financing Document that are customary, in the reasonable judgment of the board of directors thereof, for the market in which such Indebtedness is issued so long as such restrictions do not prevent, impede or impair (x) the creation of Liens and Guarantees in favor of the Lenders under the Loan Documents or (y) the satisfaction of the obligations of the Loan Parties under the Loan Documents, (ii) the foregoing shall not apply to restrictions and conditions existing on the Second Restatement Date identified on Schedule 6.10, (iii) the foregoing shall not apply to customary restrictions and conditions contained in agreements relating to the sale of a Subsidiary pending such sale;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such restrictions and conditions apply only to the Subsidiary that is to be sold and such sale is permitted hereunder, (iv) clause (a) of the foregoing shall not apply to (A) restrictions or conditions imposed by any agreement relating to secured Indebtedness permitted by this Agreement if such restrictions or conditions apply only to the property or assets securing such Indebtedness and (B) customary provisions in leases and other agreements restricting the assignment thereof, (v) the foregoing shall not apply to any agreement or other instrument of a Person acquired by the Parent Borrower or any Subsidiary which was in existence at the time of such acquisition (but not created in contemplation thereof or to provide all or any portion of the funds or credit support utilized to consummate such acquisition), which encumbrance or restriction is not applicable to any Person, or the properties or assets of any Person, other than the Person and its Subsidiaries, or the property or assets of the Person and its Subsidiaries, so acquired, (vi) the foregoing shall not apply to customary restrictions on cash or other deposits or net worth required by customers under contracts entered into in the ordinary course of business, (vii) the foregoing shall not apply to customary provisions in joint venture agreements, partnership agreements, limited liability company agreements and similar agreements required in connection with the entering into of such transaction and (viii) any prohibition or restrictions of the type referred to in clauses (a) or (b) above imposed by amendments, modifications, restatements, renewals, increases, supplements, refundings, replacements or refinancings of the contracts, instruments or obligations referred to in clauses (i) through (vii) above shall be permitted;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amendments, modifications, restatements, renewals, increases, supplements, refundings, replacements or refinancings do not expand the scope of any such prohibition or restriction from that originally set forth in the contract, instrument or obligation referred to in clauses (i) through (vii) above.</w:t>
      </w:r>
    </w:p>
    <w:p>
      <w:pPr>
        <w:pStyle w:val="TextBody"/>
        <w:spacing w:lineRule="auto" w:line="240" w:before="0" w:after="240"/>
        <w:ind w:left="0" w:right="0" w:firstLine="1440"/>
        <w:rPr/>
      </w:pPr>
      <w:r>
        <w:rPr>
          <w:rFonts w:ascii="Times New Roman;sans-serif" w:hAnsi="Times New Roman;sans-serif"/>
          <w:b w:val="false"/>
          <w:color w:val="000000"/>
          <w:sz w:val="22"/>
        </w:rPr>
        <w:t>SECTION 6.11    </w:t>
      </w:r>
      <w:r>
        <w:rPr>
          <w:rFonts w:ascii="Times New Roman;sans-serif" w:hAnsi="Times New Roman;sans-serif"/>
          <w:b w:val="false"/>
          <w:color w:val="000000"/>
          <w:sz w:val="22"/>
          <w:u w:val="single"/>
        </w:rPr>
        <w:t>Amendment of Material Documents</w:t>
      </w:r>
      <w:r>
        <w:rPr>
          <w:rFonts w:ascii="Times New Roman;sans-serif" w:hAnsi="Times New Roman;sans-serif"/>
          <w:b w:val="false"/>
          <w:color w:val="000000"/>
          <w:sz w:val="22"/>
        </w:rPr>
        <w:t>. None of Holdings, the Parent Borrower or any Foreign Subsidiary Borrower will, nor will they permit any Subsidiary (including the Receivables Subsidiary) to, amend, restate, modify or waive any of its rights under (a) its certificate of incorporation, by-laws or other organizational documents, and (b) any Material Agreement or other agreements (including joint venture agreements), in each case to the extent such amendment, restatement, modification or waiver is adverse to the Lenders in any material respect (it being agreed that the addition or removal of Loan Parties from participation in a Permitted Receivables Financing or Specified Vendor Receivables Financing shall not constitute an amendment, modification or waiver of the Receivables Purchase Agreement, Receivables Transfer Agreement or any Specified Vendor Receivables Financing Document that is adverse to the Lenders).</w:t>
      </w:r>
    </w:p>
    <w:p>
      <w:pPr>
        <w:pStyle w:val="TextBody"/>
        <w:spacing w:lineRule="auto" w:line="240" w:before="0" w:after="240"/>
        <w:ind w:left="0" w:right="0" w:firstLine="1440"/>
        <w:rPr/>
      </w:pPr>
      <w:r>
        <w:rPr>
          <w:rFonts w:ascii="Times New Roman;sans-serif" w:hAnsi="Times New Roman;sans-serif"/>
          <w:b w:val="false"/>
          <w:color w:val="000000"/>
          <w:sz w:val="22"/>
        </w:rPr>
        <w:t>SECTION 6.12    </w:t>
      </w:r>
      <w:r>
        <w:rPr>
          <w:rFonts w:ascii="Times New Roman;sans-serif" w:hAnsi="Times New Roman;sans-serif"/>
          <w:b w:val="false"/>
          <w:color w:val="000000"/>
          <w:sz w:val="22"/>
          <w:u w:val="single"/>
        </w:rPr>
        <w:t>Interest Expense Coverage Ratio</w:t>
      </w:r>
      <w:r>
        <w:rPr>
          <w:rFonts w:ascii="Times New Roman;sans-serif" w:hAnsi="Times New Roman;sans-serif"/>
          <w:b w:val="false"/>
          <w:color w:val="000000"/>
          <w:sz w:val="22"/>
        </w:rPr>
        <w:t>. Neither Holdings nor the Parent Borrower will permit the Interest Expense Coverage Ratio, in each case as of the last day of any period of four consecutive fiscal quarters ending on or after December 31, 2020, to be less than 3.00 to 1.00.</w:t>
      </w:r>
    </w:p>
    <w:p>
      <w:pPr>
        <w:pStyle w:val="TextBody"/>
        <w:spacing w:lineRule="auto" w:line="240" w:before="0" w:after="240"/>
        <w:ind w:left="0" w:right="0" w:firstLine="1440"/>
        <w:rPr/>
      </w:pPr>
      <w:r>
        <w:rPr>
          <w:rFonts w:ascii="Times New Roman;sans-serif" w:hAnsi="Times New Roman;sans-serif"/>
          <w:b w:val="false"/>
          <w:color w:val="000000"/>
          <w:sz w:val="22"/>
        </w:rPr>
        <w:t>SECTION 6.13    </w:t>
      </w:r>
      <w:r>
        <w:rPr>
          <w:rFonts w:ascii="Times New Roman;sans-serif" w:hAnsi="Times New Roman;sans-serif"/>
          <w:b w:val="false"/>
          <w:color w:val="000000"/>
          <w:sz w:val="22"/>
          <w:u w:val="single"/>
        </w:rPr>
        <w:t>Total Net Leverage Ratio</w:t>
      </w:r>
      <w:r>
        <w:rPr>
          <w:rFonts w:ascii="Times New Roman;sans-serif" w:hAnsi="Times New Roman;sans-serif"/>
          <w:b w:val="false"/>
          <w:color w:val="000000"/>
          <w:sz w:val="22"/>
        </w:rPr>
        <w:t xml:space="preserve">. Neither Holdings nor the Parent Borrower will permit the Total Net Leverage Ratio as of the last day of any fiscal quarter ending on or after December 31, 2020 to exceed 4.00 to 1.00;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during a Covenant Holiday Period, neither Holdings nor the Parent Borrower will permit the Total Net Leverage Ratio as of the last day of any fiscal quarter ending during such Covenant Holiday Period to exceed 4.50 to 1.00.</w:t>
      </w:r>
    </w:p>
    <w:p>
      <w:pPr>
        <w:pStyle w:val="TextBody"/>
        <w:spacing w:lineRule="auto" w:line="240" w:before="0" w:after="240"/>
        <w:ind w:left="0" w:right="0" w:firstLine="1440"/>
        <w:rPr/>
      </w:pPr>
      <w:r>
        <w:rPr>
          <w:rFonts w:ascii="Times New Roman;sans-serif" w:hAnsi="Times New Roman;sans-serif"/>
          <w:b w:val="false"/>
          <w:color w:val="000000"/>
          <w:sz w:val="22"/>
        </w:rPr>
        <w:t>SECTION 6.14    </w:t>
      </w:r>
      <w:r>
        <w:rPr>
          <w:rFonts w:ascii="Times New Roman;sans-serif" w:hAnsi="Times New Roman;sans-serif"/>
          <w:b w:val="false"/>
          <w:color w:val="000000"/>
          <w:sz w:val="22"/>
          <w:u w:val="single"/>
        </w:rPr>
        <w:t>Use of Proceeds</w:t>
      </w:r>
      <w:r>
        <w:rPr>
          <w:rFonts w:ascii="Times New Roman;sans-serif" w:hAnsi="Times New Roman;sans-serif"/>
          <w:b w:val="false"/>
          <w:color w:val="000000"/>
          <w:sz w:val="22"/>
        </w:rPr>
        <w:t xml:space="preserve">. No Parent Borrower or Foreign Subsidiary Borrower will request any Borrowing or Letter of Credit, and no Parent Borrower or Foreign Subsidiary Borrower shall use, and shall procure that their Subsidiaries and its or their respective directors, officers, employees and agents shall not use, the proceeds of any Borrowing or Letter of Credit (A) in furtherance of an offer, payment, promise to pay, or authorization of the payment or giving of money, or anything else </w:t>
      </w:r>
      <w:r>
        <w:br w:type="page"/>
      </w:r>
    </w:p>
    <w:p>
      <w:pPr>
        <w:pStyle w:val="TextBody"/>
        <w:spacing w:before="0" w:after="0"/>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60655"/>
                <wp:effectExtent l="0" t="0" r="0" b="0"/>
                <wp:wrapNone/>
                <wp:docPr id="214" name="Frame21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-112-</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of value, to any Person in violation of any Anti-Corruption Laws, (B) for the purpose of funding, financing or facilitating any activities, business or transaction of or with any Sanctioned Person, or in any Sanctioned Country, to the extent such activities, businesses or transaction would be prohibited by Sanctions if conducted by a corporation incorporated in the United States or in a European Union member state or (C) in any manner that would result in the violation of any Sanctions applicable to any party hereto.</w:t>
      </w:r>
    </w:p>
    <w:p>
      <w:pPr>
        <w:pStyle w:val="TextBody"/>
        <w:spacing w:lineRule="auto" w:line="240" w:before="0" w:after="240"/>
        <w:jc w:val="center"/>
        <w:rPr/>
      </w:pPr>
      <w:r>
        <w:rPr>
          <w:rFonts w:ascii="Times New Roman;sans-serif" w:hAnsi="Times New Roman;sans-serif"/>
          <w:b w:val="false"/>
          <w:color w:val="000000"/>
          <w:sz w:val="22"/>
        </w:rPr>
        <w:t>ARTICLE VII</w:t>
      </w:r>
      <w:r>
        <w:rPr>
          <w:rFonts w:ascii="Times New Roman;sans-serif" w:hAnsi="Times New Roman;sans-serif"/>
          <w:b w:val="false"/>
          <w:color w:val="000000"/>
          <w:sz w:val="22"/>
          <w:u w:val="single"/>
        </w:rPr>
        <w:br/>
        <w:br/>
        <w:t>Events of Default</w:t>
      </w:r>
    </w:p>
    <w:p>
      <w:pPr>
        <w:pStyle w:val="TextBody"/>
        <w:spacing w:lineRule="auto" w:line="240" w:before="0" w:after="240"/>
        <w:ind w:left="0" w:right="0" w:firstLine="1440"/>
        <w:rPr/>
      </w:pPr>
      <w:r>
        <w:rPr>
          <w:rFonts w:ascii="Times New Roman;sans-serif" w:hAnsi="Times New Roman;sans-serif"/>
          <w:b w:val="false"/>
          <w:color w:val="000000"/>
          <w:sz w:val="22"/>
        </w:rPr>
        <w:t>If any of the following events (“</w:t>
      </w:r>
      <w:r>
        <w:rPr>
          <w:rFonts w:ascii="Times New Roman;sans-serif" w:hAnsi="Times New Roman;sans-serif"/>
          <w:b w:val="false"/>
          <w:color w:val="000000"/>
          <w:sz w:val="22"/>
          <w:u w:val="single"/>
        </w:rPr>
        <w:t>Events of Default</w:t>
      </w:r>
      <w:r>
        <w:rPr>
          <w:color w:val="000000"/>
        </w:rPr>
        <w:t>”</w:t>
      </w:r>
      <w:r>
        <w:rPr>
          <w:rFonts w:ascii="Times New Roman;sans-serif" w:hAnsi="Times New Roman;sans-serif"/>
          <w:b w:val="false"/>
          <w:color w:val="000000"/>
          <w:sz w:val="22"/>
        </w:rPr>
        <w:t>) shall occur:</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    the Parent Borrower or any Foreign Subsidiary Borrower shall fail to (i) pay any principal of any Loan or any reimbursement obligation in respect of any LC Disbursement when and as the same shall become due and payable, whether at the due date thereof or at a date fixed for prepayment thereof or otherwise or (ii) provide cash collateral when and as the same shall be required by Section 2.05(k);</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    the Parent Borrower or any Foreign Subsidiary Borrower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five Business Days;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    any representation or warranty made or deemed made by or on behalf of Holdings, the Parent Borrower, any Foreign Subsidiary Borrower or any Subsidiary in or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(d)    Holdings, the Parent Borrower or any Foreign Subsidiary Borrower shall fail to observe or perform any covenant, condition or agreement contained in Section 5.02, 5.04(a) (with respect to the existence of Holdings, the Parent Borrower or any Foreign Subsidiary Borrower and ownership of the Foreign Subsidiary Borrowers), 5.04(b) or 5.11 or in Article VI;</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(e)    any Loan Party shall fail to observe or perform any covenant, condition or agreement contained in any Loan Document (other than those specified in clause (a), (b) or (d) of this Article), and such failure shall continue unremedied for a period of 30 days after the earlier of (x) notice thereof from the Administrative Agent to the Parent Borrower (which notice will be given at the request of any Lender) and (y) the date on which the President, a Vice President or a Financial Officer of the Parent Borrower becomes aware of such failure;</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    Holdings, the Parent Borrower or any Subsidiary shall fail to make any payment (whether of principal, interest or other payment obligations) in respect of any Material Indebtedness, when and as the same shall become due and payable after giving effect to any applicable grace period with respect thereto;</w:t>
      </w:r>
    </w:p>
    <w:p>
      <w:pPr>
        <w:pStyle w:val="TextBody"/>
        <w:spacing w:lineRule="auto" w:line="240" w:before="0" w:after="240"/>
        <w:ind w:left="0" w:right="0" w:firstLine="720"/>
        <w:rPr/>
      </w:pPr>
      <w:r>
        <w:rPr>
          <w:rFonts w:ascii="Times New Roman;sans-serif" w:hAnsi="Times New Roman;sans-serif"/>
          <w:b w:val="false"/>
          <w:color w:val="000000"/>
          <w:sz w:val="22"/>
        </w:rPr>
        <w:t xml:space="preserve">(g)    any event or condition occurs that results in any Material Indebtedness becoming due prior to its scheduled maturity or that enables or permits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this clause (g) shall not apply to secured Indebtedness that becomes due as a result of the voluntary sale or transfer of the property or assets securing such Indebtedness;</w:t>
      </w:r>
      <w:r>
        <w:br w:type="page"/>
      </w:r>
    </w:p>
    <w:p>
      <w:pPr>
        <w:pStyle w:val="TextBody"/>
        <w:spacing w:before="0" w:after="0"/>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60655"/>
                <wp:effectExtent l="0" t="0" r="0" b="0"/>
                <wp:wrapNone/>
                <wp:docPr id="215" name="Frame21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-113-</w:t>
                      </w:r>
                    </w:p>
                  </w:txbxContent>
                </v:textbox>
              </v:rect>
            </w:pict>
          </mc:Fallback>
        </mc:AlternateConten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(h)    an involuntary proceeding shall be commenced or an involuntary petition shall be filed seeking (i) liquidation, reorganization or other relief in respect of Holdings, the Parent Borrower, any Foreign Subsidiary Borrower or any Subsidiary or its debts, or of a substantial part of its assets, under any Federal, state or foreign bankruptcy, insolvency, receivership or similar law now or hereafter in effect or (ii) the appointment of a receiver, trustee, custodian, sequestrator, conservator or similar official for Holdings, the Parent Borrower or any Subsidiary or for a substantial part of its assets, and, in any such case, such proceeding or petition shall continue undismissed for 60 days or an order or decree approving or ordering any of the foregoing shall be entered;</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    Holdings, the Parent Borrower or any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Holdings, the Parent Borrower or any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(j)    Holdings, the Parent Borrower or any Subsidiary shall become unable, admit in writing in a court proceeding its inability or fail generally to pay its debts as they become due;</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(k)    one or more judgments for the payment of money in an aggregate amount in excess of $50,000,000 shall be rendered against Holdings, the Parent Borrower, any Subsidiary or any combination thereof and the same shall remain undischarged for a period of 30 consecutive days during which execution shall not be effectively stayed, or any action shall be legally taken by a judgment creditor to attach or levy upon any assets of Holdings, the Parent Borrower or any Subsidiary to enforce any such judgment;</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(l)    an ERISA Event shall have occurred that, in the opinion of the Required Lenders, when taken together with all other ERISA Events that have occurred, could reasonably be expected to result in a Material Adverse Effect;</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(m)    any Lien covering property having a book value or fair market value of $5,000,000 or more purported to be created under any Security Document shall cease to be, or shall be asserted by any Loan Party not to be, a valid and perfected Lien on any Collateral, except (i) as a result of the sale or other disposition of the applicable Collateral in a transaction permitted under the Loan Documents or (ii) as a result of the Administrative Agent’s failure to maintain possession of any stock certificates, promissory notes or other instruments delivered to it under the Pledge Agreement;</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(n)    the Guarantee Agreement or any other Loan Document (other than a Security Document) shall cease to be, or shall have been asserted in writing by any Loan Party not to be, in full force and effect in accordance with its terms;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    the Parent Borrower, Holdings or any Subsidiary shall challenge the subordination provisions of the Subordinated Debt or assert that such provisions are invalid or unenforceable or that the Obligations of the Parent Borrower or any Foreign Subsidiary Borrower, or the Obligations of Holdings or any Subsidiary under the Guarantee Agreement, are not senior Indebtedness under the subordination provisions of the Subordinated Debt, or any court, tribunal or government authority of competent jurisdiction shall judge the subordination provisions of the Subordinated Debt to be invalid or unenforceable or such Obligations to be not senior Indebtedness under such subordination provisions or otherwise cease to be, or shall be asserted not to be, legal, valid and binding obligations of the parties thereto, enforceable in accordance with their terms; or</w:t>
      </w:r>
      <w:r>
        <w:br w:type="page"/>
      </w:r>
    </w:p>
    <w:p>
      <w:pPr>
        <w:pStyle w:val="TextBody"/>
        <w:spacing w:before="0" w:after="0"/>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60655"/>
                <wp:effectExtent l="0" t="0" r="0" b="0"/>
                <wp:wrapNone/>
                <wp:docPr id="216" name="Frame21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-114-</w:t>
                      </w:r>
                    </w:p>
                  </w:txbxContent>
                </v:textbox>
              </v:rect>
            </w:pict>
          </mc:Fallback>
        </mc:AlternateConten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(p)    a Change in Control shall occur;</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then, and in every such event (other than an event with respect to the Parent Borrower or any Foreign Subsidiary Borrower described in clause (h) or (i) of this Article), and at any time thereafter during the continuance of such event, the Administrative Agent may, and at the request of the Required Lenders shall, by notice to the Parent Borrower (on behalf of itself and the Foreign Subsidiary Borrowers),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Parent Borrower or any Foreign Subsidiary Borrower accrued hereunder, shall become due and payable immediately, without presentment, demand, protest or other notice of any kind, all of which are hereby waived by the Parent Borrower and the Foreign Subsidiary Borrowers; and in case of any event with respect to the Parent Borrower or any Foreign Subsidiary Borrower described in clause (h) or (i) of this Article, the Commitments shall automatically terminate and the principal of the Loans then outstanding, together with accrued interest thereon and all fees and other obligations of the Parent Borrower or any Foreign Subsidiary Borrower accrued hereunder, shall automatically become due and payable, without presentment, demand, protest or other notice of any kind, all of which are hereby waived by the Parent Borrower and the Foreign Subsidiary Borrowers.</w:t>
      </w:r>
    </w:p>
    <w:p>
      <w:pPr>
        <w:pStyle w:val="TextBody"/>
        <w:spacing w:lineRule="auto" w:line="240" w:before="0" w:after="240"/>
        <w:jc w:val="center"/>
        <w:rPr/>
      </w:pPr>
      <w:r>
        <w:rPr>
          <w:rFonts w:ascii="Times New Roman;sans-serif" w:hAnsi="Times New Roman;sans-serif"/>
          <w:b w:val="false"/>
          <w:color w:val="000000"/>
          <w:sz w:val="22"/>
        </w:rPr>
        <w:t>ARTICLE VIII</w:t>
      </w:r>
      <w:r>
        <w:rPr>
          <w:rFonts w:ascii="Times New Roman;sans-serif" w:hAnsi="Times New Roman;sans-serif"/>
          <w:b w:val="false"/>
          <w:color w:val="000000"/>
          <w:sz w:val="22"/>
          <w:u w:val="single"/>
        </w:rPr>
        <w:br/>
        <w:br/>
        <w:t>The Agents</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SECTION 8.01    Each of the Lenders and the Issuing Bank hereby irrevocably appoints the Administrative Agent (it being understood that reference in this Article VIII to the Administrative Agent shall be deemed to include the Collateral Agent) and authorizes the Administrative Agent to take such actions on its behalf and to exercise such powers as are delegated to the Administrative Agent by the terms of the Loan Documents, together with such actions and powers as are reasonably incidental thereto.</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Holdings, the Parent Borrower or any Subsidiary or other Affiliate thereof as if it were not the Administrative Agent hereunder.</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in writing by the Required Lenders (or such other number or percentage of the Lenders as shall be necessary under the circumstances as provided in Section 10.02), and (c) except as expressly set forth in the Loan Documents, the Administrative Agent shall not have any duty to disclose, and shall not be liable for the failure to disclose, any information relating to Holdings, the Parent Borrower or any of its Subsidiaries that is communicated to or obtained by the banks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Section 10.02) and the Administrative Agent shall not be liable for any action taken or not taken by it in the absence of its own gross negligence or willful misconduct. The Administrative Agent shall be deemed not to have knowledge of any Default unless and until written notice thereof is given to the Administrative Agent by Holdings, the Parent Borrower, a Foreign Subsidiary Borrower or a Lender,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w:t>
      </w:r>
      <w:r>
        <w:br w:type="page"/>
      </w:r>
    </w:p>
    <w:p>
      <w:pPr>
        <w:pStyle w:val="TextBody"/>
        <w:spacing w:before="0" w:after="0"/>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60655"/>
                <wp:effectExtent l="0" t="0" r="0" b="0"/>
                <wp:wrapNone/>
                <wp:docPr id="217" name="Frame21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-115-</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covenants, agreements or other terms or conditions set forth in any Loan Document or the occurrence of any Event of default, (iv) the validity, enforceability, effectiveness or genuineness of any Loan Document or any other agreement, instrument or document, or (v) the satisfaction of any condition set forth in Article IV or elsewhere in any Loan Document, other than to confirm receipt of items expressly required to be delivered to the Administrative Agent.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Parent Borrower or any Foreign Subsidiary Borrower), independent accountants and other experts selected by it, and shall not be liable for any action taken or not taken by it in accordance with the advice of any such counsel, accountants or experts.</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The Administrative Agent may perform any and all its duties and exercise its rights and powers by or through any one or more sub-agents appointed by the Administrative Agent. Each of the Administrative Agent and any such sub-agent may perform any and all its duties and exercise its rights and powers through their respective Related Parties. The exculpatory provisions of the preceding paragraphs shall apply to any such sub-agent and to the Related Parties of each Administrative Agent and any such sub-agent, and shall apply to their respective activities in connection with the syndication of the credit facilities provided for herein as well as activities as Administrative Agent.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Subject to the appointment and acceptance of a successor Administrative Agent as provided in this paragraph, the Administrative Agent may resign at any time by notifying the Lenders, the Issuing Bank and the Parent Borrower (on behalf of itself and the Foreign Subsidiary Borrowers). Upon any such resignation, the Required Lenders shall have the right, in consultation with the Parent Borrower and, if applicable, the relevant Foreign Subsidiary Borrower, to appoint a successor from among the Lenders. If no successor shall have been so appointed by the Required Lenders and shall have accepted such appointment within 30 days after the retiring Administrative Agent gives notice of its resignation, then the retiring Administrative Agent may, on behalf of the Lenders and the Issuing Bank, appoint a successor Administrative Agent which shall be a bank with an office in New York, New York, or an Affiliate of any such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Parent Borrower (on behalf of itself and the Foreign Subsidiary Borrowers) to a successor Administrative Agent shall be the same as those payable to its predecessor unless otherwise agreed between the Parent Borrower (on behalf of itself and the Foreign Subsidiary Borrowers) and such successor. After the Administrative Agent’s resignation hereunder, the provisions of this Article and Section 10.03 shall continue in effect for the benefit of such retiring Administrative Agent, its sub-agents and its and their respective Related Parties in respect of any actions taken or omitted to be taken by any of them while it was acting as Administrative Agent.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Subject to the appointment and acceptance of a successor Administrative Agent as provided in this paragraph, the Administrative Agent may resign at any time by notifying the Lenders, the Administrative Agent and the Parent Borrower (on behalf of itself and the Foreign Subsidiary Borrowers). Upon any such resignation, the Required Lenders shall have the right, in consultation with the Parent Borrower and, if applicable, the relevant Foreign Subsidiary Borrower, to appoint a successor from among the Lenders. If no successor shall have been so appointed by the Required Lenders and shall have accepted such appointment within 10 days after the retiring Administrative Agent gives notice of its resignation, then the retiring Administrative Agent may, on behalf of the Lenders and the Administrative Agent, appoint a successor Administrative Agent.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Parent Borrower (on behalf of itself and the Foreign Subsidiary Borrowers) to a successor Administrative Agent shall be the same as those payable to its predecessor unless otherwise agreed </w:t>
      </w:r>
      <w:r>
        <w:br w:type="page"/>
      </w:r>
    </w:p>
    <w:p>
      <w:pPr>
        <w:pStyle w:val="TextBody"/>
        <w:spacing w:before="0" w:after="0"/>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60655"/>
                <wp:effectExtent l="0" t="0" r="0" b="0"/>
                <wp:wrapNone/>
                <wp:docPr id="218" name="Frame21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-116-</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between the Parent Borrower (on behalf of itself and the Foreign Subsidiary Borrowers) and such successor. After the Administrative Agent’s resignation hereunder, the provisions of this Article and Section 10.03 shall continue in effect for the benefit of such retiring Administrative Agent, its sub-agents and its and their respective Related Parties in respect of any actions taken or omitted to be taken by any of them while it was acting as Administrative Agent. For the avoidance of doubt, the provisions of this Article and Section 10.03 shall continue in effect for the benefit of the Administrative Agent (as defined immediately prior to giving effect to the Second Amendment Effective Date), its sub-agents and its and their respective Related Parties in respect of any actions taken or omitted to be taken by any of them while it was acting as Administrative Agent.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Each Lender acknowledges that it has, independently and without reliance upon the Administrative Agent,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the Administrative Agent or any other Lender and based on such documents and information as it shall from time to time deem appropriate, continue to make its own decisions in taking or not taking action under or based upon this Agreement, any other Loan Document or related agreement or any document furnished hereunder or thereunder.</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None of the Syndication Agents or Documentation Agents shall have any duties or responsibilities hereunder in their respective capacities as such.</w:t>
      </w:r>
    </w:p>
    <w:p>
      <w:pPr>
        <w:pStyle w:val="TextBody"/>
        <w:spacing w:lineRule="auto" w:line="240" w:before="0" w:after="240"/>
        <w:ind w:left="0" w:right="0" w:firstLine="1440"/>
        <w:rPr/>
      </w:pPr>
      <w:r>
        <w:rPr>
          <w:rFonts w:ascii="Times New Roman;sans-serif" w:hAnsi="Times New Roman;sans-serif"/>
          <w:b w:val="false"/>
          <w:color w:val="000000"/>
          <w:sz w:val="22"/>
        </w:rPr>
        <w:t>Each of the Lenders hereby exempts the Administrative Agent from the restrictions pursuant to section 181 Civil Code (</w:t>
      </w:r>
      <w:r>
        <w:rPr>
          <w:rFonts w:ascii="Times New Roman;sans-serif" w:hAnsi="Times New Roman;sans-serif"/>
          <w:b w:val="false"/>
          <w:i/>
          <w:color w:val="000000"/>
          <w:sz w:val="22"/>
        </w:rPr>
        <w:t>Bürgerliches Gesetzbuch</w:t>
      </w:r>
      <w:r>
        <w:rPr>
          <w:rFonts w:ascii="Times New Roman;sans-serif" w:hAnsi="Times New Roman;sans-serif"/>
          <w:b w:val="false"/>
          <w:color w:val="000000"/>
          <w:sz w:val="22"/>
        </w:rPr>
        <w:t>) and similar restrictions applicable to the Administrative Agent pursuant to any other applicable law, in each case to the extent legally possible to such Secured Party. A Secured Party which cannot grant such exemption shall notify the Administrative Agent accordingly and, upon request of the Administrative Agent, either act in accordance with the terms of this Agreement and/or any other Loan Document as required pursuant to this Agreement and/or such other Loan Document or grant a special power of attorney to a party acting on its behalf, in a manner that is not prohibited pursuant to section 181 of the German Civil Code (Bürgerliches Gesetzbuch) and/or any other applicable laws.”</w:t>
      </w:r>
    </w:p>
    <w:p>
      <w:pPr>
        <w:pStyle w:val="TextBody"/>
        <w:spacing w:lineRule="auto" w:line="240" w:before="0" w:after="240"/>
        <w:ind w:left="0" w:right="0" w:firstLine="1440"/>
        <w:rPr/>
      </w:pPr>
      <w:r>
        <w:rPr>
          <w:rFonts w:ascii="Times New Roman;sans-serif" w:hAnsi="Times New Roman;sans-serif"/>
          <w:b w:val="false"/>
          <w:color w:val="000000"/>
          <w:sz w:val="22"/>
        </w:rPr>
        <w:t>SECTION 8.02    </w:t>
      </w:r>
      <w:r>
        <w:rPr>
          <w:rFonts w:ascii="Times New Roman;sans-serif" w:hAnsi="Times New Roman;sans-serif"/>
          <w:b w:val="false"/>
          <w:color w:val="000000"/>
          <w:sz w:val="22"/>
          <w:u w:val="single"/>
        </w:rPr>
        <w:t>Certain ERISA Matters</w:t>
      </w:r>
      <w:r>
        <w:rPr>
          <w:rFonts w:ascii="Times New Roman;sans-serif" w:hAnsi="Times New Roman;sans-serif"/>
          <w:b w:val="false"/>
          <w:color w:val="000000"/>
          <w:sz w:val="22"/>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Parent Borrower or any other Loan Party, that at least one of the following is and will be true:</w:t>
      </w:r>
    </w:p>
    <w:p>
      <w:pPr>
        <w:pStyle w:val="TextBody"/>
        <w:spacing w:before="0" w:after="0"/>
        <w:ind w:left="0" w:right="0" w:firstLine="720"/>
        <w:jc w:val="both"/>
        <w:rPr/>
      </w:pPr>
      <w:r>
        <w:rPr/>
      </w:r>
    </w:p>
    <w:p>
      <w:pPr>
        <w:pStyle w:val="TextBody"/>
        <w:spacing w:lineRule="auto" w:line="240" w:before="0" w:after="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(i) such Lender is not using “plan assets” (within the meaning of the Plan Asset Regulations) of one or more Benefit Plans in connection with the Loans, the Letters of Credit or the Commitments, </w:t>
      </w:r>
    </w:p>
    <w:p>
      <w:pPr>
        <w:pStyle w:val="TextBody"/>
        <w:spacing w:before="0" w:after="0"/>
        <w:ind w:left="0" w:right="0" w:firstLine="720"/>
        <w:jc w:val="both"/>
        <w:rPr/>
      </w:pPr>
      <w:r>
        <w:rPr/>
      </w:r>
    </w:p>
    <w:p>
      <w:pPr>
        <w:pStyle w:val="TextBody"/>
        <w:spacing w:lineRule="auto" w:line="240" w:before="0" w:after="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w:t>
      </w:r>
    </w:p>
    <w:p>
      <w:pPr>
        <w:pStyle w:val="TextBody"/>
        <w:spacing w:before="0" w:after="0"/>
        <w:jc w:val="both"/>
        <w:rPr/>
      </w:pPr>
      <w:r>
        <w:rPr/>
      </w:r>
    </w:p>
    <w:p>
      <w:pPr>
        <w:pStyle w:val="TextBody"/>
        <w:spacing w:lineRule="auto" w:line="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w:t>
      </w:r>
      <w:r>
        <w:br w:type="page"/>
      </w:r>
    </w:p>
    <w:p>
      <w:pPr>
        <w:pStyle w:val="TextBody"/>
        <w:spacing w:before="0" w:after="0"/>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60655"/>
                <wp:effectExtent l="0" t="0" r="0" b="0"/>
                <wp:wrapNone/>
                <wp:docPr id="219" name="Frame21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-117-</w:t>
                      </w:r>
                    </w:p>
                  </w:txbxContent>
                </v:textbox>
              </v:rect>
            </w:pict>
          </mc:Fallback>
        </mc:AlternateConten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 such other representation, warranty and covenant as may be agreed in writing between the Administrative Agent, in its sole discretion, and such Lender.</w:t>
      </w:r>
    </w:p>
    <w:p>
      <w:pPr>
        <w:pStyle w:val="TextBody"/>
        <w:spacing w:before="0" w:after="0"/>
        <w:ind w:left="0" w:right="0" w:firstLine="720"/>
        <w:jc w:val="both"/>
        <w:rPr/>
      </w:pPr>
      <w:r>
        <w:rPr/>
      </w:r>
    </w:p>
    <w:p>
      <w:pPr>
        <w:pStyle w:val="TextBody"/>
        <w:spacing w:lineRule="auto" w:line="240" w:before="0" w:after="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 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Parent Borrower or any other Loan Party, that none of the Administrative Agent, any Syndication Agent, any Documentation Agent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w:t>
      </w:r>
    </w:p>
    <w:p>
      <w:pPr>
        <w:pStyle w:val="TextBody"/>
        <w:spacing w:before="0" w:after="0"/>
        <w:ind w:left="0" w:right="0" w:firstLine="720"/>
        <w:jc w:val="both"/>
        <w:rPr/>
      </w:pPr>
      <w:r>
        <w:rPr/>
      </w:r>
    </w:p>
    <w:p>
      <w:pPr>
        <w:pStyle w:val="TextBody"/>
        <w:spacing w:lineRule="auto" w:line="240" w:before="0" w:after="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 The Administrative Agent, Syndication Agent and 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pStyle w:val="TextBody"/>
        <w:spacing w:before="0" w:after="0"/>
        <w:ind w:left="0" w:right="0" w:firstLine="720"/>
        <w:rPr/>
      </w:pPr>
      <w:r>
        <w:rPr/>
      </w:r>
    </w:p>
    <w:p>
      <w:pPr>
        <w:pStyle w:val="TextBody"/>
        <w:spacing w:lineRule="auto" w:line="240" w:before="0" w:after="240"/>
        <w:ind w:left="0" w:right="0" w:firstLine="1440"/>
        <w:rPr/>
      </w:pPr>
      <w:r>
        <w:rPr>
          <w:rFonts w:ascii="Times New Roman;sans-serif" w:hAnsi="Times New Roman;sans-serif"/>
          <w:b w:val="false"/>
          <w:color w:val="000000"/>
          <w:sz w:val="22"/>
        </w:rPr>
        <w:t>SECTION 8.03    </w:t>
      </w:r>
      <w:r>
        <w:rPr>
          <w:rFonts w:ascii="Times New Roman;sans-serif" w:hAnsi="Times New Roman;sans-serif"/>
          <w:b w:val="false"/>
          <w:color w:val="000000"/>
          <w:sz w:val="22"/>
          <w:u w:val="single"/>
        </w:rPr>
        <w:t>Payment and Payment Notice</w:t>
      </w:r>
      <w:r>
        <w:rPr>
          <w:rFonts w:ascii="Times New Roman;sans-serif" w:hAnsi="Times New Roman;sans-serif"/>
          <w:b w:val="false"/>
          <w:color w:val="000000"/>
          <w:sz w:val="22"/>
        </w:rPr>
        <w:t>. (a) Each Lender and Issuing Bank hereby agrees that (x) if the Administrative Agent notifies such Lender or Issuing Bank that the Administrative Agent has determined in its sole discretion that any funds received by such Lender or Issuing Bank from the Administrative Agent or any of its Affiliates (whether as a payment, prepayment or repayment of principal, interest, fees or otherwise; individually and collectively, a “</w:t>
      </w:r>
      <w:r>
        <w:rPr>
          <w:rFonts w:ascii="Times New Roman;sans-serif" w:hAnsi="Times New Roman;sans-serif"/>
          <w:b w:val="false"/>
          <w:color w:val="000000"/>
          <w:sz w:val="22"/>
          <w:u w:val="single"/>
        </w:rPr>
        <w:t>Payment</w:t>
      </w:r>
      <w:r>
        <w:rPr>
          <w:color w:val="000000"/>
        </w:rPr>
        <w:t>”</w:t>
      </w:r>
      <w:r>
        <w:rPr>
          <w:rFonts w:ascii="Times New Roman;sans-serif" w:hAnsi="Times New Roman;sans-serif"/>
          <w:b w:val="false"/>
          <w:color w:val="000000"/>
          <w:sz w:val="22"/>
        </w:rPr>
        <w:t xml:space="preserve">), were erroneously transmitted to such Lender or Issuing Bank (whether or not known to such Lender or Issuing Bank), and demands the return of such Payment (or a portion thereof), such Lender or Issuing Bank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Bank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or Issuing Bank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or Issuing Bank under this Section 8.03 shall be conclusive, absent manifest error. </w:t>
      </w:r>
    </w:p>
    <w:p>
      <w:pPr>
        <w:pStyle w:val="TextBody"/>
        <w:spacing w:lineRule="auto" w:line="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(b) Each Lender or Issuing Bank hereby further agrees that if it receives a Payment from the Administrative Agent or any of its Affiliates (x) that is in a different amount than, or on a different date </w:t>
      </w:r>
      <w:r>
        <w:br w:type="page"/>
      </w:r>
    </w:p>
    <w:p>
      <w:pPr>
        <w:pStyle w:val="TextBody"/>
        <w:spacing w:before="0" w:after="0"/>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60655"/>
                <wp:effectExtent l="0" t="0" r="0" b="0"/>
                <wp:wrapNone/>
                <wp:docPr id="220" name="Frame21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-118-</w:t>
                      </w:r>
                    </w:p>
                  </w:txbxContent>
                </v:textbox>
              </v:rect>
            </w:pict>
          </mc:Fallback>
        </mc:AlternateContent>
      </w:r>
    </w:p>
    <w:p>
      <w:pPr>
        <w:pStyle w:val="TextBody"/>
        <w:spacing w:lineRule="auto" w:line="240" w:before="0" w:after="0"/>
        <w:rPr/>
      </w:pPr>
      <w:r>
        <w:rPr>
          <w:rFonts w:ascii="Times New Roman;sans-serif" w:hAnsi="Times New Roman;sans-serif"/>
          <w:b w:val="false"/>
          <w:color w:val="000000"/>
          <w:sz w:val="22"/>
        </w:rPr>
        <w:t>from, that specified in a notice of payment sent by the Administrative Agent (or any of its Affiliates) with respect to such Payment (a “</w:t>
      </w:r>
      <w:r>
        <w:rPr>
          <w:rFonts w:ascii="Times New Roman;sans-serif" w:hAnsi="Times New Roman;sans-serif"/>
          <w:b w:val="false"/>
          <w:color w:val="000000"/>
          <w:sz w:val="22"/>
          <w:u w:val="single"/>
        </w:rPr>
        <w:t>Payment Notice</w:t>
      </w:r>
      <w:r>
        <w:rPr>
          <w:color w:val="000000"/>
        </w:rPr>
        <w:t>”</w:t>
      </w:r>
      <w:r>
        <w:rPr>
          <w:rFonts w:ascii="Times New Roman;sans-serif" w:hAnsi="Times New Roman;sans-serif"/>
          <w:b w:val="false"/>
          <w:color w:val="000000"/>
          <w:sz w:val="22"/>
        </w:rPr>
        <w:t>) or (y) that was not preceded or accompanied by a Payment Notice, it shall be on notice, in each such case, that an error has been made with respect to such Payment. Each Lender and Issuing Bank agrees that, in each such case, or if it otherwise becomes aware a Payment (or portion thereof) may have been sent in error, such Lender or Issuing Bank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Bank to the date such amount is repaid to the Administrative Agent at the greater of the NYFRB Rate and a rate determined by the Administrative Agent in accordance with banking industry rules on interbank compensation from time to time in effect.</w:t>
      </w:r>
    </w:p>
    <w:p>
      <w:pPr>
        <w:pStyle w:val="TextBody"/>
        <w:spacing w:before="0" w:after="0"/>
        <w:ind w:left="0" w:right="0" w:firstLine="720"/>
        <w:rPr/>
      </w:pPr>
      <w:r>
        <w:rPr/>
      </w:r>
    </w:p>
    <w:p>
      <w:pPr>
        <w:pStyle w:val="TextBody"/>
        <w:spacing w:lineRule="auto" w:line="240" w:before="0" w:after="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 The Borrower and each other Loan Party hereby agrees that (x) in the event an erroneous Payment (or portion thereof) are not recovered from any Lender or Issuing Bank that has received such Payment (or portion thereof) for any reason, the Administrative Agent shall be subrogated to all the rights of such Lender or Issuing Bank with respect to such amount and (y) an erroneous Payment shall not pay, prepay, repay, discharge or otherwise satisfy any Obligations owed by the Borrower or any other Loan Party.</w:t>
      </w:r>
    </w:p>
    <w:p>
      <w:pPr>
        <w:pStyle w:val="TextBody"/>
        <w:spacing w:before="0" w:after="0"/>
        <w:ind w:left="0" w:right="0" w:firstLine="720"/>
        <w:rPr/>
      </w:pPr>
      <w:r>
        <w:rPr/>
      </w:r>
    </w:p>
    <w:p>
      <w:pPr>
        <w:pStyle w:val="TextBody"/>
        <w:spacing w:lineRule="auto" w:line="240" w:before="0" w:after="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(d) Each party’s obligations under this Section 8.03 shall survive the resignation or replacement of the Administrative Agent or any transfer of rights or obligations by, or the replacement of, a Lender or Issuing Bank, the termination of the Commitments or the repayment, satisfaction or discharge of all Obligations under any Loan Document.</w:t>
      </w:r>
    </w:p>
    <w:p>
      <w:pPr>
        <w:pStyle w:val="TextBody"/>
        <w:spacing w:before="0" w:after="240"/>
        <w:rPr/>
      </w:pPr>
      <w:r>
        <w:rPr/>
      </w:r>
    </w:p>
    <w:p>
      <w:pPr>
        <w:pStyle w:val="TextBody"/>
        <w:spacing w:lineRule="auto" w:line="240" w:before="0" w:after="240"/>
        <w:jc w:val="center"/>
        <w:rPr/>
      </w:pPr>
      <w:r>
        <w:rPr>
          <w:rFonts w:ascii="Times New Roman;sans-serif" w:hAnsi="Times New Roman;sans-serif"/>
          <w:b w:val="false"/>
          <w:color w:val="000000"/>
          <w:sz w:val="22"/>
        </w:rPr>
        <w:t>ARTICLE IX</w:t>
      </w:r>
      <w:r>
        <w:rPr>
          <w:rFonts w:ascii="Times New Roman;sans-serif" w:hAnsi="Times New Roman;sans-serif"/>
          <w:b w:val="false"/>
          <w:color w:val="000000"/>
          <w:sz w:val="22"/>
          <w:u w:val="single"/>
        </w:rPr>
        <w:br/>
        <w:br/>
        <w:t>[Reserved]</w:t>
      </w:r>
    </w:p>
    <w:p>
      <w:pPr>
        <w:pStyle w:val="TextBody"/>
        <w:spacing w:lineRule="auto" w:line="240" w:before="0" w:after="240"/>
        <w:jc w:val="center"/>
        <w:rPr/>
      </w:pPr>
      <w:r>
        <w:rPr>
          <w:rFonts w:ascii="Times New Roman;sans-serif" w:hAnsi="Times New Roman;sans-serif"/>
          <w:b w:val="false"/>
          <w:color w:val="000000"/>
          <w:sz w:val="22"/>
        </w:rPr>
        <w:t>ARTICLE X</w:t>
      </w:r>
      <w:r>
        <w:rPr>
          <w:rFonts w:ascii="Times New Roman;sans-serif" w:hAnsi="Times New Roman;sans-serif"/>
          <w:b w:val="false"/>
          <w:color w:val="000000"/>
          <w:sz w:val="22"/>
          <w:u w:val="single"/>
        </w:rPr>
        <w:br/>
        <w:br/>
        <w:t>Miscellaneous</w:t>
      </w:r>
    </w:p>
    <w:p>
      <w:pPr>
        <w:pStyle w:val="TextBody"/>
        <w:spacing w:lineRule="auto" w:line="240" w:before="0" w:after="240"/>
        <w:ind w:left="0" w:right="0" w:firstLine="1440"/>
        <w:rPr/>
      </w:pPr>
      <w:r>
        <w:rPr>
          <w:rFonts w:ascii="Times New Roman;sans-serif" w:hAnsi="Times New Roman;sans-serif"/>
          <w:b w:val="false"/>
          <w:color w:val="000000"/>
          <w:sz w:val="22"/>
        </w:rPr>
        <w:t>SECTION 10.01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telecopy, as follows: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    if to Holdings, the Parent Borrower or any Foreign Subsidiary Borrower, to the Parent Borrower (on behalf of itself, Holdings and any Foreign Subsidiary Borrower) at 38505 Woodward Avenue, Suite 200, Bloomfield Hills, Michigan 48304, Attention of Joshua Sherbin, General Counsel (Telephone No. (248) 631-5450, Telecopy No. (248) 631-5413),</w:t>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with a copy to:</w:t>
        <w:br/>
        <w:br/>
        <w:t>Rachel L. Rawson, Esq.</w:t>
        <w:br/>
        <w:t>Jones Day</w:t>
        <w:br/>
        <w:t>100 High Street</w:t>
        <w:br/>
        <w:t>Boston, Massachusetts 02110</w:t>
        <w:br/>
        <w:t>(Telecopy No. 617);</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    if to the Administrative Agent, to JPMorgan Chase Bank, N.A., 10 South Dearborn, Floor L2, Chicago, Illinois 60603 Attention of Dartonya Jackson (Email: jpm.agency.cri@jpmorgan.com, Telecopy: 888-292-9533, Telephone: 312-732-7032);</w:t>
      </w:r>
      <w:r>
        <w:br w:type="page"/>
      </w:r>
    </w:p>
    <w:p>
      <w:pPr>
        <w:pStyle w:val="TextBody"/>
        <w:spacing w:before="0" w:after="0"/>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60655"/>
                <wp:effectExtent l="0" t="0" r="0" b="0"/>
                <wp:wrapNone/>
                <wp:docPr id="221" name="Frame22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-119-</w:t>
                      </w:r>
                    </w:p>
                  </w:txbxContent>
                </v:textbox>
              </v:rect>
            </w:pict>
          </mc:Fallback>
        </mc:AlternateConten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    if to the Administrative Agent, to it at J.P. Morgan AG, 25 Bank Street, Canary Wharf, London E14 5JP, Attention of The Manager, Loan &amp; Agency Services (Telecopy: 44-207-777-2360, Email: loan_and_agency_london@jpmorgan.com);</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(d)    if to JPMCB, as an Issuing Bank, to it at JPMorgan Chase Bank, N.A 10 South Dearborn Street, Floor L2, Chicago, IL 6060 (Fax: 214-307-6874; Email: Chicago.LC.Agency.Activity.Team@JPMChase.com), Attention of Chicago LC Agency Activity Team, and;</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(e)    if to JPMCB, as a Swingline Lender, to it at JPMorgan Chase Bank, N.A., 10 South Dearborn, Floor L2, Chicago, Illinois 60603 Attention of Dartonya Jackson (Email: jpm.agency.cri@jpmorgan.com, Telecopy: 888-292-9533, Telephone: 312-732-7032); and</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    if to any other Lender, Swingline Lender or Issuing Bank, to it at its address (or telecopy number) set forth in its Administrative Questionnaire.</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pStyle w:val="TextBody"/>
        <w:spacing w:lineRule="auto" w:line="240" w:before="0" w:after="240"/>
        <w:ind w:left="0" w:right="0" w:firstLine="1440"/>
        <w:rPr/>
      </w:pPr>
      <w:r>
        <w:rPr>
          <w:rFonts w:ascii="Times New Roman;sans-serif" w:hAnsi="Times New Roman;sans-serif"/>
          <w:b w:val="false"/>
          <w:color w:val="000000"/>
          <w:sz w:val="22"/>
        </w:rPr>
        <w:t>SECTION 10.02    </w:t>
      </w:r>
      <w:r>
        <w:rPr>
          <w:rFonts w:ascii="Times New Roman;sans-serif" w:hAnsi="Times New Roman;sans-serif"/>
          <w:b w:val="false"/>
          <w:color w:val="000000"/>
          <w:sz w:val="22"/>
          <w:u w:val="single"/>
        </w:rPr>
        <w:t>Waivers; Amendments</w:t>
      </w:r>
      <w:r>
        <w:rPr>
          <w:rFonts w:ascii="Times New Roman;sans-serif" w:hAnsi="Times New Roman;sans-serif"/>
          <w:b w:val="false"/>
          <w:color w:val="000000"/>
          <w:sz w:val="22"/>
        </w:rPr>
        <w: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(a)    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and under the other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w:t>
      </w:r>
    </w:p>
    <w:p>
      <w:pPr>
        <w:pStyle w:val="TextBody"/>
        <w:spacing w:lineRule="auto" w:line="240" w:before="0" w:after="240"/>
        <w:ind w:left="0" w:right="0" w:firstLine="1440"/>
        <w:rPr/>
      </w:pPr>
      <w:r>
        <w:rPr>
          <w:rFonts w:ascii="Times New Roman;sans-serif" w:hAnsi="Times New Roman;sans-serif"/>
          <w:b w:val="false"/>
          <w:color w:val="000000"/>
          <w:sz w:val="22"/>
        </w:rPr>
        <w:t xml:space="preserve">(b)    Except as provided in Section 2.14, Section 2.20 and Section 2.21, neither this Agreement nor any other Loan Document nor any provision hereof or thereof may be waived, amended or modified except, in the case of this Agreement, pursuant to an agreement or agreements in writing entered into by Holdings, the Parent Borrower, each Foreign Subsidiary Borrower (but only to the extent such waiver, amendment or modification relates to such Foreign Subsidiary Borrower) and the Required Lenders or, in the case of any other Loan Document, pursuant to an agreement or agreements in writing entered into by the Administrative Agent and the Loan Party or Loan Parties that are parties thereto, in each case with the written consent of the Required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such agreement shall (i) increase the Commitment of any Lender without the written consent of such Lender, (ii) reduce the principal amount of any Loan or LC Disbursement or reduce the rate of interest thereon, or reduce any fees or other amounts payable hereunder, without the written consent of each Lender affected thereby, (iii) postpone the maturity of any Loan, or the required date of reimbursement of any LC Disbursement, or any date for the payment of any interest, fees or other amounts payable hereunder, or reduce or forgive the amount of, waive or excuse any such payment, or postpone the scheduled date of expiration of any Commitment or postpone the scheduled date of expiration of any Letter of Credit beyond the Revolving Maturity Date, without the written consent of each Lender affected thereby, (iv) change Section 2.18(a), (b) or (c) in a manner that would alter the pro rata sharing of payments required thereby, without the written consent of each Lender, (v) change the definition of “</w:t>
      </w:r>
      <w:r>
        <w:rPr>
          <w:rFonts w:ascii="Times New Roman;sans-serif" w:hAnsi="Times New Roman;sans-serif"/>
          <w:b w:val="false"/>
          <w:color w:val="000000"/>
          <w:sz w:val="22"/>
          <w:u w:val="single"/>
        </w:rPr>
        <w:t>Required Lenders</w:t>
      </w:r>
      <w:r>
        <w:rPr>
          <w:color w:val="000000"/>
        </w:rPr>
        <w:t xml:space="preserve">” </w:t>
      </w:r>
      <w:r>
        <w:rPr>
          <w:rFonts w:ascii="Times New Roman;sans-serif" w:hAnsi="Times New Roman;sans-serif"/>
          <w:b w:val="false"/>
          <w:color w:val="000000"/>
          <w:sz w:val="22"/>
        </w:rPr>
        <w:t xml:space="preserve">or any other provision of any Loan Document (including this Section) specifying the number or percentage of Lenders (or Lenders of any Class) required to waive, amend or modify any rights thereunder or make any determination or grant any consent thereunder, without the written consent of each Lender (or each Lender of such Class, </w:t>
      </w:r>
      <w:r>
        <w:br w:type="page"/>
      </w:r>
    </w:p>
    <w:p>
      <w:pPr>
        <w:pStyle w:val="TextBody"/>
        <w:spacing w:before="0" w:after="0"/>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60655"/>
                <wp:effectExtent l="0" t="0" r="0" b="0"/>
                <wp:wrapNone/>
                <wp:docPr id="222" name="Frame22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-120-</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2"/>
        </w:rPr>
        <w:t xml:space="preserve">as the case may be), (vi) release Holdings or any Subsidiary Loan Party from its Guarantee under the Guarantee Agreement (except as expressly provided in the Guarantee Agreement), or limit its liability in respect of such Guarantee, without the written consent of each Lender, (vii) release all or substantially all of the Collateral from the Liens of the Security Documents or subordinate (or have the effect of subordinating) the Liens of the Security Documents or the Obligations under the Loan Documents to other Indebtedness, in each case, without the written consent of each Lender (except as expressly provided in the Security Documents), (viii) change the order of priority of payments set forth in Section 5.02 of the Security Agreement or Section 7 of the Pledge Agreement, in each case without the written consent of each Lender, (ix) change any provision of any Loan Document in a manner that by its terms adversely affects the rights in respect of payments due to Lenders holding Loans of any Class differently than those holdings Loans of any other Class, without the written consent of Lenders holding a majority in interest of the outstanding Loans and unused Commitments of each affected Class or (x) require any Lender to make any extension of credit hereunder in a currency other than dollars or another currency agreed by such Lender as a currency in which such Lender will make extensions of credit available hereunder, without the written consent of such Lender;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(A) no such agreement shall amend, modify or otherwise affect the rights or duties of the Administrative Agent, the Fronting Lender, the Issuing Bank or the Swingline Lenders without the prior written consent of the Administrative Agent, the Fronting Lender, the Issuing Bank or the Swingline Lenders, as the case may be and (B) any waiver, amendment or modification of this Agreement that by its terms affects the rights or duties under this Agreement of the Lenders of a particular Class (but not the Lenders of any other Class) may be effected by an agreement or agreements in writing entered into by Holdings, the Parent Borrower, each Foreign Subsidiary Borrower (but only to the extent such waiver, amendment or modification relates to such Foreign Subsidiary Borrower) and requisite percentage in interest of the affected Class of Lenders that would be required to consent thereto under this Section if such Class of Lenders were the only Class of Lenders hereunder at the time. Notwithstanding the foregoing, any provision of this Agreement may be amended by an agreement in writing entered into by Holdings, the Parent Borrower, each Foreign Subsidiary Borrower (but only to the extent such waiver, amendment or modification relates to such Foreign Subsidiary Borrower), the Required Lenders and the Administrative Agent (and, if their rights or obligations are affected thereby, the Issuing Bank, the Fronting Lender and the Swingline Lenders) if (i) by the terms of such agreement the Commitment of each Lender not consenting to the amendment provided for therein shall terminate upon the effectiveness of such amendment and (ii) at the time such amendment becomes effective, each Lender not consenting thereto receives payment in full of the principal of and interest accrued on each Loan made by it and all other amounts owing to it or accrued for its account under this Agreement.</w:t>
      </w:r>
    </w:p>
    <w:p>
      <w:pPr>
        <w:pStyle w:val="TextBody"/>
        <w:spacing w:lineRule="auto" w:line="240" w:before="0" w:after="240"/>
        <w:ind w:left="0" w:right="0" w:firstLine="1440"/>
        <w:rPr/>
      </w:pPr>
      <w:r>
        <w:rPr>
          <w:rFonts w:ascii="Times New Roman;sans-serif" w:hAnsi="Times New Roman;sans-serif"/>
          <w:b w:val="false"/>
          <w:color w:val="000000"/>
          <w:sz w:val="22"/>
        </w:rPr>
        <w:t>(c)    In connection with any proposed amendment, modification, waiver or termination (a “</w:t>
      </w:r>
      <w:r>
        <w:rPr>
          <w:rFonts w:ascii="Times New Roman;sans-serif" w:hAnsi="Times New Roman;sans-serif"/>
          <w:b w:val="false"/>
          <w:color w:val="000000"/>
          <w:sz w:val="22"/>
          <w:u w:val="single"/>
        </w:rPr>
        <w:t>Proposed Change</w:t>
      </w:r>
      <w:r>
        <w:rPr>
          <w:color w:val="000000"/>
        </w:rPr>
        <w:t>”</w:t>
      </w:r>
      <w:r>
        <w:rPr>
          <w:rFonts w:ascii="Times New Roman;sans-serif" w:hAnsi="Times New Roman;sans-serif"/>
          <w:b w:val="false"/>
          <w:color w:val="000000"/>
          <w:sz w:val="22"/>
        </w:rPr>
        <w:t>) requiring the consent of all Lenders or all affected Lenders, if the consent of the Required Lenders (and, to the extent any Proposed Change requires the consent of Lenders holding Loans of any Class pursuant to clause (v) or (ix) of paragraph (b) of this Section, the consent of at least 50% in interest of the outstanding Loans and unused Commitments of such Class) to such Proposed Change is obtained, but the consent to such Proposed Change of other Lenders whose consent is required is not obtained (any such Lender whose consent is not obtained as described in paragraph (b) of this Section being referred to as a “</w:t>
      </w:r>
      <w:r>
        <w:rPr>
          <w:rFonts w:ascii="Times New Roman;sans-serif" w:hAnsi="Times New Roman;sans-serif"/>
          <w:b w:val="false"/>
          <w:color w:val="000000"/>
          <w:sz w:val="22"/>
          <w:u w:val="single"/>
        </w:rPr>
        <w:t>Non-Consenting Lender</w:t>
      </w:r>
      <w:r>
        <w:rPr>
          <w:color w:val="000000"/>
        </w:rPr>
        <w:t>”</w:t>
      </w:r>
      <w:r>
        <w:rPr>
          <w:rFonts w:ascii="Times New Roman;sans-serif" w:hAnsi="Times New Roman;sans-serif"/>
          <w:b w:val="false"/>
          <w:color w:val="000000"/>
          <w:sz w:val="22"/>
        </w:rPr>
        <w:t xml:space="preserve">), then, so long as the Lender that is acting as Administrative Agent is not a Non-Consenting Lender, the Parent Borrower may, at its sole expense and effort, upon notice to such Non-Consenting Lender and the Administrative Agent, require such Non-Consenting Lender to assign and delegate, without recourse (in accordance with and subject to the restrictions contained in Section 10.04), all its interests, rights and obligations under this Agreement to an assignee that shall assume such obligations (which assignee may be another Lender, if a Lender accepts such assignment), provided that (a) the Parent Borrower shall have received the prior written consent of the Administrative Agent, the Fronting Lender, the Issuing Bank and the Swingline Lenders, which consent shall not be unreasonably withheld, (b) such Non-Consenting Lender shall have received payment of an amount equal to the outstanding principal of its Loans and participations in LC Disbursements, Swingline Loans and Foreign Currency Loans, accrued interest thereon, accrued fees and all other amounts payable to it hereunder from the assignee (to the extent of such outstanding principal and accrued interest and fees) or the Parent Borrower (in the case of all other amounts), (c) the Parent Borrower or such assignee shall have paid to the Administrative Agent the processing and recordation fee specified in Section 10.04(b), (d) such assignee shall consent to such Proposed Change and (e) if such </w:t>
      </w:r>
      <w:r>
        <w:br w:type="page"/>
      </w:r>
    </w:p>
    <w:p>
      <w:pPr>
        <w:pStyle w:val="TextBody"/>
        <w:spacing w:before="0" w:after="0"/>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60655"/>
                <wp:effectExtent l="0" t="0" r="0" b="0"/>
                <wp:wrapNone/>
                <wp:docPr id="223" name="Frame22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-121-</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Non-Consenting Lender is acting as the Administrative Agent, it will not be required to assign and delegate its interests, rights and obligations as Administrative Agent under this Agreement.</w:t>
      </w:r>
    </w:p>
    <w:p>
      <w:pPr>
        <w:pStyle w:val="TextBody"/>
        <w:spacing w:lineRule="auto" w:line="240" w:before="0" w:after="240"/>
        <w:ind w:left="0" w:right="0" w:firstLine="1440"/>
        <w:rPr/>
      </w:pPr>
      <w:r>
        <w:rPr>
          <w:rFonts w:ascii="Times New Roman;sans-serif" w:hAnsi="Times New Roman;sans-serif"/>
          <w:b w:val="false"/>
          <w:color w:val="000000"/>
          <w:sz w:val="22"/>
        </w:rPr>
        <w:t>(d)    Notwithstanding the foregoing, (i) the Administrative Agent and the Parent Borrower may amend, modify or supplement any Loan Document without the consent of any Lender or the Required Lenders in order to correct, amend or cure any ambiguity, inconsistency or defect or correct any typographical error or other manifest error in any Loan Document, (ii) this Agreement may be amended with the written consent of the Administrative Agent, the Parent Borrower and the Lenders providing the relevant Replacement Revolving Facility (as defined below) to permit the refinancing, replacement or modification of all or any portion of the Revolving Commitments and Revolving Loans (a “</w:t>
      </w:r>
      <w:r>
        <w:rPr>
          <w:rFonts w:ascii="Times New Roman;sans-serif" w:hAnsi="Times New Roman;sans-serif"/>
          <w:b w:val="false"/>
          <w:color w:val="000000"/>
          <w:sz w:val="22"/>
          <w:u w:val="single"/>
        </w:rPr>
        <w:t>Replaced Revolving Facility</w:t>
      </w:r>
      <w:r>
        <w:rPr>
          <w:color w:val="000000"/>
        </w:rPr>
        <w:t>”</w:t>
      </w:r>
      <w:r>
        <w:rPr>
          <w:rFonts w:ascii="Times New Roman;sans-serif" w:hAnsi="Times New Roman;sans-serif"/>
          <w:b w:val="false"/>
          <w:color w:val="000000"/>
          <w:sz w:val="22"/>
        </w:rPr>
        <w:t>) with a replacement revolving facility hereunder (a “</w:t>
      </w:r>
      <w:r>
        <w:rPr>
          <w:rFonts w:ascii="Times New Roman;sans-serif" w:hAnsi="Times New Roman;sans-serif"/>
          <w:b w:val="false"/>
          <w:color w:val="000000"/>
          <w:sz w:val="22"/>
          <w:u w:val="single"/>
        </w:rPr>
        <w:t>Replacement Revolving Facility</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the aggregate amount of such Replacement Revolving Facility shall not exceed the aggregate amount of such Replaced Revolving Facility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unpaid accrued interest and premium thereon at such time plus reasonable fees and expenses incurred in connection with such replacement), (b) the terms of the Replacement Revolving Facility (1) (excluding pricing, fees and rate floors and optional prepayment or redemption terms and subject to clause (2) below) reflect, in Parent Borrower’s reasonable judgment, then-existing market terms and conditions and (2) (excluding pricing, fees and rate floors) are no more favorable to the lenders providing such Replacement Revolving Facility than those applicable to the Replaced Revolving Facility (in each case, including with respect to mandatory and optional prepayments);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foregoing shall not apply to covenants or other provisions applicable only to periods after the Latest Maturity Date in effect immediately prior to the establishment of such Replacement Revolving Facility;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any Replacement Revolving Facility may add additional covenants or events of default not otherwise applicable to the Replaced Revolving Facility or covenants more restrictive than the covenants applicable to the Replaced Revolving Facility, in each case prior to the Latest Maturity Date in effect immediately prior to the establishment of such Replacement Revolving Facility so long as all Lenders receive the benefits of such additional covenants, events of default or more restrictive covenants, (c) the maturity date with respect to any Replacement Revolving Facility shall be no earlier than the maturity date with respect to the Replaced Revolving Facility, (d) no Subsidiary that is not originally obligated with respect to repayment of the Replaced Revolving Facility is obligated with respect to the Replacement Revolving Facility, unless such Subsidiary becomes obligated on a pari passu basis in respect of any other then outstanding Loans and Commitments, and (e) any Person that the Parent Borrower proposes to become a lender in respect of the Replacement Revolving Facility, if such Person is not then a Lender, must be reasonably acceptable to the Administrative Agent, the Fronting Lender, the Issuing Banks and the Swingline Lenders. Notwithstanding the foregoing, in no event shall there be more than three maturity dates in respect of the Revolving Commitments (including any Extended Revolving Commitments or Replacement Revolving Facilities) and (iii) the Administrative Agent, the Parent Borrower and any financial institution may, without the consent of any other Lender or the Required Lenders, agree to designate such financial institution as an additional Swingline Lender and, upon such designation in writing, such additional financial institutions shall become a Swingline Lender under this Agreement and be subject to all rights, duties and obligations of a Swingline Lender.</w:t>
      </w:r>
    </w:p>
    <w:p>
      <w:pPr>
        <w:pStyle w:val="TextBody"/>
        <w:spacing w:lineRule="auto" w:line="240" w:before="0" w:after="240"/>
        <w:ind w:left="0" w:right="0" w:firstLine="1440"/>
        <w:rPr/>
      </w:pPr>
      <w:r>
        <w:rPr>
          <w:rFonts w:ascii="Times New Roman;sans-serif" w:hAnsi="Times New Roman;sans-serif"/>
          <w:b w:val="false"/>
          <w:color w:val="000000"/>
          <w:sz w:val="22"/>
        </w:rPr>
        <w:t>SECTION 10.03    </w:t>
      </w:r>
      <w:r>
        <w:rPr>
          <w:rFonts w:ascii="Times New Roman;sans-serif" w:hAnsi="Times New Roman;sans-serif"/>
          <w:b w:val="false"/>
          <w:color w:val="000000"/>
          <w:sz w:val="22"/>
          <w:u w:val="single"/>
        </w:rPr>
        <w:t>Expenses; Indemnity; Damage Waiver</w:t>
      </w:r>
      <w:r>
        <w:rPr>
          <w:rFonts w:ascii="Times New Roman;sans-serif" w:hAnsi="Times New Roman;sans-serif"/>
          <w:b w:val="false"/>
          <w:color w:val="000000"/>
          <w:sz w:val="22"/>
        </w:rPr>
        <w: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(a)    Holdings, the Parent Borrower and each Foreign Subsidiary Borrower, jointly and severally, shall pay (i) all reasonable out-of-pocket expenses incurred by the Agents and their Affiliates, including the reasonable fees, charges and disbursements of one counsel in each applicable jurisdiction for each of the Agents, in connection with the syndication of the credit facilities provided for herein, due diligence investigation, the preparation and administration of the Loan Documents or any amendments, modifications or waivers of the provisions thereof (whether or not the transactions contemplated hereby or thereby shall be consummated), (ii) all reasonable out of-pocket expenses incurred by the Issuing Bank in connection with the issuance, amendment, renewal or extension of any Letter of Credit or any demand for payment thereunder and (iii) all out-of-pocket expenses incurred by the Agents, the Issuing Bank or any Lender, including the fees, charges and disbursements of any counsel for the Agents, the Issuing Bank or any Lender, in connection with the enforcement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w:t>
      </w:r>
      <w:r>
        <w:br w:type="page"/>
      </w:r>
    </w:p>
    <w:p>
      <w:pPr>
        <w:pStyle w:val="TextBody"/>
        <w:spacing w:before="0" w:after="0"/>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60655"/>
                <wp:effectExtent l="0" t="0" r="0" b="0"/>
                <wp:wrapNone/>
                <wp:docPr id="224" name="Frame22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-122-</w:t>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00000"/>
          <w:sz w:val="22"/>
        </w:rPr>
        <w:t>(b)    Holdings, the Parent Borrower and each Foreign Subsidiary Borrower, jointly and severally, shall indemnify the Agents, the Issuing Bank and each Lender, and each Related Party of any of the foregoing Persons (each such Person being called an “</w:t>
      </w:r>
      <w:r>
        <w:rPr>
          <w:rFonts w:ascii="Times New Roman;sans-serif" w:hAnsi="Times New Roman;sans-serif"/>
          <w:b w:val="false"/>
          <w:color w:val="000000"/>
          <w:sz w:val="22"/>
          <w:u w:val="single"/>
        </w:rPr>
        <w:t>Indemnitee</w:t>
      </w:r>
      <w:r>
        <w:rPr>
          <w:color w:val="000000"/>
        </w:rPr>
        <w:t>”</w:t>
      </w:r>
      <w:r>
        <w:rPr>
          <w:rFonts w:ascii="Times New Roman;sans-serif" w:hAnsi="Times New Roman;sans-serif"/>
          <w:b w:val="false"/>
          <w:color w:val="000000"/>
          <w:sz w:val="22"/>
        </w:rPr>
        <w:t xml:space="preserve">) against, and hold each Indemnitee harmless from, any and all Liabilities and related expenses (including as a result of any conversion of amounts outstanding hereunder from one currency to another currency as provided hereunder), including the fees, charges and disbursements of any counsel for any Indemnitee, incurred by or asserted against any Indemnitee arising out of, in connection with, or as a result of (i) the execution or delivery of any Loan Document or any other agreement or instrument contemplated hereby, the performance by the parties to the Loan Documents of their respective obligations thereunder or the consummation of the Transactions or any other transactions contemplated 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Mortgaged Property or any other property currently or formerly owned or operated by Holdings, the Parent Borrower or any Subsidiary, or any Environmental Liability related in any way to Holdings, the Parent Borrower or any Subsidiary, or (iv) any actual or prospective Proceeding relating to any of the foregoing, whether based on contract, tort or any other theory and regardless of whether any Indemnitee is a party thereto;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indemnity shall not, as to any Indemnitee, be available to the extent that such Liabilities or related expenses are (i) determined by a court of competent jurisdiction by final and nonappealable judgment to have resulted from the gross negligence, bad faith or willful misconduct of such Indemnitee or (ii) the result of a material breach of such Indemnitee of this Agreement. This Section 10.03(b) shall not apply with respect to Taxes other than any Taxes that represent losses or damages arising from any non-Tax claim. </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(c)    To the extent permitted by applicable law (i) the Parent Borrower and any Loan Party shall not assert, and the Parent Borrower and each Loan Party hereby waives, any claim against the Administrative Agent, any Syndication Agent, any Documentation Agent, any Issuing Bank and any Lender, and any Related Party of any of the foregoing Persons (each such Person being called a “Lender-Related Person”) for any Liabilities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provided that, nothing in this Section 10.03(c) shall relieve the Parent Borrower and each Loan Party of any obligation it may have to indemnify an Indemnitee, as provided in Section 10.03(b), against any special, indirect, consequential or punitive damages asserted against such Indemnitee by a third party. </w:t>
      </w:r>
    </w:p>
    <w:p>
      <w:pPr>
        <w:pStyle w:val="TextBody"/>
        <w:spacing w:lineRule="auto" w:line="240" w:before="0" w:after="240"/>
        <w:ind w:left="0" w:right="0" w:firstLine="1440"/>
        <w:rPr/>
      </w:pPr>
      <w:r>
        <w:rPr>
          <w:rFonts w:ascii="Times New Roman;sans-serif" w:hAnsi="Times New Roman;sans-serif"/>
          <w:b w:val="false"/>
          <w:color w:val="000000"/>
          <w:sz w:val="22"/>
        </w:rPr>
        <w:t xml:space="preserve">(d)    To the extent that any of Holdings, the Parent Borrower, any of the Foreign Subsidiary Borrowers fails to pay any amount required to be paid by it to the Administrative Agent, the Fronting Lender, the Issuing Bank or the Swingline Lenders under paragraph (a) or (b) of this Section (and without limiting such party’s obligation to do so), each Lender severally agrees to pay to the Administrative Agent, the Fronting Lender, the Issuing Bank or the Swingline Lenders, as the case may be, such Lender’s pro rata share (determined as of the time that the applicable unreimbursed expense or indemnity payment is sought) of such unpaid amount;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unreimbursed expense or indemnified loss, claim, damage, liability or related expense, as the case may be, was incurred by or asserted against the Administrative Agent, the Fronting Lender, the Issuing Bank or any Swingline Lender in its capacity as such. For purposes hereof, a Lender’s “pro rata share” shall be determined based upon its share of the sum of the total Revolving Exposures and unused Commitments at the time.</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(e)    To the extent permitted by applicable law, none of Holdings, the Parent Borrower or any Foreign Subsidiary Borrower shall assert, and each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w:t>
      </w:r>
      <w:r>
        <w:br w:type="page"/>
      </w:r>
    </w:p>
    <w:p>
      <w:pPr>
        <w:pStyle w:val="TextBody"/>
        <w:spacing w:before="0" w:after="0"/>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60655"/>
                <wp:effectExtent l="0" t="0" r="0" b="0"/>
                <wp:wrapNone/>
                <wp:docPr id="225" name="Frame22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-123-</w:t>
                      </w:r>
                    </w:p>
                  </w:txbxContent>
                </v:textbox>
              </v:rect>
            </w:pict>
          </mc:Fallback>
        </mc:AlternateConten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(f)    All amounts due under this Section shall be payable promptly after written demand therefor.</w:t>
      </w:r>
    </w:p>
    <w:p>
      <w:pPr>
        <w:pStyle w:val="TextBody"/>
        <w:spacing w:lineRule="auto" w:line="240" w:before="0" w:after="240"/>
        <w:ind w:left="0" w:right="0" w:firstLine="1440"/>
        <w:rPr/>
      </w:pPr>
      <w:r>
        <w:rPr>
          <w:rFonts w:ascii="Times New Roman;sans-serif" w:hAnsi="Times New Roman;sans-serif"/>
          <w:b w:val="false"/>
          <w:color w:val="000000"/>
          <w:sz w:val="22"/>
        </w:rPr>
        <w:t xml:space="preserve">(g)    No director, officer, employee, stockholder or member, as such, of any Loan Party shall have any liability for the Obligations or for any claim based on, in respect of or by reason of the Obligations or their creation;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foregoing shall not be construed to relieve any Loan Party of its Obligations under any Loan Document.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(h)    For the avoidance of doubt, this Section 9.3 shall not apply to any Taxes, except to the extent any Taxes that represent losses, claims, damages or liabilities arising from any non-Tax claim.</w:t>
      </w:r>
    </w:p>
    <w:p>
      <w:pPr>
        <w:pStyle w:val="TextBody"/>
        <w:spacing w:lineRule="auto" w:line="240" w:before="0" w:after="240"/>
        <w:ind w:left="0" w:right="0" w:firstLine="1440"/>
        <w:rPr/>
      </w:pPr>
      <w:r>
        <w:rPr>
          <w:rFonts w:ascii="Times New Roman;sans-serif" w:hAnsi="Times New Roman;sans-serif"/>
          <w:b w:val="false"/>
          <w:color w:val="000000"/>
          <w:sz w:val="22"/>
        </w:rPr>
        <w:t>SECTION 10.04    </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(a)    The provisions of this Agreement shall be binding upon and inure to the benefit of the parties hereto and their respective successors and assigns permitted hereby (including any Affiliate of the Issuing Bank that issues any Letter of Credit), except that, subject to Section 10.15(g) (and other than as contemplated by Section 2.26), none of Holdings, the Parent Borrower or any Foreign Subsidiary Borrower may assign or otherwise transfer any of its rights or obligations hereunder without the prior written consent of each Lender (and any attempted assignment or transfer by Holdings, the Parent Borrower or any Foreign Subsidiary Borrower without such consent shall be null and void). Nothing in this Agreement, expressed or implied, shall be construed to confer upon any Person (other than the parties hereto, their respective successors and assigns permitted hereby (including any Affiliate of the Issuing Bank that issues any Letter of Credit) and, to the extent expressly contemplated hereby, the Related Parties of each of the Administrative Agent, the Issuing Bank and the Lenders) any legal or equitable right, remedy or claim under or by reason of this Agreement.</w:t>
      </w:r>
    </w:p>
    <w:p>
      <w:pPr>
        <w:pStyle w:val="TextBody"/>
        <w:spacing w:lineRule="auto" w:line="240" w:before="0" w:after="240"/>
        <w:ind w:left="0" w:right="0" w:firstLine="1440"/>
        <w:rPr/>
      </w:pPr>
      <w:r>
        <w:rPr>
          <w:rFonts w:ascii="Times New Roman;sans-serif" w:hAnsi="Times New Roman;sans-serif"/>
          <w:b w:val="false"/>
          <w:color w:val="000000"/>
          <w:sz w:val="22"/>
        </w:rPr>
        <w:t xml:space="preserve">(b)    Any Lender may assign to one or more assignees (other than a natural person) all or a portion of its rights and obligations under this Agreement (including all or a portion of its Commitments and the Loans at the time owing to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except in the case of an assignment to a Lender, a Lender Affiliate or an Approved Fund, each of the Parent Borrower and the Administrative Agent, the Issuing Bank, the Swingline Lenders and the Fronting Lender must give their prior written consent to such assignment (which consent shall not be unreasonably withheld or delayed)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Parent Borrower shall be deemed to have consented to any assignment of Loans or Commitments unless it shall object thereto by written notice to the Administrative Agent within 10 Business Days after having received notice thereof), (ii) no assignment of Revolving Loans or Revolving Commitments may be made to Holdings, the Parent Borrower, any Foreign Subsidiary Borrower or any Affiliate of any of the foregoing, (iii) except in the case of an assignment to a Lender, a Lender Affiliate or an Approved Fund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unless each of the Parent Borrower and the Administrative Agent otherwise consent, (iv) each partial assignment shall be made as an assignment of a proportionate part of all the assigning Lender’s rights and obligations under this Agreement, except that this clause (iv) shall not be construed to prohibit the assignment of a proportionate part of all the assigning Lender’s rights and obligations in respect of one Class of Commitments or Loans, (v) the parties to each assignment shall execute and deliver to the Administrative Agent an Assignment and Assumption, together with a processing and recordation fee of $3,500 and (vi) the assignee, if it shall not be a Lender, shall deliver to the Administrative Agent an Administrative Questionnaire;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any consent of the Parent Borrower otherwise required under this paragraph shall not be required if an Event of Default under clauses (a), (h) or (i) of Article VII has occurred and is continuing. Subject to acceptance and recording thereof pursuant to paragraph (d)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w:t>
      </w:r>
      <w:r>
        <w:br w:type="page"/>
      </w:r>
    </w:p>
    <w:p>
      <w:pPr>
        <w:pStyle w:val="TextBody"/>
        <w:spacing w:before="0" w:after="0"/>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60655"/>
                <wp:effectExtent l="0" t="0" r="0" b="0"/>
                <wp:wrapNone/>
                <wp:docPr id="226" name="Frame22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-124-</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continue to be entitled to the benefits of Sections 2.15, 2.16, 2.17 and 10.03). Any assignment or transfer by a Lender of rights or obligations under this Agreement that does not comply with this paragraph shall be treated for purposes of this Agreement as a sale by such Lender of a participation in such rights and obligations in accordance with paragraph (e) of this Section.</w:t>
      </w:r>
    </w:p>
    <w:p>
      <w:pPr>
        <w:pStyle w:val="TextBody"/>
        <w:spacing w:lineRule="auto" w:line="240" w:before="0" w:after="240"/>
        <w:ind w:left="0" w:right="0" w:firstLine="1440"/>
        <w:rPr/>
      </w:pPr>
      <w:r>
        <w:rPr>
          <w:rFonts w:ascii="Times New Roman;sans-serif" w:hAnsi="Times New Roman;sans-serif"/>
          <w:b w:val="false"/>
          <w:color w:val="000000"/>
          <w:sz w:val="22"/>
        </w:rPr>
        <w:t>(c)    The Administrative Agent, acting for this purpose as an agent of the Parent Borrower and the Foreign Subsidiary Borrowers, shall maintain at one of its offices in The City of New York a copy of each Assignment and Assumption delivered to it and a register for the recordation of the names and addresses of the Lenders, and the Commitment of, and principal amount of the Loans and LC Disbursements owing to, each Lender pursuant to the terms hereof from time to time (the “</w:t>
      </w:r>
      <w:r>
        <w:rPr>
          <w:rFonts w:ascii="Times New Roman;sans-serif" w:hAnsi="Times New Roman;sans-serif"/>
          <w:b w:val="false"/>
          <w:color w:val="000000"/>
          <w:sz w:val="22"/>
          <w:u w:val="single"/>
        </w:rPr>
        <w:t>Register</w:t>
      </w:r>
      <w:r>
        <w:rPr>
          <w:color w:val="000000"/>
        </w:rPr>
        <w:t>”</w:t>
      </w:r>
      <w:r>
        <w:rPr>
          <w:rFonts w:ascii="Times New Roman;sans-serif" w:hAnsi="Times New Roman;sans-serif"/>
          <w:b w:val="false"/>
          <w:color w:val="000000"/>
          <w:sz w:val="22"/>
        </w:rPr>
        <w:t>). The entries in the Register shall be conclusive (absent manifest error), and Holdings, the Parent Borrower, the Foreign Subsidiary Borrowers,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Parent Borrower, the Foreign Subsidiary Borrowers, the Issuing Bank and any Lender, at any reasonable time and from time to time upon reasonable prior notice.</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(d)    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pStyle w:val="TextBody"/>
        <w:spacing w:lineRule="auto" w:line="240" w:before="0" w:after="240"/>
        <w:ind w:left="0" w:right="0" w:firstLine="1440"/>
        <w:rPr/>
      </w:pPr>
      <w:r>
        <w:rPr>
          <w:rFonts w:ascii="Times New Roman;sans-serif" w:hAnsi="Times New Roman;sans-serif"/>
          <w:b w:val="false"/>
          <w:color w:val="000000"/>
          <w:sz w:val="22"/>
        </w:rPr>
        <w:t>(e)    Any Lender may, without the consent of the Parent Borrower or any Foreign Subsidiary Borrower, the Administrative Agent, the Issuing Bank or the Swingline Lenders, sell participations to one or more banks or other entities (a “</w:t>
      </w:r>
      <w:r>
        <w:rPr>
          <w:rFonts w:ascii="Times New Roman;sans-serif" w:hAnsi="Times New Roman;sans-serif"/>
          <w:b w:val="false"/>
          <w:color w:val="000000"/>
          <w:sz w:val="22"/>
          <w:u w:val="single"/>
        </w:rPr>
        <w:t>Participant</w:t>
      </w:r>
      <w:r>
        <w:rPr>
          <w:color w:val="000000"/>
        </w:rPr>
        <w:t>”</w:t>
      </w:r>
      <w:r>
        <w:rPr>
          <w:rFonts w:ascii="Times New Roman;sans-serif" w:hAnsi="Times New Roman;sans-serif"/>
          <w:b w:val="false"/>
          <w:color w:val="000000"/>
          <w:sz w:val="22"/>
        </w:rPr>
        <w:t xml:space="preserve">) in all or a portion of such Lender’s rights and obligations under this Agreement (including all or a portion of its Commitment and the Loans);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such Lender’s obligations under this Agreement shall remain unchanged, (ii) such Lender shall remain solely responsible to the other parties hereto for the performance of such obligations and (iii) Holdings, the Parent Borrower, the Foreign Subsidiary Borrowers, the Administrative Agent, the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Loan Documents and to approve any amendment, modification or waiver of any provision of the Loan Documents;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agreement or instrument may provide that such Lender will not, without the consent of the Participant, agree to any amendment, modification or waiver described in the first proviso to Section 10.02(b) that affects such Participant. Subject to paragraph (f) of this Section, the Parent Borrower and the Foreign Subsidiary Borrowers agree that each Participant shall be entitled to the benefits of Sections 2.15, 2.16 and 2.17 (subject to the limitations and requirements therein, including the requirements under Section 2.17(f) (it being understood that the documentation required under Section 2.17(f) shall be delivered to the participating Lender)) to the same extent as if it were a Lender and had acquired its interest by assignment pursuant to paragraph (b) of this Section, provided that such Participant agrees to be subject to the provisions of Section 2.19 as if it were an assignee under paragraph (b) of this Section. To the extent permitted by law, each Participant also shall be entitled to the benefits of Section 10.08 as though it were a Lender, provided such Participant agrees to be subject to Section 2.18(c) as though it were a Lender. With respect to any Loan made to an Applicable U.S. Borrower (as defined in Section 2.17(f)(i)), each Lender that sells a Participation shall, acting solely for this purpose as an agent of such Applicable U.S. Borrower, as applicable, maintain a register on which it enters the name and address of each Participant and the principal amounts (and stated interest) of each Participant’s interest in the Loans or other obligations under this Agreement (the “</w:t>
      </w:r>
      <w:r>
        <w:rPr>
          <w:rFonts w:ascii="Times New Roman;sans-serif" w:hAnsi="Times New Roman;sans-serif"/>
          <w:b w:val="false"/>
          <w:color w:val="000000"/>
          <w:sz w:val="22"/>
          <w:u w:val="single"/>
        </w:rPr>
        <w:t>Participant Register</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or in connection with any income tax audit or other income tax </w:t>
      </w:r>
      <w:r>
        <w:br w:type="page"/>
      </w:r>
    </w:p>
    <w:p>
      <w:pPr>
        <w:pStyle w:val="TextBody"/>
        <w:spacing w:before="0" w:after="0"/>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60655"/>
                <wp:effectExtent l="0" t="0" r="0" b="0"/>
                <wp:wrapNone/>
                <wp:docPr id="227" name="Frame22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-125-</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proceeding of the Applicable U.S. Borrower.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(f)    A Participant shall not be entitled to receive any greater payment under Section 2.15 or 2.17 than the applicable Lender would have been entitled to receive with respect to the participation sold to such Participant unless the sale of the participation to such Participant is made with the prior written consent of the Parent Borrower and, to the extent applicable, each relevant Foreign Subsidiary Borrower. A Participant that would be a Non-U.S. Lender if it were a Lender shall not be entitled to the benefits of Section 2.17 unless the Parent Borrower and, to the extent applicable, each relevant Foreign Subsidiary Borrower is notified of the participation sold to such Participant and such Participant agrees, for the benefit of the Parent Borrower and, to the extent applicable, each relevant Foreign Subsidiary Borrower, to comply with Section 2.17(f) as though it were a Lender.</w:t>
      </w:r>
    </w:p>
    <w:p>
      <w:pPr>
        <w:pStyle w:val="TextBody"/>
        <w:spacing w:lineRule="auto" w:line="240" w:before="0" w:after="240"/>
        <w:ind w:left="0" w:right="0" w:firstLine="1440"/>
        <w:rPr/>
      </w:pPr>
      <w:r>
        <w:rPr>
          <w:rFonts w:ascii="Times New Roman;sans-serif" w:hAnsi="Times New Roman;sans-serif"/>
          <w:b w:val="false"/>
          <w:color w:val="000000"/>
          <w:sz w:val="22"/>
        </w:rPr>
        <w:t xml:space="preserve">(g)    Any Lender may, without the consent of the Parent Borrower or the Administrative Agent,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such pledge or assignment of a security interest shall release a Lender from any of its obligations hereunder or substitute any such pledgee or assignee for such Lender as a party hereto.</w:t>
      </w:r>
    </w:p>
    <w:p>
      <w:pPr>
        <w:pStyle w:val="TextBody"/>
        <w:spacing w:lineRule="auto" w:line="240" w:before="0" w:after="240"/>
        <w:ind w:left="0" w:right="0" w:firstLine="1440"/>
        <w:rPr/>
      </w:pPr>
      <w:r>
        <w:rPr>
          <w:rFonts w:ascii="Times New Roman;sans-serif" w:hAnsi="Times New Roman;sans-serif"/>
          <w:b w:val="false"/>
          <w:color w:val="000000"/>
          <w:sz w:val="22"/>
        </w:rPr>
        <w:t>SECTION 10.05    </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Sections 2.15, 2.16, 2.17 and 10.03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pStyle w:val="TextBody"/>
        <w:spacing w:lineRule="auto" w:line="240" w:before="0" w:after="240"/>
        <w:ind w:left="0" w:right="0" w:firstLine="1440"/>
        <w:rPr/>
      </w:pPr>
      <w:r>
        <w:rPr>
          <w:rFonts w:ascii="Times New Roman;sans-serif" w:hAnsi="Times New Roman;sans-serif"/>
          <w:b w:val="false"/>
          <w:color w:val="000000"/>
          <w:sz w:val="22"/>
        </w:rPr>
        <w:t>SECTION 10.06    </w:t>
      </w:r>
      <w:r>
        <w:rPr>
          <w:rFonts w:ascii="Times New Roman;sans-serif" w:hAnsi="Times New Roman;sans-serif"/>
          <w:b w:val="false"/>
          <w:color w:val="000000"/>
          <w:sz w:val="22"/>
          <w:u w:val="single"/>
        </w:rPr>
        <w:t>Counterparts; Integration; Effectiveness</w:t>
      </w:r>
      <w:r>
        <w:rPr>
          <w:rFonts w:ascii="Times New Roman;sans-serif" w:hAnsi="Times New Roman;sans-serif"/>
          <w:b w:val="false"/>
          <w:color w:val="000000"/>
          <w:sz w:val="22"/>
        </w:rPr>
        <w:t>.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transmission shall be effective as delivery of a manually executed counterpart of this Agreement.</w:t>
      </w:r>
    </w:p>
    <w:p>
      <w:pPr>
        <w:pStyle w:val="TextBody"/>
        <w:spacing w:lineRule="auto" w:line="240" w:before="0" w:after="240"/>
        <w:ind w:left="0" w:right="0" w:firstLine="1440"/>
        <w:rPr/>
      </w:pPr>
      <w:r>
        <w:rPr>
          <w:rFonts w:ascii="Times New Roman;sans-serif" w:hAnsi="Times New Roman;sans-serif"/>
          <w:b w:val="false"/>
          <w:color w:val="000000"/>
          <w:sz w:val="22"/>
        </w:rPr>
        <w:t>SECTION 10.07    </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r>
        <w:br w:type="page"/>
      </w:r>
    </w:p>
    <w:p>
      <w:pPr>
        <w:pStyle w:val="TextBody"/>
        <w:spacing w:before="0" w:after="0"/>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60655"/>
                <wp:effectExtent l="0" t="0" r="0" b="0"/>
                <wp:wrapNone/>
                <wp:docPr id="228" name="Frame22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-126-</w:t>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00000"/>
          <w:sz w:val="22"/>
        </w:rPr>
        <w:t>SECTION 10.08    </w:t>
      </w:r>
      <w:r>
        <w:rPr>
          <w:rFonts w:ascii="Times New Roman;sans-serif" w:hAnsi="Times New Roman;sans-serif"/>
          <w:b w:val="false"/>
          <w:color w:val="000000"/>
          <w:sz w:val="22"/>
          <w:u w:val="single"/>
        </w:rPr>
        <w:t>Right of Setoff</w:t>
      </w:r>
      <w:r>
        <w:rPr>
          <w:rFonts w:ascii="Times New Roman;sans-serif" w:hAnsi="Times New Roman;sans-serif"/>
          <w:b w:val="false"/>
          <w:color w:val="000000"/>
          <w:sz w:val="22"/>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Parent Borrower or any Foreign Subsidiary Borrower against any of and all the obligations of the Parent Borrower or any Foreign Subsidiary Borrower now or hereafter existing under this Agreement held by such Lender, irrespective of whether or not such Lender shall have made any demand under this Agreement and although such obligations may be unmatured;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none of the deposits or any other obligation owing to or for the credit or the account of any Foreign Subsidiary Borrower shall be set off or applied against any obligations of the Parent Borrower or any Borrower that is a United States person within the meaning of Section 7701(a)(30) of the Code. The rights of each Lender under this Section are in addition to other rights and remedies (including other rights of setoff) which such Lender may have ;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to the extent prohibited by applicable law as described in the definition of “Excluded Swap Obligation,” no amounts received from, or set off with respect to, any Loan Party shall be applied to any Excluded Swap Obligations of such Loan Party.</w:t>
      </w:r>
    </w:p>
    <w:p>
      <w:pPr>
        <w:pStyle w:val="TextBody"/>
        <w:spacing w:lineRule="auto" w:line="240" w:before="0" w:after="240"/>
        <w:ind w:left="0" w:right="0" w:firstLine="1440"/>
        <w:rPr/>
      </w:pPr>
      <w:r>
        <w:rPr>
          <w:rFonts w:ascii="Times New Roman;sans-serif" w:hAnsi="Times New Roman;sans-serif"/>
          <w:b w:val="false"/>
          <w:color w:val="000000"/>
          <w:sz w:val="22"/>
        </w:rPr>
        <w:t>SECTION 10.09    </w:t>
      </w:r>
      <w:r>
        <w:rPr>
          <w:rFonts w:ascii="Times New Roman;sans-serif" w:hAnsi="Times New Roman;sans-serif"/>
          <w:b w:val="false"/>
          <w:color w:val="000000"/>
          <w:sz w:val="22"/>
          <w:u w:val="single"/>
        </w:rPr>
        <w:t>Governing Law; Jurisdiction; Consent to Service of Process</w:t>
      </w:r>
      <w:r>
        <w:rPr>
          <w:rFonts w:ascii="Times New Roman;sans-serif" w:hAnsi="Times New Roman;sans-serif"/>
          <w:b w:val="false"/>
          <w:color w:val="000000"/>
          <w:sz w:val="22"/>
        </w:rPr>
        <w: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(a)    This Agreement shall be construed in accordance with and governed by the law of the State of New York.</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(b)    Each of Holdings, the Parent Borrower and each Foreign Subsidiary Borrower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Holdings, the Parent Borrower, any of the Foreign Subsidiary Borrowers or their properties in the courts of any jurisdiction.</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(c)    Each of Holdings, the Parent Borrower and each Foreign Subsidiary Borrower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(d)    Each party to this Agreement irrevocably consents to service of process in the manner provided for notices in Section 10.01. Nothing in this Agreement or any other Loan Document will affect the right of any party to this Agreement to serve process in any other manner permitted by law.</w:t>
      </w:r>
    </w:p>
    <w:p>
      <w:pPr>
        <w:pStyle w:val="TextBody"/>
        <w:spacing w:lineRule="auto" w:line="240" w:before="0" w:after="240"/>
        <w:ind w:left="0" w:right="0" w:firstLine="1440"/>
        <w:rPr/>
      </w:pPr>
      <w:r>
        <w:rPr>
          <w:rFonts w:ascii="Times New Roman;sans-serif" w:hAnsi="Times New Roman;sans-serif"/>
          <w:b w:val="false"/>
          <w:color w:val="000000"/>
          <w:sz w:val="22"/>
        </w:rPr>
        <w:t>SECTION 10.10    </w:t>
      </w:r>
      <w:r>
        <w:rPr>
          <w:rFonts w:ascii="Times New Roman;sans-serif" w:hAnsi="Times New Roman;sans-serif"/>
          <w:b w:val="false"/>
          <w:color w:val="000000"/>
          <w:sz w:val="22"/>
          <w:u w:val="single"/>
        </w:rPr>
        <w:t>WAIVER OF JURY TRIAL</w:t>
      </w:r>
      <w:r>
        <w:rPr>
          <w:rFonts w:ascii="Times New Roman;sans-serif" w:hAnsi="Times New Roman;sans-serif"/>
          <w:b w:val="false"/>
          <w:color w:val="000000"/>
          <w:sz w:val="22"/>
        </w:rPr>
        <w:t xml:space="preserve">. </w:t>
      </w:r>
      <w:r>
        <w:rPr>
          <w:rFonts w:ascii="Times New Roman;sans-serif" w:hAnsi="Times New Roman;sans-serif"/>
          <w:b/>
          <w:color w:val="000000"/>
          <w:sz w:val="22"/>
        </w:rPr>
        <w:t xml:space="preserve">EACH PARTY HERETO HEREBY WAIVES, TO THE FULLEST EXTENT PERMITTED BY APPLICABLE LAW, ANY RIGHT IT MAY HAVE TO A TRIAL BY JURY IN ANY LEGAL PROCEEDING DIRECTLY OR INDIRECTLY ARISING OUT OF OR RELATING TO THIS AGREEMENT, ANY OTHER LOAN DOCUMENT OR THE TRANSACTIONS CONTEMPLATED HEREBY (WHETHER BASED ON CONTRACT, TORT OR ANY OTHER THEORY). EACH PARTY HERETO (A) CERTIFIES THAT NO REPRESENTATIVE, AGENT OR ATTORNEY OF ANY OTHER PARTY HAS REPRESENTED, EXPRESSLY OR OTHERWISE, THAT SUCH OTHER PARTY </w:t>
      </w:r>
      <w:r>
        <w:br w:type="page"/>
      </w:r>
    </w:p>
    <w:p>
      <w:pPr>
        <w:pStyle w:val="TextBody"/>
        <w:spacing w:before="0" w:after="0"/>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60655"/>
                <wp:effectExtent l="0" t="0" r="0" b="0"/>
                <wp:wrapNone/>
                <wp:docPr id="229" name="Frame22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-127-</w:t>
                      </w:r>
                    </w:p>
                  </w:txbxContent>
                </v:textbox>
              </v:rect>
            </w:pict>
          </mc:Fallback>
        </mc:AlternateConten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spacing w:lineRule="auto" w:line="240" w:before="0" w:after="240"/>
        <w:ind w:left="0" w:right="0" w:firstLine="1440"/>
        <w:rPr/>
      </w:pPr>
      <w:r>
        <w:rPr>
          <w:rFonts w:ascii="Times New Roman;sans-serif" w:hAnsi="Times New Roman;sans-serif"/>
          <w:b w:val="false"/>
          <w:color w:val="000000"/>
          <w:sz w:val="22"/>
        </w:rPr>
        <w:t>SECTION 10.11    </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spacing w:lineRule="auto" w:line="240" w:before="0" w:after="240"/>
        <w:ind w:left="0" w:right="0" w:firstLine="1440"/>
        <w:rPr/>
      </w:pPr>
      <w:r>
        <w:rPr>
          <w:rFonts w:ascii="Times New Roman;sans-serif" w:hAnsi="Times New Roman;sans-serif"/>
          <w:b w:val="false"/>
          <w:color w:val="000000"/>
          <w:sz w:val="22"/>
        </w:rPr>
        <w:t>SECTION 10.12    </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 xml:space="preserve">. Each of the Administrative Agent, the Issuing Bank and the Lenders agrees to maintain the confidentiality of the Information (as defined below), except that Information may be disclosed (a) to its Lender Affiliates and to its and its Lender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pursuant to the terms hereof), (b) to the extent requested by any regulatory or quasi-regulatory authority, (c) to the extent required by applicable laws or regulations or by any subpoena or similar legal process, (d) to any other party to this Agreement, (e) in connection with the exercise of any remedies hereunder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Parent Borrower, any Foreign Subsidiary Borrower and their respective obligations, (g) with the consent of the Parent Borrower or (h) to the extent such Information (i) is publicly available at the time of disclosure or becomes publicly available other than as a result of a breach of this Section or (ii) becomes available to the Administrative Agent, the Issuing Bank or any Lender on a nonconfidential basis from a source other than Holdings, the Parent Borrower or any Subsidiary (including the Receivables Subsidiary). For the purposes of this Section, “Information” means all information received from Holdings, the Parent Borrower or any Subsidiary (including the Receivables Subsidiary) relating to Holdings, the Parent Borrower or any Subsidiary (including the Receivables Subsidiary) or its business, other than any such information that is available to the Administrative Agent, the Issuing Bank or any Lender on a nonconfidential basis prior to disclosure by Holdings, the Parent Borrower or any Subsidiary (including the Receivables Subsidiary) and other than information pertaining to this Agreement routinely provided by arrangers to data service providers, including league table providers, that serve the lending industry;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the case of information received from Holdings, the Parent Borrower or any Subsidiary (including the Receivables Subsidiary) after the Second Restatement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w:t>
      </w:r>
    </w:p>
    <w:p>
      <w:pPr>
        <w:pStyle w:val="TextBody"/>
        <w:spacing w:lineRule="auto" w:line="240" w:before="0" w:after="240"/>
        <w:ind w:left="0" w:right="0" w:firstLine="1440"/>
        <w:rPr/>
      </w:pPr>
      <w:r>
        <w:rPr>
          <w:rFonts w:ascii="Times New Roman;sans-serif" w:hAnsi="Times New Roman;sans-serif"/>
          <w:b w:val="false"/>
          <w:color w:val="000000"/>
          <w:sz w:val="22"/>
        </w:rPr>
        <w:t>SECTION 10.13    </w:t>
      </w:r>
      <w:r>
        <w:rPr>
          <w:rFonts w:ascii="Times New Roman;sans-serif" w:hAnsi="Times New Roman;sans-serif"/>
          <w:b w:val="false"/>
          <w:color w:val="000000"/>
          <w:sz w:val="22"/>
          <w:u w:val="single"/>
        </w:rPr>
        <w:t>Interest Rate Limitation</w:t>
      </w:r>
      <w:r>
        <w:rPr>
          <w:rFonts w:ascii="Times New Roman;sans-serif" w:hAnsi="Times New Roman;sans-serif"/>
          <w:b w:val="false"/>
          <w:color w:val="000000"/>
          <w:sz w:val="22"/>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sans-serif" w:hAnsi="Times New Roman;sans-serif"/>
          <w:b w:val="false"/>
          <w:color w:val="000000"/>
          <w:sz w:val="22"/>
          <w:u w:val="single"/>
        </w:rPr>
        <w:t>Charges</w:t>
      </w:r>
      <w:r>
        <w:rPr>
          <w:color w:val="000000"/>
        </w:rPr>
        <w:t>”</w:t>
      </w:r>
      <w:r>
        <w:rPr>
          <w:rFonts w:ascii="Times New Roman;sans-serif" w:hAnsi="Times New Roman;sans-serif"/>
          <w:b w:val="false"/>
          <w:color w:val="000000"/>
          <w:sz w:val="22"/>
        </w:rPr>
        <w:t>), shall exceed the maximum lawful rate (the “</w:t>
      </w:r>
      <w:r>
        <w:rPr>
          <w:rFonts w:ascii="Times New Roman;sans-serif" w:hAnsi="Times New Roman;sans-serif"/>
          <w:b w:val="false"/>
          <w:color w:val="000000"/>
          <w:sz w:val="22"/>
          <w:u w:val="single"/>
        </w:rPr>
        <w:t>Maximum Rate</w:t>
      </w:r>
      <w:r>
        <w:rPr>
          <w:color w:val="000000"/>
        </w:rPr>
        <w:t>”</w:t>
      </w:r>
      <w:r>
        <w:rPr>
          <w:rFonts w:ascii="Times New Roman;sans-serif" w:hAnsi="Times New Roman;sans-serif"/>
          <w:b w:val="false"/>
          <w:color w:val="000000"/>
          <w:sz w:val="22"/>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pStyle w:val="TextBody"/>
        <w:spacing w:lineRule="auto" w:line="240" w:before="0" w:after="240"/>
        <w:ind w:left="0" w:right="0" w:firstLine="1440"/>
        <w:rPr/>
      </w:pPr>
      <w:r>
        <w:rPr>
          <w:rFonts w:ascii="Times New Roman;sans-serif" w:hAnsi="Times New Roman;sans-serif"/>
          <w:b w:val="false"/>
          <w:color w:val="000000"/>
          <w:sz w:val="22"/>
        </w:rPr>
        <w:t>SECTION 10.14    </w:t>
      </w:r>
      <w:r>
        <w:rPr>
          <w:rFonts w:ascii="Times New Roman;sans-serif" w:hAnsi="Times New Roman;sans-serif"/>
          <w:b w:val="false"/>
          <w:color w:val="000000"/>
          <w:sz w:val="22"/>
          <w:u w:val="single"/>
        </w:rPr>
        <w:t>Judgment Currency</w:t>
      </w:r>
      <w:r>
        <w:rPr>
          <w:rFonts w:ascii="Times New Roman;sans-serif" w:hAnsi="Times New Roman;sans-serif"/>
          <w:b w:val="false"/>
          <w:color w:val="000000"/>
          <w:sz w:val="22"/>
        </w:rPr>
        <w:t>.</w:t>
      </w:r>
      <w:r>
        <w:br w:type="page"/>
      </w:r>
    </w:p>
    <w:p>
      <w:pPr>
        <w:pStyle w:val="TextBody"/>
        <w:spacing w:before="0" w:after="0"/>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60655"/>
                <wp:effectExtent l="0" t="0" r="0" b="0"/>
                <wp:wrapNone/>
                <wp:docPr id="230" name="Frame22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-128-</w:t>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00000"/>
          <w:sz w:val="22"/>
        </w:rPr>
        <w:t>(a)    The obligations hereunder of the Parent Borrower and the Foreign Subsidiary Borrowers and under the other Loan Documents to make payments in dollars shall not be discharged or satisfied by any tender or recovery pursuant to any judgment expressed in or converted into any currency other than dollars, except to the extent that such tender or recovery results in the effective receipt by the Administrative Agent, the Collateral Agent or a Lender of the full amount of dollars expressed to be payable to the Administrative Agent, Collateral Agent or Lender under this Agreement or the other Loan Documents. If, for the purpose of obtaining or enforcing judgment against the Parent Borrower, any Foreign Subsidiary Borrower or any other Loan Party in any court or in any jurisdiction, it becomes necessary to convert into or from any currency other than dollars (such other currency being hereinafter referred to as the “</w:t>
      </w:r>
      <w:r>
        <w:rPr>
          <w:rFonts w:ascii="Times New Roman;sans-serif" w:hAnsi="Times New Roman;sans-serif"/>
          <w:b w:val="false"/>
          <w:color w:val="000000"/>
          <w:sz w:val="22"/>
          <w:u w:val="single"/>
        </w:rPr>
        <w:t>Judgment Currency</w:t>
      </w:r>
      <w:r>
        <w:rPr>
          <w:color w:val="000000"/>
        </w:rPr>
        <w:t>”</w:t>
      </w:r>
      <w:r>
        <w:rPr>
          <w:rFonts w:ascii="Times New Roman;sans-serif" w:hAnsi="Times New Roman;sans-serif"/>
          <w:b w:val="false"/>
          <w:color w:val="000000"/>
          <w:sz w:val="22"/>
        </w:rPr>
        <w:t>) an amount due in dollars, each party hereto agrees, to the fullest extent that it may effectively do so, that the rate of exchange used shall be that at which, in accordance with normal banking procedures in the relevant jurisdiction, the first currency could be purchased with such other currency, as of the date immediately preceding the day on which the judgment is given (such Business Day being hereinafter referred to as the “</w:t>
      </w:r>
      <w:r>
        <w:rPr>
          <w:rFonts w:ascii="Times New Roman;sans-serif" w:hAnsi="Times New Roman;sans-serif"/>
          <w:b w:val="false"/>
          <w:color w:val="000000"/>
          <w:sz w:val="22"/>
          <w:u w:val="single"/>
        </w:rPr>
        <w:t>Judgment Currency Conversion Date</w:t>
      </w:r>
      <w:r>
        <w:rPr>
          <w:color w:val="000000"/>
        </w:rPr>
        <w:t>”</w:t>
      </w:r>
      <w:r>
        <w:rPr>
          <w:rFonts w:ascii="Times New Roman;sans-serif" w:hAnsi="Times New Roman;sans-serif"/>
          <w:b w:val="false"/>
          <w:color w:val="000000"/>
          <w:sz w:val="22"/>
        </w:rPr>
        <w:t>).</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(b)    If there is a change in the rate of exchange prevailing between the Judgment Currency Conversion Date and the date of actual payment of the amount due, the Parent Borrower and each Foreign Subsidiary Borrower, as the case may be, covenants and agrees to pay, or cause to be paid, such additional amounts, if any (but in any event not a lesser amount), as may be necessary to ensure that the amount paid in the Judgment Currency, when converted at the rate of exchange prevailing on the date of payment, will produce the amount of dollars which could have been purchased with the amount of Judgment Currency stipulated in the judgment or judicial award at the rate of exchange prevailing on the Judgment Currency Conversion Date.</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(c)    For purposes of determining the dollar equivalent of the Judgment Currency, such amounts shall include any premium and costs payable in connection with the purchase of dollars.</w:t>
      </w:r>
    </w:p>
    <w:p>
      <w:pPr>
        <w:pStyle w:val="TextBody"/>
        <w:spacing w:lineRule="auto" w:line="240" w:before="0" w:after="240"/>
        <w:ind w:left="0" w:right="0" w:firstLine="1440"/>
        <w:rPr/>
      </w:pPr>
      <w:r>
        <w:rPr>
          <w:rFonts w:ascii="Times New Roman;sans-serif" w:hAnsi="Times New Roman;sans-serif"/>
          <w:b w:val="false"/>
          <w:color w:val="000000"/>
          <w:sz w:val="22"/>
        </w:rPr>
        <w:t>SECTION 10.15    </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 xml:space="preserve">. </w:t>
      </w:r>
    </w:p>
    <w:p>
      <w:pPr>
        <w:pStyle w:val="TextBody"/>
        <w:spacing w:before="0" w:after="0"/>
        <w:rPr/>
      </w:pPr>
      <w:r>
        <w:rPr/>
      </w:r>
    </w:p>
    <w:p>
      <w:pPr>
        <w:pStyle w:val="TextBody"/>
        <w:spacing w:lineRule="auto" w:line="240" w:before="0" w:after="240"/>
        <w:ind w:left="0" w:right="0" w:firstLine="1440"/>
        <w:rPr/>
      </w:pPr>
      <w:r>
        <w:rPr>
          <w:rFonts w:ascii="Times New Roman;sans-serif" w:hAnsi="Times New Roman;sans-serif"/>
          <w:b w:val="false"/>
          <w:color w:val="000000"/>
          <w:sz w:val="22"/>
        </w:rPr>
        <w:t>SECTION 10.16    </w:t>
      </w:r>
      <w:r>
        <w:rPr>
          <w:rFonts w:ascii="Times New Roman;sans-serif" w:hAnsi="Times New Roman;sans-serif"/>
          <w:b w:val="false"/>
          <w:color w:val="000000"/>
          <w:sz w:val="22"/>
          <w:u w:val="single"/>
        </w:rPr>
        <w:t>PATRIOT Act</w:t>
      </w:r>
      <w:r>
        <w:rPr>
          <w:rFonts w:ascii="Times New Roman;sans-serif" w:hAnsi="Times New Roman;sans-serif"/>
          <w:b w:val="false"/>
          <w:color w:val="000000"/>
          <w:sz w:val="22"/>
        </w:rPr>
        <w:t>. Each Lender hereby notifies Holdings and the Parent Borrower that pursuant to the requirements of the USA PATRIOT Act (Title III of Pub. L. 107-56 (signed into law October 26, 2001)) (the “</w:t>
      </w:r>
      <w:r>
        <w:rPr>
          <w:rFonts w:ascii="Times New Roman;sans-serif" w:hAnsi="Times New Roman;sans-serif"/>
          <w:b w:val="false"/>
          <w:color w:val="000000"/>
          <w:sz w:val="22"/>
          <w:u w:val="single"/>
        </w:rPr>
        <w:t>PATRIOT Act</w:t>
      </w:r>
      <w:r>
        <w:rPr>
          <w:color w:val="000000"/>
        </w:rPr>
        <w:t>”</w:t>
      </w:r>
      <w:r>
        <w:rPr>
          <w:rFonts w:ascii="Times New Roman;sans-serif" w:hAnsi="Times New Roman;sans-serif"/>
          <w:b w:val="false"/>
          <w:color w:val="000000"/>
          <w:sz w:val="22"/>
        </w:rPr>
        <w:t>), it is required, or will be required in the future, to obtain, verify and record information that identifies Holdings, the Parent Borrower and the other Loan Parties, which information includes the name and address of Holdings, the Parent Borrower and the other Loan Parties and other information that will allow such Lender to identify Holdings, the Parent Borrower and the other Loan Parties in accordance with the PATRIOT Act.</w:t>
      </w:r>
    </w:p>
    <w:p>
      <w:pPr>
        <w:pStyle w:val="TextBody"/>
        <w:spacing w:lineRule="auto" w:line="240" w:before="0" w:after="240"/>
        <w:ind w:left="0" w:right="0" w:firstLine="1440"/>
        <w:rPr/>
      </w:pPr>
      <w:r>
        <w:rPr>
          <w:rFonts w:ascii="Times New Roman;sans-serif" w:hAnsi="Times New Roman;sans-serif"/>
          <w:b w:val="false"/>
          <w:color w:val="000000"/>
          <w:sz w:val="22"/>
        </w:rPr>
        <w:t>SECTION 10.17    </w:t>
      </w:r>
      <w:r>
        <w:rPr>
          <w:rFonts w:ascii="Times New Roman;sans-serif" w:hAnsi="Times New Roman;sans-serif"/>
          <w:b w:val="false"/>
          <w:color w:val="000000"/>
          <w:sz w:val="22"/>
          <w:u w:val="single"/>
        </w:rPr>
        <w:t>No Fiduciary Duty</w:t>
      </w:r>
      <w:r>
        <w:rPr>
          <w:rFonts w:ascii="Times New Roman;sans-serif" w:hAnsi="Times New Roman;sans-serif"/>
          <w:b w:val="false"/>
          <w:color w:val="000000"/>
          <w:sz w:val="22"/>
        </w:rPr>
        <w:t>. Each Agent, each Lender and their Affiliates (collectively, solely for purposes of this paragraph, the “</w:t>
      </w:r>
      <w:r>
        <w:rPr>
          <w:rFonts w:ascii="Times New Roman;sans-serif" w:hAnsi="Times New Roman;sans-serif"/>
          <w:b w:val="false"/>
          <w:color w:val="000000"/>
          <w:sz w:val="22"/>
          <w:u w:val="single"/>
        </w:rPr>
        <w:t>Lenders</w:t>
      </w:r>
      <w:r>
        <w:rPr>
          <w:color w:val="000000"/>
        </w:rPr>
        <w:t>”</w:t>
      </w:r>
      <w:r>
        <w:rPr>
          <w:rFonts w:ascii="Times New Roman;sans-serif" w:hAnsi="Times New Roman;sans-serif"/>
          <w:b w:val="false"/>
          <w:color w:val="000000"/>
          <w:sz w:val="22"/>
        </w:rPr>
        <w:t xml:space="preserve">), may have economic interests that conflict with those of the Parent Borrower and the Foreign Subsidiary Borrowers, their stockholders and/or their affiliates.  Each of the Parent Borrower and the Foreign Subsidiary Borrowers agrees that nothing in the Loan Documents or otherwise will be deemed to create an advisory, fiduciary or agency relationship or fiduciary or other implied duty between any Lender, on the one hand, and such borrower, its stockholders or its affiliates, on the other.  Each of the Parent Borrower and the Foreign Subsidiary Borrowers acknowledges and agrees that (i) the transactions contemplated by the Loan Documents (including the exercise of rights and remedies hereunder and there under) are arm’s-length commercial transactions between the Lenders, on the one hand, and the applicable borrower, on the other, and (ii) in connection therewith and with the process leading thereto, (x) no Lender has assumed an advisory or fiduciary responsibility in favor of any of the Parent Borrower or the Foreign Subsidiary Borrowers, their stockholders or their affiliates with respect to the transactions contemplated hereby (or the exercise of rights or remedies with respect thereto) or the process leading thereto (irrespective of whether any Lender has advised, is currently advising or will advise any borrower, its stockholders or its Affiliates on other matters) or any other obligation to any of the Parent Borrower or the Foreign Subsidiary Borrowers except the obligations expressly set forth in the Loan Documents and (y) each Lender is acting solely as principal and not as the agent or fiduciary of any of the Parent Borrower or the Foreign Subsidiary Borrowers, their respective management, stockholders, creditors or any other Person.  Each of the Parent Borrower and the Foreign Subsidiary Borrowers acknowledges and agrees that it has consulted its own </w:t>
      </w:r>
      <w:r>
        <w:br w:type="page"/>
      </w:r>
    </w:p>
    <w:p>
      <w:pPr>
        <w:pStyle w:val="TextBody"/>
        <w:spacing w:before="0" w:after="0"/>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60655"/>
                <wp:effectExtent l="0" t="0" r="0" b="0"/>
                <wp:wrapNone/>
                <wp:docPr id="231" name="Frame23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-129-</w:t>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legal and financial advisors to the extent it deemed appropriate and that it is responsible for making its own independent judgment with respect to such transactions and the process leading thereto.  Each of the Parent Borrower and the Foreign Subsidiary Borrowers agrees that it will not claim that any Lender has rendered advisory services of any nature or respect, or owes a fiduciary or similar duty to such borrower, in connection with such transaction or the process leading thereto.</w:t>
      </w:r>
    </w:p>
    <w:p>
      <w:pPr>
        <w:pStyle w:val="TextBody"/>
        <w:spacing w:lineRule="auto" w:line="240" w:before="0" w:after="240"/>
        <w:ind w:left="0" w:right="0" w:firstLine="1440"/>
        <w:rPr/>
      </w:pPr>
      <w:r>
        <w:rPr>
          <w:rFonts w:ascii="Times New Roman;sans-serif" w:hAnsi="Times New Roman;sans-serif"/>
          <w:b w:val="false"/>
          <w:color w:val="000000"/>
          <w:sz w:val="22"/>
        </w:rPr>
        <w:t>SECTION 10.18    </w:t>
      </w:r>
      <w:r>
        <w:rPr>
          <w:rFonts w:ascii="Times New Roman;sans-serif" w:hAnsi="Times New Roman;sans-serif"/>
          <w:b w:val="false"/>
          <w:color w:val="000000"/>
          <w:sz w:val="22"/>
          <w:u w:val="single"/>
        </w:rPr>
        <w:t>Parallel Debt</w:t>
      </w:r>
      <w:r>
        <w:rPr>
          <w:rFonts w:ascii="Times New Roman;sans-serif" w:hAnsi="Times New Roman;sans-serif"/>
          <w:b w:val="false"/>
          <w:color w:val="000000"/>
          <w:sz w:val="22"/>
        </w:rPr>
        <w:t>.</w:t>
      </w:r>
    </w:p>
    <w:p>
      <w:pPr>
        <w:pStyle w:val="TextBody"/>
        <w:spacing w:lineRule="auto" w:line="240" w:before="0" w:after="240"/>
        <w:ind w:left="0" w:right="0" w:firstLine="1440"/>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w:t>
      </w:r>
    </w:p>
    <w:p>
      <w:pPr>
        <w:pStyle w:val="TextBody"/>
        <w:spacing w:lineRule="auto" w:line="240" w:before="0" w:after="240"/>
        <w:ind w:left="0" w:right="0" w:firstLine="1440"/>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Parallel Debt Foreign Obligations</w:t>
      </w:r>
      <w:r>
        <w:rPr>
          <w:rFonts w:ascii="Times New Roman;sans-serif" w:hAnsi="Times New Roman;sans-serif"/>
          <w:b w:val="false"/>
          <w:color w:val="000000"/>
          <w:sz w:val="22"/>
        </w:rPr>
        <w:t>.</w:t>
      </w:r>
    </w:p>
    <w:p>
      <w:pPr>
        <w:pStyle w:val="TextBody"/>
        <w:spacing w:lineRule="auto" w:line="240" w:before="0" w:after="240"/>
        <w:rPr/>
      </w:pPr>
      <w:r>
        <w:rPr>
          <w:color w:val="000000"/>
        </w:rPr>
        <w:t>    </w:t>
      </w:r>
      <w:r>
        <w:rPr>
          <w:rFonts w:ascii="Times New Roman;sans-serif" w:hAnsi="Times New Roman;sans-serif"/>
          <w:b w:val="false"/>
          <w:color w:val="000000"/>
          <w:sz w:val="22"/>
        </w:rPr>
        <w:t>(i)    For the purpose of any Foreign Security Document governed by Dutch law, each Foreign Subsidiary Borrower hereby irrevocably and unconditionally undertakes to pay as a separate and independent obligation to the Collateral Agent amounts equal to the aggregate amount payable (</w:t>
      </w:r>
      <w:r>
        <w:rPr>
          <w:rFonts w:ascii="Times New Roman;sans-serif" w:hAnsi="Times New Roman;sans-serif"/>
          <w:b w:val="false"/>
          <w:i/>
          <w:color w:val="000000"/>
          <w:sz w:val="22"/>
        </w:rPr>
        <w:t>verschuldigd</w:t>
      </w:r>
      <w:r>
        <w:rPr>
          <w:rFonts w:ascii="Times New Roman;sans-serif" w:hAnsi="Times New Roman;sans-serif"/>
          <w:b w:val="false"/>
          <w:color w:val="000000"/>
          <w:sz w:val="22"/>
        </w:rPr>
        <w:t>) to any of the Secured Parties under or pursuant to its Foreign Obligations (these payment undertakings to the Collateral Agent hereinafter collectively referred to as the “</w:t>
      </w:r>
      <w:r>
        <w:rPr>
          <w:rFonts w:ascii="Times New Roman;sans-serif" w:hAnsi="Times New Roman;sans-serif"/>
          <w:b w:val="false"/>
          <w:color w:val="000000"/>
          <w:sz w:val="22"/>
          <w:u w:val="single"/>
        </w:rPr>
        <w:t>Parallel Debt Foreign Obligations</w:t>
      </w:r>
      <w:r>
        <w:rPr>
          <w:color w:val="000000"/>
        </w:rPr>
        <w:t>”</w:t>
      </w:r>
      <w:r>
        <w:rPr>
          <w:rFonts w:ascii="Times New Roman;sans-serif" w:hAnsi="Times New Roman;sans-serif"/>
          <w:b w:val="false"/>
          <w:color w:val="000000"/>
          <w:sz w:val="22"/>
        </w:rPr>
        <w:t>). The Parallel Debt Foreign Obligations will be payable in the currency or currencies of the relevant Foreign Obligations.</w:t>
      </w:r>
    </w:p>
    <w:p>
      <w:pPr>
        <w:pStyle w:val="TextBody"/>
        <w:spacing w:lineRule="auto" w:line="240" w:before="0" w:after="240"/>
        <w:rPr/>
      </w:pPr>
      <w:r>
        <w:rPr>
          <w:color w:val="000000"/>
        </w:rPr>
        <w:t>    </w:t>
      </w:r>
      <w:r>
        <w:rPr>
          <w:rFonts w:ascii="Times New Roman;sans-serif" w:hAnsi="Times New Roman;sans-serif"/>
          <w:b w:val="false"/>
          <w:color w:val="000000"/>
          <w:sz w:val="22"/>
        </w:rPr>
        <w:t>(ii)    The Parallel Debt Foreign Obligations will become due and payable (</w:t>
      </w:r>
      <w:r>
        <w:rPr>
          <w:rFonts w:ascii="Times New Roman;sans-serif" w:hAnsi="Times New Roman;sans-serif"/>
          <w:b w:val="false"/>
          <w:i/>
          <w:color w:val="000000"/>
          <w:sz w:val="22"/>
        </w:rPr>
        <w:t>opeisbaar</w:t>
      </w:r>
      <w:r>
        <w:rPr>
          <w:rFonts w:ascii="Times New Roman;sans-serif" w:hAnsi="Times New Roman;sans-serif"/>
          <w:b w:val="false"/>
          <w:color w:val="000000"/>
          <w:sz w:val="22"/>
        </w:rPr>
        <w:t>) immediately upon the Collateral Agent’s first demand, which may be made at any time, as and when one or more of the Foreign Obligations becomes due and payable.</w:t>
      </w:r>
    </w:p>
    <w:p>
      <w:pPr>
        <w:pStyle w:val="TextBody"/>
        <w:spacing w:lineRule="auto" w:line="240" w:before="0" w:after="240"/>
        <w:rPr>
          <w:color w:val="000000"/>
        </w:rPr>
      </w:pPr>
      <w:r>
        <w:rPr>
          <w:color w:val="000000"/>
        </w:rPr>
        <w:t>    </w:t>
      </w:r>
      <w:r>
        <w:rPr>
          <w:rFonts w:ascii="Times New Roman;sans-serif" w:hAnsi="Times New Roman;sans-serif"/>
          <w:b w:val="false"/>
          <w:color w:val="000000"/>
          <w:sz w:val="22"/>
        </w:rPr>
        <w:t>(iii)    Each of the parties to this Agreement hereby acknowledges that (A) the Parallel Debt Foreign Obligations constitute undertakings, obligations and liabilities of the Foreign Subsidiary Borrowers to the Collateral Agent which are transferable, separate and independent from, and without prejudice to, the corresponding Foreign Obligations and (B) the Parallel Debt Foreign Obligations represent the Collateral Agent’s own separate claims to receive payment of the Parallel Debt Foreign Obligations from the Foreign Subsidiary Borrowers, it being understood that the amounts which may become due and payable by the Foreign Subsidiary Borrowers under or pursuant to the Parallel Debt Foreign Obligations from time to time shall never exceed the aggregate amount which is payable under the Foreign Obligations from time to time.</w:t>
      </w:r>
    </w:p>
    <w:p>
      <w:pPr>
        <w:pStyle w:val="TextBody"/>
        <w:spacing w:lineRule="auto" w:line="240" w:before="0" w:after="240"/>
        <w:rPr/>
      </w:pPr>
      <w:r>
        <w:rPr>
          <w:color w:val="000000"/>
        </w:rPr>
        <w:t>    </w:t>
      </w:r>
      <w:r>
        <w:rPr>
          <w:rFonts w:ascii="Times New Roman;sans-serif" w:hAnsi="Times New Roman;sans-serif"/>
          <w:b w:val="false"/>
          <w:color w:val="000000"/>
          <w:sz w:val="22"/>
        </w:rPr>
        <w:t>(iv)    For the avoidance of doubt, each of the parties to this Agreement confirms that the claims of the Collateral Agent against each of the Foreign Subsidiary Borrowers in respect of the Parallel Debt Foreign Obligations and the claims of any or more of the Secured Parties against the Foreign Subsidiary Borrowers under or pursuant to the Foreign Obligations payable to such Secured Parties do not constitute common property (</w:t>
      </w:r>
      <w:r>
        <w:rPr>
          <w:rFonts w:ascii="Times New Roman;sans-serif" w:hAnsi="Times New Roman;sans-serif"/>
          <w:b w:val="false"/>
          <w:i/>
          <w:color w:val="000000"/>
          <w:sz w:val="22"/>
        </w:rPr>
        <w:t>een gemeenschap</w:t>
      </w:r>
      <w:r>
        <w:rPr>
          <w:rFonts w:ascii="Times New Roman;sans-serif" w:hAnsi="Times New Roman;sans-serif"/>
          <w:b w:val="false"/>
          <w:color w:val="000000"/>
          <w:sz w:val="22"/>
        </w:rPr>
        <w:t>) within the meaning of Section 3:166 of the DCC and that the provisions relating to such common property shall not apply. If, however, it shall be held that such claims of the Collateral Agent and such claims of any one or more of the Secured Parties do constitute such common property and such provisions do apply, the parties to this Agreement agree that this Agreement shall constitute the administration agreement (</w:t>
      </w:r>
      <w:r>
        <w:rPr>
          <w:rFonts w:ascii="Times New Roman;sans-serif" w:hAnsi="Times New Roman;sans-serif"/>
          <w:b w:val="false"/>
          <w:i/>
          <w:color w:val="000000"/>
          <w:sz w:val="22"/>
        </w:rPr>
        <w:t>beheersregeling</w:t>
      </w:r>
      <w:r>
        <w:rPr>
          <w:rFonts w:ascii="Times New Roman;sans-serif" w:hAnsi="Times New Roman;sans-serif"/>
          <w:b w:val="false"/>
          <w:color w:val="000000"/>
          <w:sz w:val="22"/>
        </w:rPr>
        <w:t>) within the meaning of Section 3:168 of the DCC.</w:t>
      </w:r>
    </w:p>
    <w:p>
      <w:pPr>
        <w:pStyle w:val="TextBody"/>
        <w:spacing w:lineRule="auto" w:line="240" w:before="0" w:after="240"/>
        <w:rPr>
          <w:color w:val="000000"/>
        </w:rPr>
      </w:pPr>
      <w:r>
        <w:rPr>
          <w:color w:val="000000"/>
        </w:rPr>
        <w:t>    </w:t>
      </w:r>
      <w:r>
        <w:rPr>
          <w:rFonts w:ascii="Times New Roman;sans-serif" w:hAnsi="Times New Roman;sans-serif"/>
          <w:b w:val="false"/>
          <w:color w:val="000000"/>
          <w:sz w:val="22"/>
        </w:rPr>
        <w:t>(v)    For the avoidance of doubt, the parties hereto confirm that this Agreement is not to be construed as an agreement as referred to in Section 6:16 of the DCC and that Section 6:16 of the DCC shall not apply.</w:t>
      </w:r>
    </w:p>
    <w:p>
      <w:pPr>
        <w:pStyle w:val="TextBody"/>
        <w:spacing w:lineRule="auto" w:line="240" w:before="0" w:after="240"/>
        <w:rPr/>
      </w:pPr>
      <w:r>
        <w:rPr>
          <w:color w:val="000000"/>
        </w:rPr>
        <w:t>    </w:t>
      </w:r>
      <w:r>
        <w:rPr>
          <w:rFonts w:ascii="Times New Roman;sans-serif" w:hAnsi="Times New Roman;sans-serif"/>
          <w:b w:val="false"/>
          <w:color w:val="000000"/>
          <w:sz w:val="22"/>
        </w:rPr>
        <w:t>(vi)    To the extent the Collateral Agent irrevocably (</w:t>
      </w:r>
      <w:r>
        <w:rPr>
          <w:rFonts w:ascii="Times New Roman;sans-serif" w:hAnsi="Times New Roman;sans-serif"/>
          <w:b w:val="false"/>
          <w:i/>
          <w:color w:val="000000"/>
          <w:sz w:val="22"/>
        </w:rPr>
        <w:t>onaantastbaar</w:t>
      </w:r>
      <w:r>
        <w:rPr>
          <w:rFonts w:ascii="Times New Roman;sans-serif" w:hAnsi="Times New Roman;sans-serif"/>
          <w:b w:val="false"/>
          <w:color w:val="000000"/>
          <w:sz w:val="22"/>
        </w:rPr>
        <w:t>) receives any amount in payment of the Parallel Debt Foreign Obligations, the Collateral Agent shall distribute such amount among the Secured Parties in accordance with Section 2.18 and upon irrevocable (</w:t>
      </w:r>
      <w:r>
        <w:rPr>
          <w:rFonts w:ascii="Times New Roman;sans-serif" w:hAnsi="Times New Roman;sans-serif"/>
          <w:b w:val="false"/>
          <w:i/>
          <w:color w:val="000000"/>
          <w:sz w:val="22"/>
        </w:rPr>
        <w:t>onaantastbaar</w:t>
      </w:r>
      <w:r>
        <w:rPr>
          <w:rFonts w:ascii="Times New Roman;sans-serif" w:hAnsi="Times New Roman;sans-serif"/>
          <w:b w:val="false"/>
          <w:color w:val="000000"/>
          <w:sz w:val="22"/>
        </w:rPr>
        <w:t>) receipt of such amount, the Foreign Obligations shall be reduced by an amount equal to such amount in the manner as if such amount were received as a payment of the Foreign Obligations on the date of receipt by the Collateral Agent of such amount.    </w:t>
      </w:r>
    </w:p>
    <w:p>
      <w:pPr>
        <w:pStyle w:val="TextBody"/>
        <w:spacing w:lineRule="auto" w:line="240" w:before="0" w:after="240"/>
        <w:rPr/>
      </w:pPr>
      <w:r>
        <w:rPr>
          <w:color w:val="000000"/>
        </w:rPr>
        <w:t>    </w:t>
      </w:r>
      <w:r>
        <w:rPr>
          <w:rFonts w:ascii="Times New Roman;sans-serif" w:hAnsi="Times New Roman;sans-serif"/>
          <w:b w:val="false"/>
          <w:color w:val="000000"/>
          <w:sz w:val="22"/>
        </w:rPr>
        <w:t>(vii)    To the extent the Collateral Agent or Administrative Agent irrevocably (</w:t>
      </w:r>
      <w:r>
        <w:rPr>
          <w:rFonts w:ascii="Times New Roman;sans-serif" w:hAnsi="Times New Roman;sans-serif"/>
          <w:b w:val="false"/>
          <w:i/>
          <w:color w:val="000000"/>
          <w:sz w:val="22"/>
        </w:rPr>
        <w:t>onaantastbaar</w:t>
      </w:r>
      <w:r>
        <w:rPr>
          <w:rFonts w:ascii="Times New Roman;sans-serif" w:hAnsi="Times New Roman;sans-serif"/>
          <w:b w:val="false"/>
          <w:color w:val="000000"/>
          <w:sz w:val="22"/>
        </w:rPr>
        <w:t xml:space="preserve">) receives any amount in payment of the Foreign Obligations, the Collateral Agent shall </w:t>
      </w:r>
      <w:r>
        <w:br w:type="page"/>
      </w:r>
    </w:p>
    <w:p>
      <w:pPr>
        <w:pStyle w:val="TextBody"/>
        <w:spacing w:before="0" w:after="0"/>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60655"/>
                <wp:effectExtent l="0" t="0" r="0" b="0"/>
                <wp:wrapNone/>
                <wp:docPr id="232" name="Frame23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-130-</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2"/>
        </w:rPr>
        <w:t>distribute such amount among the Secured Parties in accordance with Section 2.18 and upon irrevocable (</w:t>
      </w:r>
      <w:r>
        <w:rPr>
          <w:rFonts w:ascii="Times New Roman;sans-serif" w:hAnsi="Times New Roman;sans-serif"/>
          <w:b w:val="false"/>
          <w:i/>
          <w:color w:val="000000"/>
          <w:sz w:val="22"/>
        </w:rPr>
        <w:t>onaantastbaar</w:t>
      </w:r>
      <w:r>
        <w:rPr>
          <w:rFonts w:ascii="Times New Roman;sans-serif" w:hAnsi="Times New Roman;sans-serif"/>
          <w:b w:val="false"/>
          <w:color w:val="000000"/>
          <w:sz w:val="22"/>
        </w:rPr>
        <w:t>) receipt of such amount, the Parallel Debt Foreign Obligations shall be reduced by an amount equal to such amount in the manner as if such amount were received as a payment of the Parallel Debt Foreign Obligations on the date of receipt by the Secured Party of such amount.</w:t>
      </w:r>
    </w:p>
    <w:p>
      <w:pPr>
        <w:pStyle w:val="TextBody"/>
        <w:spacing w:lineRule="auto" w:line="240" w:before="0" w:after="240"/>
        <w:rPr>
          <w:color w:val="000000"/>
        </w:rPr>
      </w:pPr>
      <w:r>
        <w:rPr>
          <w:color w:val="000000"/>
        </w:rPr>
        <w:t>    </w:t>
      </w:r>
      <w:r>
        <w:rPr>
          <w:rFonts w:ascii="Times New Roman;sans-serif" w:hAnsi="Times New Roman;sans-serif"/>
          <w:b w:val="false"/>
          <w:color w:val="000000"/>
          <w:sz w:val="22"/>
        </w:rPr>
        <w:t>(viii)    For the purpose of any Foreign Security Document governed by Dutch law, the Collateral Agent acts in its own name and on behalf of itself but for the benefit of the Secured Parties and any security right granted to the Collateral Agent to secure the Parallel Debt Foreign Obligations is granted to the Collateral Agent in its capacity of sole creditor of the Parallel Debt Foreign Obligations.</w:t>
      </w:r>
    </w:p>
    <w:p>
      <w:pPr>
        <w:pStyle w:val="TextBody"/>
        <w:spacing w:lineRule="auto" w:line="240" w:before="0" w:after="240"/>
        <w:ind w:left="0" w:right="0" w:firstLine="1440"/>
        <w:rPr/>
      </w:pPr>
      <w:r>
        <w:rPr>
          <w:rFonts w:ascii="Times New Roman;sans-serif" w:hAnsi="Times New Roman;sans-serif"/>
          <w:b w:val="false"/>
          <w:color w:val="000000"/>
          <w:sz w:val="22"/>
        </w:rPr>
        <w:t>SECTION 10.19    </w:t>
      </w:r>
      <w:r>
        <w:rPr>
          <w:rFonts w:ascii="Times New Roman;sans-serif" w:hAnsi="Times New Roman;sans-serif"/>
          <w:b w:val="false"/>
          <w:color w:val="000000"/>
          <w:sz w:val="22"/>
          <w:u w:val="single"/>
        </w:rPr>
        <w:t>No Novation</w:t>
      </w:r>
      <w:r>
        <w:rPr>
          <w:rFonts w:ascii="Times New Roman;sans-serif" w:hAnsi="Times New Roman;sans-serif"/>
          <w:b w:val="false"/>
          <w:color w:val="000000"/>
          <w:sz w:val="22"/>
        </w:rPr>
        <w:t xml:space="preserve">. Nothing in this Agreement or the Replacement Facility Amendment shall be deemed to be a substitution or novation of the obligations outstanding under the Security Documents or the other Loan Documents or instruments securing the same, which shall remain in full force and effect, except to any extent modified hereby or by instruments executed concurrently herewith. </w:t>
      </w:r>
    </w:p>
    <w:p>
      <w:pPr>
        <w:pStyle w:val="TextBody"/>
        <w:spacing w:lineRule="auto" w:line="240" w:before="0" w:after="240"/>
        <w:ind w:left="0" w:right="0" w:firstLine="1440"/>
        <w:rPr/>
      </w:pPr>
      <w:r>
        <w:rPr>
          <w:rFonts w:ascii="Times New Roman;sans-serif" w:hAnsi="Times New Roman;sans-serif"/>
          <w:b w:val="false"/>
          <w:color w:val="000000"/>
          <w:sz w:val="22"/>
        </w:rPr>
        <w:t>SECTION 10.20    </w:t>
      </w:r>
      <w:r>
        <w:rPr>
          <w:rFonts w:ascii="Times New Roman;sans-serif" w:hAnsi="Times New Roman;sans-serif"/>
          <w:b w:val="false"/>
          <w:color w:val="000000"/>
          <w:sz w:val="22"/>
          <w:u w:val="single"/>
        </w:rPr>
        <w:t>Acknowledgement and Consent to Bail-In of Affected Financial Institutions</w:t>
      </w:r>
      <w:r>
        <w:rPr>
          <w:rFonts w:ascii="Times New Roman;sans-serif" w:hAnsi="Times New Roman;sans-serif"/>
          <w:b w:val="false"/>
          <w:color w:val="000000"/>
          <w:sz w:val="22"/>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spacing w:lineRule="auto" w:line="240" w:before="0" w:after="240"/>
        <w:ind w:left="0" w:right="0" w:firstLine="144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(a)    the application of any Write-Down and Conversion Powers by the applicable Resolution Authority to any such liabilities arising hereunder which may be payable to it by any party hereto that is an Affected Financial Institution; and</w:t>
      </w:r>
    </w:p>
    <w:p>
      <w:pPr>
        <w:pStyle w:val="TextBody"/>
        <w:spacing w:lineRule="auto" w:line="240" w:before="0" w:after="240"/>
        <w:ind w:left="0" w:right="0" w:firstLine="144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(b)    the effects of any Bail-In Action on any such liability, including, if applicable:</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    a reduction in full or in part or cancellation of any such liability;</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(C)(iii)    the variation of the terms of such liability in connection with the exercise of the Write-Down and Conversion Powers of the applicable Resolution Authority.</w:t>
      </w:r>
    </w:p>
    <w:p>
      <w:pPr>
        <w:pStyle w:val="TextBody"/>
        <w:spacing w:lineRule="auto" w:line="240" w:before="0" w:after="240"/>
        <w:ind w:left="0" w:right="0" w:firstLine="1440"/>
        <w:rPr/>
      </w:pPr>
      <w:r>
        <w:rPr>
          <w:rFonts w:ascii="Times New Roman;sans-serif" w:hAnsi="Times New Roman;sans-serif"/>
          <w:b w:val="false"/>
          <w:color w:val="000000"/>
          <w:sz w:val="22"/>
        </w:rPr>
        <w:t>SECTION 10.21    </w:t>
      </w:r>
      <w:r>
        <w:rPr>
          <w:rFonts w:ascii="Times New Roman;sans-serif" w:hAnsi="Times New Roman;sans-serif"/>
          <w:b w:val="false"/>
          <w:color w:val="000000"/>
          <w:sz w:val="22"/>
          <w:u w:val="single"/>
        </w:rPr>
        <w:t>MIRE Events</w:t>
      </w:r>
      <w:r>
        <w:rPr>
          <w:rFonts w:ascii="Times New Roman;sans-serif" w:hAnsi="Times New Roman;sans-serif"/>
          <w:b w:val="false"/>
          <w:color w:val="000000"/>
          <w:sz w:val="22"/>
        </w:rPr>
        <w:t xml:space="preserve">. Each of the parties hereto acknowledges and agrees that, solely in the event that there are any Mortgaged Properties at the time of any increase, extension or renewal of any of the Commitments or Loans (including the provision of Incremental Revolving Commitments or any other incremental credit facilities hereunder, but excluding (i) any continuation or conversion of borrowings, (ii) the making of any Revolving Loans or (iii) the issuance, renewal or extension of Letters of Credit) shall be subject to (and conditioned upon) delivery of all flood hazard determination certifications, acknowledgements and evidence of flood insurance and other flood-related documentation with respect to such Mortgaged Properties as required by Flood Laws and as otherwise reasonably requested by the Administrative Agent or the Lenders (through the Administrative Agent). </w:t>
      </w:r>
    </w:p>
    <w:p>
      <w:pPr>
        <w:pStyle w:val="TextBody"/>
        <w:spacing w:lineRule="auto" w:line="240" w:before="0" w:after="240"/>
        <w:ind w:left="0" w:right="0" w:firstLine="1440"/>
        <w:rPr/>
      </w:pPr>
      <w:r>
        <w:rPr>
          <w:rFonts w:ascii="Times New Roman;sans-serif" w:hAnsi="Times New Roman;sans-serif"/>
          <w:b w:val="false"/>
          <w:color w:val="000000"/>
          <w:sz w:val="22"/>
        </w:rPr>
        <w:t>SECTION 10.22    </w:t>
      </w:r>
      <w:r>
        <w:rPr>
          <w:rFonts w:ascii="Times New Roman;sans-serif" w:hAnsi="Times New Roman;sans-serif"/>
          <w:b w:val="false"/>
          <w:color w:val="000000"/>
          <w:sz w:val="22"/>
          <w:u w:val="single"/>
        </w:rPr>
        <w:t>Acknowledgement Regarding Any Supported QFCs</w:t>
      </w:r>
    </w:p>
    <w:p>
      <w:pPr>
        <w:pStyle w:val="TextBody"/>
        <w:spacing w:lineRule="auto" w:line="240"/>
        <w:ind w:left="0" w:right="0" w:firstLine="720"/>
        <w:rPr/>
      </w:pPr>
      <w:r>
        <w:rPr>
          <w:rFonts w:ascii="Times New Roman;sans-serif" w:hAnsi="Times New Roman;sans-serif"/>
          <w:b w:val="false"/>
          <w:color w:val="000000"/>
          <w:sz w:val="22"/>
        </w:rPr>
        <w:t>. To the extent that the Loan Documents provide support, through a guarantee or otherwise, for Hedging Agreements or any other agreement or instrument that is a QFC (such support “</w:t>
      </w:r>
      <w:r>
        <w:rPr>
          <w:rFonts w:ascii="Times New Roman;sans-serif" w:hAnsi="Times New Roman;sans-serif"/>
          <w:b w:val="false"/>
          <w:color w:val="000000"/>
          <w:sz w:val="22"/>
          <w:u w:val="single"/>
        </w:rPr>
        <w:t>QFC Credit Support</w:t>
      </w:r>
      <w:r>
        <w:rPr>
          <w:color w:val="000000"/>
        </w:rPr>
        <w:t xml:space="preserve">” </w:t>
      </w:r>
      <w:r>
        <w:rPr>
          <w:rFonts w:ascii="Times New Roman;sans-serif" w:hAnsi="Times New Roman;sans-serif"/>
          <w:b w:val="false"/>
          <w:color w:val="000000"/>
          <w:sz w:val="22"/>
        </w:rPr>
        <w:t>and each such QFC a “</w:t>
      </w:r>
      <w:r>
        <w:rPr>
          <w:rFonts w:ascii="Times New Roman;sans-serif" w:hAnsi="Times New Roman;sans-serif"/>
          <w:b w:val="false"/>
          <w:color w:val="000000"/>
          <w:sz w:val="22"/>
          <w:u w:val="single"/>
        </w:rPr>
        <w:t>Supported QFC</w:t>
      </w:r>
      <w:r>
        <w:rPr>
          <w:color w:val="000000"/>
        </w:rPr>
        <w:t>”</w:t>
      </w:r>
      <w:r>
        <w:rPr>
          <w:rFonts w:ascii="Times New Roman;sans-serif" w:hAnsi="Times New Roman;sans-serif"/>
          <w:b w:val="false"/>
          <w:color w:val="000000"/>
          <w:sz w:val="22"/>
        </w:rPr>
        <w:t xml:space="preserve">), the parties acknowledge and agree as follows with respect to the resolution power of the Federal Deposit Insurance Corporation under the Federal Deposit Insurance Act and Title II of the Dodd-Frank Wall Street Reform and Consumer Protection Act (together </w:t>
      </w:r>
      <w:r>
        <w:br w:type="page"/>
      </w:r>
    </w:p>
    <w:p>
      <w:pPr>
        <w:pStyle w:val="TextBody"/>
        <w:spacing w:before="0" w:after="0"/>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60655"/>
                <wp:effectExtent l="0" t="0" r="0" b="0"/>
                <wp:wrapNone/>
                <wp:docPr id="233" name="Frame23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-131-</w:t>
                      </w:r>
                    </w:p>
                  </w:txbxContent>
                </v:textbox>
              </v:rect>
            </w:pict>
          </mc:Fallback>
        </mc:AlternateContent>
      </w:r>
    </w:p>
    <w:p>
      <w:pPr>
        <w:pStyle w:val="TextBody"/>
        <w:spacing w:lineRule="auto" w:line="240" w:before="0" w:after="0"/>
        <w:rPr/>
      </w:pPr>
      <w:r>
        <w:rPr>
          <w:rFonts w:ascii="Times New Roman;sans-serif" w:hAnsi="Times New Roman;sans-serif"/>
          <w:b w:val="false"/>
          <w:color w:val="000000"/>
          <w:sz w:val="22"/>
        </w:rPr>
        <w:t>with the regulations promulgated thereunder, the “</w:t>
      </w:r>
      <w:r>
        <w:rPr>
          <w:rFonts w:ascii="Times New Roman;sans-serif" w:hAnsi="Times New Roman;sans-serif"/>
          <w:b w:val="false"/>
          <w:color w:val="000000"/>
          <w:sz w:val="22"/>
          <w:u w:val="single"/>
        </w:rPr>
        <w:t>U.S. Special Resolution Regimes</w:t>
      </w:r>
      <w:r>
        <w:rPr>
          <w:color w:val="000000"/>
        </w:rPr>
        <w:t>”</w:t>
      </w:r>
      <w:r>
        <w:rPr>
          <w:rFonts w:ascii="Times New Roman;sans-serif" w:hAnsi="Times New Roman;sans-serif"/>
          <w:b w:val="false"/>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spacing w:before="0" w:after="0"/>
        <w:ind w:left="0" w:right="0" w:firstLine="720"/>
        <w:rPr/>
      </w:pPr>
      <w:r>
        <w:rPr/>
      </w:r>
    </w:p>
    <w:p>
      <w:pPr>
        <w:pStyle w:val="TextBody"/>
        <w:spacing w:lineRule="auto" w:line="240" w:before="0" w:after="0"/>
        <w:ind w:left="0" w:right="0" w:firstLine="720"/>
        <w:rPr/>
      </w:pPr>
      <w:r>
        <w:rPr>
          <w:rFonts w:ascii="Times New Roman;sans-serif" w:hAnsi="Times New Roman;sans-serif"/>
          <w:b w:val="false"/>
          <w:color w:val="000000"/>
          <w:sz w:val="22"/>
        </w:rPr>
        <w:t>In the event a Covered Entity that is party to a Supported QFC (each, a “</w:t>
      </w:r>
      <w:r>
        <w:rPr>
          <w:rFonts w:ascii="Times New Roman;sans-serif" w:hAnsi="Times New Roman;sans-serif"/>
          <w:b w:val="false"/>
          <w:color w:val="000000"/>
          <w:sz w:val="22"/>
          <w:u w:val="single"/>
        </w:rPr>
        <w:t>Covered Party</w:t>
      </w:r>
      <w:r>
        <w:rPr>
          <w:color w:val="000000"/>
        </w:rPr>
        <w:t>”</w:t>
      </w:r>
      <w:r>
        <w:rPr>
          <w:rFonts w:ascii="Times New Roman;sans-serif" w:hAnsi="Times New Roman;sans-serif"/>
          <w:b w:val="false"/>
          <w:color w:val="000000"/>
          <w:sz w:val="22"/>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60655"/>
                <wp:effectExtent l="0" t="0" r="0" b="0"/>
                <wp:wrapNone/>
                <wp:docPr id="234" name="Frame23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-132-</w:t>
                      </w:r>
                    </w:p>
                  </w:txbxContent>
                </v:textbox>
              </v:rect>
            </w:pict>
          </mc:Fallback>
        </mc:AlternateConten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this Agreement to be duly executed by their respective authorized officers as of the day and year first above written.</w:t>
      </w:r>
    </w:p>
    <w:tbl>
      <w:tblPr>
        <w:tblW w:w="3491" w:type="dxa"/>
        <w:jc w:val="left"/>
        <w:tblInd w:w="0" w:type="dxa"/>
        <w:tblCellMar>
          <w:top w:w="28" w:type="dxa"/>
          <w:left w:w="28" w:type="dxa"/>
          <w:bottom w:w="28" w:type="dxa"/>
          <w:right w:w="28" w:type="dxa"/>
        </w:tblCellMar>
      </w:tblPr>
      <w:tblGrid>
        <w:gridCol w:w="124"/>
        <w:gridCol w:w="109"/>
        <w:gridCol w:w="109"/>
        <w:gridCol w:w="144"/>
        <w:gridCol w:w="144"/>
        <w:gridCol w:w="146"/>
        <w:gridCol w:w="795"/>
        <w:gridCol w:w="795"/>
        <w:gridCol w:w="112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TRIMAS CORPORATION,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Name: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Title: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TRIMAS COMPANY LLC,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r>
    </w:tbl>
    <w:p>
      <w:pPr>
        <w:pStyle w:val="TextBody"/>
        <w:spacing w:before="0" w:after="0"/>
        <w:rPr/>
      </w:pPr>
      <w:r>
        <w:br w:type="page"/>
      </w: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306705"/>
                <wp:effectExtent l="0" t="0" r="0" b="0"/>
                <wp:wrapNone/>
                <wp:docPr id="235" name="Frame234"/>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Credit Agreement]</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Credit Agreement]</w:t>
                      </w:r>
                    </w:p>
                    <w:p>
                      <w:pPr>
                        <w:pStyle w:val="TextBody"/>
                        <w:spacing w:before="0" w:after="0"/>
                        <w:rPr/>
                      </w:pPr>
                      <w:r>
                        <w:rPr/>
                      </w:r>
                    </w:p>
                  </w:txbxContent>
                </v:textbox>
              </v:rect>
            </w:pict>
          </mc:Fallback>
        </mc:AlternateContent>
      </w:r>
    </w:p>
    <w:tbl>
      <w:tblPr>
        <w:tblW w:w="8305" w:type="dxa"/>
        <w:jc w:val="left"/>
        <w:tblInd w:w="0" w:type="dxa"/>
        <w:tblCellMar>
          <w:top w:w="28" w:type="dxa"/>
          <w:left w:w="28" w:type="dxa"/>
          <w:bottom w:w="28" w:type="dxa"/>
          <w:right w:w="28" w:type="dxa"/>
        </w:tblCellMar>
      </w:tblPr>
      <w:tblGrid>
        <w:gridCol w:w="124"/>
        <w:gridCol w:w="109"/>
        <w:gridCol w:w="109"/>
        <w:gridCol w:w="144"/>
        <w:gridCol w:w="144"/>
        <w:gridCol w:w="146"/>
        <w:gridCol w:w="2203"/>
        <w:gridCol w:w="2203"/>
        <w:gridCol w:w="312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03" w:type="dxa"/>
            <w:tcBorders/>
            <w:shd w:fill="auto" w:val="clear"/>
            <w:vAlign w:val="center"/>
          </w:tcPr>
          <w:p>
            <w:pPr>
              <w:pStyle w:val="TableContents"/>
              <w:spacing w:before="0" w:after="283"/>
              <w:rPr>
                <w:sz w:val="4"/>
                <w:szCs w:val="4"/>
              </w:rPr>
            </w:pPr>
            <w:r>
              <w:rPr>
                <w:sz w:val="4"/>
                <w:szCs w:val="4"/>
              </w:rPr>
            </w:r>
          </w:p>
        </w:tc>
        <w:tc>
          <w:tcPr>
            <w:tcW w:w="2203" w:type="dxa"/>
            <w:tcBorders/>
            <w:shd w:fill="auto" w:val="clear"/>
            <w:vAlign w:val="center"/>
          </w:tcPr>
          <w:p>
            <w:pPr>
              <w:pStyle w:val="TableContents"/>
              <w:spacing w:before="0" w:after="283"/>
              <w:rPr>
                <w:sz w:val="4"/>
                <w:szCs w:val="4"/>
              </w:rPr>
            </w:pPr>
            <w:r>
              <w:rPr>
                <w:sz w:val="4"/>
                <w:szCs w:val="4"/>
              </w:rPr>
            </w:r>
          </w:p>
        </w:tc>
        <w:tc>
          <w:tcPr>
            <w:tcW w:w="312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JPMORGAN CHASE BANK, N.A., individually and as Administrative Agent,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7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Krys Szremski</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bl>
    <w:p>
      <w:pPr>
        <w:pStyle w:val="TextBody"/>
        <w:spacing w:before="0" w:after="0"/>
        <w:rPr/>
      </w:pPr>
      <w:r>
        <w:br w:type="page"/>
      </w: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306705"/>
                <wp:effectExtent l="0" t="0" r="0" b="0"/>
                <wp:wrapNone/>
                <wp:docPr id="236" name="Frame235"/>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Credit Agreement]</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Credit Agreement]</w:t>
                      </w:r>
                    </w:p>
                    <w:p>
                      <w:pPr>
                        <w:pStyle w:val="TextBody"/>
                        <w:spacing w:before="0" w:after="0"/>
                        <w:rPr/>
                      </w:pPr>
                      <w:r>
                        <w:rPr/>
                      </w:r>
                    </w:p>
                  </w:txbxContent>
                </v:textbox>
              </v:rect>
            </w:pict>
          </mc:Fallback>
        </mc:AlternateContent>
      </w:r>
    </w:p>
    <w:p>
      <w:pPr>
        <w:pStyle w:val="TextBody"/>
        <w:spacing w:lineRule="auto" w:line="240" w:before="0" w:after="480"/>
        <w:jc w:val="center"/>
        <w:rPr>
          <w:rFonts w:ascii="Times New Roman;sans-serif" w:hAnsi="Times New Roman;sans-serif"/>
          <w:b w:val="false"/>
          <w:color w:val="000000"/>
          <w:sz w:val="22"/>
        </w:rPr>
      </w:pPr>
      <w:r>
        <w:rPr>
          <w:rFonts w:ascii="Times New Roman;sans-serif" w:hAnsi="Times New Roman;sans-serif"/>
          <w:b w:val="false"/>
          <w:color w:val="000000"/>
          <w:sz w:val="22"/>
        </w:rPr>
        <w:t>LENDER SIGNATURE PAGE TO</w:t>
        <w:br/>
        <w:t>THE CREDIT AGREEMENT</w:t>
      </w:r>
    </w:p>
    <w:p>
      <w:pPr>
        <w:pStyle w:val="TextBody"/>
        <w:spacing w:before="0" w:after="0"/>
        <w:rPr/>
      </w:pPr>
      <w:r>
        <w:rPr/>
      </w:r>
    </w:p>
    <w:tbl>
      <w:tblPr>
        <w:tblW w:w="5545" w:type="dxa"/>
        <w:jc w:val="left"/>
        <w:tblInd w:w="0" w:type="dxa"/>
        <w:tblCellMar>
          <w:top w:w="28" w:type="dxa"/>
          <w:left w:w="28" w:type="dxa"/>
          <w:bottom w:w="28" w:type="dxa"/>
          <w:right w:w="28" w:type="dxa"/>
        </w:tblCellMar>
      </w:tblPr>
      <w:tblGrid>
        <w:gridCol w:w="124"/>
        <w:gridCol w:w="109"/>
        <w:gridCol w:w="109"/>
        <w:gridCol w:w="144"/>
        <w:gridCol w:w="144"/>
        <w:gridCol w:w="146"/>
        <w:gridCol w:w="1393"/>
        <w:gridCol w:w="1393"/>
        <w:gridCol w:w="198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198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of Lender,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Name: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Title: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For any Lender requiring a second signature line: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306705"/>
                <wp:effectExtent l="0" t="0" r="0" b="0"/>
                <wp:wrapNone/>
                <wp:docPr id="237" name="Frame236"/>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Credit Agreement]</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Credit Agreement]</w:t>
                      </w:r>
                    </w:p>
                    <w:p>
                      <w:pPr>
                        <w:pStyle w:val="TextBody"/>
                        <w:spacing w:before="0" w:after="0"/>
                        <w:rPr/>
                      </w:pPr>
                      <w:r>
                        <w:rPr/>
                      </w:r>
                    </w:p>
                  </w:txbxContent>
                </v:textbox>
              </v:rect>
            </w:pict>
          </mc:Fallback>
        </mc:AlternateContent>
      </w:r>
    </w:p>
    <w:p>
      <w:pPr>
        <w:pStyle w:val="TextBody"/>
        <w:spacing w:lineRule="auto" w:line="288" w:before="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21.1 </w:t>
      </w:r>
    </w:p>
    <w:p>
      <w:pPr>
        <w:pStyle w:val="TextBody"/>
        <w:spacing w:before="0" w:after="0"/>
        <w:jc w:val="center"/>
        <w:rPr/>
      </w:pPr>
      <w:r>
        <w:rPr/>
      </w:r>
    </w:p>
    <w:p>
      <w:pPr>
        <w:pStyle w:val="TextBody"/>
        <w:spacing w:before="0" w:after="0"/>
        <w:rPr/>
      </w:pPr>
      <w:r>
        <w:rPr/>
      </w:r>
    </w:p>
    <w:p>
      <w:pPr>
        <w:pStyle w:val="TextBody"/>
        <w:spacing w:lineRule="auto" w:line="288" w:before="0" w:after="0"/>
        <w:jc w:val="both"/>
        <w:rPr/>
      </w:pPr>
      <w:r>
        <w:rPr>
          <w:rFonts w:ascii="Times New Roman;sans-serif" w:hAnsi="Times New Roman;sans-serif"/>
          <w:b/>
          <w:color w:val="000000"/>
          <w:sz w:val="20"/>
        </w:rPr>
        <w:t>TriMas Corporation Significant</w:t>
      </w:r>
      <w:r>
        <w:rPr>
          <w:rFonts w:ascii="Times New Roman;sans-serif" w:hAnsi="Times New Roman;sans-serif"/>
          <w:b/>
          <w:color w:val="000000"/>
          <w:sz w:val="13"/>
        </w:rPr>
        <w:t xml:space="preserve">(1) </w:t>
      </w:r>
      <w:r>
        <w:rPr>
          <w:rFonts w:ascii="Times New Roman;sans-serif" w:hAnsi="Times New Roman;sans-serif"/>
          <w:b/>
          <w:color w:val="000000"/>
          <w:sz w:val="20"/>
        </w:rPr>
        <w:t>Subsidiary List</w:t>
      </w:r>
    </w:p>
    <w:p>
      <w:pPr>
        <w:pStyle w:val="TextBody"/>
        <w:spacing w:before="0" w:after="0"/>
        <w:jc w:val="both"/>
        <w:rPr/>
      </w:pPr>
      <w:r>
        <w:rPr/>
      </w:r>
    </w:p>
    <w:p>
      <w:pPr>
        <w:pStyle w:val="TextBody"/>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Allfast Fastening Systems, LLC (California limited liability company)</w:t>
      </w:r>
    </w:p>
    <w:p>
      <w:pPr>
        <w:pStyle w:val="TextBody"/>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Monogram Aerospace Fasteners, Inc. (Delaware corporation)</w:t>
      </w:r>
    </w:p>
    <w:p>
      <w:pPr>
        <w:pStyle w:val="TextBody"/>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Norris Cylinder Company (Delaware corporation)</w:t>
      </w:r>
    </w:p>
    <w:p>
      <w:pPr>
        <w:pStyle w:val="TextBody"/>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Rieke Corporation (Indiana corporation)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companies may also use trade names or other assumed names in the conduct of their business.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As defined in Rule 1-02(w) of Regulation S-X, and other more significant operating companies as determined by management</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8" name="Frame2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23.1 </w:t>
      </w:r>
    </w:p>
    <w:p>
      <w:pPr>
        <w:pStyle w:val="TextBody"/>
        <w:spacing w:lineRule="auto" w:line="288" w:before="1560" w:after="440"/>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Registration Statement Nos. 333-190666 and 333-218867 on Form S-8 of our reports dated March 1, 2022, relating to the consolidated financial statements and financial statement schedule of TriMas Corporation and subsidiaries, and the effectiveness of TriMas Corporation’s internal control over financial reporting, appearing in the Annual Report on Form 10-K of TriMas Corporation for the year ended December 31, 2021.</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Detroit, Michigan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March 1, 2022</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9" name="Frame2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(Chapter 63, Title 18 U.S.C. Section 1350(A) and (B)) </w:t>
      </w:r>
    </w:p>
    <w:p>
      <w:pPr>
        <w:pStyle w:val="TextBody"/>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Thomas A. Amato, certify that: </w:t>
      </w:r>
    </w:p>
    <w:p>
      <w:pPr>
        <w:pStyle w:val="TextBody"/>
        <w:spacing w:before="100" w:after="100"/>
        <w:jc w:val="both"/>
        <w:rPr/>
      </w:pPr>
      <w:r>
        <w:rPr/>
      </w:r>
    </w:p>
    <w:p>
      <w:pPr>
        <w:pStyle w:val="TextBody"/>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annual report on Form 10-K of TriMas Corporation; </w:t>
      </w:r>
    </w:p>
    <w:p>
      <w:pPr>
        <w:pStyle w:val="TextBody"/>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am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spacing w:before="0" w:after="180"/>
        <w:jc w:val="both"/>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1, 2022 </w:t>
      </w:r>
    </w:p>
    <w:tbl>
      <w:tblPr>
        <w:tblW w:w="2517" w:type="dxa"/>
        <w:jc w:val="left"/>
        <w:tblInd w:w="0" w:type="dxa"/>
        <w:tblCellMar>
          <w:top w:w="28" w:type="dxa"/>
          <w:left w:w="28" w:type="dxa"/>
          <w:bottom w:w="28" w:type="dxa"/>
          <w:right w:w="28" w:type="dxa"/>
        </w:tblCellMar>
      </w:tblPr>
      <w:tblGrid>
        <w:gridCol w:w="777"/>
        <w:gridCol w:w="683"/>
        <w:gridCol w:w="685"/>
        <w:gridCol w:w="109"/>
        <w:gridCol w:w="109"/>
        <w:gridCol w:w="154"/>
      </w:tblGrid>
      <w:tr>
        <w:trPr/>
        <w:tc>
          <w:tcPr>
            <w:tcW w:w="777"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A. AMATO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Thomas A. Amato</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40" name="Frame2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(Chapter 63, Title 18 U.S.C. Section 1350(A) and (B)) </w:t>
      </w:r>
    </w:p>
    <w:p>
      <w:pPr>
        <w:pStyle w:val="TextBody"/>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Scott A. Mell, certify that: </w:t>
      </w:r>
    </w:p>
    <w:p>
      <w:pPr>
        <w:pStyle w:val="TextBody"/>
        <w:spacing w:before="100" w:after="100"/>
        <w:jc w:val="both"/>
        <w:rPr/>
      </w:pPr>
      <w:r>
        <w:rPr/>
      </w:r>
    </w:p>
    <w:p>
      <w:pPr>
        <w:pStyle w:val="TextBody"/>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annual report on Form 10-K of TriMas Corporation; </w:t>
      </w:r>
    </w:p>
    <w:p>
      <w:pPr>
        <w:pStyle w:val="TextBody"/>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am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spacing w:before="0" w:after="180"/>
        <w:jc w:val="both"/>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1, 2022 </w:t>
      </w:r>
    </w:p>
    <w:tbl>
      <w:tblPr>
        <w:tblW w:w="2411" w:type="dxa"/>
        <w:jc w:val="left"/>
        <w:tblInd w:w="0" w:type="dxa"/>
        <w:tblCellMar>
          <w:top w:w="28" w:type="dxa"/>
          <w:left w:w="28" w:type="dxa"/>
          <w:bottom w:w="28" w:type="dxa"/>
          <w:right w:w="28" w:type="dxa"/>
        </w:tblCellMar>
      </w:tblPr>
      <w:tblGrid>
        <w:gridCol w:w="737"/>
        <w:gridCol w:w="650"/>
        <w:gridCol w:w="652"/>
        <w:gridCol w:w="109"/>
        <w:gridCol w:w="109"/>
        <w:gridCol w:w="154"/>
      </w:tblGrid>
      <w:tr>
        <w:trPr/>
        <w:tc>
          <w:tcPr>
            <w:tcW w:w="737"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A. MELL</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Scott A. Mell</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41" name="Frame2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spacing w:before="0" w:after="0"/>
        <w:jc w:val="center"/>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Annual Report of TriMas Corporation (the "Company") on Form 10-K for the period ended December 31, 2021 as filed with the Securities and Exchange Commission on the date hereof (the "Report"), I, Thomas A. Amato, Chief Executive Officer of the Company, certify, pursuant to 18 U.S.C. § 1350, as adopted pursuant to § 906 of the Sarbanes-Oxley Act of 2002, that to the best of my knowledge: </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and </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1, 2022 </w:t>
      </w:r>
    </w:p>
    <w:tbl>
      <w:tblPr>
        <w:tblW w:w="2517" w:type="dxa"/>
        <w:jc w:val="right"/>
        <w:tblInd w:w="0" w:type="dxa"/>
        <w:tblCellMar>
          <w:top w:w="28" w:type="dxa"/>
          <w:left w:w="28" w:type="dxa"/>
          <w:bottom w:w="28" w:type="dxa"/>
          <w:right w:w="28" w:type="dxa"/>
        </w:tblCellMar>
      </w:tblPr>
      <w:tblGrid>
        <w:gridCol w:w="777"/>
        <w:gridCol w:w="683"/>
        <w:gridCol w:w="685"/>
        <w:gridCol w:w="109"/>
        <w:gridCol w:w="109"/>
        <w:gridCol w:w="154"/>
      </w:tblGrid>
      <w:tr>
        <w:trPr/>
        <w:tc>
          <w:tcPr>
            <w:tcW w:w="777"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A. AMATO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Thomas A. Amato</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2" name="Frame2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spacing w:before="0" w:after="0"/>
        <w:jc w:val="center"/>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Annual Report of TriMas Corporation (the "Company") on Form 10-K for the period ended December 31, 2021 as filed with the Securities and Exchange Commission on the date hereof (the "Report"), I, Scott A. Mell, Chief Financial Officer of the Company, certify, pursuant to 18 U.S.C. § 1350, as adopted pursuant to § 906 of the Sarbanes-Oxley Act of 2002, that to the best of my knowledge: </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and </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1, 2022 </w:t>
      </w:r>
    </w:p>
    <w:tbl>
      <w:tblPr>
        <w:tblW w:w="2411" w:type="dxa"/>
        <w:jc w:val="right"/>
        <w:tblInd w:w="0" w:type="dxa"/>
        <w:tblCellMar>
          <w:top w:w="28" w:type="dxa"/>
          <w:left w:w="28" w:type="dxa"/>
          <w:bottom w:w="28" w:type="dxa"/>
          <w:right w:w="28" w:type="dxa"/>
        </w:tblCellMar>
      </w:tblPr>
      <w:tblGrid>
        <w:gridCol w:w="737"/>
        <w:gridCol w:w="650"/>
        <w:gridCol w:w="652"/>
        <w:gridCol w:w="109"/>
        <w:gridCol w:w="109"/>
        <w:gridCol w:w="154"/>
      </w:tblGrid>
      <w:tr>
        <w:trPr/>
        <w:tc>
          <w:tcPr>
            <w:tcW w:w="737"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A. MELL</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Scott A. Mell</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2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842633/000084263319000118/trs2019assetandstockpu.htm" TargetMode="External"/><Relationship Id="rId4" Type="http://schemas.openxmlformats.org/officeDocument/2006/relationships/hyperlink" Target="http://www.sec.gov/Archives/edgar/data/842633/000110465907058776/a07-19157_1ex3d1.htm" TargetMode="External"/><Relationship Id="rId5" Type="http://schemas.openxmlformats.org/officeDocument/2006/relationships/hyperlink" Target="http://www.sec.gov/Archives/edgar/data/842633/000084263315000161/thirdamendedandrestatedbyl.htm" TargetMode="External"/><Relationship Id="rId6" Type="http://schemas.openxmlformats.org/officeDocument/2006/relationships/hyperlink" Target="http://www.sec.gov/Archives/edgar/data/842633/000119312517289439/d431929dex41.htm" TargetMode="External"/><Relationship Id="rId7" Type="http://schemas.openxmlformats.org/officeDocument/2006/relationships/hyperlink" Target="https://www.sec.gov/Archives/edgar/data/0000842633/000119312521100309/d159208dex41.htm" TargetMode="External"/><Relationship Id="rId8" Type="http://schemas.openxmlformats.org/officeDocument/2006/relationships/hyperlink" Target="http://www.sec.gov/Archives/edgar/data/842633/000084263320000014/trs-123119xexh42.htm" TargetMode="External"/><Relationship Id="rId9" Type="http://schemas.openxmlformats.org/officeDocument/2006/relationships/hyperlink" Target="http://www.sec.gov/Archives/edgar/data/842633/000119312513405477/d614258dex101.htm" TargetMode="External"/><Relationship Id="rId10" Type="http://schemas.openxmlformats.org/officeDocument/2006/relationships/hyperlink" Target="http://www.sec.gov/Archives/edgar/data/842633/000119312514376398/d804320dex101.htm" TargetMode="External"/><Relationship Id="rId11" Type="http://schemas.openxmlformats.org/officeDocument/2006/relationships/hyperlink" Target="http://www.sec.gov/Archives/edgar/data/842633/000119312515245544/d17730dex105.htm" TargetMode="External"/><Relationship Id="rId12" Type="http://schemas.openxmlformats.org/officeDocument/2006/relationships/hyperlink" Target="http://www.sec.gov/Archives/edgar/data/842633/000084263317000059/trs_03312017xexh104.htm" TargetMode="External"/><Relationship Id="rId13" Type="http://schemas.openxmlformats.org/officeDocument/2006/relationships/hyperlink" Target="http://www.sec.gov/Archives/edgar/data/842633/000084263317000059/trs_03312017xexh105.htm" TargetMode="External"/><Relationship Id="rId14" Type="http://schemas.openxmlformats.org/officeDocument/2006/relationships/hyperlink" Target="http://www.sec.gov/Archives/edgar/data/842633/000119312517289439/d431929dex101.htm" TargetMode="External"/><Relationship Id="rId15" Type="http://schemas.openxmlformats.org/officeDocument/2006/relationships/hyperlink" Target="http://www.sec.gov/Archives/edgar/data/842633/000110465909015133/a09-7188_1ex10d1.htm" TargetMode="External"/><Relationship Id="rId16" Type="http://schemas.openxmlformats.org/officeDocument/2006/relationships/hyperlink" Target="http://www.sec.gov/Archives/edgar/data/842633/000110465909069548/a09-35212_1ex10d2.htm" TargetMode="External"/><Relationship Id="rId17" Type="http://schemas.openxmlformats.org/officeDocument/2006/relationships/hyperlink" Target="http://www.sec.gov/Archives/edgar/data/842633/000084263317000084/trs_06302017xexh101.htm" TargetMode="External"/><Relationship Id="rId18" Type="http://schemas.openxmlformats.org/officeDocument/2006/relationships/hyperlink" Target="http://www.sec.gov/Archives/edgar/data/842633/000084263313000204/a101_formofindemnification.htm" TargetMode="External"/><Relationship Id="rId19" Type="http://schemas.openxmlformats.org/officeDocument/2006/relationships/hyperlink" Target="http://www.sec.gov/Archives/edgar/data/842633/000084263316000271/trs_09302016xexh102.htm" TargetMode="External"/><Relationship Id="rId20" Type="http://schemas.openxmlformats.org/officeDocument/2006/relationships/hyperlink" Target="http://www.sec.gov/Archives/edgar/data/842633/000084263319000083/trs06302019exh103.htm" TargetMode="External"/><Relationship Id="rId21" Type="http://schemas.openxmlformats.org/officeDocument/2006/relationships/hyperlink" Target="http://www.sec.gov/Archives/edgar/data/842633/000084263319000083/trs06302019exh101.htm" TargetMode="External"/><Relationship Id="rId22" Type="http://schemas.openxmlformats.org/officeDocument/2006/relationships/hyperlink" Target="http://www.sec.gov/Archives/edgar/data/842633/000084263319000083/trs06302019exh102.htm" TargetMode="External"/><Relationship Id="rId23" Type="http://schemas.openxmlformats.org/officeDocument/2006/relationships/hyperlink" Target="http://www.sec.gov/Archives/edgar/data/842633/000084263320000014/trs-123119xexh1037.htm" TargetMode="External"/><Relationship Id="rId24" Type="http://schemas.openxmlformats.org/officeDocument/2006/relationships/hyperlink" Target="http://www.sec.gov/Archives/edgar/data/842633/000084263320000058/trs03312020exh101.htm" TargetMode="External"/><Relationship Id="rId25" Type="http://schemas.openxmlformats.org/officeDocument/2006/relationships/hyperlink" Target="http://www.sec.gov/Archives/edgar/data/842633/000084263320000058/trs03312020exh102.htm" TargetMode="External"/><Relationship Id="rId26" Type="http://schemas.openxmlformats.org/officeDocument/2006/relationships/hyperlink" Target="https://www.sec.gov/Archives/edgar/data/842633/000084263320000058/trs03312020exh103.htm" TargetMode="External"/><Relationship Id="rId27" Type="http://schemas.openxmlformats.org/officeDocument/2006/relationships/hyperlink" Target="http://www.sec.gov/Archives/edgar/data/0000842633/000084263321000051/trs_03312021xexh101.htm" TargetMode="External"/><Relationship Id="rId28" Type="http://schemas.openxmlformats.org/officeDocument/2006/relationships/hyperlink" Target="http://www.sec.gov/Archives/edgar/data/0000842633/000084263321000051/trs_03312021xexh102.htm" TargetMode="External"/><Relationship Id="rId29" Type="http://schemas.openxmlformats.org/officeDocument/2006/relationships/hyperlink" Target="http://www.sec.gov/Archives/edgar/data/0000842633/000084263321000051/trs_03312021xexh103.htm" TargetMode="External"/><Relationship Id="rId30" Type="http://schemas.openxmlformats.org/officeDocument/2006/relationships/hyperlink" Target="http://www.sec.gov/Archives/edgar/data/0000842633/000084263321000051/trs_03312021xexh104.htm" TargetMode="External"/><Relationship Id="rId31" Type="http://schemas.openxmlformats.org/officeDocument/2006/relationships/hyperlink" Target="http://www.sec.gov/Archives/edgar/data/0000842633/000119312521100309/d159208dex101.htm" TargetMode="External"/><Relationship Id="rId32" Type="http://schemas.openxmlformats.org/officeDocument/2006/relationships/hyperlink" Target="http://www.sec.gov/Archives/edgar/data/0000842633/000084263321000076/trs_06302021xexhibit101.htm" TargetMode="External"/><Relationship Id="rId33" Type="http://schemas.openxmlformats.org/officeDocument/2006/relationships/hyperlink" Target="http://www.sec.gov/Archives/edgar/data/0000842633/000084263321000076/trs_06302021xexhibit102.htm" TargetMode="External"/><Relationship Id="rId34" Type="http://schemas.openxmlformats.org/officeDocument/2006/relationships/hyperlink" Target="http://www.sec.gov/Archives/edgar/data/842633/000084263321000079/aex101_trimasxexecutivesev.htm"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157</Pages>
  <Words>146250</Words>
  <CharactersWithSpaces>943505</CharactersWithSpaces>
  <Paragraphs>5882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