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1"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0"/>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0"/>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208"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9" w:lineRule="exact"/>
        <w:rPr>
          <w:sz w:val="24"/>
          <w:szCs w:val="24"/>
          <w:color w:val="auto"/>
        </w:rPr>
      </w:pPr>
    </w:p>
    <w:p>
      <w:pPr>
        <w:sectPr>
          <w:pgSz w:w="11900" w:h="16838" w:orient="portrait"/>
          <w:cols w:equalWidth="0" w:num="4">
            <w:col w:w="4220" w:space="720"/>
            <w:col w:w="620" w:space="720"/>
            <w:col w:w="2740" w:space="720"/>
            <w:col w:w="1680"/>
          </w:cols>
          <w:pgMar w:left="240" w:top="233" w:right="23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o</w:t>
        <w:tab/>
        <w:t>(Do not check if a smaller reporting company)</w:t>
      </w:r>
    </w:p>
    <w:p>
      <w:pPr>
        <w:spacing w:after="0" w:line="200" w:lineRule="exact"/>
        <w:rPr>
          <w:sz w:val="24"/>
          <w:szCs w:val="24"/>
          <w:color w:val="auto"/>
        </w:rPr>
      </w:pPr>
    </w:p>
    <w:p>
      <w:pPr>
        <w:sectPr>
          <w:pgSz w:w="11900" w:h="16838" w:orient="portrait"/>
          <w:cols w:equalWidth="0" w:num="2">
            <w:col w:w="4220" w:space="720"/>
            <w:col w:w="6480"/>
          </w:cols>
          <w:pgMar w:left="240" w:top="233" w:right="239" w:bottom="1440" w:gutter="0" w:footer="0" w:header="0"/>
          <w:type w:val="continuous"/>
        </w:sectPr>
      </w:pPr>
    </w:p>
    <w:p>
      <w:pPr>
        <w:spacing w:after="0" w:line="21"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spacing w:after="0" w:line="10"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7"/>
          <w:szCs w:val="17"/>
          <w:color w:val="auto"/>
        </w:rPr>
        <w:t>o</w:t>
      </w:r>
    </w:p>
    <w:p>
      <w:pPr>
        <w:spacing w:after="0" w:line="129"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2100"/>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July 20, 2017, the number of outstanding shares of the Registrant's common stock, $0.01 par value, was 45,721,160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gridSpan w:val="13"/>
          </w:tcPr>
          <w:p>
            <w:pPr>
              <w:jc w:val="center"/>
              <w:ind w:right="3300"/>
              <w:spacing w:after="0"/>
              <w:rPr>
                <w:sz w:val="20"/>
                <w:szCs w:val="20"/>
                <w:color w:val="auto"/>
              </w:rPr>
            </w:pPr>
            <w:r>
              <w:rPr>
                <w:rFonts w:ascii="Arial" w:cs="Arial" w:eastAsia="Arial" w:hAnsi="Arial"/>
                <w:sz w:val="18"/>
                <w:szCs w:val="18"/>
                <w:b w:val="1"/>
                <w:bCs w:val="1"/>
                <w:color w:val="auto"/>
                <w:w w:val="95"/>
              </w:rPr>
              <w:t>TriMas Corporation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1"/>
          </w:tcPr>
          <w:p>
            <w:pPr>
              <w:jc w:val="center"/>
              <w:ind w:right="384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84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June 30, 2017 and December 31, 2016</w:t>
              </w:r>
            </w:hyperlink>
          </w:p>
        </w:tc>
        <w:tc>
          <w:tcPr>
            <w:tcW w:w="1700" w:type="dxa"/>
            <w:vAlign w:val="bottom"/>
            <w:gridSpan w:val="6"/>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 of Income for the Three and Six Months Ended June 30, 2017 and</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2016</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 of Comprehensive Income for the Three and Six Months Ended June</w:t>
              </w:r>
            </w:hyperlink>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30, 2017 and 2016</w:t>
              </w:r>
            </w:hyperlink>
          </w:p>
        </w:tc>
        <w:tc>
          <w:tcPr>
            <w:tcW w:w="5580" w:type="dxa"/>
            <w:vAlign w:val="bottom"/>
            <w:gridSpan w:val="14"/>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Cash Flows for the Six Months Ended June 30, 2017 and 2016</w:t>
              </w:r>
            </w:hyperlink>
          </w:p>
        </w:tc>
        <w:tc>
          <w:tcPr>
            <w:tcW w:w="460" w:type="dxa"/>
            <w:vAlign w:val="bottom"/>
            <w:gridSpan w:val="3"/>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Six Months Ended June 30, 2017</w:t>
              </w:r>
            </w:hyperlink>
          </w:p>
        </w:tc>
        <w:tc>
          <w:tcPr>
            <w:tcW w:w="52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6920" w:type="dxa"/>
            <w:vAlign w:val="bottom"/>
            <w:gridSpan w:val="22"/>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280" w:type="dxa"/>
            <w:vAlign w:val="bottom"/>
            <w:gridSpan w:val="3"/>
          </w:tcPr>
          <w:p>
            <w:pPr>
              <w:spacing w:after="0"/>
              <w:rPr>
                <w:sz w:val="24"/>
                <w:szCs w:val="24"/>
                <w:color w:val="auto"/>
              </w:rPr>
            </w:pP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620" w:type="dxa"/>
            <w:vAlign w:val="bottom"/>
            <w:gridSpan w:val="8"/>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42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38">
              <w:r>
                <w:rPr>
                  <w:rFonts w:ascii="Arial" w:cs="Arial" w:eastAsia="Arial" w:hAnsi="Arial"/>
                  <w:sz w:val="18"/>
                  <w:szCs w:val="18"/>
                  <w:b w:val="1"/>
                  <w:bCs w:val="1"/>
                  <w:color w:val="0000EE"/>
                  <w:w w:val="93"/>
                </w:rPr>
                <w:t>Other Information</w:t>
              </w:r>
            </w:hyperlink>
          </w:p>
        </w:tc>
        <w:tc>
          <w:tcPr>
            <w:tcW w:w="6400" w:type="dxa"/>
            <w:vAlign w:val="bottom"/>
            <w:gridSpan w:val="20"/>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3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280" w:type="dxa"/>
            <w:vAlign w:val="bottom"/>
            <w:gridSpan w:val="3"/>
          </w:tcPr>
          <w:p>
            <w:pPr>
              <w:spacing w:after="0"/>
              <w:rPr>
                <w:sz w:val="24"/>
                <w:szCs w:val="24"/>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600" w:type="dxa"/>
            <w:vAlign w:val="bottom"/>
            <w:gridSpan w:val="15"/>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69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3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60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69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3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16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69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3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2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692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3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72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13"/>
          </w:tcPr>
          <w:p>
            <w:pPr>
              <w:jc w:val="center"/>
              <w:ind w:left="215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40" w:top="108"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the Company's leverage; liabilities imposed by the Company's debt instruments; market demand; competitive factors; supply constraints; material and energy costs; risks and uncertainties associated with intangible assets, including goodwill or other intangible asset impairment charges; technology factors; litigation; government and regulatory actions; the Company's accounting policies; future trends; general economic and currency conditions; the potential impact of Brexit; various conditions specific to the Company's business and industry; the Company’s ability to identify attractive acquisition candidates, successfully integrate acquired operations or realize the intended benefits of such acquisitions; potential costs and savings related to facility consolidation activities; future prospects of the Company; and other risks that are discussed in Part I, Item 1A, "Risk Factors," in our Annual Report on Form 10-K for the year ended December 31, 2016.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6"/>
              </w:rPr>
              <w:t>Receivables, net of reserves of approximately $5.0 million and $4.6 million as of June 30, 2017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2016,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123,790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111,570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160,460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16,060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183,760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179,160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204,110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213,920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34,690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1,053,130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1,051,650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77,060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72,270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132,980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5,910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51,910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524,670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551,930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45,720,921 shares at June 30, 2017 and 45,520,598 shares at December 31, 2016</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(293,920)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528,460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499,720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1,053,130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1,051,650</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406,200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(153,960)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(293,200)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14,850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10,480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21,840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45,717,697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45,429,851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45,644,096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45,354,421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45,922,416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45,726,348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45,915,687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45,690,582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postretirement plans (Note 13)</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8)</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25,880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8,050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21,840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effect from stock based compensation</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Decrease in 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216,580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surrendered upon options and restricted stock vesting to cover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for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At 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500"/>
              <w:spacing w:after="0"/>
              <w:rPr>
                <w:sz w:val="20"/>
                <w:szCs w:val="20"/>
                <w:color w:val="auto"/>
              </w:rPr>
            </w:pPr>
            <w:r>
              <w:rPr>
                <w:rFonts w:ascii="Arial" w:cs="Arial" w:eastAsia="Arial" w:hAnsi="Arial"/>
                <w:sz w:val="18"/>
                <w:szCs w:val="18"/>
                <w:color w:val="auto"/>
              </w:rPr>
              <w:t>Cash paid for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10,600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21,840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Shares surrendered upon options and restricted stock</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vesting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June 30,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820,440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528,460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global manufacturer and distributor of products for commercial, industrial and consumer markets. The Company is principally engaged in the following reportable segments with diverse products and market channels: Packaging, Aerospace, Energy and Engineered Components. 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The accompanying consolidated financial statements and notes thereto should be read in conjunction with the Company's 2016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the Financial Accounting Standards Board ("FASB") issued Accounting Standards Update ("ASU") 2017-07, "Compensation - Retirement Benefits (Topic 715): Improving the Presentation of Net Periodic Pension Cost and Net Periodic Postretirement Benefit Cost" ("ASU 2017-07"). ASU 2017-07 requires that the service cost component of net period pension and postretirement benefit cost be presented in the same line item as other employee compensation costs, while the other components be presented separately as non-operating income (expense). ASU 2017-07 also allows only the service cost component to be eligible for capitalization when applicable. ASU 2017-07 is effective for fiscal years, and interim periods within those years, beginning after December 15, 2017, with early adoption permitted. The Company is in the process of assessing the impact of adoption on its consolidated financial statements.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("ASU 2017-01"). ASU 2017-01 provides guidance to assist entities with evaluating whether transactions should be accounted for as acquisitions (or disposals) of assets or businesses. ASU 2017-01 is effective for fiscal years, and interim periods within those years, beginning after December 15, 2017, with early adoption permitted under certain circumstances. The Company is in the process of assessing the impact of adoption on its consolidated financial statements.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which requires that income tax consequences of an intra-entity transfer of an asset other than inventory are recognized when the transfer occurs. ASU 2016-16 is effective for fiscal years, and interim periods within those years, beginning after December 15, 2017, and is to be applied using a modified retrospective approach with early adoption permitted. The Company is in the process of assessing the impact of adoption on its consolidated financial statements.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which clarifies how certain cash receipts and cash payments are presented and classified in the statement of cash flows. ASU 2016-15 is effective for fiscal years, and interim periods within those years, beginning after December 15, 2017, and is to be applied using a retrospective approach with early adoption permitted. The Company is in the process of assessing the impact of adoption on its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on its consolidated financial statements.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as disclosed within the Company's 2016 Annual Report on Form 10-K. Although the Company is still in the process of evaluating its contracts, the Company does not believe the adoption of this standard will have a material impact on the amount or timing of its revenues. The Company expects to adopt this standard on January 1, 2018 utilizing the modified retrospective approach. The Company continues to evaluate the impact of the adoption on its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Reynosa, Mexico facility</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the Company announced plans within the Energy reportable segment to cease production at its Reynosa, Mexico facility, and consolidate production into its Houston, Texas facility. During the second quarter of 2017, upon the cease use date of the facility, the Company recorded a pre-tax charge of approximately $1.5 million within cost of sales for estimated future unrecoverable lease obligations, net of estimated sublease recoveries, for the lease that expires in 2025. In addition, in the second quarter of 2017, the Company incurred approximately $1.2 million of pre-tax non-cash charges within cost of sales related to accelerated depreciation expense as a result of shortening the expected lives on certain machinery, equipment and leasehold improvement assets that the Company no longer used following the facility closure.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Wolverhampton, United Kingdom facility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exited its Wolverhampton, United Kingdom facility within the Energy reportable segment. In connection with this action, during the first quarter of 2017 the Company recorded pre-tax charges of approximately $3.5 million within selling, general and administrative expenses, of which approximately $3.2 million were non-cash charges related to the disposal of certain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2017 are summarized as follows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Engineered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Energy</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Components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315,080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2,770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164,860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146,430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317,850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June 30, 2017 and December 31, 2016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80"/>
              <w:spacing w:after="0"/>
              <w:rPr>
                <w:sz w:val="20"/>
                <w:szCs w:val="20"/>
                <w:color w:val="auto"/>
              </w:rPr>
            </w:pPr>
            <w:r>
              <w:rPr>
                <w:rFonts w:ascii="Arial" w:cs="Arial" w:eastAsia="Arial" w:hAnsi="Arial"/>
                <w:sz w:val="16"/>
                <w:szCs w:val="16"/>
                <w:b w:val="1"/>
                <w:bCs w:val="1"/>
                <w:color w:val="auto"/>
              </w:rPr>
              <w:t>As of June 30, 2017</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2016</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73,840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(37,130)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73,570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(33,200)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(44,970)</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206,070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205,800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(78,170)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r>
      <w:tr>
        <w:trPr>
          <w:trHeight w:val="243"/>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(31,370)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349,810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349,500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(135,580)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3,640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7,420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10,190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95,290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22,930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5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42,240</w:t>
            </w:r>
          </w:p>
        </w:tc>
        <w:tc>
          <w:tcPr>
            <w:tcW w:w="0" w:type="dxa"/>
            <w:vAlign w:val="bottom"/>
          </w:tcPr>
          <w:p>
            <w:pPr>
              <w:spacing w:after="0"/>
              <w:rPr>
                <w:sz w:val="1"/>
                <w:szCs w:val="1"/>
                <w:color w:val="auto"/>
              </w:rPr>
            </w:pPr>
          </w:p>
        </w:tc>
      </w:tr>
      <w:tr>
        <w:trPr>
          <w:trHeight w:val="257"/>
        </w:trPr>
        <w:tc>
          <w:tcPr>
            <w:tcW w:w="356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45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156,330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160,460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560" w:type="dxa"/>
            <w:vAlign w:val="bottom"/>
            <w:vMerge w:val="restart"/>
          </w:tcPr>
          <w:p>
            <w:pPr>
              <w:jc w:val="right"/>
              <w:ind w:right="223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5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71,270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71,100</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291,280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281,180</w:t>
            </w:r>
          </w:p>
        </w:tc>
      </w:tr>
      <w:tr>
        <w:trPr>
          <w:trHeight w:val="237"/>
        </w:trPr>
        <w:tc>
          <w:tcPr>
            <w:tcW w:w="8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377,670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367,190</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188,030</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183,760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179,160</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ind w:left="44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6,740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11,940</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Depreciation expense, included in selling, general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7,250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6,040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1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00" w:type="dxa"/>
            <w:vAlign w:val="bottom"/>
            <w:gridSpan w:val="3"/>
          </w:tcPr>
          <w:p>
            <w:pPr>
              <w:spacing w:after="0"/>
              <w:rPr>
                <w:sz w:val="20"/>
                <w:szCs w:val="20"/>
                <w:color w:val="auto"/>
              </w:rPr>
            </w:pPr>
            <w:r>
              <w:rPr>
                <w:rFonts w:ascii="Arial" w:cs="Arial" w:eastAsia="Arial" w:hAnsi="Arial"/>
                <w:sz w:val="18"/>
                <w:szCs w:val="18"/>
                <w:color w:val="auto"/>
                <w:w w:val="97"/>
              </w:rPr>
              <w:t>The Company's long-term debt consists of the following (dollars in thousands):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298,670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Receivables facility and other</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52,100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45,650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346,500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332,740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360,840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credit agreement (the "Credit Agreement"), consisting of a $500.0 million senior secured revolving credit facility, which permits borrowings denominated in specific foreign currencies ("Foreign Currency Loans"), subject to a $75.0 million sub limit, which matures on June 30, 2020 and is subject to interest at London Interbank Offered Rates ("LIBOR") plus 1.625%, and a $275.0 million senior secured term loan A facility ("Term Loan A Facility"), which matures on June 30, 2020 and is subject to interest at LIBOR plus 1.625%. The interest rate spread is based upon the leverage ratio, as defined, as of the most recent determination date.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term loan and/or revolving credit facility commitments in an amount not to exceed the greater of $300.0 million and an amount such that, after giving effect to such incremental commitments and the incurrence of any other indebtedness substantially simultaneously with the making of such commitments, the senior secured net leverage ratio, as defined, is no greater than 2.50 to 1.00. The terms and conditions of any incremental term loan and/or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may be required to prepay a portion of its Term Loan A Facility in an amount equal to a percentage of the Company's excess cash flow, as defined, with such percentage based on the Company's leverage ratio, as defined. As of June 30, 2017, no amounts are due under this provision.</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revolving credit facility allows for the issuance of letters of credit, not to exceed $40.0 million in aggregate. At June 30, 2017, the Company had approximately $47.7 million outstanding under its revolving credit facility and had approximately $436.0 million potentially available after giving effect to approximately $16.3 million of letters of credit issued and outstanding. At December 31, 2016, the Company had approximately $75.9 million outstanding under its revolving credit facility and had approximately $408.2 million potentially available after giving effect to approximately $15.9 million of letters of credit issued and outstanding. However, including availability under its accounts receivable facility and after consideration of leverage restrictions contained in the Credit Agreement, the Company had approximately $176.7 million and $126.5 million at June 30, 2017 and December 31, 2016, respectively, of borrowing capacity available for general corporate purposes.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approximately $3.4 million due each fiscal quarter from December 2015 through September 2018 and approximately $5.2 million due each fiscal quarter from December 2018 through March 2020, with final payment of approximately $202.8 million due on June 30, 2020.</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$75.0 million foreign currency sub limit of the $500.0 million senior secured revolving credit facility are secured by a pledge of the assets of the foreign subsidiary borrowers that are a party to the agreement. The Credit Agreement also contains various negative and affirmative covenants and other requirements affecting the Company and its subsidiaries, including restrictions on the incurrence of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At June 30, 2017, the Company was in compliance with its financial covenants contained in the Credit Agreement.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and December 31, 2016, the Company's Term Loan A Facility traded at approximately 99.6% of par value and the Company's revolving credit facility traded at approximately 99.3% of par value. The valuations of the Credit Agreement were determined based on Level 2 inputs under the fair value hierarchy, as defined.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$75.0 million to a third-party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June 30, 2017 and 2016.</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approximately $52.0 million and $45.5 million outstanding under the facility as of June 30, 2017 and December 31, 2016, respectively, and approximately $9.8 million and $10.1 million available but not utilized as of June 30, 2017 and December 31, 2016, respectively. Aggregate costs incurred under the facility were approximately $0.3 million and $0.2 million for the three months ended June 30, 2017 and 2016, and $0.6 million and $0.4 million for the six months ended June 30, 2017 and 2016, respectively, and are included in interest expense in the accompanying consolidated statement of income. The facility expires on June 30, 2020.</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agreement. As of June 30, 2017, the cost of funds under the facility was based on an average liquidation period of the portfolio of approximately 1.7 months and an average discount rate of 1.9%.</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interest rate swap agreements to fix the LIBOR-based variable portion of the interest rate on its long-term debt. Terms of the interest rate swap agreements require the Company to receive a variable interest rate and pay a fixed interest rate. As of June 30, 2017, the Company had interest rate swap agreements in place that hedge a declining notional value of debt ranging from approximately $238.4 million to approximately $192.7 million, amortizing consistent with future scheduled debt principal payments. The interest rate swap agreements establish fixed interest rates in a range of 0.74% to 2.68% with various expiration terms extending to June 30, 2020. At inception, the interest rate swaps were and continue to be designated as cash flow hedges.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and December 31, 2016,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480" w:type="dxa"/>
            <w:vAlign w:val="bottom"/>
          </w:tcPr>
          <w:p>
            <w:pPr>
              <w:spacing w:after="0"/>
              <w:rPr>
                <w:sz w:val="18"/>
                <w:szCs w:val="18"/>
                <w:color w:val="auto"/>
              </w:rPr>
            </w:pP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r>
      <w:tr>
        <w:trPr>
          <w:trHeight w:val="33"/>
        </w:trPr>
        <w:tc>
          <w:tcPr>
            <w:tcW w:w="448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160</w:t>
            </w:r>
          </w:p>
        </w:tc>
      </w:tr>
      <w:tr>
        <w:trPr>
          <w:trHeight w:val="27"/>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(3,360)</w:t>
            </w:r>
          </w:p>
        </w:tc>
      </w:tr>
      <w:tr>
        <w:trPr>
          <w:trHeight w:val="27"/>
        </w:trPr>
        <w:tc>
          <w:tcPr>
            <w:tcW w:w="44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4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0"/>
        </w:trPr>
        <w:tc>
          <w:tcPr>
            <w:tcW w:w="4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loss recognized in accumulated other comprehensive income or loss ("AOCI") as of June 30, 2017 and December 31, 2016, and the amounts reclassified from AOCI into earnings for the three and six months ended June 30, 2017 and 2016 (dollars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Amount of Loss Reclassified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w w:val="89"/>
              </w:rPr>
              <w:t>Amount of Loss Recognized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6"/>
              </w:rPr>
              <w:t>from AOCI into Earnings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gridSpan w:val="5"/>
            <w:vMerge w:val="continue"/>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6"/>
              </w:rPr>
              <w:t>in AOCI on Derivative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92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(Effective Portion, net of tax)</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5"/>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0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Reclassified from AOCI</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into Earnings (Effective</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8"/>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2016</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Portion)</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6"/>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4"/>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Derivatives designated as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hedging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7"/>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next 12 months, the Company expects to reclassify approximately $0.9 million of pre-tax deferred losses from AOCI to interest expense as the related interest payments for the designated interest rate swaps are funded.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June 30, 2017 and December 31, 2016 are shown below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820" w:type="dxa"/>
            <w:vAlign w:val="bottom"/>
          </w:tcPr>
          <w:p>
            <w:pPr>
              <w:spacing w:after="0"/>
              <w:rPr>
                <w:sz w:val="18"/>
                <w:szCs w:val="18"/>
                <w:color w:val="auto"/>
              </w:rPr>
            </w:pPr>
          </w:p>
        </w:tc>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Description</w:t>
            </w:r>
          </w:p>
        </w:tc>
        <w:tc>
          <w:tcPr>
            <w:tcW w:w="1600" w:type="dxa"/>
            <w:vAlign w:val="bottom"/>
          </w:tcPr>
          <w:p>
            <w:pPr>
              <w:ind w:left="660"/>
              <w:spacing w:after="0"/>
              <w:rPr>
                <w:sz w:val="20"/>
                <w:szCs w:val="20"/>
                <w:color w:val="auto"/>
              </w:rPr>
            </w:pPr>
            <w:r>
              <w:rPr>
                <w:rFonts w:ascii="Arial" w:cs="Arial" w:eastAsia="Arial" w:hAnsi="Arial"/>
                <w:sz w:val="16"/>
                <w:szCs w:val="16"/>
                <w:b w:val="1"/>
                <w:bCs w:val="1"/>
                <w:color w:val="auto"/>
              </w:rPr>
              <w:t>Frequency</w:t>
            </w:r>
          </w:p>
        </w:tc>
        <w:tc>
          <w:tcPr>
            <w:tcW w:w="1540" w:type="dxa"/>
            <w:vAlign w:val="bottom"/>
            <w:gridSpan w:val="3"/>
          </w:tcPr>
          <w:p>
            <w:pPr>
              <w:ind w:left="20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8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Recurring</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1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600" w:type="dxa"/>
            <w:vAlign w:val="bottom"/>
          </w:tcPr>
          <w:p>
            <w:pPr>
              <w:ind w:left="420"/>
              <w:spacing w:after="0"/>
              <w:rPr>
                <w:sz w:val="20"/>
                <w:szCs w:val="20"/>
                <w:color w:val="auto"/>
              </w:rPr>
            </w:pPr>
            <w:r>
              <w:rPr>
                <w:rFonts w:ascii="Arial" w:cs="Arial" w:eastAsia="Arial" w:hAnsi="Arial"/>
                <w:sz w:val="18"/>
                <w:szCs w:val="18"/>
                <w:color w:val="auto"/>
              </w:rPr>
              <w:t>Recurring</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2017, the Company was a party to 609 pending cases involving an aggregate of 5,274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36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Claims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pending at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settled</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beginning of</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during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6"/>
                <w:szCs w:val="16"/>
                <w:b w:val="1"/>
                <w:bCs w:val="1"/>
                <w:color w:val="auto"/>
              </w:rPr>
              <w:t>period</w:t>
            </w:r>
          </w:p>
        </w:tc>
      </w:tr>
      <w:tr>
        <w:trPr>
          <w:trHeight w:val="33"/>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2017</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1,164,500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Fiscal Year Ended December 31, 2016</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15,624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2,920,000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5,274 claims pending at June 30, 2017, 58 set forth specific amounts of damages (other than those stating the statutory minimum or maximum). At June 30, 2017, of the 58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$8.4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there will be a period within the next 12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Highly engineered closure and dispensing systems for a range of end markets, using steel and plastic within industrial and consumer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Permanent blind bolts, highly engineered specialty fasteners, temporary fasteners and other precision machined parts used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Energy – </w:t>
      </w:r>
      <w:r>
        <w:rPr>
          <w:rFonts w:ascii="Arial" w:cs="Arial" w:eastAsia="Arial" w:hAnsi="Arial"/>
          <w:sz w:val="17"/>
          <w:szCs w:val="17"/>
          <w:color w:val="auto"/>
        </w:rPr>
        <w:t>Metallic and non-metallic industrial sealant products and fasteners for the petroleum refining, petrochemical and other industrial markets.</w:t>
      </w:r>
    </w:p>
    <w:p>
      <w:pPr>
        <w:spacing w:after="0" w:line="29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Engineered Components – </w:t>
      </w:r>
      <w:r>
        <w:rPr>
          <w:rFonts w:ascii="Arial" w:cs="Arial" w:eastAsia="Arial" w:hAnsi="Arial"/>
          <w:sz w:val="17"/>
          <w:szCs w:val="17"/>
          <w:color w:val="auto"/>
        </w:rPr>
        <w:t>High-pressure and low-pressure steel cylinders for the transportation, storage and dispensing of compressed gases, and natural</w:t>
      </w:r>
      <w:r>
        <w:rPr>
          <w:rFonts w:ascii="Arial" w:cs="Arial" w:eastAsia="Arial" w:hAnsi="Arial"/>
          <w:sz w:val="17"/>
          <w:szCs w:val="17"/>
          <w:b w:val="1"/>
          <w:bCs w:val="1"/>
          <w:color w:val="auto"/>
        </w:rPr>
        <w:t xml:space="preserve"> </w:t>
      </w:r>
      <w:r>
        <w:rPr>
          <w:rFonts w:ascii="Arial" w:cs="Arial" w:eastAsia="Arial" w:hAnsi="Arial"/>
          <w:sz w:val="17"/>
          <w:szCs w:val="17"/>
          <w:color w:val="auto"/>
        </w:rPr>
        <w:t>gas engines, compressors, gas production equipment and chemical pumps engineered for use at well sites for the oil and gas industry.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91"/>
              <w:spacing w:after="0"/>
              <w:rPr>
                <w:sz w:val="20"/>
                <w:szCs w:val="20"/>
                <w:color w:val="auto"/>
              </w:rPr>
            </w:pPr>
            <w:r>
              <w:rPr>
                <w:rFonts w:ascii="Arial" w:cs="Arial" w:eastAsia="Arial" w:hAnsi="Arial"/>
                <w:sz w:val="16"/>
                <w:szCs w:val="16"/>
                <w:b w:val="1"/>
                <w:bCs w:val="1"/>
                <w:color w:val="auto"/>
                <w:w w:val="84"/>
              </w:rPr>
              <w:t>2016</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88,110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168,220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47,580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44,090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39,950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84,700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33,560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31,170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66,080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68,690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213,370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203,320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413,200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406,200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39,250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3,550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3,860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18,660</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41,990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35,110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the following long-term equity incentive plans: the TriMas Corporation 2017 Equity and Incentive Compensation Plan, the TriMas Corporation Director Retainer Share Election Program, the 2011 TriMas Corporation Omnibus Incentive Compensation Plan and the TriMas Corporation 2006 Long Term Equity Incentive Plan (collectively, the "Plans"). The 2006 Long Term Equity Incentive Plan expired in 2016, such that, while existing grants will remain outstanding until exercised, vested or cancelled, no new shares may be issued under the plan. See below for details of awards under the Plans by type.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grant any stock option awards during the six months ended June 30, 2017. Information related to stock options at June 30, 2017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1,583,511</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2017, 56,854 stock options outstanding were exercisable under the Plans. As of June 30, 2017, there was approximately $0.5 million of unrecognized compensation cost related to stock options that is expected to be recorded over a weighted average period of 2.1 years.</w:t>
      </w:r>
    </w:p>
    <w:p>
      <w:pPr>
        <w:sectPr>
          <w:pgSz w:w="11900" w:h="16838" w:orient="portrait"/>
          <w:cols w:equalWidth="0" w:num="1">
            <w:col w:w="11420"/>
          </w:cols>
          <w:pgMar w:left="240" w:top="125"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approximately $0.2 million and $0.3 million of stock-based compensation related to stock options during the three and six months ended June 30, 2017, respectively, and no stock-based compensation during the three and six months ended June 30, 2016. The stock-based compensation expense is included in selling, general and administrative expenses in the accompanying consolidated statement of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shares during the six months ended June 30, 2017:</w:t>
      </w:r>
    </w:p>
    <w:p>
      <w:pPr>
        <w:spacing w:after="0" w:line="27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189,062 restricted shares of common stock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30,429 restricted shares of common stock to its non-employee independent directors, which vest one year from date of grant so long as the director and/or Company does not terminate the director's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six months ended June 30, 2017, the Company issued 7,124 shares related to director fee deferrals.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six months ended June 30, 2017, the Company awarded 111,761 performance-based shares of common stock to certain Company key employees which vest three years from the grant date so long as the employee remains with the Company. These awards are earned 50% based upon the Company's achievement of earnings per share compound annual growth rate ("EPS CAGR")metrics over a period beginning January 1, 2017 and ending December 31, 2019. The remaining 50% of the grants are earned based on the Company's total shareholder return ("TSR") relative to the TSR of the common stock of a pre-defined industry peer-group,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interest rate of 1.52% and annualized volatility of 35.6%. Depending on the performance achieved for these two metrics, the amount of shares earned can vary from 40% of the target award to a maximum of 200% of the target award for the EPS CAGR metric and 0% of the target award to a maximum of 200% of the target award for the TSR metric.</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2015, the Company awarded performance-based shares of common stock to certain Company key employees which were earned based upon the Company's total TSR relative to the TSR of the common stock of a pre-defined industry peer-group and measured over a period beginning September 10, 2015 and ending on December 31, 2016. The Company attained 121.1% of the target on a weighted average basis, resulting in an increase of 12,718 shares during the six months ended June 30,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June 30, 2017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Restricted Shares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351,094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(11,757)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748,799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15,612,459</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2017, there was approximately $9.3 million of unrecognized compensation cost related to unvested restricted shares that is expected to be recorded over a weighted average period of 2.3 years.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approximately $1.7 million and $2.2 million of stock-based compensation expense related to restricted shares during the three months ended June 30, 2017 and 2016, respectively, and approximately $3.0 million and $4.1 million during the six months ended June 30, 2017 and 2016, respectively. The stock-based compensation expense is included in selling, general and administrative expenses in the accompanying consolidated statement of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restricted share awards. The following table summarizes the dilutive effect of restricted shares and options to purchase common stock for the three and six months ended June 30, 2017 and 2016:</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5620" w:type="dxa"/>
            <w:vAlign w:val="bottom"/>
          </w:tcPr>
          <w:p>
            <w:pPr>
              <w:spacing w:after="0"/>
              <w:rPr>
                <w:sz w:val="18"/>
                <w:szCs w:val="18"/>
                <w:color w:val="auto"/>
              </w:rPr>
            </w:pPr>
          </w:p>
        </w:tc>
        <w:tc>
          <w:tcPr>
            <w:tcW w:w="1840" w:type="dxa"/>
            <w:vAlign w:val="bottom"/>
            <w:gridSpan w:val="3"/>
          </w:tcPr>
          <w:p>
            <w:pPr>
              <w:jc w:val="center"/>
              <w:ind w:left="97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left="95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45,717,697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45,429,851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45,644,096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45,354,421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162,153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215,881</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222,996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251,035</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42,566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80,616</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85,126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45,922,416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45,726,348</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45,915,687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45,690,582</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Plans</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periodic pension benefit costs for the Company's defined benefit pension plans cover certain foreign employees, union hourly employees and salaried employees. The components of net periodic pension cost for the three and six months ended June 30, 2017 and 2016 are as follows (dollars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5"/>
          </w:tcPr>
          <w:p>
            <w:pPr>
              <w:ind w:left="380"/>
              <w:spacing w:after="0"/>
              <w:rPr>
                <w:sz w:val="20"/>
                <w:szCs w:val="20"/>
                <w:color w:val="auto"/>
              </w:rPr>
            </w:pPr>
            <w:r>
              <w:rPr>
                <w:rFonts w:ascii="Arial" w:cs="Arial" w:eastAsia="Arial" w:hAnsi="Arial"/>
                <w:sz w:val="16"/>
                <w:szCs w:val="16"/>
                <w:b w:val="1"/>
                <w:bCs w:val="1"/>
                <w:color w:val="auto"/>
              </w:rPr>
              <w:t>Pension Plans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09"/>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$0.8 million and $1.1 million to its defined benefit pension plans during the three and six months ended June 30, 2017, respectively. The Company expects to contribute approximately $3.1 million to its defined benefit pension plans for the full year 2017.</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3,500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2016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(11,160)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2016</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$2.7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manufacturer and distributor of products for commercial, industrial and consumer markets. We are principally engaged in four reportable segments: Packaging, Aerospace, Energy and Engineered Components.</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Key Factors and Risks Affecting Our Reported Results. </w:t>
      </w:r>
      <w:r>
        <w:rPr>
          <w:rFonts w:ascii="Arial" w:cs="Arial" w:eastAsia="Arial" w:hAnsi="Arial"/>
          <w:sz w:val="16"/>
          <w:szCs w:val="16"/>
          <w:color w:val="auto"/>
        </w:rPr>
        <w:t>Our businesses and results of operations depend upon general economic conditions and we serve</w:t>
      </w:r>
      <w:r>
        <w:rPr>
          <w:rFonts w:ascii="Arial" w:cs="Arial" w:eastAsia="Arial" w:hAnsi="Arial"/>
          <w:sz w:val="16"/>
          <w:szCs w:val="16"/>
          <w:i w:val="1"/>
          <w:iCs w:val="1"/>
          <w:color w:val="auto"/>
        </w:rPr>
        <w:t xml:space="preserve"> </w:t>
      </w:r>
      <w:r>
        <w:rPr>
          <w:rFonts w:ascii="Arial" w:cs="Arial" w:eastAsia="Arial" w:hAnsi="Arial"/>
          <w:sz w:val="16"/>
          <w:szCs w:val="16"/>
          <w:color w:val="auto"/>
        </w:rPr>
        <w:t>some customers in cyclical industries that are highly competitive and are themselves significantly impacted by changes in economic conditions. There has been low overall economic growth, particularly in the United States, and global economic conditions have been relatively stable over the past couple of years.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most significant external factor impacting us recently is the impact of lower oil prices, which began to decline in the fourth quarter of 2014, and since have remained at low levels. This decline has most directly impacted the Arrow Engine business, which serves the upstream oil and natural gas markets at the well site, within our Engineered Components reportable segment. Arrow Engine has experienced a more than 75% decline in net sales from pre-2015 levels as a result of the low oil-related activity and end-market demand. Net sales were slightly higher in the first half of 2017 compared with the first half of 2016. While oil prices have fluctuated in recent months, they remain at low levels. We expect net sales to remain at a low level compared with historical levels until the price of oil increases and remains higher over a sustained period where our customers decide to increase their activity levels and related well-site investments. In response to the reduced demand, Arrow Engine has lowered its cost structure over the past two years to align with current demand levels, and allowed it to attain approximately break-even operating profit during full year 2016 and the first half of 2017.</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Lower oil prices have also impacted our Energy reportable segment. Historically, a portion of this business has served the upstream market, in addition to primarily serving petrochemical facilities and oil refineries in the downstream oil and gas markets. There have been minimal upstream sales in our Energy reportable segment over the past 18 to 24 months. In addition to the impact of lower oil prices, there has been a shift over the past few years in our Energy reportable segment from historical demand and activity, both in the United States and internationally. Petrochemical plants and refinery customers deferred shutdown activity, and we experienced decreases in engineering and construction ("E&amp;C") customer activity. Our sales and margin levels over this period have declined significantly due to the mix of product sales and inefficiencies that resulted from the shift in activity levels. The current lower oil prices have continued to place further pressure on the top-line and predictability of customer order patterns. Given these factors, we have been realigning the business and its fixed cost structure with the current business environment, aggressively closing and consolidating facilities and seeking alternate lower-cost sources for input costs, including exits of our Wolverhampton, United Kingdom and Reynosa, Mexico facilities announced during the first quarter of 2017. We are now realizing the benefit of the cost savings and operational efficiencies associated with leveraging the new lower fixed cost structure and other initiatives, as evidenced by our improvement in operating profit. We will continue to evaluate the cost structure and physical footprint of the business.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other significant external factor impacting our financial results over the past two years is supply chain disruption within our Aerospace reportable segment. In 2015 and 2016, our two largest Aerospace distribution customers reduced their investment in on-hand inventory levels of fastener products, and their purchases of our products. This trend has moderated in the first half of 2017, as year-over-year sales are higher to these customers. While this has impacted our net sales, it also had a significant impact on prior year margin levels, as certain of these products historically commanded higher profit margins. In addition to the impact of distribution customer sales, in the first half of 2016, we also experienced lower sales, and significantly lower profit margins, as a result of production and scheduling challenges in one of our Aerospace fastener facilities, significantly lower fixed cost absorption and inefficiencies as we adjusted to the changing demand levels, and integration costs associated with our machined components facility acquisition. We established plans to address these matters, and have been executing against those plans, as evidenced by improved operating profit margins in the first half of 2017 compared to the first half of 2016, as well as on a sequential basis from the first quarter of 2017 to the second quarter of 2017.</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our businesses target cost savings from continuous improvement and productivity initiatives in an effort to lower input costs or improve throughput and yield rates with a goal of at least covering inflationary and market cost increases. In addition, we continuously review our costs to ensure alignment between current demand and cost structure.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does not experience significant seasonal fluctuation, other than our fourth quarter, which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our businesses are sensitive to oil price movements. As noted earlier, our Arrow Engine business is most directly impacted by significant volatility in oil prices. Arrow Engine's pumpjack and other engine sales and related parts, which comprise a significant portion of the business, are impacted by oil and gas drilling levels, rig counts, well completion activities and commodity pricing. In addition, a portion of our Energy reportable segment serves upstream customers at oil well sites that have been impacted by lower oil prices. The majority of this segment provides parts for refineries and chemical plants, which may or may not decide to incur capital expenditures for preventive maintenance or capacity expansion activities, both of which require use of our gaskets and bolts, in times of fluctuating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three months ended June 30, 2017 and 2016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Three months ended June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As a Percentage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1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 Net Sales</w:t>
            </w: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88,740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88,110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43,490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39,950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213,370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203,320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32,230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59,410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57,080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7,040</w:t>
            </w:r>
          </w:p>
        </w:tc>
        <w:tc>
          <w:tcPr>
            <w:tcW w:w="220" w:type="dxa"/>
            <w:vAlign w:val="bottom"/>
          </w:tcPr>
          <w:p>
            <w:pPr>
              <w:spacing w:after="0"/>
              <w:rPr>
                <w:sz w:val="21"/>
                <w:szCs w:val="21"/>
                <w:color w:val="auto"/>
              </w:rPr>
            </w:pP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7,070</w:t>
            </w:r>
          </w:p>
        </w:tc>
        <w:tc>
          <w:tcPr>
            <w:tcW w:w="22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33,160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38,420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26,250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18,660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12,250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11,130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2017 and 2016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680"/>
              <w:spacing w:after="0"/>
              <w:rPr>
                <w:sz w:val="20"/>
                <w:szCs w:val="20"/>
                <w:color w:val="auto"/>
              </w:rPr>
            </w:pPr>
            <w:r>
              <w:rPr>
                <w:rFonts w:ascii="Arial" w:cs="Arial" w:eastAsia="Arial" w:hAnsi="Arial"/>
                <w:sz w:val="16"/>
                <w:szCs w:val="16"/>
                <w:b w:val="1"/>
                <w:bCs w:val="1"/>
                <w:color w:val="auto"/>
              </w:rPr>
              <w:t>Six months ended June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169,700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41.1 %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168,220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84,590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84,420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84,700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66,080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68,690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413,200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406,200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57,890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34.1 %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60,120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111,170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113,000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20,870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14,230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13,890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69,180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77,890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41,990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35,110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23,040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22,170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three months ended June 30, 2017, compared with the three months ended June 30, 2016, were:</w:t>
      </w:r>
    </w:p>
    <w:p>
      <w:pPr>
        <w:spacing w:after="0" w:line="293" w:lineRule="exact"/>
        <w:rPr>
          <w:sz w:val="20"/>
          <w:szCs w:val="20"/>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improved throughput and productivity in our Aerospace reportable segment, enabling this segment to achieve higher sales levels in the three months ended June 30, 2017;</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exiting the facility in Reynosa, Mexico within our Energy reportable segment, under which we incurred approximately $2.7 million of charges in the three months ended June 30, 2017;</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continued low oil prices, primarily impacting sales and profit levels in our Engineered Components reportable segment; and</w:t>
      </w:r>
    </w:p>
    <w:p>
      <w:pPr>
        <w:spacing w:after="0" w:line="290" w:lineRule="exact"/>
        <w:rPr>
          <w:rFonts w:ascii="Arial" w:cs="Arial" w:eastAsia="Arial" w:hAnsi="Arial"/>
          <w:sz w:val="17"/>
          <w:szCs w:val="17"/>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reportable segment.</w:t>
      </w:r>
    </w:p>
    <w:p>
      <w:pPr>
        <w:sectPr>
          <w:pgSz w:w="11900" w:h="16838" w:orient="portrait"/>
          <w:cols w:equalWidth="0" w:num="1">
            <w:col w:w="11420"/>
          </w:cols>
          <w:pgMar w:left="240" w:top="125" w:right="2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663"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with Three Months Ended June 30, 2016</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net sales increased approximately $10.1 million, or 4.9%, to $213.4 million for the three months ended June 30, 2017, as compared with $203.3 million in the three months ended June 30, 2016. Our Energy and Engineered Components reportable segments had a combined sales increase of approximately $6.0 million, primarily as a result of increased customer demand and some market stabilization despite continued low oil prices. Sales within our Aerospace reportable segment increased approximately $3.5 million, primarily due to increases in sales to distribution customers. In addition, excluding the effects of foreign currency exchange, sales within our Packaging reportable segment increased by approximately $2.1 million primarily due to increased demand for our our health, beauty and home care products in Europe and Asia, as well as increased demand for our food and beverage products. These increases were partially offset by approximately $1.6 million of net unfavorable currency exchange, primarily in our Packaging reportable segment, as our reported results in U.S. dollars were negatively impacted as a result of the stronger U.S. dollar relative to foreign currencies.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margin (gross profit as a percentage of sales) approximated 27.8% and 28.1% for the three months ended June 30, 2017 and 2016, respectively. Gross profit margin decreased primarily due to costs associated with exiting our facility in Reynosa, Mexico within our Energy reportable segment, partially offset by increased gross profit margin within our Aerospace reportable segment as a result of recent initiatives to improve production scheduling and manufacturing efficiencies. In addition, gross profit was impacted by approximately $0.9 million of unfavorable currency exchange, as our reported results in U.S. dollars were negatively impacted as a result of the stronger U.S. dollar relative to foreign currencies.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margin (operating profit as a percentage of sales) approximated 12.3% and 9.2% for the three months ended June 30, 2017 and 2016, respectively. Operating profit increased approximately $7.6 million, or 40.7%, to $26.3 million for the three months ended June 30, 2017, from $18.7 million for the three months ended June 30, 2016. Operating profit and margin increased due to higher sales levels across all of our reportable segments, our initiatives to improve production scheduling and manufacturing efficiencies, primarily in our Aerospace reportable segment, and our footprint realignment activities within our Energy reportable segment.</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increased approximately $0.1 million, to $3.4 million for the three months ended June 30, 2017, as compared to $3.3 million for the three months ended June 30, 2016. Our weighted average variable rate borrowings decreased to approximately $394.0 million in the three months ended June 30, 2017, from approximately $463.6 million in the three months ended June 30, 2016. The effective weighted average interest rate on our outstanding variable rate borrowings, including our credit agreement ("Credit Agreement") and accounts receivable facilities, increased to approximately 2.5% for three months ended June 30, 2017, from approximately 2.0% for the three months ended June 30, 2016.</w:t>
      </w:r>
    </w:p>
    <w:p>
      <w:pPr>
        <w:spacing w:after="0" w:line="2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income, net was approximately $0.1 million for the three months ended June 30, 2017 and 2016, respectively, primarily due to gains on transactions denominated in foreign currencies partially offset by costs attributed to a reduction of certain indemnification assets related to uncertain tax liabilities.</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effective income tax rates for the three months ended June 30, 2017 and 2016 were 35.0% and 32.3%, respectively. The increase in the rate was primarily a result of losses at certain foreign subsidiaries where no tax benefit could be recorded, the year-over-year impact of recognizing certain tax benefits due to a lapse of a statutory limitation in the second quarter of 2016, and discrete tax expense recognized in the three months ended June 30, 2017.</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increased by approximately $4.4 million, to $14.9 million for the three months ended June 30, 2017, compared to $10.5 million for the three months ended June 30, 2016. The increase was primarily the result of a $7.6 million increase in operating profit, partially offset by a $3.0 million increase in income tax expense and a $0.1 million increase in interest expense.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$0.6 million, or 0.7%, to $88.7 million in the three months ended June 30, 2017, as compared to $88.1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three months ended June 30, 2016. Sales of our health, beauty and home care products increased approximately $1.3 million primarily due to higher demand in Europe and Asia. Additionally, sales of our food and beverage products increased approximately $0.7 million and sales of our industrial closures increased approximately $0.1 million. These increases were partially offset by approximately $1.5 million of unfavorable currency exchange, as our reported results in U.S. dollars were negatively impacted as a result of the stronger U.S. dollar relative to foreign currencies.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gross profit increased approximately $1.0 million to $32.2 million, or 36.3% of sales, in the three months ended June 30, 2017, as compared to $31.3 million, or 35.5% of sales, in the three months ended June 30, 2016. Increases in gross profit due to the higher sales levels and lower material costs were partially offset by approximately $0.9 million of unfavorable currency exchange, as our reported results in U.S. dollars were negatively impacted as a result of the stronger U.S. dollar relative to foreign currencies.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selling, general and administrative expenses increased approximately $0.9 million to $10.7 million, or 12.0% of sales, in the three months ended June 30, 2017, as compared to $9.8 million, or 11.2% of sales, in the three months ended June 30, 2016, primarily due to an approximate $1.1 million charge to reserve an outstanding accounts receivable amount for a European customer who filed for bankruptcy.</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operating profit increased approximately $0.1 million to $21.5 million, or 24.3% of sales, in the three months ended June 30, 2017, as compared to $21.4 million, or 24.3% of sales, in the three months ended June 30, 2016, as the profit earned on higher sales levels and lower material costs was offset by a bad debt provision recorded in the second quarter of 2017 and approximately $0.6 million of unfavorable currency exchange.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June 30, 2017 increased approximately $3.5 million, or 7.9%, to $47.6 million, as compared to $44.1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2016. This segment continues to improve its production scheduling and manufacturing efficiencies, which enabled it to increase daily production rates and ship higher levels of net sales in 2017 as compared to 2016. Sales to our distribution customers increased approximately $3.4 million, while sales to OE customers increased approximately $0.1 million.</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within Aerospace increased approximately $2.4 million to $12.4 million, or 26.0% of sales, in the three months ended June 30, 2017, from $10.0 million, or 22.7% of sales, in the three months ended June 30, 2016, primarily as a result of higher sales levels. In addition, in the second quarter of 2016, we incurred approximately $1.0 million of additional costs to improve our manufacturing throughput, which did not recur in the second quarter of 2017.</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approximately $1.1 million to $5.4 million, or 11.4% of sales, in the three months ended June 30, 2017, as compared to $6.5 million, or 14.7% of sales, in the three months ended June 30, 2016, primarily due to approximately $0.6 million of lower estimated uncollectable accounts receivable expenses as a result of collection of previously reserved customer balances, as well as decreased spending in certain administrative support costs.</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profit within Aerospace increased approximately $3.3 million to $6.9 million, or 14.6% of sales, in the three months ended June 30, 2017, as compared to $3.6 million, or 8.1% of sales, in the three months ended June 30, 2016. Operating profit improved primarily as a result of higher sales levels and continued improvement in production scheduling and manufacturing efficiencies, as well as lower selling, general and administrative expenses.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three months ended June 30, 2017 increased approximately $3.5 million, or 8.9%, to $43.5 million, as compared to $40.0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June 30, 2016. Sales increased by approximately $5.2 million in North America, primarily due to increased customer demand and increasing our share of current year turnaround activity. The increase was partially offset by a decrease in net sales of approximately $1.7 million in Europe, primarily due to exiting our facility in Wolverhampton, United Kingdom.</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within Energy decreased approximately $1.4 million to $8.0 million, or 18.4% of sales, in the three months ended June 30, 2017, as compared to $9.4 million, or 23.5% of sales, in the three months ended June 30, 2016. During the second quarter of 2017, we incurred approximately $2.7 million of costs associated with exiting our facility in Reynosa, Mexico, which included approximately $1.5 million for estimated future unrecoverable lease obligations, net of estimated sublease recoveries, for the lease that expires in 2025, and approximately $1.2 million of charges related to accelerated depreciation expense as a result of shortening the expected lives on certain machinery, equipment and leasehold improvement assets that the Company no longer used following the facility closure. The decrease was partially offset by an increase in gross profit in North America due to higher sales levels, savings achieved from ongoing footprint realignment initiatives and improvements in manufacturing efficiencies within our Houston, Texas manufacturing facility.</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expenses within Energy decreased approximately $4.6 million to $7.9 million, or 18.1% of sales, in the three months ended June 30, 2017, as compared to $12.5 million, or 31.3% of sales, in the three months ended June 30, 2016. Selling, general and administrative expenses decreased by approximately $3.0 million as a result of lower costs related to previously closed facilities in the second quarter of 2017 as compared with the second quarter of 2016, and by approximately $0.3 million as a result of lower third-party professional fees. The remaining $1.3 million decrease was primarily due to lower ongoing costs associated with the Company's current footprint following completion of significant realignment activities.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Energy increased approximately $3.2 million to approximately $0.1 million of profit, or 0.3% of sales, in the three months ended June 30, 2017, as compared to a loss of $3.1 million, or 7.7% of sales, in the three months ended June 30, 2016, as a result of lower selling, general and administrative expenses related to prior footprint realignment activities, higher sales levels and improved manufacturing efficiencies, which more than offset the costs incurred associated with the closure of our Reynosa Mexico facility in the second quarter of 2017.</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Engineered Components. </w:t>
      </w:r>
      <w:r>
        <w:rPr>
          <w:rFonts w:ascii="Arial" w:cs="Arial" w:eastAsia="Arial" w:hAnsi="Arial"/>
          <w:sz w:val="18"/>
          <w:szCs w:val="18"/>
          <w:color w:val="auto"/>
        </w:rPr>
        <w:t>Net sales for the three months ended June 30, 2017 increased approximately $2.4 million, or 7.7%, to $33.6 million,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$31.2 million in the three months ended June 30, 2016. Sales of our engines and compression-related products increased by approximately $1.7 million, as we experienced improved demand levels compared with prior year consistent with drilling activity in the United States and Canada and continued stabilization of oil prices. Sales of our industrial cylinders increased by approximately $0.7 million, primarily due to increased demand for large high pressure gas cylinders in industrial applications.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Engineered Components increased approximately $0.4 million to $6.8 million, or 20.4% of sales, in the three months ended June 30, 2017, from $6.4 million, or 20.6% of sales, in the three months ended June 30, 2016. Gross profit and related margin increased primarily as a result of higher sales levels and fixed cost leverage related to sales of oil-field engines and compression-related products.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$0.5 million to $2.1 million, or 6.3% of sales, in the three months ended June 30, 2017, as compared to $2.6 million, or 8.2% of sales, in the three months ended June 30, 2016 primarily due to lowering our ongoing operating costs consistent with lower than historical demand levels.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increased approximately $0.8 million to $4.7 million, or 14.0% of sales, in the three months ended June 30, 2017, as compared to $3.9 million, or 12.4% of sales, in the three months ended June 30, 2016. Operating profit increased primarily due to higher sales levels, while operating profit margin as a percentage of sales improved as a result of cost reduction actions taken to better align our cost structure with demand levels.</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decreased approximately $0.1 million to $7.0 million for the three months ended June 30, 2017, from $7.1 million for the three months ended June 30, 2016. Corporate operating expenses decreased approximately $0.2 million, partially offset by an increase in employee costs and related benefits of approximately $0.1 million, primarily due to an increase in expense related to the timing and estimated attainment of our incentive compensation plans.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with Six Months Ended June 30, 2016</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net sales increased approximately $7.0 million, or 1.7%, to $413.2 million for the six months ended June 30, 2017, as compared with $406.2 million in the six months ended June 30, 2016. Sales within our Aerospace reportable segment increased approximately $8.4 million, with increases in sales to distribution and OE customers, as a result of improved manufacturing throughput. In addition, excluding the effects of foreign currency exchange, sales within our Packaging reportable segment increased by approximately $4.8 million primarily due to increased demand for our industrial closures in North America and Europe and for our health, beauty and home care products in Europe and Asia. These increases were partially offset by the year-over-year decrease of approximately $2.6 million in our Engineered Components reportable segment, primarily as a result of industrial cylinder customers' consolidations. Our sales were also impacted by approximately $3.5 million of net unfavorable currency exchange, primarily in our Packaging reportable segment, as our reported results in U.S. dollars were negatively impacted as a result of the stronger U.S. dollar relative to foreign currencies.</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margin (gross profit as a percentage of sales) approximated 26.9% and 27.8% for the six months ended June 30, 2017 and 2016, respectively. Gross profit margin decreased primarily due to costs associated with the consolidation of manufacturing facilities in India and to finalize the move to a new Mexico facility, both within our Packaging reportable segment, as well as costs associated with the closure of the Reynosa, Mexico facility within our Energy reportable segment. In addition, gross profit decreased compared to the prior year period by approximately $1.7 million as a result of unfavorable currency exchange, as our reported results in U.S. dollars were negatively impacted as a result of the stronger U.S. dollar relative to foreign currencies. These decreases were partially offset by improved manufacturing efficiency levels and reduced manufacturing spend, primarily within our Aerospace reportable segment.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profit margin (operating profit as a percentage of sales) approximated 10.2% and 8.6% for the six months ended June 30, 2017 and 2016, respectively. Operating profit increased approximately $6.9 million, or 19.6%, to $42.0 million for the six months ended June 30, 2017, compared to $35.1 million for the six months ended June 30, 2016. Operating profit and margin increased as a result of higher sales levels in our Aerospace and Packaging reportable segments, our productivity initiatives to improve scheduling and throughput, particularly in our Aerospace reportable segment, and our footprint realignment activities within our Energy reportable segment. These factors were partially offset by the costs incurred in the first half of 2017 associated with footprint consolidation and relocation projects within our Packaging and Energy reportable segments.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increased approximately $0.2 million, to $7.0 million, for the six months ended June 30, 2017, as compared to $6.8 million for the six months ended June 30, 2016. The increase in interest expense was primarily due to an increase in our interest rates, which more than offset lower average borrowings. Our weighted average variable rate borrowings decreased to approximately $404.0 million in the six months ended June 30, 2017, from approximately $469.2 million in the six months ended June 30, 2016. However, the effective weighted average interest rate on our outstanding variable rate borrowings, including our Credit Agreement and accounts receivable facilities, increased to approximately 2.6% for the six months ended June 30, 2017, from approximately 2.0% for the six months ended June 30, 2016.</w:t>
      </w:r>
    </w:p>
    <w:p>
      <w:pPr>
        <w:spacing w:after="0" w:line="2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income (expense), net increased approximately $0.7 million, to $0.6 million of other expense, net for the six months ended June 30, 2017, from $0.1 million of other income, net for the six months ended June 30, 2016, primarily due to an increase in losses on transactions denominated in foreign currencies.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income tax rates for the six months ended June 30, 2017 and 2016 were 36.6% and 33.9%, respectively. The increase in the rate was primarily a result of losses at certain foreign subsidiaries where no tax benefit could be recorded, the year-over-year impact of recognizing certain tax benefits due to a lapse of a statutory limitation in the first six months of 2016, and a change in the Company's indefinite reinvestment assertion in undistributed foreign earnings in two of its foreign subsidiaries. These increases were partially offset by a discrete tax benefit related to stock compensation recognized in the six months ended June 30, 2017.</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from continuing operations increased by approximately $3.0 million, to $21.8 million for the six months ended June 30, 2017, compared to $18.8 million for the six months ended June 30, 2016. The increase was primarily the result of a $6.9 million increase in operating profit, partially offset by a $3.0 million increase in income tax expense, a $0.7 million increase in other expense, net and a $0.2 million increase in interest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$1.5 million, or 0.9%, to $169.7 million in the six months ended June 30, 2017, as compared to $168.2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six months ended June 30, 2016. Sales of our health, beauty and home care products increased approximately $2.5 million primarily due to higher demand in Europe and Asia. Sales of our industrial closures increased approximately $1.5 million due to higher demand in North America and Europe. Additionally, sales of our food and beverage products increased approximately $0.8 million. These increases were partially offset by approximately $3.3 million of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gross profit decreased approximately $2.2 million to $57.9 million, or 34.1% of sales, in the six months ended June 30, 2017, as compared to $60.1 million, or 35.7% of sales, in the six months ended June 30, 2016. Although sales levels increased, gross profit decreased due to approximately $1.4 million of costs to consolidate manufacturing facilities in India and to finalize the move to a new facility in Mexico in the first quarter of 2017. In addition, gross profit declined due to approximately $1.7 million of unfavorable currency exchange, as our reported results in U.S. dollars were negatively impacted as a result of the stronger U.S. dollar relative to foreign currencies.</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Packaging's selling, general and administrative expenses decreased approximately $1.4 million to $19.5 million, or 11.5% of sales, in the six months ended June 30, 2017, as compared to $20.9 million, or 12.4% of sales, in the six months ended June 30, 2016. The decrease was primarily due to higher costs incurred in the first quarter of 2016 in connection with re-organizing our go-to-market strategy based on global product categories, as well as generally lower go-forward spending levels resulting from this reorganization. The decrease was partially offset by an approximate $1.1 million charge recorded in the second quarter of 2017 to reserve an outstanding accounts receivable amount for a European customer who filed for bankruptcy.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operating profit decreased approximately $0.9 million to $38.4 million, or 22.6% of sales, in the six months ended June 30, 2017, as compared to $39.3 million, or 23.3% of sales, in the six months ended June 30, 2016. Although sales levels increased and selling, general and administrative expenses decreased, operating profit and related margin declined as a result of costs incurred to consolidate facilities in India and finalize the move to a new manufacturing facility in Mexico, as well as an approximate $1.1 million charge recorded in the second quarter of 2017 to reserve an outstanding accounts receivable amount and approximately $1.2 million of unfavorable currency exchange.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six months ended June 30, 2017 increased approximately $8.4 million, or 9.9%, to $93.0 million, as compared to $84.6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six months ended June 30, 2016. This segment continues to improve its production scheduling and manufacturing efficiencies, which enabled it to increase daily production rates and ship higher levels of net sales in 2017 as compared to 2016. Sales to our distribution customers increased approximately $6.6 million, as the order patterns continued to stabilize and increase in 2017 as compared to the lower and more volatile levels throughout 2016. Sales to our OE customers increased approximately $1.6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Aerospace increased approximately $3.4 million to $23.1 million, or 24.8% of sales, in the six months ended June 30, 2017, from $19.7 million, or 23.2% of sales, in the six months ended June 30, 2016, primarily as a result of higher sales levels. In addition, in the first half of 2016, we incurred additional costs and experienced lower fixed cost absorption associated with production scheduling and manufacturing inefficiencies, primarily in our Commerce, CA facility. We have improved the efficiency levels during the first half of 2017 and reduced manufacturing spend levels despite higher demand level in this facility. These improvements were partially offset by higher costs due to manufacturing costs and inefficiencies at our standard fastener facility in Ottawa, KS.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approximately $1.5 million to $11.2 million, or 12.0% of sales, in the six months ended June 30, 2017, as compared to $12.6 million, or 14.9% of sales, in the six months ended June 30, 2016, primarily due to approximately $0.8 million reduced expense to reserve for past due accounts receivable as a result of collection of previously reserved customer balances, approximately $0.3 million of decreases in professional fees and decreased spending in certain administrative support costs.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profit within Aerospace increased approximately $4.9 million to $11.9 million, or 12.8% of sales, in the six months ended June 30, 2017, as compared to $7.0 million, or 8.3% of sales, in the six months ended June 30, 2016. Operating profit improved primarily as a result of higher sales levels, continued improvement in production scheduling and manufacturing efficiencies and lower selling, general and administrative expenses.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six months ended June 30, 2017 decreased approximately $0.3 million, or 0.3%, to $84.4 million, as compared to $84.7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2016. Sales increased approximately $2.2 million in North America and $0.5 million in Asia primarily due to increased customer demand and increasing our share of turnaround activity. These increases were more than offset by a decrease in net sales of approximately $3.0 million in Europe, primarily due to exiting our facility in Wolverhampton, United Kingdom.</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within Energy decreased approximately $2.3 million to $16.5 million, or 19.6% of sales, in the six months ended June 30, 2017, as compared to $18.8 million, or 22.2% of sales, in the six months ended June 30, 2016. During the second quarter of 2017, we incurred approximately $2.7 million of costs associated with exiting our facility in Reynosa, Mexico, which included approximately $1.5 million for estimated net future unrecoverable lease obligations for the lease that expires in 2025, and approximately $1.2 million of charges related to accelerated depreciation expense on certain machinery, equipment and leasehold improvement assets that the Company no longer used following the facility closure. The decrease was partially offset by an increase in gross profit in North America due to higher sales levels, savings achieved from ongoing footprint realignment initiatives and improvements in manufacturing efficiencies within our Houston, Texas manufacturing facility.</w:t>
      </w:r>
    </w:p>
    <w:p>
      <w:pPr>
        <w:spacing w:after="0" w:line="23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within Energy decreased approximately $5.2 million to $20.3 million, or 24.0% of sales, in the six months ended June 30, 2017, as compared to $25.5 million, or 30.1% of sales, in the six months ended June 30, 2016. Selling, general and administrative expenses decreased by approximately $2.0 million as a result of lower costs related to previously closed facilities in the first half of 2017 as compared to the first half of 2016, approximately $1.0 million as a result of an increase in reserves for past due accounts receivable in the first half of 2016 that did not repeat in the first half of 2017, and by approximately $0.8 million as a result of lower third-party professional fees. The remaining $1.4 million decrease was primarily due to lower ongoing costs associated with the Company's current operating footprint following completion of significant realignment activities.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operating loss within Energy decreased approximately $2.9 million to a $3.8 million loss, or 4.5% of sales, in the six months ended June 30, 2017, as compared to a $6.7 million loss, or 7.9% of sales, in the six months ended June 30, 2016, as a result of lower selling, general and administrative expenses related to prior footprint realignment activities, improved manufacturing efficiencies and lower bad debt expense, which more than offset the costs incurred associated with the closure of our Reynosa, Mexico facility.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Engineered Components. </w:t>
      </w:r>
      <w:r>
        <w:rPr>
          <w:rFonts w:ascii="Arial" w:cs="Arial" w:eastAsia="Arial" w:hAnsi="Arial"/>
          <w:sz w:val="18"/>
          <w:szCs w:val="18"/>
          <w:color w:val="auto"/>
        </w:rPr>
        <w:t>Net sales for the six months ended June 30, 2017 decreased approximately $2.6 million, or 3.8%, to $66.1 million,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$68.7 million in the six months ended June 30, 2016. Sales of our industrial cylinders decreased by approximately $3.7 million, primarily due to the impact of certain of our large customers consolidating operations and lowering their current sales demand. Sales of our oil-field engines and compression-related products increased by approximately $1.1 million primarily due to increases in drilling activity in the United States and Canada and the continued stabilization of oil prices.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within Engineered Components decreased approximately $0.7 million to $13.7 million, or 20.7% of sales, in the six months ended June 30, 2017, from $14.4 million, or 21.0% of sales, in the six months ended June 30, 2016. Gross profit from sales of our industrial cylinders decreased approximately $1.5 million as a result of lower sales in the U.S. industrial packaged gas market. Gross profit from sales of our engines and compression-related products increased approximately $0.8 million due to higher sales levels and leveraging our lower fixed cost structure.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$1.0 million to $4.0 million, or 6.0% of sales, in the six months ended June 30, 2017, as compared to $5.0 million, or 7.3% of sales, in the six months ended June 30, 2016 primarily due to lowering our ongoing operating costs consistent with lower than historical demand levels.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profit within Engineered Components increased approximately $0.3 million to $9.7 million, or 14.7% of sales, in the six months ended June 30, 2017, as compared to operating profit of $9.4 million, or 13.7% of sales, in the six months ended June 30, 2016. Operating profit and related margin improved primarily due to increased sales levels of our oil-field engines and compression-related products and better leveraging of our lower fixed cost structure.</w:t>
      </w:r>
    </w:p>
    <w:p>
      <w:pPr>
        <w:spacing w:after="0" w:line="20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expenses</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expenses increased approximately $0.3 million to $14.2 million for the six months ended June 30, 2017, from $13.9 million for the six months ended June 30, 2016 primarily due to a favorable property tax assessment settlement of approximately $0.4 million for a former business unit during 2016 that did not repeat in 2017.</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$49.6 million for the six months ended June 30, 2017, as compared to approximately $32.9 million for the six months ended June 30, 2016. Significant changes in cash flows provided by operating activities and the reasons for such changes were as follows:</w:t>
      </w:r>
    </w:p>
    <w:p>
      <w:pPr>
        <w:spacing w:after="0" w:line="235" w:lineRule="exact"/>
        <w:rPr>
          <w:sz w:val="20"/>
          <w:szCs w:val="20"/>
          <w:color w:val="auto"/>
        </w:rPr>
      </w:pPr>
    </w:p>
    <w:p>
      <w:pPr>
        <w:jc w:val="both"/>
        <w:ind w:left="98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six months ended June 30, 2017, the Company generated approximately $53.9 million of cash, based on the reported net income of approximately $21.8 million and after considering the effects of non-cash items related to losses on dispositions of assets, depreciation, amortization, changes in deferred income taxes, stock-based compensation and other operating activities. For the six months ended June 30, 2016, the Company generated approximately $46.5 million in cash flows based on the reported net income of approximately $18.8 million and after considering the effects of similar non-cash items.</w:t>
      </w:r>
    </w:p>
    <w:p>
      <w:pPr>
        <w:spacing w:after="0" w:line="24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$11.5 million and $3.7 million for the six months ended June 30, 2017 and 2016, respectively. The increased use of cash for each of the six month periods is due primarily to the timing of sales and collection of cash within the periods. Days sales outstanding of receivables decreased by three days as of June 30, 2017 as compared to June 30, 2016, primarily as a result of our increased focus on collections activity.</w:t>
      </w:r>
    </w:p>
    <w:p>
      <w:pPr>
        <w:spacing w:after="0" w:line="24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six months ended June 30, 2017, we reduced our investment in inventory by approximately $2.9 million, primarily as a result of our footprint consolidation and relocation projects and our increased focus on working capital management, as we did not need to make significant investments in additional inventory despite the increase in sales. For the six months ended June 30, 2016, we reduced our investment in inventory by approximately $1.1 million.</w:t>
      </w:r>
    </w:p>
    <w:p>
      <w:pPr>
        <w:spacing w:after="0" w:line="24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$6.3 million and $10.7 million for the six months ended June 30, 2017 and 2016, respectively, primarily as a result of the timing of payments made for income taxes and certain operating expenses.</w:t>
      </w:r>
    </w:p>
    <w:p>
      <w:pPr>
        <w:spacing w:after="0" w:line="23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Decreases in accounts payable and accrued liabilities resulted in a cash use of approximately $1.9 million and $21.7 million for the six months ended June 30, 2017 and 2016, respectively. The change in cash used for accounts payable and accrued liabilities is primarily a result of higher levels of purchases in 2017, as well as the timing of payments made to suppliers and the mix of vendors and related terms. There was no significant change in our days accounts payable on hand as of June 30, 2017 compared to June 30,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six months ended June 30, 2017 and 2016 was approximately $15.1 million and $12.8 million, respectively. During the first six months of 2017, we incurred approximately $16.9 million in capital expenditures, as we have continued our investment in growth, capacity and productivity-related capital projects. Cash received from the disposition of property and equipment was approximately $1.8 million. During the first six months of 2016, we incurred approximately $13.0 million in capital expenditures and received cash from the disposition of property and equipment of approximately $0.1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for the six months ended June 30, 2017 and 2016 was approximately $32.5 million and $15.9 million, respectively. During the first six months of 2017, we made net repayments of approximately $24.9 million on our revolving credit and accounts receivable facilities, and repaid approximately $6.9 million on our term loan. We also used a net cash amount of approximately $0.5 million related to our stock compensation arrangements. During the first six months of 2016, we made net repayments of approximately $8.5 million on our revolving credit and accounts receivable facilities, and repaid approximately $7.0 million on our term loan. We also used a net cash amount of approximately $0.7 million related to our stock compensation arrangements.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a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 The Credit Agreement matures on June 30, 2020 and is subject to interest at London Interbank Offered Rates ("LIBOR") plus 1.625%. The interest rate spread is based upon the leverage ratio, as defined, as of the most recent determination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approximately $250.9 million was outstanding on the Term Loan A Facility and approximately $47.7 million was outstanding on the revolving credit facility. The Credit Agreement allows issuance of letters of credit, not to exceed $40.0 million in aggregate, against revolving credit facility commitments, of which approximately $16.3 million was outstanding at June 30, 2017.</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Agreement also provides for incremental term loan facility and/or revolving credit commitments, not to exceed the greater of $300.0 million and an amount such that, after giving effect to the making of such commitments and the incurrence of any other indebtedness substantially simultaneously with the making of such commitments, the senior secured net leverage ratio, as defined in the Credit Agreement, is no greater than 2.50 to 1.00. The terms and conditions of any incremental term loan and/or revolving credit facility commitments must be no more favorable than the existing credit facility.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required to prepay a portion of our Term Loan A Facility in an amount equal to a percentage of our excess cash flow, as defined, which such percentage will be based on our leverage ratio, as defined. As of June 30, 2017, no amounts are due under this provision.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Our permitted leverage ratio under the Credit Agreement is 3.50 to 1.00 as of June 30, 2017. If we were to complete an acquisition which qualifies for a Covenant Holiday Period, as defined in our Credit Agreement, then our permitted leverage ratio cannot exceed 4.00 to 1.00 during that period. Our actual leverage ratio was 2.34 to 1.00 at June 30, 2017. Our permitted interest expense coverage ratio under the Credit Agreement is 3.00 to 1.00 as of June 30, 2017. Our actual interest expense coverage ratio was 12.12 to 1.00 at June 30, 2017. At June 30, 2017, we were in compliance with our financial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2017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20" w:type="dxa"/>
            <w:vAlign w:val="bottom"/>
          </w:tcPr>
          <w:p>
            <w:pPr>
              <w:spacing w:after="0"/>
              <w:rPr>
                <w:sz w:val="17"/>
                <w:szCs w:val="17"/>
                <w:color w:val="auto"/>
              </w:rPr>
            </w:pPr>
          </w:p>
        </w:tc>
      </w:tr>
      <w:tr>
        <w:trPr>
          <w:trHeight w:val="210"/>
        </w:trPr>
        <w:tc>
          <w:tcPr>
            <w:tcW w:w="9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Ended June 30, 2017</w:t>
            </w: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(36,740)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13,940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45,730</w:t>
            </w: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Extraordinary non-cash charges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98,900</w:t>
            </w:r>
          </w:p>
        </w:tc>
      </w:tr>
      <w:tr>
        <w:trPr>
          <w:trHeight w:val="270"/>
        </w:trPr>
        <w:tc>
          <w:tcPr>
            <w:tcW w:w="9160" w:type="dxa"/>
            <w:vAlign w:val="bottom"/>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6,140</w:t>
            </w: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13,190</w:t>
            </w:r>
          </w:p>
        </w:tc>
      </w:tr>
      <w:tr>
        <w:trPr>
          <w:trHeight w:val="270"/>
        </w:trPr>
        <w:tc>
          <w:tcPr>
            <w:tcW w:w="9160" w:type="dxa"/>
            <w:vAlign w:val="bottom"/>
          </w:tcPr>
          <w:p>
            <w:pPr>
              <w:ind w:left="280"/>
              <w:spacing w:after="0" w:line="270" w:lineRule="exact"/>
              <w:rPr>
                <w:sz w:val="20"/>
                <w:szCs w:val="20"/>
                <w:color w:val="auto"/>
              </w:rPr>
            </w:pPr>
            <w:r>
              <w:rPr>
                <w:rFonts w:ascii="Arial" w:cs="Arial" w:eastAsia="Arial" w:hAnsi="Arial"/>
                <w:sz w:val="18"/>
                <w:szCs w:val="18"/>
                <w:color w:val="auto"/>
              </w:rPr>
              <w:t>Non-recurring expenses or costs relating to cost saving projects</w:t>
            </w:r>
            <w:r>
              <w:rPr>
                <w:rFonts w:ascii="Arial" w:cs="Arial" w:eastAsia="Arial" w:hAnsi="Arial"/>
                <w:sz w:val="25"/>
                <w:szCs w:val="25"/>
                <w:color w:val="auto"/>
                <w:vertAlign w:val="superscript"/>
              </w:rPr>
              <w:t>(2)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10,330</w:t>
            </w:r>
          </w:p>
        </w:tc>
      </w:tr>
      <w:tr>
        <w:trPr>
          <w:trHeight w:val="270"/>
        </w:trPr>
        <w:tc>
          <w:tcPr>
            <w:tcW w:w="9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6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151,840</w:t>
            </w:r>
          </w:p>
        </w:tc>
      </w:tr>
      <w:tr>
        <w:trPr>
          <w:trHeight w:val="20"/>
        </w:trPr>
        <w:tc>
          <w:tcPr>
            <w:tcW w:w="9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832"/>
        </w:trPr>
        <w:tc>
          <w:tcPr>
            <w:tcW w:w="9160" w:type="dxa"/>
            <w:vAlign w:val="bottom"/>
          </w:tcPr>
          <w:p>
            <w:pPr>
              <w:spacing w:after="0"/>
              <w:rPr>
                <w:sz w:val="24"/>
                <w:szCs w:val="24"/>
                <w:color w:val="auto"/>
              </w:rPr>
            </w:pPr>
          </w:p>
        </w:tc>
        <w:tc>
          <w:tcPr>
            <w:tcW w:w="204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June 30, 2017</w:t>
            </w:r>
          </w:p>
        </w:tc>
        <w:tc>
          <w:tcPr>
            <w:tcW w:w="220" w:type="dxa"/>
            <w:vAlign w:val="bottom"/>
          </w:tcPr>
          <w:p>
            <w:pPr>
              <w:spacing w:after="0"/>
              <w:rPr>
                <w:sz w:val="24"/>
                <w:szCs w:val="24"/>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Consolidated Indebtedness, as defined</w:t>
            </w:r>
            <w:r>
              <w:rPr>
                <w:rFonts w:ascii="Arial" w:cs="Arial" w:eastAsia="Arial" w:hAnsi="Arial"/>
                <w:sz w:val="25"/>
                <w:szCs w:val="25"/>
                <w:color w:val="auto"/>
                <w:vertAlign w:val="superscript"/>
              </w:rPr>
              <w:t>(4)</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354,720</w:t>
            </w:r>
          </w:p>
        </w:tc>
        <w:tc>
          <w:tcPr>
            <w:tcW w:w="220" w:type="dxa"/>
            <w:vAlign w:val="bottom"/>
            <w:shd w:val="clear" w:color="auto" w:fill="CCEEFF"/>
          </w:tcPr>
          <w:p>
            <w:pPr>
              <w:spacing w:after="0"/>
              <w:rPr>
                <w:sz w:val="22"/>
                <w:szCs w:val="22"/>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151,840</w:t>
            </w:r>
          </w:p>
        </w:tc>
        <w:tc>
          <w:tcPr>
            <w:tcW w:w="220" w:type="dxa"/>
            <w:vAlign w:val="bottom"/>
          </w:tcPr>
          <w:p>
            <w:pPr>
              <w:spacing w:after="0"/>
              <w:rPr>
                <w:sz w:val="21"/>
                <w:szCs w:val="2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05"/>
        </w:trPr>
        <w:tc>
          <w:tcPr>
            <w:tcW w:w="9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20" w:type="dxa"/>
            <w:vAlign w:val="bottom"/>
          </w:tcPr>
          <w:p>
            <w:pPr>
              <w:spacing w:after="0"/>
              <w:rPr>
                <w:sz w:val="24"/>
                <w:szCs w:val="24"/>
                <w:color w:val="auto"/>
              </w:rPr>
            </w:pPr>
          </w:p>
        </w:tc>
      </w:tr>
      <w:tr>
        <w:trPr>
          <w:trHeight w:val="210"/>
        </w:trPr>
        <w:tc>
          <w:tcPr>
            <w:tcW w:w="9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Ended June 30, 2017</w:t>
            </w: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13,940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amounts attributable to amortization of financing costs</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6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12,530</w:t>
            </w:r>
          </w:p>
        </w:tc>
      </w:tr>
      <w:tr>
        <w:trPr>
          <w:trHeight w:val="20"/>
        </w:trPr>
        <w:tc>
          <w:tcPr>
            <w:tcW w:w="9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616"/>
        </w:trPr>
        <w:tc>
          <w:tcPr>
            <w:tcW w:w="9160" w:type="dxa"/>
            <w:vAlign w:val="bottom"/>
          </w:tcPr>
          <w:p>
            <w:pPr>
              <w:spacing w:after="0"/>
              <w:rPr>
                <w:sz w:val="24"/>
                <w:szCs w:val="24"/>
                <w:color w:val="auto"/>
              </w:rPr>
            </w:pPr>
          </w:p>
        </w:tc>
        <w:tc>
          <w:tcPr>
            <w:tcW w:w="204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June 30, 2017</w:t>
            </w:r>
          </w:p>
        </w:tc>
        <w:tc>
          <w:tcPr>
            <w:tcW w:w="220" w:type="dxa"/>
            <w:vAlign w:val="bottom"/>
          </w:tcPr>
          <w:p>
            <w:pPr>
              <w:spacing w:after="0"/>
              <w:rPr>
                <w:sz w:val="24"/>
                <w:szCs w:val="24"/>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151,840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21"/>
                <w:szCs w:val="2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interest expense coverage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restricted shares and units of common stock and common stock options.</w:t>
      </w:r>
    </w:p>
    <w:p>
      <w:pPr>
        <w:spacing w:after="0" w:line="271" w:lineRule="exact"/>
        <w:rPr>
          <w:rFonts w:ascii="Arial" w:cs="Arial" w:eastAsia="Arial" w:hAnsi="Arial"/>
          <w:sz w:val="9"/>
          <w:szCs w:val="9"/>
          <w:color w:val="auto"/>
        </w:rPr>
      </w:pPr>
    </w:p>
    <w:p>
      <w:pPr>
        <w:ind w:left="180" w:hanging="172"/>
        <w:spacing w:after="0" w:line="273"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Non-recurring costs and expenses relating to cost savings projects, including restructuring and severance expenses, not to exceed $15.0 million in any fiscal year and $40.0 million in aggregate, subsequent to June 30, 2015.</w:t>
      </w:r>
    </w:p>
    <w:p>
      <w:pPr>
        <w:spacing w:after="0" w:line="227"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and expenses arising from the integration of any business acquired not to exceed $15.0 million in any fiscal year and $40.0 million in the aggregate.</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has ranged from approximately $49 million to $66 million, depending on the level of our receivables outstanding at a given point in time during the year. We had approximately $52.0 million and $45.5 million outstanding under the facility as of June 30, 2017 and December 31, 2016, respectively, and approximately $9.8 million and $10.1 million available but not utilized as of June 30, 2017 and December 31, 2016, respectively. At June 30, 2017, we had approximately $47.7 million outstanding under our revolving credit facility and had approximately $436.0 million potentially available after giving effect to approximately $16.3 million of letters of credit issued and outstanding. At December 31, 2016, we had approximately $75.9 million outstanding under our revolving credit facility and had approximately $408.2 million potentially available after giving effect to approximately $15.9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June 30, 2017 and December 31, 2016, we had approximately $176.7 million and $126.5 million, respectively, of borrowing capacity available for general corporate purposes.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foreign subsidiaries to pay down amounts outstanding under our revolving credit and accounts receivable facilities.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combined weighted average monthly amounts outstanding on our Credit Agreement and accounts receivable facilities during the first six months of 2017 approximated $404.0 million, compared to the weighted average monthly amounts outstanding during the first six months of 2016 of approximately $469.2 million. The overall decrease is primarily due to cash generated and used to repay amounts outstanding on our revolving credit facilities.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June 30, 2017 is located in jurisdictions outside the U.S., given aggregate available funding under our revolving credit and accounts receivable facilities of $176.7 million at June 30, 2017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exposure to interest rate risk results from the variable rates under our Credit Agreement. Borrowings under the Credit Agreement bear interest at various rates, as more fully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to our consolidated financial statements included in Part I, Item 1 of this quarterly report on Form 10-Q. We use interest rate swap agreements to fix the LIBOR-based variable portion of the interest rates on our term loan facility. As of June 30, 2017, we had interest rate swap agreements in place that hedge a declining notional value of debt ranging from approximately $238.4 million to approximately $192.7 million, with established fixed interest rates in a range of 0.74% to 2.68%, with various expiration terms extending to June 30, 2020.</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variable interest rates on our term loan, revolving credit and accounts receivable facilities. At June 30, 2017, 1-Month LIBOR approximated 1.22%. Based on our variable rate-based borrowings outstanding at June 30, 2017, and after consideration of the interest rate swap agreement associated with our Term Loan A Facility, a 1% increase in the per annum interest rate would increase our interest expense by approximately $1.1 million annually.</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$3.4 million due each fiscal quarter from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$17.4 million in 2016. We expect to continue to utilize leasing as a financing strategy in the future to meet capital expenditure needs and to reduce debt levels.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use interest rate swap agreements to fix the variable portion of our debt to manage this risk. See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9, 2017, Moody's affirmed a rating of Ba3 to our senior secured credit facilities, as presented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Part I, Item 1, </w:t>
      </w:r>
      <w:r>
        <w:rPr>
          <w:rFonts w:ascii="Arial" w:cs="Arial" w:eastAsia="Arial" w:hAnsi="Arial"/>
          <w:sz w:val="17"/>
          <w:szCs w:val="17"/>
          <w:i w:val="1"/>
          <w:iCs w:val="1"/>
          <w:color w:val="auto"/>
        </w:rPr>
        <w:t>"Notes to Unaudited Consolidated Financial Statements"</w:t>
      </w:r>
      <w:r>
        <w:rPr>
          <w:rFonts w:ascii="Arial" w:cs="Arial" w:eastAsia="Arial" w:hAnsi="Arial"/>
          <w:sz w:val="17"/>
          <w:szCs w:val="17"/>
          <w:color w:val="auto"/>
        </w:rPr>
        <w:t xml:space="preserve"> within this quarterly report on Form 10-Q. Moody's also affirmed a Ba3 to our Corporate Family Rating and maintained its outlook as stable. On June 23, 2017, Standard &amp; Poor's affirmed a BB- corporate credit rating to our credit facilities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past few years have been a period of significant change for TriMas, with portfolio reshaping as part of spinning-off our former Cequent business in 2015, various acquisitions within our Packaging and Aerospace businesses and significant reductions in our fixed cost structure in response to challenging macroeconomic conditions. In addition, we underwent a CEO leadership transition in July 2016, and have a renewed focus on optimizing the financial performance of our current portfolio of businesses. We have also implemented a redefined TriMas Business Model that establishes the major tenants of how we now operate in 2017 and will in future years.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remain cautiously optimistic about the possibility for growth in 2017, particularly focused on growth programs in our Packaging and Aerospace reportable segments, and have realized year-over-year growth in both of these segments during the first half of 2017. In addition, while uncertainty still exists with respect to the broader macroeconomic environment, there are signs of stabilization in certain of our key end markets, most notably within the Aerospace distribution channel, where year-over-year sales increased in the first half of 2017 compared to the first half of 2016, and increased quoting activity for upstream oil and gas-related business. There remains the potential that the new U.S. presidential administration might accelerate the U.S. industrial economy, which would benefit us given a majority of our sales and production is in the U.S. While these additional factors would be positive for TriMas, we are not counting on significant market improvement. Rather, we remain focused on managing internal projects that we control, including continued application of the TriMas Business Model within Energy and Aerospace to improve our manufacturing processes and product delivery, pruning our product portfolios to de-emphasize or no longer sell certain lower-margin products within certain regions, and seeking lower-cost sources for input costs, all while continuously assessing our manufacturing footprint and fixed cost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June 30, 2017,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2016.</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completing our 2016 assessment of goodwill and indefinite-lived intangible assets, the fair value of the Aerospace reporting unit equaled carrying value following our recognition of goodwill and intangible asset impairment charges in the fourth quarter of 2016. All other reporting units with goodwill had an implied fair value greater than carrying value by more than 89% in our last quantitative assessment. The amount of remaining goodwill attributable to the Aerospace reporting unit was approximately $146.4 million as of each of June 30, 2017 and December 31, 2016. We have not identified any events or changes in circumstances that could reasonably be expected to have an other than temporary effect on the significant assumptions used in estimating the fair value of our Aerospace or other reporting units with goodwill.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and Note 8,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2017,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2017, the Company's disclosure controls and procedures are effective to provide reasonable assurance that they would meet their objectives.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June 30, 2017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2016, which could materially affect our business, financial condition or future results. There have been no significant changes in our risk factors as disclosed in our 2016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Company’s Annual Meeting of Stockholders on May 16, 2017, the stockholders of the Company approved the TriMas Corporation 2017 Equity and Incentive Compensation Plan (the “2017 Plan”). The following description of the 2017 Plan is qualified in its entirety by reference to the 2017 Plan, which is filed as Exhibit 10.1 to this report and incorporated herein by reference.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the 2017 Plan will be administered by the Compensation Committee (the “Compensation Committee”) of the Company’s Board of Directors (the “Board”) (or its successor) or any other committee of the Board designated by the Board, as applicable. The Compensation Committee may from time to time delegate all or any part of its authority under the 2017 Plan to a subcommittee. The 2017 Plan will enable the Compensation Committee to provide equity and incentive compensation to (1) the Company’s officers and other key employees (and those of its subsidiaries), including persons who have agreed to commence serving in such capacity within 90 days of the grant of the applicable award, (2) the Company’s non-employee directors and (3) certain other individuals who provide employee-type services. Pursuant to the 2017 Plan, the Company may grant equity-based or cash compensation generally in form of stock options, appreciation rights, restricted stock, restricted stock units, performance shares, performance units, dividend equivalents, other stock-based awards and cash incentive awards upon terms and conditions as further described in the 2017 Plan. The 2017 Plan will permit the Company to grant awards that may be able to qualify as “qualified performance-based compensation” under Section 162(m) of the Internal Revenue Code of 1986, as amended (“Section 162(m)”) and awards that are not intended to so qualify.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adjustment as described in the 2017 Plan, and subject to the 2017 Plan’s share counting rules, a total of 2,000,000 shares of common stock are available for awards granted under the 2017 Plan. These shares may be shares of original issuance or treasury shares, or a combination of both. The aggregate number of shares available under the 2017 Plan will be reduced by one share of common stock for every one share subject to an award granted under the 2017 Plan. Shares underlying certain awards under the 2017 Plan that expire or are forfeited, cancelled or settled for cash (or are unearned) will again be available under the 2017 Plan, as further described in the 2017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2017 Plan also provides that, subject to adjustment as described in the 2017 Plan:</w:t>
      </w:r>
    </w:p>
    <w:p>
      <w:pPr>
        <w:spacing w:after="0" w:line="225"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shares of common stock actually issued or transferred upon the exercise of incentive stock options will not exceed 2,000,000 shares of common stock;</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participant will be granted stock options and/or appreciation rights, in the aggregate, for more than 750,000 shares of common stock during any calendar year, except that such limit is multiplied by two for a participant’s first year of service with the Company or any subsidiary;</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participant will be granted awards of restricted stock, restricted stock units, performance shares and/or other stock-based awards that are intended to qualify as “qualified performance-based compensation” under Section 162(m) (“Qualified Performance-Based Awards”), in the aggregate, for more than 750,000 shares of common stock during any calendar year, except that such limit is multiplied by two for a participant’s first year of service with the Company or any subsidiary;</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participant in any calendar year will receive an award of performance units and/or certain other awards payable in cash (excluding cash incentive awards) that are Qualified Performance-Based Awards having an aggregate maximum value as of their respective grant dates in excess of $4,000,000, except that such limit is multiplied by two for a participant’s first year of service with the Company or any subsidiary; and</w:t>
      </w:r>
    </w:p>
    <w:p>
      <w:pPr>
        <w:spacing w:after="0" w:line="165"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generally, no non-employee director will be granted, in any period of one calendar year, awards under the 2017 Plan having an aggregate maximum value at the date of grant (calculating the value of any such awards based on the grant date fair value for financial reporting purposes), taken together with any cash fees payable to the non-employee director for the calendar year, in excess of $500,000 ($600,000 with respect to a non-executive chairperson), except that such limit may be increased to $650,000 ($750,000 with respect to a non-executive chairperson).</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2017 Plan permits the Compensation Committee to make certain performance-based awards to participants under the 2017 Plan, which awards will be earned based upon the achievement of management objectives. The management objectives underlying each such award will be determined by the Compensation Committee based on one or more, or a combination, of the following metrics if the award is a Qualified Performance-Based Award:</w:t>
      </w:r>
    </w:p>
    <w:p>
      <w:pPr>
        <w:spacing w:after="0" w:line="166" w:lineRule="exact"/>
        <w:rPr>
          <w:sz w:val="20"/>
          <w:szCs w:val="20"/>
          <w:color w:val="auto"/>
        </w:rPr>
      </w:pPr>
    </w:p>
    <w:p>
      <w:pPr>
        <w:jc w:val="both"/>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Profits (e.g., gross profit, gross profit growth, operating income, earnings before or after deduction for all or any 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Cash Flow (e.g., actual or adjusted earnings before or after interest, taxes, depreciation and/or amortization (including 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Returns (e.g., profits or cash flow returns on: assets, investment, capital, invested capital, net capital employed, equity, or sales);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(e.g., working capital targets, working capital divided by sales, days’ sales outstanding, days’ sales inventory, or days’ sales in payables);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Profit Margins (e.g., profits divided by revenues or gross margins and material margins divided by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Measures (e.g., debt-to-capital, debt-to-EBITDA, or total debt ratio);</w:t>
      </w:r>
    </w:p>
    <w:p>
      <w:pPr>
        <w:spacing w:after="0" w:line="225"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Sales Growth, Gross Margin Growth, Cost Initiative and Stock Price Metrics (e.g., revenue, net revenue, revenue 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14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Strategic Initiative Key Deliverable Metrics consisting of one or more of the following: product development; 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Board generally will be able to amend the 2017 Plan, subject to stockholder approval in certain circumstances as described in the 2017 Plan.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380" w:type="dxa"/>
            <w:vAlign w:val="bottom"/>
            <w:gridSpan w:val="2"/>
          </w:tcPr>
          <w:p>
            <w:pPr>
              <w:spacing w:after="0"/>
              <w:rPr>
                <w:sz w:val="20"/>
                <w:szCs w:val="20"/>
                <w:color w:val="auto"/>
              </w:rPr>
            </w:pPr>
            <w:r>
              <w:rPr>
                <w:rFonts w:ascii="Arial" w:cs="Arial" w:eastAsia="Arial" w:hAnsi="Arial"/>
                <w:sz w:val="18"/>
                <w:szCs w:val="18"/>
                <w:b w:val="1"/>
                <w:bCs w:val="1"/>
                <w:color w:val="auto"/>
              </w:rPr>
              <w:t>Exhibits Index:</w:t>
            </w:r>
          </w:p>
        </w:tc>
      </w:tr>
      <w:tr>
        <w:trPr>
          <w:trHeight w:val="59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660" w:type="dxa"/>
            <w:vAlign w:val="bottom"/>
          </w:tcPr>
          <w:p>
            <w:pPr>
              <w:ind w:left="1040"/>
              <w:spacing w:after="0"/>
              <w:rPr>
                <w:sz w:val="20"/>
                <w:szCs w:val="20"/>
                <w:color w:val="auto"/>
              </w:rPr>
            </w:pPr>
            <w:r>
              <w:rPr>
                <w:rFonts w:ascii="Arial" w:cs="Arial" w:eastAsia="Arial" w:hAnsi="Arial"/>
                <w:sz w:val="18"/>
                <w:szCs w:val="18"/>
                <w:color w:val="auto"/>
              </w:rPr>
              <w:t>Fourth Amended and Restated Certificate of Incorporation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660" w:type="dxa"/>
            <w:vAlign w:val="bottom"/>
          </w:tcPr>
          <w:p>
            <w:pPr>
              <w:ind w:left="1040"/>
              <w:spacing w:after="0"/>
              <w:rPr>
                <w:sz w:val="20"/>
                <w:szCs w:val="20"/>
                <w:color w:val="auto"/>
              </w:rPr>
            </w:pPr>
            <w:r>
              <w:rPr>
                <w:rFonts w:ascii="Arial" w:cs="Arial" w:eastAsia="Arial" w:hAnsi="Arial"/>
                <w:sz w:val="18"/>
                <w:szCs w:val="18"/>
                <w:color w:val="auto"/>
              </w:rPr>
              <w:t>Third Amended and Restated By-laws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w:t>
            </w:r>
          </w:p>
        </w:tc>
        <w:tc>
          <w:tcPr>
            <w:tcW w:w="10660" w:type="dxa"/>
            <w:vAlign w:val="bottom"/>
          </w:tcPr>
          <w:p>
            <w:pPr>
              <w:ind w:left="1040"/>
              <w:spacing w:after="0"/>
              <w:rPr>
                <w:sz w:val="20"/>
                <w:szCs w:val="20"/>
                <w:color w:val="auto"/>
              </w:rPr>
            </w:pPr>
            <w:r>
              <w:rPr>
                <w:rFonts w:ascii="Arial" w:cs="Arial" w:eastAsia="Arial" w:hAnsi="Arial"/>
                <w:sz w:val="18"/>
                <w:szCs w:val="18"/>
                <w:color w:val="auto"/>
              </w:rPr>
              <w:t>TriMas Corporation 2017 Equity and Incentive Compensation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10660" w:type="dxa"/>
            <w:vAlign w:val="bottom"/>
          </w:tcPr>
          <w:p>
            <w:pPr>
              <w:ind w:left="1040"/>
              <w:spacing w:after="0"/>
              <w:rPr>
                <w:sz w:val="20"/>
                <w:szCs w:val="20"/>
                <w:color w:val="auto"/>
              </w:rPr>
            </w:pPr>
            <w:r>
              <w:rPr>
                <w:rFonts w:ascii="Arial" w:cs="Arial" w:eastAsia="Arial" w:hAnsi="Arial"/>
                <w:sz w:val="18"/>
                <w:szCs w:val="18"/>
                <w:color w:val="auto"/>
              </w:rPr>
              <w:t>Amendment No. 8, effective as of April 21, 2017, to the Amended and Restated Receivables Transfer Agreement.</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10660" w:type="dxa"/>
            <w:vAlign w:val="bottom"/>
          </w:tcPr>
          <w:p>
            <w:pPr>
              <w:ind w:left="1040"/>
              <w:spacing w:after="0"/>
              <w:rPr>
                <w:sz w:val="20"/>
                <w:szCs w:val="20"/>
                <w:color w:val="auto"/>
              </w:rPr>
            </w:pPr>
            <w:r>
              <w:rPr>
                <w:rFonts w:ascii="Arial" w:cs="Arial" w:eastAsia="Arial" w:hAnsi="Arial"/>
                <w:sz w:val="18"/>
                <w:szCs w:val="18"/>
                <w:color w:val="auto"/>
              </w:rPr>
              <w:t>Sixth Amended and Restated Fee Letter, dated as of April 21, 2017, among Wells Fargo Bank, National Association, as</w:t>
            </w:r>
          </w:p>
        </w:tc>
      </w:tr>
      <w:tr>
        <w:trPr>
          <w:trHeight w:val="216"/>
        </w:trPr>
        <w:tc>
          <w:tcPr>
            <w:tcW w:w="720" w:type="dxa"/>
            <w:vAlign w:val="bottom"/>
          </w:tcPr>
          <w:p>
            <w:pPr>
              <w:spacing w:after="0"/>
              <w:rPr>
                <w:sz w:val="18"/>
                <w:szCs w:val="18"/>
                <w:color w:val="auto"/>
              </w:rPr>
            </w:pPr>
          </w:p>
        </w:tc>
        <w:tc>
          <w:tcPr>
            <w:tcW w:w="10660" w:type="dxa"/>
            <w:vAlign w:val="bottom"/>
          </w:tcPr>
          <w:p>
            <w:pPr>
              <w:ind w:left="1040"/>
              <w:spacing w:after="0"/>
              <w:rPr>
                <w:sz w:val="20"/>
                <w:szCs w:val="20"/>
                <w:color w:val="auto"/>
              </w:rPr>
            </w:pPr>
            <w:r>
              <w:rPr>
                <w:rFonts w:ascii="Arial" w:cs="Arial" w:eastAsia="Arial" w:hAnsi="Arial"/>
                <w:sz w:val="18"/>
                <w:szCs w:val="18"/>
                <w:color w:val="auto"/>
                <w:w w:val="91"/>
              </w:rPr>
              <w:t>Administrative Agent, TSPC, Inc., as Transferor, TriMas Corporation, as Collection Agent, TriMas Company LLC, as Guarantor, and</w:t>
            </w:r>
          </w:p>
        </w:tc>
      </w:tr>
      <w:tr>
        <w:trPr>
          <w:trHeight w:val="230"/>
        </w:trPr>
        <w:tc>
          <w:tcPr>
            <w:tcW w:w="720" w:type="dxa"/>
            <w:vAlign w:val="bottom"/>
          </w:tcPr>
          <w:p>
            <w:pPr>
              <w:spacing w:after="0"/>
              <w:rPr>
                <w:sz w:val="20"/>
                <w:szCs w:val="20"/>
                <w:color w:val="auto"/>
              </w:rPr>
            </w:pPr>
          </w:p>
        </w:tc>
        <w:tc>
          <w:tcPr>
            <w:tcW w:w="10660" w:type="dxa"/>
            <w:vAlign w:val="bottom"/>
          </w:tcPr>
          <w:p>
            <w:pPr>
              <w:ind w:left="1040"/>
              <w:spacing w:after="0"/>
              <w:rPr>
                <w:sz w:val="20"/>
                <w:szCs w:val="20"/>
                <w:color w:val="auto"/>
              </w:rPr>
            </w:pPr>
            <w:r>
              <w:rPr>
                <w:rFonts w:ascii="Arial" w:cs="Arial" w:eastAsia="Arial" w:hAnsi="Arial"/>
                <w:sz w:val="18"/>
                <w:szCs w:val="18"/>
                <w:color w:val="auto"/>
              </w:rPr>
              <w:t>the persons from time to time party thereto as Purchasers.</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660" w:type="dxa"/>
            <w:vAlign w:val="bottom"/>
          </w:tcPr>
          <w:p>
            <w:pPr>
              <w:ind w:left="1040"/>
              <w:spacing w:after="0"/>
              <w:rPr>
                <w:sz w:val="20"/>
                <w:szCs w:val="20"/>
                <w:color w:val="auto"/>
              </w:rPr>
            </w:pPr>
            <w:r>
              <w:rPr>
                <w:rFonts w:ascii="Arial" w:cs="Arial" w:eastAsia="Arial" w:hAnsi="Arial"/>
                <w:sz w:val="18"/>
                <w:szCs w:val="18"/>
                <w:color w:val="auto"/>
                <w:w w:val="99"/>
              </w:rPr>
              <w:t>Certification pursuant to 18 U.S.C. Section 1350, as adopted pursuant to Section 302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660" w:type="dxa"/>
            <w:vAlign w:val="bottom"/>
          </w:tcPr>
          <w:p>
            <w:pPr>
              <w:ind w:left="1040"/>
              <w:spacing w:after="0"/>
              <w:rPr>
                <w:sz w:val="20"/>
                <w:szCs w:val="20"/>
                <w:color w:val="auto"/>
              </w:rPr>
            </w:pPr>
            <w:r>
              <w:rPr>
                <w:rFonts w:ascii="Arial" w:cs="Arial" w:eastAsia="Arial" w:hAnsi="Arial"/>
                <w:sz w:val="18"/>
                <w:szCs w:val="18"/>
                <w:color w:val="auto"/>
                <w:w w:val="99"/>
              </w:rPr>
              <w:t>Certification pursuant to 18 U.S.C. Section 1350, as adopted pursuant to Section 302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660" w:type="dxa"/>
            <w:vAlign w:val="bottom"/>
          </w:tcPr>
          <w:p>
            <w:pPr>
              <w:ind w:left="10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660" w:type="dxa"/>
            <w:vAlign w:val="bottom"/>
          </w:tcPr>
          <w:p>
            <w:pPr>
              <w:ind w:left="10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660" w:type="dxa"/>
            <w:vAlign w:val="bottom"/>
          </w:tcPr>
          <w:p>
            <w:pPr>
              <w:ind w:left="1040"/>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660" w:type="dxa"/>
            <w:vAlign w:val="bottom"/>
          </w:tcPr>
          <w:p>
            <w:pPr>
              <w:ind w:left="10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660" w:type="dxa"/>
            <w:vAlign w:val="bottom"/>
          </w:tcPr>
          <w:p>
            <w:pPr>
              <w:ind w:left="10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660" w:type="dxa"/>
            <w:vAlign w:val="bottom"/>
          </w:tcPr>
          <w:p>
            <w:pPr>
              <w:ind w:left="10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660" w:type="dxa"/>
            <w:vAlign w:val="bottom"/>
          </w:tcPr>
          <w:p>
            <w:pPr>
              <w:ind w:left="10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660" w:type="dxa"/>
            <w:vAlign w:val="bottom"/>
          </w:tcPr>
          <w:p>
            <w:pPr>
              <w:ind w:left="10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right="480" w:hanging="832"/>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right="480" w:hanging="832"/>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180" w:type="dxa"/>
            <w:vAlign w:val="bottom"/>
            <w:gridSpan w:val="2"/>
          </w:tcPr>
          <w:p>
            <w:pPr>
              <w:ind w:left="106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July 27, 2017</w:t>
            </w:r>
          </w:p>
        </w:tc>
        <w:tc>
          <w:tcPr>
            <w:tcW w:w="4180" w:type="dxa"/>
            <w:vAlign w:val="bottom"/>
            <w:gridSpan w:val="2"/>
          </w:tcPr>
          <w:p>
            <w:pPr>
              <w:ind w:left="106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00" w:type="dxa"/>
            <w:vAlign w:val="bottom"/>
          </w:tcPr>
          <w:p>
            <w:pPr>
              <w:spacing w:after="0"/>
              <w:rPr>
                <w:sz w:val="24"/>
                <w:szCs w:val="24"/>
                <w:color w:val="auto"/>
              </w:rPr>
            </w:pPr>
          </w:p>
        </w:tc>
        <w:tc>
          <w:tcPr>
            <w:tcW w:w="4180" w:type="dxa"/>
            <w:vAlign w:val="bottom"/>
            <w:gridSpan w:val="2"/>
          </w:tcPr>
          <w:p>
            <w:pPr>
              <w:jc w:val="right"/>
              <w:ind w:right="1020"/>
              <w:spacing w:after="0"/>
              <w:rPr>
                <w:sz w:val="20"/>
                <w:szCs w:val="20"/>
                <w:color w:val="auto"/>
              </w:rPr>
            </w:pPr>
            <w:r>
              <w:rPr>
                <w:rFonts w:ascii="Arial" w:cs="Arial" w:eastAsia="Arial" w:hAnsi="Arial"/>
                <w:sz w:val="18"/>
                <w:szCs w:val="18"/>
                <w:color w:val="auto"/>
              </w:rPr>
              <w:t>40</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ind w:firstLine="656"/>
        <w:spacing w:after="0" w:line="350" w:lineRule="auto"/>
        <w:tabs>
          <w:tab w:leader="none" w:pos="1459"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Purpose. </w:t>
      </w:r>
      <w:r>
        <w:rPr>
          <w:rFonts w:ascii="Arial" w:cs="Arial" w:eastAsia="Arial" w:hAnsi="Arial"/>
          <w:sz w:val="19"/>
          <w:szCs w:val="19"/>
          <w:color w:val="auto"/>
        </w:rPr>
        <w:t>The purpose of this Plan is to attract and retain non-employee Directors and officers and other key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of the Company and its Subsidiaries and to provide to such persons incentives and rewards for service or performance.</w:t>
      </w:r>
    </w:p>
    <w:p>
      <w:pPr>
        <w:spacing w:after="0" w:line="132" w:lineRule="exact"/>
        <w:rPr>
          <w:rFonts w:ascii="Arial" w:cs="Arial" w:eastAsia="Arial" w:hAnsi="Arial"/>
          <w:sz w:val="19"/>
          <w:szCs w:val="19"/>
          <w:color w:val="auto"/>
        </w:rPr>
      </w:pPr>
    </w:p>
    <w:p>
      <w:pPr>
        <w:ind w:left="1460" w:hanging="804"/>
        <w:spacing w:after="0"/>
        <w:tabs>
          <w:tab w:leader="none" w:pos="146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As used in this Plan:</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“Appreciation Right” means a right granted pursuant to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of this Plan.</w:t>
      </w:r>
    </w:p>
    <w:p>
      <w:pPr>
        <w:spacing w:after="0" w:line="266" w:lineRule="exact"/>
        <w:rPr>
          <w:rFonts w:ascii="Arial" w:cs="Arial" w:eastAsia="Arial" w:hAnsi="Arial"/>
          <w:sz w:val="22"/>
          <w:szCs w:val="22"/>
          <w:color w:val="auto"/>
        </w:rPr>
      </w:pPr>
    </w:p>
    <w:p>
      <w:pPr>
        <w:ind w:left="2200" w:hanging="895"/>
        <w:spacing w:after="0"/>
        <w:tabs>
          <w:tab w:leader="none" w:pos="22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“Base Price” means the price to be used as the basis for determining the Spread upon the exercise of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Appreciation Right.</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54" w:lineRule="exact"/>
        <w:rPr>
          <w:rFonts w:ascii="Arial" w:cs="Arial" w:eastAsia="Arial" w:hAnsi="Arial"/>
          <w:sz w:val="22"/>
          <w:szCs w:val="22"/>
          <w:color w:val="auto"/>
        </w:rPr>
      </w:pPr>
    </w:p>
    <w:p>
      <w:pPr>
        <w:ind w:left="2200" w:hanging="895"/>
        <w:spacing w:after="0"/>
        <w:tabs>
          <w:tab w:leader="none" w:pos="22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“Cash Incentive Award” means a cash award granted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“Change in Control” has the meaning set forth in </w:t>
      </w:r>
      <w:r>
        <w:rPr>
          <w:rFonts w:ascii="Arial" w:cs="Arial" w:eastAsia="Arial" w:hAnsi="Arial"/>
          <w:sz w:val="22"/>
          <w:szCs w:val="22"/>
          <w:b w:val="1"/>
          <w:bCs w:val="1"/>
          <w:u w:val="single" w:color="auto"/>
          <w:color w:val="auto"/>
        </w:rPr>
        <w:t>Section 12</w:t>
      </w:r>
      <w:r>
        <w:rPr>
          <w:rFonts w:ascii="Arial" w:cs="Arial" w:eastAsia="Arial" w:hAnsi="Arial"/>
          <w:sz w:val="22"/>
          <w:szCs w:val="22"/>
          <w:color w:val="auto"/>
        </w:rPr>
        <w:t xml:space="preserve"> of this Plan.</w:t>
      </w:r>
    </w:p>
    <w:p>
      <w:pPr>
        <w:spacing w:after="0" w:line="266" w:lineRule="exact"/>
        <w:rPr>
          <w:rFonts w:ascii="Arial" w:cs="Arial" w:eastAsia="Arial" w:hAnsi="Arial"/>
          <w:sz w:val="22"/>
          <w:szCs w:val="22"/>
          <w:color w:val="auto"/>
        </w:rPr>
      </w:pPr>
    </w:p>
    <w:p>
      <w:pPr>
        <w:ind w:left="2160" w:hanging="855"/>
        <w:spacing w:after="0"/>
        <w:tabs>
          <w:tab w:leader="none" w:pos="21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 from time to time.</w:t>
      </w:r>
    </w:p>
    <w:p>
      <w:pPr>
        <w:spacing w:after="0" w:line="260" w:lineRule="exact"/>
        <w:rPr>
          <w:rFonts w:ascii="Arial" w:cs="Arial" w:eastAsia="Arial" w:hAnsi="Arial"/>
          <w:sz w:val="22"/>
          <w:szCs w:val="22"/>
          <w:color w:val="auto"/>
        </w:rPr>
      </w:pPr>
    </w:p>
    <w:p>
      <w:pPr>
        <w:jc w:val="both"/>
        <w:ind w:firstLine="1305"/>
        <w:spacing w:after="0" w:line="271" w:lineRule="auto"/>
        <w:tabs>
          <w:tab w:leader="none" w:pos="2197" w:val="left"/>
        </w:tabs>
        <w:numPr>
          <w:ilvl w:val="1"/>
          <w:numId w:val="13"/>
        </w:numPr>
        <w:rPr>
          <w:rFonts w:ascii="Arial" w:cs="Arial" w:eastAsia="Arial" w:hAnsi="Arial"/>
          <w:sz w:val="21"/>
          <w:szCs w:val="21"/>
          <w:color w:val="auto"/>
        </w:rPr>
      </w:pPr>
      <w:r>
        <w:rPr>
          <w:rFonts w:ascii="Arial" w:cs="Arial" w:eastAsia="Arial" w:hAnsi="Arial"/>
          <w:sz w:val="21"/>
          <w:szCs w:val="21"/>
          <w:color w:val="auto"/>
        </w:rPr>
        <w:t xml:space="preserve">“Committee” means the Compensation Committee of the Board (or its successor(s)), or any other committee of the Board designated by the Board to administer this Plan pursuant to </w:t>
      </w: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 xml:space="preserve"> of this Plan, and to the extent of any delegation by the Committee to a subcommittee pursuant to </w:t>
      </w:r>
      <w:r>
        <w:rPr>
          <w:rFonts w:ascii="Arial" w:cs="Arial" w:eastAsia="Arial" w:hAnsi="Arial"/>
          <w:sz w:val="21"/>
          <w:szCs w:val="21"/>
          <w:b w:val="1"/>
          <w:bCs w:val="1"/>
          <w:u w:val="single" w:color="auto"/>
          <w:color w:val="auto"/>
        </w:rPr>
        <w:t>Section 10</w:t>
      </w:r>
      <w:r>
        <w:rPr>
          <w:rFonts w:ascii="Arial" w:cs="Arial" w:eastAsia="Arial" w:hAnsi="Arial"/>
          <w:sz w:val="21"/>
          <w:szCs w:val="21"/>
          <w:color w:val="auto"/>
        </w:rPr>
        <w:t xml:space="preserve"> of this Plan, such subcommittee.</w:t>
      </w:r>
    </w:p>
    <w:p>
      <w:pPr>
        <w:spacing w:after="0" w:line="208" w:lineRule="exact"/>
        <w:rPr>
          <w:rFonts w:ascii="Arial" w:cs="Arial" w:eastAsia="Arial" w:hAnsi="Arial"/>
          <w:sz w:val="21"/>
          <w:szCs w:val="21"/>
          <w:color w:val="auto"/>
        </w:rPr>
      </w:pPr>
    </w:p>
    <w:p>
      <w:pPr>
        <w:jc w:val="both"/>
        <w:ind w:firstLine="1305"/>
        <w:spacing w:after="0" w:line="253" w:lineRule="auto"/>
        <w:tabs>
          <w:tab w:leader="none" w:pos="2197"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“Common Stock” means the common stock, par value $0.01 per share, of the Company or any security into which such common stock may be changed by reason of any transaction or event of the type referred to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w:t>
      </w:r>
    </w:p>
    <w:p>
      <w:pPr>
        <w:spacing w:after="0" w:line="226" w:lineRule="exact"/>
        <w:rPr>
          <w:rFonts w:ascii="Arial" w:cs="Arial" w:eastAsia="Arial" w:hAnsi="Arial"/>
          <w:sz w:val="22"/>
          <w:szCs w:val="22"/>
          <w:color w:val="auto"/>
        </w:rPr>
      </w:pPr>
    </w:p>
    <w:p>
      <w:pPr>
        <w:ind w:left="2160" w:hanging="855"/>
        <w:spacing w:after="0"/>
        <w:tabs>
          <w:tab w:leader="none" w:pos="21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“Company” means TriMas Corporation, a Delaware corporation, and its successors.</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2149"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“Date of Grant” means the date specified by the Committee on which a grant of Option Rights, Appreciation Rights, Performance Shares, Performance Units, Cash Incentive Awards, or other awards contemplated by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of this Plan, or a grant or sale of Restricted Stock, Restricted Stock Units, or other awards contemplated by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of this Plan, will become</w:t>
      </w:r>
    </w:p>
    <w:p>
      <w:pPr>
        <w:sectPr>
          <w:pgSz w:w="11900" w:h="16838" w:orient="portrait"/>
          <w:cols w:equalWidth="0" w:num="1">
            <w:col w:w="11420"/>
          </w:cols>
          <w:pgMar w:left="240" w:top="585"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effective (which date will not be earlier than the date on which the Committee takes action with respect thereto).</w:t>
      </w:r>
    </w:p>
    <w:p>
      <w:pPr>
        <w:spacing w:after="0" w:line="260" w:lineRule="exact"/>
        <w:rPr>
          <w:sz w:val="20"/>
          <w:szCs w:val="20"/>
          <w:color w:val="auto"/>
        </w:rPr>
      </w:pPr>
    </w:p>
    <w:p>
      <w:pPr>
        <w:ind w:left="2200" w:hanging="895"/>
        <w:spacing w:after="0"/>
        <w:tabs>
          <w:tab w:leader="none" w:pos="22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“Director” means a member of the Board.</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“Effective Date” means the date this Plan is approved by the Stockholders.</w:t>
      </w:r>
    </w:p>
    <w:p>
      <w:pPr>
        <w:spacing w:after="0" w:line="260" w:lineRule="exact"/>
        <w:rPr>
          <w:rFonts w:ascii="Arial" w:cs="Arial" w:eastAsia="Arial" w:hAnsi="Arial"/>
          <w:sz w:val="22"/>
          <w:szCs w:val="22"/>
          <w:color w:val="auto"/>
        </w:rPr>
      </w:pPr>
    </w:p>
    <w:p>
      <w:pPr>
        <w:jc w:val="both"/>
        <w:ind w:firstLine="1305"/>
        <w:spacing w:after="0" w:line="302" w:lineRule="auto"/>
        <w:tabs>
          <w:tab w:leader="none" w:pos="2257" w:val="left"/>
        </w:tabs>
        <w:numPr>
          <w:ilvl w:val="0"/>
          <w:numId w:val="14"/>
        </w:numPr>
        <w:rPr>
          <w:rFonts w:ascii="Arial" w:cs="Arial" w:eastAsia="Arial" w:hAnsi="Arial"/>
          <w:sz w:val="19"/>
          <w:szCs w:val="19"/>
          <w:color w:val="auto"/>
        </w:rPr>
      </w:pPr>
      <w:r>
        <w:rPr>
          <w:rFonts w:ascii="Arial" w:cs="Arial" w:eastAsia="Arial" w:hAnsi="Arial"/>
          <w:sz w:val="19"/>
          <w:szCs w:val="19"/>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3" w:lineRule="exact"/>
        <w:rPr>
          <w:rFonts w:ascii="Arial" w:cs="Arial" w:eastAsia="Arial" w:hAnsi="Arial"/>
          <w:sz w:val="19"/>
          <w:szCs w:val="19"/>
          <w:color w:val="auto"/>
        </w:rPr>
      </w:pPr>
    </w:p>
    <w:p>
      <w:pPr>
        <w:ind w:right="20" w:firstLine="1305"/>
        <w:spacing w:after="0" w:line="263" w:lineRule="auto"/>
        <w:tabs>
          <w:tab w:leader="none" w:pos="2197"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 and the rules and regulations thereunder, as such law, rules and regulations may be amended from time to time.</w:t>
      </w:r>
    </w:p>
    <w:p>
      <w:pPr>
        <w:spacing w:after="0" w:line="215" w:lineRule="exact"/>
        <w:rPr>
          <w:rFonts w:ascii="Arial" w:cs="Arial" w:eastAsia="Arial" w:hAnsi="Arial"/>
          <w:sz w:val="22"/>
          <w:szCs w:val="22"/>
          <w:color w:val="auto"/>
        </w:rPr>
      </w:pPr>
    </w:p>
    <w:p>
      <w:pPr>
        <w:ind w:firstLine="1305"/>
        <w:spacing w:after="0" w:line="263" w:lineRule="auto"/>
        <w:tabs>
          <w:tab w:leader="none" w:pos="2197"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“Incentive Stock Option” means an Option Right that is intended to qualify as an “incentive stock option” under Section 422 of the Code or any successor provision.</w:t>
      </w:r>
    </w:p>
    <w:p>
      <w:pPr>
        <w:spacing w:after="0" w:line="215" w:lineRule="exact"/>
        <w:rPr>
          <w:rFonts w:ascii="Arial" w:cs="Arial" w:eastAsia="Arial" w:hAnsi="Arial"/>
          <w:sz w:val="22"/>
          <w:szCs w:val="22"/>
          <w:color w:val="auto"/>
        </w:rPr>
      </w:pPr>
    </w:p>
    <w:p>
      <w:pPr>
        <w:jc w:val="both"/>
        <w:ind w:firstLine="1305"/>
        <w:spacing w:after="0" w:line="287" w:lineRule="auto"/>
        <w:tabs>
          <w:tab w:leader="none" w:pos="2197"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“Management Objectives”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Management Objectives may be described in terms of Company-wide objectives or objectives that are related to the performance of the individual Participant or of one or more of the subsidiaries, divisions, departments, regions, functions or other organizational units within the Company or its Subsidiaries. The Management Objectives may be made relative to the performance of other companies or subsidiaries, divisions, departments, regions, functions or other organizational units within such other companies, and may be made relative to an index or one or more of the performance objectives themselves. The Committee may grant awards subject to Management Objectives that are either Qualified Performance-Based Awards or are not Qualified Performance-Based Awards. The Management Objectives applicable to any Qualified Performance-Based Award will be based on one or more, or a combination, of the following metrics (including relative or growth achievement regarding such metrics):</w:t>
      </w: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jc w:val="both"/>
        <w:ind w:left="2600" w:hanging="647"/>
        <w:spacing w:after="0" w:line="249" w:lineRule="auto"/>
        <w:tabs>
          <w:tab w:leader="none" w:pos="2600" w:val="left"/>
        </w:tabs>
        <w:numPr>
          <w:ilvl w:val="1"/>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Profits </w:t>
      </w:r>
      <w:r>
        <w:rPr>
          <w:rFonts w:ascii="Arial" w:cs="Arial" w:eastAsia="Arial" w:hAnsi="Arial"/>
          <w:sz w:val="22"/>
          <w:szCs w:val="22"/>
          <w:color w:val="auto"/>
        </w:rPr>
        <w:t>(e.g., gross profit, gross profit growth, operating income, earnings before or after deduction</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or any 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43" w:name="page44"/>
    <w:bookmarkEnd w:id="43"/>
    <w:p>
      <w:pPr>
        <w:jc w:val="both"/>
        <w:ind w:left="2600" w:hanging="647"/>
        <w:spacing w:after="0" w:line="249" w:lineRule="auto"/>
        <w:tabs>
          <w:tab w:leader="none" w:pos="260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(e.g., actual or adjusted earnings before or after interest, taxes, depreciation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amortization (including 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227" w:lineRule="exact"/>
        <w:rPr>
          <w:rFonts w:ascii="Arial" w:cs="Arial" w:eastAsia="Arial" w:hAnsi="Arial"/>
          <w:sz w:val="22"/>
          <w:szCs w:val="22"/>
          <w:color w:val="auto"/>
        </w:rPr>
      </w:pPr>
    </w:p>
    <w:p>
      <w:pPr>
        <w:ind w:left="2600" w:hanging="647"/>
        <w:spacing w:after="0" w:line="269" w:lineRule="auto"/>
        <w:tabs>
          <w:tab w:leader="none" w:pos="260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Returns </w:t>
      </w:r>
      <w:r>
        <w:rPr>
          <w:rFonts w:ascii="Arial" w:cs="Arial" w:eastAsia="Arial" w:hAnsi="Arial"/>
          <w:sz w:val="22"/>
          <w:szCs w:val="22"/>
          <w:color w:val="auto"/>
        </w:rPr>
        <w:t>(e.g., profits or cash flow returns on: assets, investment, capital, invested capital, net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employed, equity, or sales);</w:t>
      </w:r>
    </w:p>
    <w:p>
      <w:pPr>
        <w:spacing w:after="0" w:line="202" w:lineRule="exact"/>
        <w:rPr>
          <w:rFonts w:ascii="Arial" w:cs="Arial" w:eastAsia="Arial" w:hAnsi="Arial"/>
          <w:sz w:val="22"/>
          <w:szCs w:val="22"/>
          <w:color w:val="auto"/>
        </w:rPr>
      </w:pPr>
    </w:p>
    <w:p>
      <w:pPr>
        <w:ind w:left="2600" w:hanging="647"/>
        <w:spacing w:after="0" w:line="269" w:lineRule="auto"/>
        <w:tabs>
          <w:tab w:leader="none" w:pos="260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Working Capital </w:t>
      </w:r>
      <w:r>
        <w:rPr>
          <w:rFonts w:ascii="Arial" w:cs="Arial" w:eastAsia="Arial" w:hAnsi="Arial"/>
          <w:sz w:val="22"/>
          <w:szCs w:val="22"/>
          <w:color w:val="auto"/>
        </w:rPr>
        <w:t>(e.g., working capital targets, working capital divided by sales, days’ sales</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days’ sales inventory, or days’ sales in payables);</w:t>
      </w:r>
    </w:p>
    <w:p>
      <w:pPr>
        <w:spacing w:after="0" w:line="202" w:lineRule="exact"/>
        <w:rPr>
          <w:rFonts w:ascii="Arial" w:cs="Arial" w:eastAsia="Arial" w:hAnsi="Arial"/>
          <w:sz w:val="22"/>
          <w:szCs w:val="22"/>
          <w:color w:val="auto"/>
        </w:rPr>
      </w:pPr>
    </w:p>
    <w:p>
      <w:pPr>
        <w:ind w:left="2600" w:hanging="647"/>
        <w:spacing w:after="0" w:line="269" w:lineRule="auto"/>
        <w:tabs>
          <w:tab w:leader="none" w:pos="260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Profit Margins </w:t>
      </w:r>
      <w:r>
        <w:rPr>
          <w:rFonts w:ascii="Arial" w:cs="Arial" w:eastAsia="Arial" w:hAnsi="Arial"/>
          <w:sz w:val="22"/>
          <w:szCs w:val="22"/>
          <w:color w:val="auto"/>
        </w:rPr>
        <w:t>(e.g., profits divided by revenues or gross margins and material margins divided by</w:t>
      </w:r>
      <w:r>
        <w:rPr>
          <w:rFonts w:ascii="Arial" w:cs="Arial" w:eastAsia="Arial" w:hAnsi="Arial"/>
          <w:sz w:val="22"/>
          <w:szCs w:val="22"/>
          <w:b w:val="1"/>
          <w:bCs w:val="1"/>
          <w:color w:val="auto"/>
        </w:rPr>
        <w:t xml:space="preserve"> </w:t>
      </w:r>
      <w:r>
        <w:rPr>
          <w:rFonts w:ascii="Arial" w:cs="Arial" w:eastAsia="Arial" w:hAnsi="Arial"/>
          <w:sz w:val="22"/>
          <w:szCs w:val="22"/>
          <w:color w:val="auto"/>
        </w:rPr>
        <w:t>revenues);</w:t>
      </w:r>
    </w:p>
    <w:p>
      <w:pPr>
        <w:spacing w:after="0" w:line="202" w:lineRule="exact"/>
        <w:rPr>
          <w:rFonts w:ascii="Arial" w:cs="Arial" w:eastAsia="Arial" w:hAnsi="Arial"/>
          <w:sz w:val="22"/>
          <w:szCs w:val="22"/>
          <w:color w:val="auto"/>
        </w:rPr>
      </w:pPr>
    </w:p>
    <w:p>
      <w:pPr>
        <w:ind w:left="2600" w:hanging="647"/>
        <w:spacing w:after="0"/>
        <w:tabs>
          <w:tab w:leader="none" w:pos="260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Liquidity Measures </w:t>
      </w:r>
      <w:r>
        <w:rPr>
          <w:rFonts w:ascii="Arial" w:cs="Arial" w:eastAsia="Arial" w:hAnsi="Arial"/>
          <w:sz w:val="22"/>
          <w:szCs w:val="22"/>
          <w:color w:val="auto"/>
        </w:rPr>
        <w:t>(e.g., debt-to-capital, debt-to-EBITDA, or total debt ratio);</w:t>
      </w:r>
    </w:p>
    <w:p>
      <w:pPr>
        <w:spacing w:after="0" w:line="260" w:lineRule="exact"/>
        <w:rPr>
          <w:rFonts w:ascii="Arial" w:cs="Arial" w:eastAsia="Arial" w:hAnsi="Arial"/>
          <w:sz w:val="22"/>
          <w:szCs w:val="22"/>
          <w:color w:val="auto"/>
        </w:rPr>
      </w:pPr>
    </w:p>
    <w:p>
      <w:pPr>
        <w:jc w:val="both"/>
        <w:ind w:left="2600" w:hanging="647"/>
        <w:spacing w:after="0" w:line="264" w:lineRule="auto"/>
        <w:tabs>
          <w:tab w:leader="none" w:pos="2600"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Sales Growth, Gross Margin Growth, Cost Initiative and Stock Price Metrics </w:t>
      </w:r>
      <w:r>
        <w:rPr>
          <w:rFonts w:ascii="Arial" w:cs="Arial" w:eastAsia="Arial" w:hAnsi="Arial"/>
          <w:sz w:val="21"/>
          <w:szCs w:val="21"/>
          <w:color w:val="auto"/>
        </w:rPr>
        <w:t>(e.g., revenue, net</w:t>
      </w:r>
      <w:r>
        <w:rPr>
          <w:rFonts w:ascii="Arial" w:cs="Arial" w:eastAsia="Arial" w:hAnsi="Arial"/>
          <w:sz w:val="21"/>
          <w:szCs w:val="21"/>
          <w:b w:val="1"/>
          <w:bCs w:val="1"/>
          <w:color w:val="auto"/>
        </w:rPr>
        <w:t xml:space="preserve"> </w:t>
      </w:r>
      <w:r>
        <w:rPr>
          <w:rFonts w:ascii="Arial" w:cs="Arial" w:eastAsia="Arial" w:hAnsi="Arial"/>
          <w:sz w:val="21"/>
          <w:szCs w:val="21"/>
          <w:color w:val="auto"/>
        </w:rPr>
        <w:t>revenue, revenue 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211" w:lineRule="exact"/>
        <w:rPr>
          <w:rFonts w:ascii="Arial" w:cs="Arial" w:eastAsia="Arial" w:hAnsi="Arial"/>
          <w:sz w:val="21"/>
          <w:szCs w:val="21"/>
          <w:color w:val="auto"/>
        </w:rPr>
      </w:pPr>
    </w:p>
    <w:p>
      <w:pPr>
        <w:jc w:val="both"/>
        <w:ind w:left="2600" w:hanging="647"/>
        <w:spacing w:after="0" w:line="290" w:lineRule="auto"/>
        <w:tabs>
          <w:tab w:leader="none" w:pos="2600"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 xml:space="preserve">Strategic Initiative Key Deliverable Metrics </w:t>
      </w:r>
      <w:r>
        <w:rPr>
          <w:rFonts w:ascii="Arial" w:cs="Arial" w:eastAsia="Arial" w:hAnsi="Arial"/>
          <w:sz w:val="19"/>
          <w:szCs w:val="19"/>
          <w:color w:val="auto"/>
        </w:rPr>
        <w:t>consisting of one or more of the following: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196"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In the case of a Qualified Performance-Based Award, each Management Objective will be objectively determinable to the extent required under Section 162(m) of the Code,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9"/>
          <w:szCs w:val="19"/>
          <w:color w:val="auto"/>
        </w:rPr>
        <w:t>unless otherwise determined by the Committee and to the extent consistent with Code Section 162(m), will exclude the effects of certain designated items identified at the time of grant. Management Objectives that are financial metrics may be determined in accordance with United States Generally Accepted Accounting Principles (“GAAP”) or financial metrics that are based on, or able to be derived from GAAP, and may be adjusted when established (or to the extent permitted under Section 162(m) of the Code, at any time thereafter) to include or exclude any items otherwise includable or excludable under GAAP.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acceptable levels of achievement, in whole or in part, as the Committee deems appropriate and equitable, except in the case of a Qualified Performance-Based Award (other than in connection with a Participant’s death or disability or a Change in Control) where such action would result in the loss of the otherwise available exemption of the award under Section 162(m) of the Code.</w:t>
      </w:r>
    </w:p>
    <w:p>
      <w:pPr>
        <w:spacing w:after="0" w:line="155" w:lineRule="exact"/>
        <w:rPr>
          <w:sz w:val="20"/>
          <w:szCs w:val="20"/>
          <w:color w:val="auto"/>
        </w:rPr>
      </w:pPr>
    </w:p>
    <w:p>
      <w:pPr>
        <w:jc w:val="both"/>
        <w:ind w:left="660" w:firstLine="1293"/>
        <w:spacing w:after="0" w:line="290" w:lineRule="auto"/>
        <w:tabs>
          <w:tab w:leader="none" w:pos="2857" w:val="left"/>
        </w:tabs>
        <w:numPr>
          <w:ilvl w:val="1"/>
          <w:numId w:val="16"/>
        </w:numPr>
        <w:rPr>
          <w:rFonts w:ascii="Arial" w:cs="Arial" w:eastAsia="Arial" w:hAnsi="Arial"/>
          <w:sz w:val="19"/>
          <w:szCs w:val="19"/>
          <w:color w:val="auto"/>
        </w:rPr>
      </w:pPr>
      <w:r>
        <w:rPr>
          <w:rFonts w:ascii="Arial" w:cs="Arial" w:eastAsia="Arial" w:hAnsi="Arial"/>
          <w:sz w:val="19"/>
          <w:szCs w:val="19"/>
          <w:color w:val="auto"/>
        </w:rPr>
        <w:t>“Market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97" w:lineRule="exact"/>
        <w:rPr>
          <w:rFonts w:ascii="Arial" w:cs="Arial" w:eastAsia="Arial" w:hAnsi="Arial"/>
          <w:sz w:val="19"/>
          <w:szCs w:val="19"/>
          <w:color w:val="auto"/>
        </w:rPr>
      </w:pPr>
    </w:p>
    <w:p>
      <w:pPr>
        <w:ind w:left="2160" w:hanging="855"/>
        <w:spacing w:after="0"/>
        <w:tabs>
          <w:tab w:leader="none" w:pos="21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“Optionee” means the optionee named in an Evidence of Award evidencing an outstanding Option Right.</w:t>
      </w:r>
    </w:p>
    <w:p>
      <w:pPr>
        <w:spacing w:after="0" w:line="294" w:lineRule="exact"/>
        <w:rPr>
          <w:rFonts w:ascii="Arial" w:cs="Arial" w:eastAsia="Arial" w:hAnsi="Arial"/>
          <w:sz w:val="19"/>
          <w:szCs w:val="19"/>
          <w:color w:val="auto"/>
        </w:rPr>
      </w:pPr>
    </w:p>
    <w:p>
      <w:pPr>
        <w:ind w:left="2180" w:hanging="875"/>
        <w:spacing w:after="0"/>
        <w:tabs>
          <w:tab w:leader="none" w:pos="21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“Option Price” means the purchase price payable on exercise of an Option Right.</w:t>
      </w:r>
    </w:p>
    <w:p>
      <w:pPr>
        <w:spacing w:after="0" w:line="260" w:lineRule="exact"/>
        <w:rPr>
          <w:rFonts w:ascii="Arial" w:cs="Arial" w:eastAsia="Arial" w:hAnsi="Arial"/>
          <w:sz w:val="22"/>
          <w:szCs w:val="22"/>
          <w:color w:val="auto"/>
        </w:rPr>
      </w:pPr>
    </w:p>
    <w:p>
      <w:pPr>
        <w:ind w:firstLine="1305"/>
        <w:spacing w:after="0" w:line="263" w:lineRule="auto"/>
        <w:tabs>
          <w:tab w:leader="none" w:pos="2149"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“Option Right” means the right to purchase shares of Common Stock upon exercise of an award granted pursuant to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of this Plan.</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2197" w:val="left"/>
        </w:tabs>
        <w:numPr>
          <w:ilvl w:val="0"/>
          <w:numId w:val="17"/>
        </w:numPr>
        <w:rPr>
          <w:rFonts w:ascii="Arial" w:cs="Arial" w:eastAsia="Arial" w:hAnsi="Arial"/>
          <w:sz w:val="22"/>
          <w:szCs w:val="22"/>
          <w:color w:val="auto"/>
        </w:rPr>
      </w:pPr>
      <w:r>
        <w:rPr>
          <w:rFonts w:ascii="Arial" w:cs="Arial" w:eastAsia="Arial" w:hAnsi="Arial"/>
          <w:sz w:val="22"/>
          <w:szCs w:val="22"/>
          <w:color w:val="auto"/>
        </w:rPr>
        <w:t>“Participant” means a person who is selected by the Committee to receive benefits under this Plan and who is at the time (i) an officer or other key employee of the Company or any Subsidiary, including a person who has agreed to commence serving in such capacity within 90 days of the Date of Grant, (ii) a person who provides services to the Company or any Subsidiary that are equivalent to those typically provided by an employee (provided that such person satisfies the Form S-8 definition of an “employee”), or (iii) a non-employee Director.</w:t>
      </w:r>
    </w:p>
    <w:p>
      <w:pPr>
        <w:spacing w:after="0" w:line="232"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“Performance Period” means, in respect of a Cash Incentive Award, Performance Share or Performance Unit, a period of time established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22"/>
          <w:szCs w:val="22"/>
          <w:color w:val="auto"/>
        </w:rPr>
        <w:t>Plan within which the Management Objectives relating to such Cash Incentive Award, Performance Share or Performance Unit are to be achieved.</w:t>
      </w:r>
    </w:p>
    <w:p>
      <w:pPr>
        <w:spacing w:after="0" w:line="215" w:lineRule="exact"/>
        <w:rPr>
          <w:sz w:val="20"/>
          <w:szCs w:val="20"/>
          <w:color w:val="auto"/>
        </w:rPr>
      </w:pPr>
    </w:p>
    <w:p>
      <w:pPr>
        <w:ind w:firstLine="1305"/>
        <w:spacing w:after="0" w:line="263" w:lineRule="auto"/>
        <w:tabs>
          <w:tab w:leader="none" w:pos="2245"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“Performance Share” means a bookkeeping entry that records the equivalent of one share of Common Stock awarded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w:t>
      </w:r>
    </w:p>
    <w:p>
      <w:pPr>
        <w:spacing w:after="0" w:line="209" w:lineRule="exact"/>
        <w:rPr>
          <w:rFonts w:ascii="Arial" w:cs="Arial" w:eastAsia="Arial" w:hAnsi="Arial"/>
          <w:sz w:val="22"/>
          <w:szCs w:val="22"/>
          <w:color w:val="auto"/>
        </w:rPr>
      </w:pPr>
    </w:p>
    <w:p>
      <w:pPr>
        <w:ind w:right="20" w:firstLine="1305"/>
        <w:spacing w:after="0" w:line="269" w:lineRule="auto"/>
        <w:tabs>
          <w:tab w:leader="none" w:pos="2197"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“Performance Unit” means a bookkeeping entry awarded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 that records a unit equivalent to $1.00 or such other value as is determined by the Committee.</w:t>
      </w:r>
    </w:p>
    <w:p>
      <w:pPr>
        <w:spacing w:after="0" w:line="208" w:lineRule="exact"/>
        <w:rPr>
          <w:rFonts w:ascii="Arial" w:cs="Arial" w:eastAsia="Arial" w:hAnsi="Arial"/>
          <w:sz w:val="22"/>
          <w:szCs w:val="22"/>
          <w:color w:val="auto"/>
        </w:rPr>
      </w:pPr>
    </w:p>
    <w:p>
      <w:pPr>
        <w:ind w:left="2200" w:hanging="895"/>
        <w:spacing w:after="0"/>
        <w:tabs>
          <w:tab w:leader="none" w:pos="22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“Person” means any individual, entity, or group (within the meaning of Section 13(d)(3) or 14(d)(2)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Exchange Act).</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“Plan” means this TriMas Corporation 2017 Equity and Incentive Compensation Plan, as amended from</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242" w:lineRule="exact"/>
        <w:rPr>
          <w:sz w:val="20"/>
          <w:szCs w:val="20"/>
          <w:color w:val="auto"/>
        </w:rPr>
      </w:pPr>
    </w:p>
    <w:p>
      <w:pPr>
        <w:ind w:right="20" w:firstLine="1305"/>
        <w:spacing w:after="0" w:line="263" w:lineRule="auto"/>
        <w:tabs>
          <w:tab w:leader="none" w:pos="2281" w:val="left"/>
        </w:tabs>
        <w:numPr>
          <w:ilvl w:val="0"/>
          <w:numId w:val="19"/>
        </w:numPr>
        <w:rPr>
          <w:rFonts w:ascii="Arial" w:cs="Arial" w:eastAsia="Arial" w:hAnsi="Arial"/>
          <w:sz w:val="22"/>
          <w:szCs w:val="22"/>
          <w:color w:val="auto"/>
        </w:rPr>
      </w:pPr>
      <w:r>
        <w:rPr>
          <w:rFonts w:ascii="Arial" w:cs="Arial" w:eastAsia="Arial" w:hAnsi="Arial"/>
          <w:sz w:val="22"/>
          <w:szCs w:val="22"/>
          <w:color w:val="auto"/>
        </w:rPr>
        <w:t>“Predecessor Plans” means the TriMas Corporation 2011 Omnibus Incentive Compensation Plan, as amended, and the TriMas Corporation 2006 Long Term Equity Incentive Plan, as amended.</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1951"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“Qualified Performance-Based Award” means any Cash Incentive Award or award of Performance Shares, Performance Units, Restricted Stock, Restricted Stock Units or other awards contemplated under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of this Plan, or portion of such award, that is intended to satisfy the requirements for “qualified performance-based compensation” under Section 162(m) of the Code.</w:t>
      </w:r>
    </w:p>
    <w:p>
      <w:pPr>
        <w:spacing w:after="0" w:line="222" w:lineRule="exact"/>
        <w:rPr>
          <w:rFonts w:ascii="Arial" w:cs="Arial" w:eastAsia="Arial" w:hAnsi="Arial"/>
          <w:sz w:val="22"/>
          <w:szCs w:val="22"/>
          <w:color w:val="auto"/>
        </w:rPr>
      </w:pPr>
    </w:p>
    <w:p>
      <w:pPr>
        <w:ind w:firstLine="1305"/>
        <w:spacing w:after="0" w:line="269" w:lineRule="auto"/>
        <w:tabs>
          <w:tab w:leader="none" w:pos="1913"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“Restricted Stock” means shares of Common Stock granted or sold pursuant to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of this Plan as to which neither the substantial risk of forfeiture nor the prohibition on transfers has expired.</w:t>
      </w:r>
    </w:p>
    <w:p>
      <w:pPr>
        <w:spacing w:after="0" w:line="202" w:lineRule="exact"/>
        <w:rPr>
          <w:rFonts w:ascii="Arial" w:cs="Arial" w:eastAsia="Arial" w:hAnsi="Arial"/>
          <w:sz w:val="22"/>
          <w:szCs w:val="22"/>
          <w:color w:val="auto"/>
        </w:rPr>
      </w:pPr>
    </w:p>
    <w:p>
      <w:pPr>
        <w:ind w:firstLine="1305"/>
        <w:spacing w:after="0" w:line="269" w:lineRule="auto"/>
        <w:tabs>
          <w:tab w:leader="none" w:pos="1977"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“Restricted Stock Units” means an award made pursuant to </w:t>
      </w: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 xml:space="preserve"> of this Plan of the right to receive shares of Common Stock, cash or a combination thereof at the end of the applicable Restriction Period.</w:t>
      </w:r>
    </w:p>
    <w:p>
      <w:pPr>
        <w:spacing w:after="0" w:line="208" w:lineRule="exact"/>
        <w:rPr>
          <w:rFonts w:ascii="Arial" w:cs="Arial" w:eastAsia="Arial" w:hAnsi="Arial"/>
          <w:sz w:val="22"/>
          <w:szCs w:val="22"/>
          <w:color w:val="auto"/>
        </w:rPr>
      </w:pPr>
    </w:p>
    <w:p>
      <w:pPr>
        <w:ind w:firstLine="1305"/>
        <w:spacing w:after="0" w:line="263" w:lineRule="auto"/>
        <w:tabs>
          <w:tab w:leader="none" w:pos="1874"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“Restriction Period” means the period of time during which Restricted Stock Units are subject to restrictions, as provided in </w:t>
      </w:r>
      <w:r>
        <w:rPr>
          <w:rFonts w:ascii="Arial" w:cs="Arial" w:eastAsia="Arial" w:hAnsi="Arial"/>
          <w:sz w:val="22"/>
          <w:szCs w:val="22"/>
          <w:b w:val="1"/>
          <w:bCs w:val="1"/>
          <w:u w:val="single" w:color="auto"/>
          <w:color w:val="auto"/>
        </w:rPr>
        <w:t>Section 7</w:t>
      </w:r>
      <w:r>
        <w:rPr>
          <w:rFonts w:ascii="Arial" w:cs="Arial" w:eastAsia="Arial" w:hAnsi="Arial"/>
          <w:sz w:val="22"/>
          <w:szCs w:val="22"/>
          <w:color w:val="auto"/>
        </w:rPr>
        <w:t xml:space="preserve"> of this Plan.</w:t>
      </w:r>
    </w:p>
    <w:p>
      <w:pPr>
        <w:spacing w:after="0" w:line="215" w:lineRule="exact"/>
        <w:rPr>
          <w:rFonts w:ascii="Arial" w:cs="Arial" w:eastAsia="Arial" w:hAnsi="Arial"/>
          <w:sz w:val="22"/>
          <w:szCs w:val="22"/>
          <w:color w:val="auto"/>
        </w:rPr>
      </w:pPr>
    </w:p>
    <w:p>
      <w:pPr>
        <w:ind w:firstLine="1305"/>
        <w:spacing w:after="0" w:line="263" w:lineRule="auto"/>
        <w:tabs>
          <w:tab w:leader="none" w:pos="17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“Spread” means the excess of the Market Value per Share on the date when an Appreciation Right is exercised over the Base Price provided for with respect to the Appreciation Right.</w:t>
      </w:r>
    </w:p>
    <w:p>
      <w:pPr>
        <w:spacing w:after="0" w:line="215" w:lineRule="exact"/>
        <w:rPr>
          <w:rFonts w:ascii="Arial" w:cs="Arial" w:eastAsia="Arial" w:hAnsi="Arial"/>
          <w:sz w:val="22"/>
          <w:szCs w:val="22"/>
          <w:color w:val="auto"/>
        </w:rPr>
      </w:pPr>
    </w:p>
    <w:p>
      <w:pPr>
        <w:ind w:left="1880" w:hanging="575"/>
        <w:spacing w:after="0"/>
        <w:tabs>
          <w:tab w:leader="none" w:pos="18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“Stockholder” means an individual or entity that owns one or more shares of Common Stock.</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46" w:name="page47"/>
    <w:bookmarkEnd w:id="46"/>
    <w:p>
      <w:pPr>
        <w:jc w:val="both"/>
        <w:ind w:firstLine="1305"/>
        <w:spacing w:after="0" w:line="290" w:lineRule="auto"/>
        <w:tabs>
          <w:tab w:leader="none" w:pos="1886"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97" w:lineRule="exact"/>
        <w:rPr>
          <w:rFonts w:ascii="Arial" w:cs="Arial" w:eastAsia="Arial" w:hAnsi="Arial"/>
          <w:sz w:val="19"/>
          <w:szCs w:val="19"/>
          <w:color w:val="auto"/>
        </w:rPr>
      </w:pPr>
    </w:p>
    <w:p>
      <w:pPr>
        <w:jc w:val="both"/>
        <w:ind w:firstLine="1305"/>
        <w:spacing w:after="0" w:line="253" w:lineRule="auto"/>
        <w:tabs>
          <w:tab w:leader="none" w:pos="1831" w:val="left"/>
        </w:tabs>
        <w:numPr>
          <w:ilvl w:val="1"/>
          <w:numId w:val="20"/>
        </w:numPr>
        <w:rPr>
          <w:rFonts w:ascii="Arial" w:cs="Arial" w:eastAsia="Arial" w:hAnsi="Arial"/>
          <w:sz w:val="22"/>
          <w:szCs w:val="22"/>
          <w:color w:val="auto"/>
        </w:rPr>
      </w:pPr>
      <w:r>
        <w:rPr>
          <w:rFonts w:ascii="Arial" w:cs="Arial" w:eastAsia="Arial" w:hAnsi="Arial"/>
          <w:sz w:val="22"/>
          <w:szCs w:val="22"/>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220" w:lineRule="exact"/>
        <w:rPr>
          <w:rFonts w:ascii="Arial" w:cs="Arial" w:eastAsia="Arial" w:hAnsi="Arial"/>
          <w:sz w:val="22"/>
          <w:szCs w:val="22"/>
          <w:color w:val="auto"/>
        </w:rPr>
      </w:pPr>
    </w:p>
    <w:p>
      <w:pPr>
        <w:ind w:left="1460" w:hanging="804"/>
        <w:spacing w:after="0"/>
        <w:tabs>
          <w:tab w:leader="none" w:pos="146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Shares Available Under this Plan.</w:t>
      </w:r>
    </w:p>
    <w:p>
      <w:pPr>
        <w:spacing w:after="0" w:line="266" w:lineRule="exact"/>
        <w:rPr>
          <w:rFonts w:ascii="Arial" w:cs="Arial" w:eastAsia="Arial" w:hAnsi="Arial"/>
          <w:sz w:val="22"/>
          <w:szCs w:val="22"/>
          <w:color w:val="auto"/>
        </w:rPr>
      </w:pPr>
    </w:p>
    <w:p>
      <w:pPr>
        <w:ind w:left="1960" w:hanging="655"/>
        <w:spacing w:after="0"/>
        <w:tabs>
          <w:tab w:leader="none" w:pos="196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Maximum Shares Available Under this Plan</w:t>
      </w:r>
      <w:r>
        <w:rPr>
          <w:rFonts w:ascii="Arial" w:cs="Arial" w:eastAsia="Arial" w:hAnsi="Arial"/>
          <w:sz w:val="22"/>
          <w:szCs w:val="22"/>
          <w:color w:val="auto"/>
        </w:rPr>
        <w:t>.</w:t>
      </w:r>
    </w:p>
    <w:p>
      <w:pPr>
        <w:spacing w:after="0" w:line="254" w:lineRule="exact"/>
        <w:rPr>
          <w:rFonts w:ascii="Arial" w:cs="Arial" w:eastAsia="Arial" w:hAnsi="Arial"/>
          <w:sz w:val="22"/>
          <w:szCs w:val="22"/>
          <w:color w:val="auto"/>
        </w:rPr>
      </w:pPr>
    </w:p>
    <w:p>
      <w:pPr>
        <w:jc w:val="both"/>
        <w:ind w:left="2600" w:hanging="647"/>
        <w:spacing w:after="0" w:line="290" w:lineRule="auto"/>
        <w:tabs>
          <w:tab w:leader="none" w:pos="2600" w:val="left"/>
        </w:tabs>
        <w:numPr>
          <w:ilvl w:val="2"/>
          <w:numId w:val="21"/>
        </w:numPr>
        <w:rPr>
          <w:rFonts w:ascii="Arial" w:cs="Arial" w:eastAsia="Arial" w:hAnsi="Arial"/>
          <w:sz w:val="19"/>
          <w:szCs w:val="19"/>
          <w:color w:val="auto"/>
        </w:rPr>
      </w:pPr>
      <w:r>
        <w:rPr>
          <w:rFonts w:ascii="Arial" w:cs="Arial" w:eastAsia="Arial" w:hAnsi="Arial"/>
          <w:sz w:val="19"/>
          <w:szCs w:val="19"/>
          <w:color w:val="auto"/>
        </w:rPr>
        <w:t xml:space="preserve">Subject to adjustment as provided in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this Plan and the share counting rules set forth in </w:t>
      </w:r>
      <w:r>
        <w:rPr>
          <w:rFonts w:ascii="Arial" w:cs="Arial" w:eastAsia="Arial" w:hAnsi="Arial"/>
          <w:sz w:val="19"/>
          <w:szCs w:val="19"/>
          <w:b w:val="1"/>
          <w:bCs w:val="1"/>
          <w:u w:val="single" w:color="auto"/>
          <w:color w:val="auto"/>
        </w:rPr>
        <w:t>Section 3(b)</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the number of shares of Common Stock available under this Plan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awards of (A) Option Rights or Appreciation Rights, (B) Restricted Stock, (C) Restricted Stock Units, (D) Performance Shares or Performance Units, (E) awards contemplated by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or (F) dividend equivalents paid with respect to awards made under this Plan will not exceed in the aggregate (x) 2,000,000 shares of Common Stock minus (y) as of the Effective Date, one share of Common Stock for every one share of Common Stock subject to an award granted under the Predecessor Plans between March 14, 2017 and the Effective Date. Such shares may be shares of original issuance or treasury shares or a combination of the foregoing.</w:t>
      </w:r>
    </w:p>
    <w:p>
      <w:pPr>
        <w:spacing w:after="0" w:line="189" w:lineRule="exact"/>
        <w:rPr>
          <w:rFonts w:ascii="Arial" w:cs="Arial" w:eastAsia="Arial" w:hAnsi="Arial"/>
          <w:sz w:val="19"/>
          <w:szCs w:val="19"/>
          <w:color w:val="auto"/>
        </w:rPr>
      </w:pPr>
    </w:p>
    <w:p>
      <w:pPr>
        <w:jc w:val="both"/>
        <w:ind w:left="2600" w:hanging="647"/>
        <w:spacing w:after="0" w:line="256" w:lineRule="auto"/>
        <w:tabs>
          <w:tab w:leader="none" w:pos="2600" w:val="left"/>
        </w:tabs>
        <w:numPr>
          <w:ilvl w:val="2"/>
          <w:numId w:val="21"/>
        </w:numPr>
        <w:rPr>
          <w:rFonts w:ascii="Arial" w:cs="Arial" w:eastAsia="Arial" w:hAnsi="Arial"/>
          <w:sz w:val="22"/>
          <w:szCs w:val="22"/>
          <w:color w:val="auto"/>
        </w:rPr>
      </w:pPr>
      <w:r>
        <w:rPr>
          <w:rFonts w:ascii="Arial" w:cs="Arial" w:eastAsia="Arial" w:hAnsi="Arial"/>
          <w:sz w:val="22"/>
          <w:szCs w:val="22"/>
          <w:color w:val="auto"/>
        </w:rPr>
        <w:t xml:space="preserve">The aggregate number of shares of Common Stock available under </w:t>
      </w:r>
      <w:r>
        <w:rPr>
          <w:rFonts w:ascii="Arial" w:cs="Arial" w:eastAsia="Arial" w:hAnsi="Arial"/>
          <w:sz w:val="22"/>
          <w:szCs w:val="22"/>
          <w:b w:val="1"/>
          <w:bCs w:val="1"/>
          <w:u w:val="single" w:color="auto"/>
          <w:color w:val="auto"/>
        </w:rPr>
        <w:t>Section 3(a)(i)</w:t>
      </w:r>
      <w:r>
        <w:rPr>
          <w:rFonts w:ascii="Arial" w:cs="Arial" w:eastAsia="Arial" w:hAnsi="Arial"/>
          <w:sz w:val="22"/>
          <w:szCs w:val="22"/>
          <w:color w:val="auto"/>
        </w:rPr>
        <w:t xml:space="preserve"> of this Plan will be reduced by one share of Common Stock for every one share of Common Stock subject to an award granted under this Plan.</w:t>
      </w:r>
    </w:p>
    <w:p>
      <w:pPr>
        <w:spacing w:after="0" w:line="222" w:lineRule="exact"/>
        <w:rPr>
          <w:rFonts w:ascii="Arial" w:cs="Arial" w:eastAsia="Arial" w:hAnsi="Arial"/>
          <w:sz w:val="22"/>
          <w:szCs w:val="22"/>
          <w:color w:val="auto"/>
        </w:rPr>
      </w:pPr>
    </w:p>
    <w:p>
      <w:pPr>
        <w:ind w:left="2200" w:hanging="895"/>
        <w:spacing w:after="0"/>
        <w:tabs>
          <w:tab w:leader="none" w:pos="220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Share Counting Rules</w:t>
      </w:r>
      <w:r>
        <w:rPr>
          <w:rFonts w:ascii="Arial" w:cs="Arial" w:eastAsia="Arial" w:hAnsi="Arial"/>
          <w:sz w:val="22"/>
          <w:szCs w:val="22"/>
          <w:color w:val="auto"/>
        </w:rPr>
        <w:t>.</w:t>
      </w:r>
    </w:p>
    <w:p>
      <w:pPr>
        <w:spacing w:after="0" w:line="254" w:lineRule="exact"/>
        <w:rPr>
          <w:rFonts w:ascii="Arial" w:cs="Arial" w:eastAsia="Arial" w:hAnsi="Arial"/>
          <w:sz w:val="22"/>
          <w:szCs w:val="22"/>
          <w:color w:val="auto"/>
        </w:rPr>
      </w:pPr>
    </w:p>
    <w:p>
      <w:pPr>
        <w:jc w:val="both"/>
        <w:ind w:left="2600" w:right="20" w:hanging="647"/>
        <w:spacing w:after="0" w:line="256" w:lineRule="auto"/>
        <w:tabs>
          <w:tab w:leader="none" w:pos="2600" w:val="left"/>
        </w:tabs>
        <w:numPr>
          <w:ilvl w:val="2"/>
          <w:numId w:val="21"/>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b w:val="1"/>
          <w:bCs w:val="1"/>
          <w:u w:val="single" w:color="auto"/>
          <w:color w:val="auto"/>
        </w:rPr>
        <w:t>Section 22</w:t>
      </w:r>
      <w:r>
        <w:rPr>
          <w:rFonts w:ascii="Arial" w:cs="Arial" w:eastAsia="Arial" w:hAnsi="Arial"/>
          <w:sz w:val="22"/>
          <w:szCs w:val="22"/>
          <w:color w:val="auto"/>
        </w:rPr>
        <w:t xml:space="preserve"> of this Plan, if any award granted under this Plan is cancelled or forfeited, expires or is settled for cash (in whole or in part), or is unearned, the shares of Common Stock subject to such award will, to the extent of such cancellation,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47" w:name="page48"/>
    <w:bookmarkEnd w:id="47"/>
    <w:p>
      <w:pPr>
        <w:ind w:left="2600"/>
        <w:spacing w:after="0"/>
        <w:rPr>
          <w:sz w:val="20"/>
          <w:szCs w:val="20"/>
          <w:color w:val="auto"/>
        </w:rPr>
      </w:pPr>
      <w:r>
        <w:rPr>
          <w:rFonts w:ascii="Arial" w:cs="Arial" w:eastAsia="Arial" w:hAnsi="Arial"/>
          <w:sz w:val="19"/>
          <w:szCs w:val="19"/>
          <w:color w:val="auto"/>
        </w:rPr>
        <w:t xml:space="preserve">forfeiture, expiration, cash settlement, or unearned amount, again be available under </w:t>
      </w:r>
      <w:r>
        <w:rPr>
          <w:rFonts w:ascii="Arial" w:cs="Arial" w:eastAsia="Arial" w:hAnsi="Arial"/>
          <w:sz w:val="19"/>
          <w:szCs w:val="19"/>
          <w:b w:val="1"/>
          <w:bCs w:val="1"/>
          <w:u w:val="single" w:color="auto"/>
          <w:color w:val="auto"/>
        </w:rPr>
        <w:t>Section 3(a)(i)</w:t>
      </w:r>
    </w:p>
    <w:p>
      <w:pPr>
        <w:spacing w:after="0" w:line="6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above.</w:t>
      </w:r>
    </w:p>
    <w:p>
      <w:pPr>
        <w:spacing w:after="0" w:line="242" w:lineRule="exact"/>
        <w:rPr>
          <w:sz w:val="20"/>
          <w:szCs w:val="20"/>
          <w:color w:val="auto"/>
        </w:rPr>
      </w:pPr>
    </w:p>
    <w:p>
      <w:pPr>
        <w:jc w:val="both"/>
        <w:ind w:left="2600" w:hanging="647"/>
        <w:spacing w:after="0" w:line="297" w:lineRule="auto"/>
        <w:tabs>
          <w:tab w:leader="none" w:pos="26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after March 14, 2017, any shares of Common Stock subject to an award granted under the Predecessor Plans are forfeited, or an award granted under the Predecessor Plans is cancelled or forfeited, expires or is settled for cash (in whole or in part), or is unearned, the shares of Common Stock subject to such award will, to the extent of such cancellation, forfeiture, expiration, cash settlement, or unearned amount, be available for awards under this Plan.</w:t>
      </w:r>
    </w:p>
    <w:p>
      <w:pPr>
        <w:spacing w:after="0" w:line="187" w:lineRule="exact"/>
        <w:rPr>
          <w:rFonts w:ascii="Arial" w:cs="Arial" w:eastAsia="Arial" w:hAnsi="Arial"/>
          <w:sz w:val="19"/>
          <w:szCs w:val="19"/>
          <w:color w:val="auto"/>
        </w:rPr>
      </w:pPr>
    </w:p>
    <w:p>
      <w:pPr>
        <w:jc w:val="both"/>
        <w:ind w:left="2600" w:hanging="647"/>
        <w:spacing w:after="0" w:line="286" w:lineRule="auto"/>
        <w:tabs>
          <w:tab w:leader="none" w:pos="26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 (B) shares of Common Stock withheld by the Company, tendered or otherwise used to satisfy a tax withholding obligation (1) with respect only to awards other than Option Rights or Appreciation Rights, will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 on and after May 11, 2017 until May 10, 2027 but (2)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 on or after May 11, 2027; (C) shares of Common Stock subject to an Appreciation Right that are not actually issued in connection with the settlement of such Appreciation Right on the exercise thereof, will not be added back to the aggregate number of shares of Common Stock available under </w:t>
      </w:r>
      <w:r>
        <w:rPr>
          <w:rFonts w:ascii="Arial" w:cs="Arial" w:eastAsia="Arial" w:hAnsi="Arial"/>
          <w:sz w:val="19"/>
          <w:szCs w:val="19"/>
          <w:b w:val="1"/>
          <w:bCs w:val="1"/>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3(a)(i)</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and (D) shares of Common Stock reacquired by the Company on the open market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otherwise using cash proceeds from the exercise of Option Rights will not be added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w:t>
      </w:r>
    </w:p>
    <w:p>
      <w:pPr>
        <w:spacing w:after="0" w:line="200" w:lineRule="exact"/>
        <w:rPr>
          <w:rFonts w:ascii="Arial" w:cs="Arial" w:eastAsia="Arial" w:hAnsi="Arial"/>
          <w:sz w:val="19"/>
          <w:szCs w:val="19"/>
          <w:color w:val="auto"/>
        </w:rPr>
      </w:pPr>
    </w:p>
    <w:p>
      <w:pPr>
        <w:jc w:val="both"/>
        <w:ind w:left="2600" w:hanging="647"/>
        <w:spacing w:after="0" w:line="271" w:lineRule="auto"/>
        <w:tabs>
          <w:tab w:leader="none" w:pos="2600"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w:t>
      </w:r>
    </w:p>
    <w:p>
      <w:pPr>
        <w:spacing w:after="0" w:line="202" w:lineRule="exact"/>
        <w:rPr>
          <w:rFonts w:ascii="Arial" w:cs="Arial" w:eastAsia="Arial" w:hAnsi="Arial"/>
          <w:sz w:val="21"/>
          <w:szCs w:val="21"/>
          <w:color w:val="auto"/>
        </w:rPr>
      </w:pPr>
    </w:p>
    <w:p>
      <w:pPr>
        <w:jc w:val="both"/>
        <w:ind w:firstLine="1305"/>
        <w:spacing w:after="0" w:line="252" w:lineRule="auto"/>
        <w:tabs>
          <w:tab w:leader="none" w:pos="2185"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Limit on Incentive Stock Options</w:t>
      </w:r>
      <w:r>
        <w:rPr>
          <w:rFonts w:ascii="Arial" w:cs="Arial" w:eastAsia="Arial" w:hAnsi="Arial"/>
          <w:sz w:val="22"/>
          <w:szCs w:val="22"/>
          <w:color w:val="auto"/>
        </w:rPr>
        <w:t xml:space="preserve">. Notwithstanding anything to the contrary contained in this </w:t>
      </w: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 xml:space="preserve"> or elsewhere in this Plan, and subject to adjustment as provided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 the aggregate number of shares of Common Stock actually issued or transferred by the Company upon the exercise of Incentive Stock Options will not exceed 2,000,000 shares of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85" w:right="239" w:bottom="1440" w:gutter="0" w:footer="0" w:header="0"/>
        </w:sectPr>
      </w:pPr>
    </w:p>
    <w:bookmarkStart w:id="48" w:name="page49"/>
    <w:bookmarkEnd w:id="48"/>
    <w:p>
      <w:pPr>
        <w:ind w:firstLine="1305"/>
        <w:spacing w:after="0" w:line="269" w:lineRule="auto"/>
        <w:tabs>
          <w:tab w:leader="none" w:pos="2197"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Individual Participant Limits</w:t>
      </w:r>
      <w:r>
        <w:rPr>
          <w:rFonts w:ascii="Arial" w:cs="Arial" w:eastAsia="Arial" w:hAnsi="Arial"/>
          <w:sz w:val="22"/>
          <w:szCs w:val="22"/>
          <w:color w:val="auto"/>
        </w:rPr>
        <w:t xml:space="preserve">. Notwithstanding anything to the contrary contained in this </w:t>
      </w: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 xml:space="preserve"> or elsewhere in this Plan, and subject to adjustment as provided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w:t>
      </w:r>
    </w:p>
    <w:p>
      <w:pPr>
        <w:spacing w:after="0" w:line="208" w:lineRule="exact"/>
        <w:rPr>
          <w:rFonts w:ascii="Arial" w:cs="Arial" w:eastAsia="Arial" w:hAnsi="Arial"/>
          <w:sz w:val="22"/>
          <w:szCs w:val="22"/>
          <w:color w:val="auto"/>
        </w:rPr>
      </w:pPr>
    </w:p>
    <w:p>
      <w:pPr>
        <w:jc w:val="both"/>
        <w:ind w:left="2600" w:hanging="647"/>
        <w:spacing w:after="0" w:line="265" w:lineRule="auto"/>
        <w:tabs>
          <w:tab w:leader="none" w:pos="2600" w:val="left"/>
        </w:tabs>
        <w:numPr>
          <w:ilvl w:val="1"/>
          <w:numId w:val="24"/>
        </w:numPr>
        <w:rPr>
          <w:rFonts w:ascii="Arial" w:cs="Arial" w:eastAsia="Arial" w:hAnsi="Arial"/>
          <w:sz w:val="21"/>
          <w:szCs w:val="21"/>
          <w:color w:val="auto"/>
        </w:rPr>
      </w:pPr>
      <w:r>
        <w:rPr>
          <w:rFonts w:ascii="Arial" w:cs="Arial" w:eastAsia="Arial" w:hAnsi="Arial"/>
          <w:sz w:val="21"/>
          <w:szCs w:val="21"/>
          <w:color w:val="auto"/>
        </w:rPr>
        <w:t xml:space="preserve">In no event will any Participant in any calendar year be granted Option Rights and/or Appreciation Rights, in the aggregate, for more than 750,000 shares of Common Stock; provided, however, that with respect to a Participant’s first calendar year of service with the Company or a Subsidiary, the amount set forth in this </w:t>
      </w:r>
      <w:r>
        <w:rPr>
          <w:rFonts w:ascii="Arial" w:cs="Arial" w:eastAsia="Arial" w:hAnsi="Arial"/>
          <w:sz w:val="21"/>
          <w:szCs w:val="21"/>
          <w:b w:val="1"/>
          <w:bCs w:val="1"/>
          <w:u w:val="single" w:color="auto"/>
          <w:color w:val="auto"/>
        </w:rPr>
        <w:t>Section 3(d)(i)</w:t>
      </w:r>
      <w:r>
        <w:rPr>
          <w:rFonts w:ascii="Arial" w:cs="Arial" w:eastAsia="Arial" w:hAnsi="Arial"/>
          <w:sz w:val="21"/>
          <w:szCs w:val="21"/>
          <w:color w:val="auto"/>
        </w:rPr>
        <w:t xml:space="preserve"> is multiplied by two.</w:t>
      </w:r>
    </w:p>
    <w:p>
      <w:pPr>
        <w:spacing w:after="0" w:line="216" w:lineRule="exact"/>
        <w:rPr>
          <w:rFonts w:ascii="Arial" w:cs="Arial" w:eastAsia="Arial" w:hAnsi="Arial"/>
          <w:sz w:val="21"/>
          <w:szCs w:val="21"/>
          <w:color w:val="auto"/>
        </w:rPr>
      </w:pPr>
    </w:p>
    <w:p>
      <w:pPr>
        <w:jc w:val="both"/>
        <w:ind w:left="2600" w:hanging="647"/>
        <w:spacing w:after="0" w:line="263" w:lineRule="auto"/>
        <w:tabs>
          <w:tab w:leader="none" w:pos="2600" w:val="left"/>
        </w:tabs>
        <w:numPr>
          <w:ilvl w:val="1"/>
          <w:numId w:val="24"/>
        </w:numPr>
        <w:rPr>
          <w:rFonts w:ascii="Arial" w:cs="Arial" w:eastAsia="Arial" w:hAnsi="Arial"/>
          <w:sz w:val="21"/>
          <w:szCs w:val="21"/>
          <w:color w:val="auto"/>
        </w:rPr>
      </w:pPr>
      <w:r>
        <w:rPr>
          <w:rFonts w:ascii="Arial" w:cs="Arial" w:eastAsia="Arial" w:hAnsi="Arial"/>
          <w:sz w:val="21"/>
          <w:szCs w:val="21"/>
          <w:color w:val="auto"/>
        </w:rPr>
        <w:t xml:space="preserve">In no event will any Participant in any calendar year be granted Qualified Performance-Based Awards of Restricted Stock, Restricted Stock Units, Performance Shares and/or other awards under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of this Plan, in the aggregate, for more than 750,000 shares of Common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with respect to a Participant’s first calendar year of service with the Company or a Subsidiary, the amount set forth in this </w:t>
      </w:r>
      <w:r>
        <w:rPr>
          <w:rFonts w:ascii="Arial" w:cs="Arial" w:eastAsia="Arial" w:hAnsi="Arial"/>
          <w:sz w:val="21"/>
          <w:szCs w:val="21"/>
          <w:b w:val="1"/>
          <w:bCs w:val="1"/>
          <w:u w:val="single" w:color="auto"/>
          <w:color w:val="auto"/>
        </w:rPr>
        <w:t>Section 3(d)(ii)</w:t>
      </w:r>
      <w:r>
        <w:rPr>
          <w:rFonts w:ascii="Arial" w:cs="Arial" w:eastAsia="Arial" w:hAnsi="Arial"/>
          <w:sz w:val="21"/>
          <w:szCs w:val="21"/>
          <w:color w:val="auto"/>
        </w:rPr>
        <w:t xml:space="preserve"> is multiplied by two.</w:t>
      </w:r>
    </w:p>
    <w:p>
      <w:pPr>
        <w:spacing w:after="0" w:line="216" w:lineRule="exact"/>
        <w:rPr>
          <w:rFonts w:ascii="Arial" w:cs="Arial" w:eastAsia="Arial" w:hAnsi="Arial"/>
          <w:sz w:val="21"/>
          <w:szCs w:val="21"/>
          <w:color w:val="auto"/>
        </w:rPr>
      </w:pPr>
    </w:p>
    <w:p>
      <w:pPr>
        <w:jc w:val="both"/>
        <w:ind w:left="2600" w:hanging="647"/>
        <w:spacing w:after="0" w:line="297" w:lineRule="auto"/>
        <w:tabs>
          <w:tab w:leader="none" w:pos="26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In no event will any Participant in any calendar year receive Qualified Performance-Based Awards of Performance Units and/or other awards payable in cash under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having an aggregate maximum value as of their respective Dates of Grant in excess of $4,000,000; provided, however, that with respect to a Participant’s first calendar year of service with the Company or a Subsidiary, the amount set forth in this </w:t>
      </w:r>
      <w:r>
        <w:rPr>
          <w:rFonts w:ascii="Arial" w:cs="Arial" w:eastAsia="Arial" w:hAnsi="Arial"/>
          <w:sz w:val="19"/>
          <w:szCs w:val="19"/>
          <w:b w:val="1"/>
          <w:bCs w:val="1"/>
          <w:u w:val="single" w:color="auto"/>
          <w:color w:val="auto"/>
        </w:rPr>
        <w:t>Section 3(d)(iii)</w:t>
      </w:r>
      <w:r>
        <w:rPr>
          <w:rFonts w:ascii="Arial" w:cs="Arial" w:eastAsia="Arial" w:hAnsi="Arial"/>
          <w:sz w:val="19"/>
          <w:szCs w:val="19"/>
          <w:color w:val="auto"/>
        </w:rPr>
        <w:t xml:space="preserve"> is multiplied by two.</w:t>
      </w:r>
    </w:p>
    <w:p>
      <w:pPr>
        <w:spacing w:after="0" w:line="187" w:lineRule="exact"/>
        <w:rPr>
          <w:rFonts w:ascii="Arial" w:cs="Arial" w:eastAsia="Arial" w:hAnsi="Arial"/>
          <w:sz w:val="19"/>
          <w:szCs w:val="19"/>
          <w:color w:val="auto"/>
        </w:rPr>
      </w:pPr>
    </w:p>
    <w:p>
      <w:pPr>
        <w:jc w:val="both"/>
        <w:ind w:left="2600" w:hanging="647"/>
        <w:spacing w:after="0" w:line="302" w:lineRule="auto"/>
        <w:tabs>
          <w:tab w:leader="none" w:pos="26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In no event will any Participant in any calendar year receive Qualified Performance-Based Awards that are Cash Incentive Awards having an aggregate maximum value in excess of $4,000,000; provided, however, that with respect to a Participant’s first calendar year of service with the Company or a Subsidiary, the amount set forth in this </w:t>
      </w:r>
      <w:r>
        <w:rPr>
          <w:rFonts w:ascii="Arial" w:cs="Arial" w:eastAsia="Arial" w:hAnsi="Arial"/>
          <w:sz w:val="19"/>
          <w:szCs w:val="19"/>
          <w:b w:val="1"/>
          <w:bCs w:val="1"/>
          <w:u w:val="single" w:color="auto"/>
          <w:color w:val="auto"/>
        </w:rPr>
        <w:t>Section 3(d)(iv)</w:t>
      </w:r>
      <w:r>
        <w:rPr>
          <w:rFonts w:ascii="Arial" w:cs="Arial" w:eastAsia="Arial" w:hAnsi="Arial"/>
          <w:sz w:val="19"/>
          <w:szCs w:val="19"/>
          <w:color w:val="auto"/>
        </w:rPr>
        <w:t xml:space="preserve"> is multiplied by two.</w:t>
      </w:r>
    </w:p>
    <w:p>
      <w:pPr>
        <w:spacing w:after="0" w:line="183" w:lineRule="exact"/>
        <w:rPr>
          <w:rFonts w:ascii="Arial" w:cs="Arial" w:eastAsia="Arial" w:hAnsi="Arial"/>
          <w:sz w:val="19"/>
          <w:szCs w:val="19"/>
          <w:color w:val="auto"/>
        </w:rPr>
      </w:pPr>
    </w:p>
    <w:p>
      <w:pPr>
        <w:jc w:val="both"/>
        <w:ind w:left="2600" w:hanging="647"/>
        <w:spacing w:after="0" w:line="246" w:lineRule="auto"/>
        <w:tabs>
          <w:tab w:leader="none" w:pos="26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In no event will any non-employee Director in any calendar year be granted awards under this Plan having an aggregate maximum value at the Date of Grant (calculating the value of any such awards based on the grant date fair value for financial reporting purposes), taken together with any cash fees payable to such non-employee Director for such calendar year, in excess of (A) with respect to the non-executive chairperson of the Board, $600,000 and (B) with respect to any other non-employee Director, $500,000. Notwithstanding the foregoing, in the event of extraordinary circumstances (as determined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85" w:right="239" w:bottom="1440" w:gutter="0" w:footer="0" w:header="0"/>
        </w:sectPr>
      </w:pPr>
    </w:p>
    <w:bookmarkStart w:id="49" w:name="page50"/>
    <w:bookmarkEnd w:id="49"/>
    <w:p>
      <w:pPr>
        <w:jc w:val="both"/>
        <w:ind w:left="2600"/>
        <w:spacing w:after="0" w:line="246" w:lineRule="auto"/>
        <w:rPr>
          <w:sz w:val="20"/>
          <w:szCs w:val="20"/>
          <w:color w:val="auto"/>
        </w:rPr>
      </w:pPr>
      <w:r>
        <w:rPr>
          <w:rFonts w:ascii="Arial" w:cs="Arial" w:eastAsia="Arial" w:hAnsi="Arial"/>
          <w:sz w:val="22"/>
          <w:szCs w:val="22"/>
          <w:color w:val="auto"/>
        </w:rPr>
        <w:t>by the Board) the amounts set forth in the preceding sentence shall be increased to $750,000 with respect to the non-executive chairperson of the Board and $650,000 with respect to any other non-employee Director, as applicable, provided that such increase may apply only if any such non-employee Director receiving additional compensation as a result of such extraordinary circumstances does not participate in the determination that extraordinary circumstances exist, in the decision to award such compensation or in other contemporaneous compensation decisions involving non-employee Directors.</w:t>
      </w:r>
    </w:p>
    <w:p>
      <w:pPr>
        <w:spacing w:after="0" w:line="238" w:lineRule="exact"/>
        <w:rPr>
          <w:sz w:val="20"/>
          <w:szCs w:val="20"/>
          <w:color w:val="auto"/>
        </w:rPr>
      </w:pPr>
    </w:p>
    <w:p>
      <w:pPr>
        <w:jc w:val="both"/>
        <w:ind w:firstLine="1305"/>
        <w:spacing w:after="0" w:line="248" w:lineRule="auto"/>
        <w:tabs>
          <w:tab w:leader="none" w:pos="2185"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Plan to the contrary (except for the discretionary acceleration provisions of this Plan), up to 5% of the aggregate number of shares of Common Stock available for awards under </w:t>
      </w:r>
      <w:r>
        <w:rPr>
          <w:rFonts w:ascii="Arial" w:cs="Arial" w:eastAsia="Arial" w:hAnsi="Arial"/>
          <w:sz w:val="22"/>
          <w:szCs w:val="22"/>
          <w:b w:val="1"/>
          <w:bCs w:val="1"/>
          <w:u w:val="single" w:color="auto"/>
          <w:color w:val="auto"/>
        </w:rPr>
        <w:t>Section 3(a)(i)</w:t>
      </w:r>
      <w:r>
        <w:rPr>
          <w:rFonts w:ascii="Arial" w:cs="Arial" w:eastAsia="Arial" w:hAnsi="Arial"/>
          <w:sz w:val="22"/>
          <w:szCs w:val="22"/>
          <w:color w:val="auto"/>
        </w:rPr>
        <w:t xml:space="preserve"> of this Plan, as may be adjusted under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 may be used for awards granted under </w:t>
      </w:r>
      <w:r>
        <w:rPr>
          <w:rFonts w:ascii="Arial" w:cs="Arial" w:eastAsia="Arial" w:hAnsi="Arial"/>
          <w:sz w:val="22"/>
          <w:szCs w:val="22"/>
          <w:b w:val="1"/>
          <w:bCs w:val="1"/>
          <w:u w:val="single" w:color="auto"/>
          <w:color w:val="auto"/>
        </w:rPr>
        <w:t>Section 4</w:t>
      </w:r>
      <w:r>
        <w:rPr>
          <w:rFonts w:ascii="Arial" w:cs="Arial" w:eastAsia="Arial" w:hAnsi="Arial"/>
          <w:sz w:val="22"/>
          <w:szCs w:val="22"/>
          <w:color w:val="auto"/>
        </w:rPr>
        <w:t xml:space="preserve"> through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of this Plan that do not at grant comply with the applicable one-year minimum vesting or performance period requirements set forth in such sections of this Plan.</w:t>
      </w:r>
    </w:p>
    <w:p>
      <w:pPr>
        <w:spacing w:after="0" w:line="226" w:lineRule="exact"/>
        <w:rPr>
          <w:rFonts w:ascii="Arial" w:cs="Arial" w:eastAsia="Arial" w:hAnsi="Arial"/>
          <w:sz w:val="22"/>
          <w:szCs w:val="22"/>
          <w:color w:val="auto"/>
        </w:rPr>
      </w:pPr>
    </w:p>
    <w:p>
      <w:pPr>
        <w:jc w:val="both"/>
        <w:ind w:firstLine="656"/>
        <w:spacing w:after="0" w:line="256" w:lineRule="auto"/>
        <w:tabs>
          <w:tab w:leader="none" w:pos="1459"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 xml:space="preserve">Option Rights. </w:t>
      </w:r>
      <w:r>
        <w:rPr>
          <w:rFonts w:ascii="Arial" w:cs="Arial" w:eastAsia="Arial" w:hAnsi="Arial"/>
          <w:sz w:val="22"/>
          <w:szCs w:val="22"/>
          <w:color w:val="auto"/>
        </w:rPr>
        <w:t>The Committee may, from time to time and upon such terms and conditions as it may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 the granting to Participants of Option Rights. Each such grant may utilize any or all of the authorizations, and will be subject to all of the requirements, contained in the following provisions:</w:t>
      </w:r>
    </w:p>
    <w:p>
      <w:pPr>
        <w:spacing w:after="0" w:line="222" w:lineRule="exact"/>
        <w:rPr>
          <w:rFonts w:ascii="Arial" w:cs="Arial" w:eastAsia="Arial" w:hAnsi="Arial"/>
          <w:sz w:val="22"/>
          <w:szCs w:val="22"/>
          <w:color w:val="auto"/>
        </w:rPr>
      </w:pPr>
    </w:p>
    <w:p>
      <w:pPr>
        <w:ind w:right="20" w:firstLine="1305"/>
        <w:spacing w:after="0" w:line="263" w:lineRule="auto"/>
        <w:tabs>
          <w:tab w:leader="none" w:pos="2185"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Each grant will specify the number of shares of Common Stock to which it pertains subject to the limitations set forth in </w:t>
      </w: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 xml:space="preserve"> of this Plan.</w:t>
      </w:r>
    </w:p>
    <w:p>
      <w:pPr>
        <w:spacing w:after="0" w:line="215" w:lineRule="exact"/>
        <w:rPr>
          <w:rFonts w:ascii="Arial" w:cs="Arial" w:eastAsia="Arial" w:hAnsi="Arial"/>
          <w:sz w:val="22"/>
          <w:szCs w:val="22"/>
          <w:color w:val="auto"/>
        </w:rPr>
      </w:pPr>
    </w:p>
    <w:p>
      <w:pPr>
        <w:ind w:firstLine="1305"/>
        <w:spacing w:after="0" w:line="287" w:lineRule="auto"/>
        <w:tabs>
          <w:tab w:leader="none" w:pos="2197" w:val="left"/>
        </w:tabs>
        <w:numPr>
          <w:ilvl w:val="1"/>
          <w:numId w:val="26"/>
        </w:numPr>
        <w:rPr>
          <w:rFonts w:ascii="Arial" w:cs="Arial" w:eastAsia="Arial" w:hAnsi="Arial"/>
          <w:sz w:val="21"/>
          <w:szCs w:val="21"/>
          <w:color w:val="auto"/>
        </w:rPr>
      </w:pPr>
      <w:r>
        <w:rPr>
          <w:rFonts w:ascii="Arial" w:cs="Arial" w:eastAsia="Arial" w:hAnsi="Arial"/>
          <w:sz w:val="21"/>
          <w:szCs w:val="21"/>
          <w:color w:val="auto"/>
        </w:rPr>
        <w:t xml:space="preserve">Each grant will specify an Option Price per share of Common Stock, which (except with respect to awards under </w:t>
      </w:r>
      <w:r>
        <w:rPr>
          <w:rFonts w:ascii="Arial" w:cs="Arial" w:eastAsia="Arial" w:hAnsi="Arial"/>
          <w:sz w:val="21"/>
          <w:szCs w:val="21"/>
          <w:b w:val="1"/>
          <w:bCs w:val="1"/>
          <w:u w:val="single" w:color="auto"/>
          <w:color w:val="auto"/>
        </w:rPr>
        <w:t>Section 22</w:t>
      </w:r>
      <w:r>
        <w:rPr>
          <w:rFonts w:ascii="Arial" w:cs="Arial" w:eastAsia="Arial" w:hAnsi="Arial"/>
          <w:sz w:val="21"/>
          <w:szCs w:val="21"/>
          <w:color w:val="auto"/>
        </w:rPr>
        <w:t xml:space="preserve"> of this Plan) may not be less than the Market Value per Share on the Date of Grant.</w:t>
      </w:r>
    </w:p>
    <w:p>
      <w:pPr>
        <w:spacing w:after="0" w:line="192" w:lineRule="exact"/>
        <w:rPr>
          <w:rFonts w:ascii="Arial" w:cs="Arial" w:eastAsia="Arial" w:hAnsi="Arial"/>
          <w:sz w:val="21"/>
          <w:szCs w:val="21"/>
          <w:color w:val="auto"/>
        </w:rPr>
      </w:pPr>
    </w:p>
    <w:p>
      <w:pPr>
        <w:jc w:val="both"/>
        <w:ind w:firstLine="1305"/>
        <w:spacing w:after="0" w:line="259" w:lineRule="auto"/>
        <w:tabs>
          <w:tab w:leader="none" w:pos="2185" w:val="left"/>
        </w:tabs>
        <w:numPr>
          <w:ilvl w:val="1"/>
          <w:numId w:val="26"/>
        </w:numPr>
        <w:rPr>
          <w:rFonts w:ascii="Arial" w:cs="Arial" w:eastAsia="Arial" w:hAnsi="Arial"/>
          <w:sz w:val="21"/>
          <w:szCs w:val="21"/>
          <w:color w:val="auto"/>
        </w:rPr>
      </w:pPr>
      <w:r>
        <w:rPr>
          <w:rFonts w:ascii="Arial" w:cs="Arial" w:eastAsia="Arial" w:hAnsi="Arial"/>
          <w:sz w:val="21"/>
          <w:szCs w:val="21"/>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Company’s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224" w:lineRule="exact"/>
        <w:rPr>
          <w:rFonts w:ascii="Arial" w:cs="Arial" w:eastAsia="Arial" w:hAnsi="Arial"/>
          <w:sz w:val="21"/>
          <w:szCs w:val="21"/>
          <w:color w:val="auto"/>
        </w:rPr>
      </w:pPr>
    </w:p>
    <w:p>
      <w:pPr>
        <w:jc w:val="both"/>
        <w:ind w:firstLine="1305"/>
        <w:spacing w:after="0" w:line="253" w:lineRule="auto"/>
        <w:tabs>
          <w:tab w:leader="none" w:pos="2197" w:val="left"/>
        </w:tabs>
        <w:numPr>
          <w:ilvl w:val="1"/>
          <w:numId w:val="26"/>
        </w:numPr>
        <w:rPr>
          <w:rFonts w:ascii="Arial" w:cs="Arial" w:eastAsia="Arial" w:hAnsi="Arial"/>
          <w:sz w:val="22"/>
          <w:szCs w:val="22"/>
          <w:color w:val="auto"/>
        </w:rPr>
      </w:pPr>
      <w:r>
        <w:rPr>
          <w:rFonts w:ascii="Arial" w:cs="Arial" w:eastAsia="Arial" w:hAnsi="Arial"/>
          <w:sz w:val="22"/>
          <w:szCs w:val="22"/>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50" w:name="page51"/>
    <w:bookmarkEnd w:id="50"/>
    <w:p>
      <w:pPr>
        <w:ind w:firstLine="1305"/>
        <w:spacing w:after="0" w:line="263" w:lineRule="auto"/>
        <w:tabs>
          <w:tab w:leader="none" w:pos="2185" w:val="left"/>
        </w:tabs>
        <w:numPr>
          <w:ilvl w:val="1"/>
          <w:numId w:val="27"/>
        </w:numPr>
        <w:rPr>
          <w:rFonts w:ascii="Arial" w:cs="Arial" w:eastAsia="Arial" w:hAnsi="Arial"/>
          <w:sz w:val="22"/>
          <w:szCs w:val="22"/>
          <w:color w:val="auto"/>
        </w:rPr>
      </w:pPr>
      <w:r>
        <w:rPr>
          <w:rFonts w:ascii="Arial" w:cs="Arial" w:eastAsia="Arial" w:hAnsi="Arial"/>
          <w:sz w:val="22"/>
          <w:szCs w:val="22"/>
          <w:color w:val="auto"/>
        </w:rPr>
        <w:t>Successive grants may be made to the same Participant whether or not any Option Rights previously granted to such Participant remain unexercised.</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2161"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Each grant will specify the period or periods of continuous service by the Optionee with the Company or any Subsidiary that is necessary before any Option Rights or installments thereof will become exercisable;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as otherwise described in this subsection, no Option Rights may become exercisable sooner than after one year or a one-year performance period. Option Rights may provide for continued vesting or the earlier exercise of such Option Rights, including in the event of the retirement, death or disability of a Participant or in the event of a Change in Control.</w:t>
      </w:r>
    </w:p>
    <w:p>
      <w:pPr>
        <w:spacing w:after="0" w:line="187" w:lineRule="exact"/>
        <w:rPr>
          <w:rFonts w:ascii="Arial" w:cs="Arial" w:eastAsia="Arial" w:hAnsi="Arial"/>
          <w:sz w:val="19"/>
          <w:szCs w:val="19"/>
          <w:color w:val="auto"/>
        </w:rPr>
      </w:pPr>
    </w:p>
    <w:p>
      <w:pPr>
        <w:ind w:firstLine="1305"/>
        <w:spacing w:after="0" w:line="263" w:lineRule="auto"/>
        <w:tabs>
          <w:tab w:leader="none" w:pos="2197"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grant of Option Rights may specify Management Objectives that must be achieved as a condition to the exercise of such rights.</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2197" w:val="left"/>
        </w:tabs>
        <w:numPr>
          <w:ilvl w:val="1"/>
          <w:numId w:val="27"/>
        </w:numPr>
        <w:rPr>
          <w:rFonts w:ascii="Arial" w:cs="Arial" w:eastAsia="Arial" w:hAnsi="Arial"/>
          <w:sz w:val="22"/>
          <w:szCs w:val="22"/>
          <w:color w:val="auto"/>
        </w:rPr>
      </w:pPr>
      <w:r>
        <w:rPr>
          <w:rFonts w:ascii="Arial" w:cs="Arial" w:eastAsia="Arial" w:hAnsi="Arial"/>
          <w:sz w:val="22"/>
          <w:szCs w:val="22"/>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2149"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226" w:lineRule="exact"/>
        <w:rPr>
          <w:rFonts w:ascii="Arial" w:cs="Arial" w:eastAsia="Arial" w:hAnsi="Arial"/>
          <w:sz w:val="22"/>
          <w:szCs w:val="22"/>
          <w:color w:val="auto"/>
        </w:rPr>
      </w:pPr>
    </w:p>
    <w:p>
      <w:pPr>
        <w:ind w:left="2160" w:hanging="855"/>
        <w:spacing w:after="0"/>
        <w:tabs>
          <w:tab w:leader="none" w:pos="21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Option Rights granted under this Plan may not provide for any dividends or dividend equivalents thereon.</w:t>
      </w:r>
    </w:p>
    <w:p>
      <w:pPr>
        <w:spacing w:after="0" w:line="294" w:lineRule="exact"/>
        <w:rPr>
          <w:rFonts w:ascii="Arial" w:cs="Arial" w:eastAsia="Arial" w:hAnsi="Arial"/>
          <w:sz w:val="19"/>
          <w:szCs w:val="19"/>
          <w:color w:val="auto"/>
        </w:rPr>
      </w:pPr>
    </w:p>
    <w:p>
      <w:pPr>
        <w:ind w:firstLine="1305"/>
        <w:spacing w:after="0" w:line="343" w:lineRule="auto"/>
        <w:tabs>
          <w:tab w:leader="none" w:pos="2197" w:val="left"/>
        </w:tabs>
        <w:numPr>
          <w:ilvl w:val="1"/>
          <w:numId w:val="27"/>
        </w:numPr>
        <w:rPr>
          <w:rFonts w:ascii="Arial" w:cs="Arial" w:eastAsia="Arial" w:hAnsi="Arial"/>
          <w:sz w:val="19"/>
          <w:szCs w:val="19"/>
          <w:color w:val="auto"/>
        </w:rPr>
      </w:pPr>
      <w:r>
        <w:rPr>
          <w:rFonts w:ascii="Arial" w:cs="Arial" w:eastAsia="Arial" w:hAnsi="Arial"/>
          <w:sz w:val="19"/>
          <w:szCs w:val="19"/>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39" w:lineRule="exact"/>
        <w:rPr>
          <w:rFonts w:ascii="Arial" w:cs="Arial" w:eastAsia="Arial" w:hAnsi="Arial"/>
          <w:sz w:val="19"/>
          <w:szCs w:val="19"/>
          <w:color w:val="auto"/>
        </w:rPr>
      </w:pPr>
    </w:p>
    <w:p>
      <w:pPr>
        <w:ind w:left="1460" w:hanging="804"/>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Appreciation Rights.</w:t>
      </w:r>
    </w:p>
    <w:p>
      <w:pPr>
        <w:spacing w:after="0" w:line="266" w:lineRule="exact"/>
        <w:rPr>
          <w:rFonts w:ascii="Arial" w:cs="Arial" w:eastAsia="Arial" w:hAnsi="Arial"/>
          <w:sz w:val="22"/>
          <w:szCs w:val="22"/>
          <w:color w:val="auto"/>
        </w:rPr>
      </w:pPr>
    </w:p>
    <w:p>
      <w:pPr>
        <w:jc w:val="both"/>
        <w:ind w:firstLine="1305"/>
        <w:spacing w:after="0" w:line="250" w:lineRule="auto"/>
        <w:tabs>
          <w:tab w:leader="none" w:pos="2185"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228" w:lineRule="exact"/>
        <w:rPr>
          <w:rFonts w:ascii="Arial" w:cs="Arial" w:eastAsia="Arial" w:hAnsi="Arial"/>
          <w:sz w:val="22"/>
          <w:szCs w:val="22"/>
          <w:color w:val="auto"/>
        </w:rPr>
      </w:pPr>
    </w:p>
    <w:p>
      <w:pPr>
        <w:ind w:firstLine="1305"/>
        <w:spacing w:after="0" w:line="263" w:lineRule="auto"/>
        <w:tabs>
          <w:tab w:leader="none" w:pos="2197" w:val="left"/>
        </w:tabs>
        <w:numPr>
          <w:ilvl w:val="1"/>
          <w:numId w:val="28"/>
        </w:numPr>
        <w:rPr>
          <w:rFonts w:ascii="Arial" w:cs="Arial" w:eastAsia="Arial" w:hAnsi="Arial"/>
          <w:sz w:val="22"/>
          <w:szCs w:val="22"/>
          <w:color w:val="auto"/>
        </w:rPr>
      </w:pPr>
      <w:r>
        <w:rPr>
          <w:rFonts w:ascii="Arial" w:cs="Arial" w:eastAsia="Arial" w:hAnsi="Arial"/>
          <w:sz w:val="22"/>
          <w:szCs w:val="22"/>
          <w:color w:val="auto"/>
        </w:rPr>
        <w:t>Each grant of Appreciation Rights may utilize any or all of the authorizations, and will be subject to all of the requirements, contained in the following provisions:</w:t>
      </w:r>
    </w:p>
    <w:p>
      <w:pPr>
        <w:spacing w:after="0" w:line="215" w:lineRule="exact"/>
        <w:rPr>
          <w:sz w:val="20"/>
          <w:szCs w:val="20"/>
          <w:color w:val="auto"/>
        </w:rPr>
      </w:pPr>
    </w:p>
    <w:p>
      <w:pPr>
        <w:ind w:left="2600" w:hanging="647"/>
        <w:spacing w:after="0" w:line="263" w:lineRule="auto"/>
        <w:tabs>
          <w:tab w:leader="none" w:pos="2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grant may specify that the amount payable on exercise of an Appreciation Right will be paid by the Company in cash, shares of Common Stock or any combination thereof.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51" w:name="page52"/>
    <w:bookmarkEnd w:id="51"/>
    <w:p>
      <w:pPr>
        <w:ind w:left="1400" w:hanging="647"/>
        <w:spacing w:after="0" w:line="263"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grant may specify that the amount payable on exercise of an Appreciation Right may not exceed a maximum specified by the Committee on the Date of Grant.</w:t>
      </w:r>
    </w:p>
    <w:p>
      <w:pPr>
        <w:spacing w:after="0" w:line="215" w:lineRule="exact"/>
        <w:rPr>
          <w:rFonts w:ascii="Arial" w:cs="Arial" w:eastAsia="Arial" w:hAnsi="Arial"/>
          <w:sz w:val="22"/>
          <w:szCs w:val="22"/>
          <w:color w:val="auto"/>
        </w:rPr>
      </w:pPr>
    </w:p>
    <w:p>
      <w:pPr>
        <w:ind w:left="1400" w:hanging="647"/>
        <w:spacing w:after="0"/>
        <w:tabs>
          <w:tab w:leader="none" w:pos="14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Any grant may specify waiting periods before exercise and permissible exercise dates or periods.</w:t>
      </w:r>
    </w:p>
    <w:p>
      <w:pPr>
        <w:spacing w:after="0" w:line="294" w:lineRule="exact"/>
        <w:rPr>
          <w:rFonts w:ascii="Arial" w:cs="Arial" w:eastAsia="Arial" w:hAnsi="Arial"/>
          <w:sz w:val="19"/>
          <w:szCs w:val="19"/>
          <w:color w:val="auto"/>
        </w:rPr>
      </w:pPr>
    </w:p>
    <w:p>
      <w:pPr>
        <w:jc w:val="both"/>
        <w:ind w:left="1400" w:hanging="647"/>
        <w:spacing w:after="0" w:line="246"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Each grant will specify the period or periods of continuous service by the Participant with the Company or any Subsidiary that is necessary before the Appreciation Rights or installments thereof will become exercisable; </w:t>
      </w:r>
      <w:r>
        <w:rPr>
          <w:rFonts w:ascii="Arial" w:cs="Arial" w:eastAsia="Arial" w:hAnsi="Arial"/>
          <w:sz w:val="22"/>
          <w:szCs w:val="22"/>
          <w:u w:val="single" w:color="auto"/>
          <w:color w:val="auto"/>
        </w:rPr>
        <w:t>provided</w:t>
      </w:r>
      <w:r>
        <w:rPr>
          <w:rFonts w:ascii="Arial" w:cs="Arial" w:eastAsia="Arial" w:hAnsi="Arial"/>
          <w:sz w:val="22"/>
          <w:szCs w:val="22"/>
          <w:color w:val="auto"/>
        </w:rPr>
        <w:t>, that, except as otherwise described in this subsection, no Appreciation Rights may become exercisable sooner than after one year or a one-year performance period. Appreciation Rights may provide for continued vesting or the earlier exercise of such Appreciation Rights, including in the event of the retirement, death or disability of a Participant or in the event of a Change in Control.</w:t>
      </w:r>
    </w:p>
    <w:p>
      <w:pPr>
        <w:spacing w:after="0" w:line="237"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grant of Appreciation Rights may specify Management Objectives that must be achieved as a condition of the exercise of such Appreciation Rights.</w:t>
      </w:r>
    </w:p>
    <w:p>
      <w:pPr>
        <w:spacing w:after="0" w:line="215"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Appreciation Rights granted under this Plan may not provide for any dividends or dividend equivalents thereon.</w:t>
      </w:r>
    </w:p>
    <w:p>
      <w:pPr>
        <w:spacing w:after="0" w:line="215" w:lineRule="exact"/>
        <w:rPr>
          <w:rFonts w:ascii="Arial" w:cs="Arial" w:eastAsia="Arial" w:hAnsi="Arial"/>
          <w:sz w:val="22"/>
          <w:szCs w:val="22"/>
          <w:color w:val="auto"/>
        </w:rPr>
      </w:pPr>
    </w:p>
    <w:p>
      <w:pPr>
        <w:ind w:left="1400" w:right="20" w:hanging="647"/>
        <w:spacing w:after="0" w:line="287" w:lineRule="auto"/>
        <w:tabs>
          <w:tab w:leader="none" w:pos="1400" w:val="left"/>
        </w:tabs>
        <w:numPr>
          <w:ilvl w:val="1"/>
          <w:numId w:val="30"/>
        </w:numPr>
        <w:rPr>
          <w:rFonts w:ascii="Arial" w:cs="Arial" w:eastAsia="Arial" w:hAnsi="Arial"/>
          <w:sz w:val="21"/>
          <w:szCs w:val="21"/>
          <w:color w:val="auto"/>
        </w:rPr>
      </w:pPr>
      <w:r>
        <w:rPr>
          <w:rFonts w:ascii="Arial" w:cs="Arial" w:eastAsia="Arial" w:hAnsi="Arial"/>
          <w:sz w:val="21"/>
          <w:szCs w:val="21"/>
          <w:color w:val="auto"/>
        </w:rPr>
        <w:t>Successive grants of Appreciation Rights may be made to the same Participant regardless of whether any Appreciation Rights previously granted to the Participant remain unexercised.</w:t>
      </w:r>
    </w:p>
    <w:p>
      <w:pPr>
        <w:spacing w:after="0" w:line="192" w:lineRule="exact"/>
        <w:rPr>
          <w:rFonts w:ascii="Arial" w:cs="Arial" w:eastAsia="Arial" w:hAnsi="Arial"/>
          <w:sz w:val="21"/>
          <w:szCs w:val="21"/>
          <w:color w:val="auto"/>
        </w:rPr>
      </w:pPr>
    </w:p>
    <w:p>
      <w:pPr>
        <w:jc w:val="both"/>
        <w:ind w:left="1400" w:hanging="647"/>
        <w:spacing w:after="0" w:line="253" w:lineRule="auto"/>
        <w:tabs>
          <w:tab w:leader="none" w:pos="14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226" w:lineRule="exact"/>
        <w:rPr>
          <w:rFonts w:ascii="Arial" w:cs="Arial" w:eastAsia="Arial" w:hAnsi="Arial"/>
          <w:sz w:val="22"/>
          <w:szCs w:val="22"/>
          <w:color w:val="auto"/>
        </w:rPr>
      </w:pPr>
    </w:p>
    <w:p>
      <w:pPr>
        <w:ind w:left="1000" w:hanging="895"/>
        <w:spacing w:after="0"/>
        <w:tabs>
          <w:tab w:leader="none" w:pos="10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Also, regarding Appreciation Rights:</w:t>
      </w:r>
    </w:p>
    <w:p>
      <w:pPr>
        <w:spacing w:after="0" w:line="260" w:lineRule="exact"/>
        <w:rPr>
          <w:rFonts w:ascii="Arial" w:cs="Arial" w:eastAsia="Arial" w:hAnsi="Arial"/>
          <w:sz w:val="22"/>
          <w:szCs w:val="22"/>
          <w:color w:val="auto"/>
        </w:rPr>
      </w:pPr>
    </w:p>
    <w:p>
      <w:pPr>
        <w:jc w:val="both"/>
        <w:ind w:left="1400" w:right="20" w:hanging="647"/>
        <w:spacing w:after="0" w:line="253" w:lineRule="auto"/>
        <w:tabs>
          <w:tab w:leader="none" w:pos="14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Each grant will specify in respect of each Appreciation Right a Base Price, which (except with respect to awards under </w:t>
      </w:r>
      <w:r>
        <w:rPr>
          <w:rFonts w:ascii="Arial" w:cs="Arial" w:eastAsia="Arial" w:hAnsi="Arial"/>
          <w:sz w:val="22"/>
          <w:szCs w:val="22"/>
          <w:b w:val="1"/>
          <w:bCs w:val="1"/>
          <w:u w:val="single" w:color="auto"/>
          <w:color w:val="auto"/>
        </w:rPr>
        <w:t>Section 22</w:t>
      </w:r>
      <w:r>
        <w:rPr>
          <w:rFonts w:ascii="Arial" w:cs="Arial" w:eastAsia="Arial" w:hAnsi="Arial"/>
          <w:sz w:val="22"/>
          <w:szCs w:val="22"/>
          <w:color w:val="auto"/>
        </w:rPr>
        <w:t xml:space="preserve"> of this Plan) may not be less than the Market Value per Share on the Date of Grant; and</w:t>
      </w:r>
    </w:p>
    <w:p>
      <w:pPr>
        <w:spacing w:after="0" w:line="226" w:lineRule="exact"/>
        <w:rPr>
          <w:rFonts w:ascii="Arial" w:cs="Arial" w:eastAsia="Arial" w:hAnsi="Arial"/>
          <w:sz w:val="22"/>
          <w:szCs w:val="22"/>
          <w:color w:val="auto"/>
        </w:rPr>
      </w:pPr>
    </w:p>
    <w:p>
      <w:pPr>
        <w:jc w:val="both"/>
        <w:ind w:left="1400" w:hanging="647"/>
        <w:spacing w:after="0" w:line="253" w:lineRule="auto"/>
        <w:tabs>
          <w:tab w:leader="none" w:pos="14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 Appreciation Right granted under this Plan may be exercised more than 10 years from the Date of Grant. The Committee may provide in any Evidence of Award for the automatic exercise of a Appreciation</w:t>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20"/>
          </w:cols>
          <w:pgMar w:left="1440" w:top="847" w:right="2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22"/>
          <w:szCs w:val="22"/>
          <w:color w:val="auto"/>
        </w:rPr>
        <w:t>Right upon such terms and conditions as established by the Committee.</w:t>
      </w:r>
    </w:p>
    <w:p>
      <w:pPr>
        <w:spacing w:after="0" w:line="254" w:lineRule="exact"/>
        <w:rPr>
          <w:sz w:val="20"/>
          <w:szCs w:val="20"/>
          <w:color w:val="auto"/>
        </w:rPr>
      </w:pPr>
    </w:p>
    <w:p>
      <w:pPr>
        <w:jc w:val="both"/>
        <w:ind w:firstLine="656"/>
        <w:spacing w:after="0" w:line="256" w:lineRule="auto"/>
        <w:tabs>
          <w:tab w:leader="none" w:pos="1459"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The Committee may, from time to time and upon such terms and conditions as it may</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 authorize the grant or sale of Restricted Stock to Participants. Each such grant or sale may utilize any or all of the authorizations, and will be subject to all of the requirements, contained in the following provisions:</w:t>
      </w:r>
    </w:p>
    <w:p>
      <w:pPr>
        <w:spacing w:after="0" w:line="222" w:lineRule="exact"/>
        <w:rPr>
          <w:rFonts w:ascii="Arial" w:cs="Arial" w:eastAsia="Arial" w:hAnsi="Arial"/>
          <w:sz w:val="22"/>
          <w:szCs w:val="22"/>
          <w:color w:val="auto"/>
        </w:rPr>
      </w:pPr>
    </w:p>
    <w:p>
      <w:pPr>
        <w:jc w:val="both"/>
        <w:ind w:firstLine="1305"/>
        <w:spacing w:after="0" w:line="312" w:lineRule="auto"/>
        <w:tabs>
          <w:tab w:leader="none" w:pos="2185" w:val="left"/>
        </w:tabs>
        <w:numPr>
          <w:ilvl w:val="1"/>
          <w:numId w:val="32"/>
        </w:numPr>
        <w:rPr>
          <w:rFonts w:ascii="Arial" w:cs="Arial" w:eastAsia="Arial" w:hAnsi="Arial"/>
          <w:sz w:val="19"/>
          <w:szCs w:val="19"/>
          <w:color w:val="auto"/>
        </w:rPr>
      </w:pPr>
      <w:r>
        <w:rPr>
          <w:rFonts w:ascii="Arial" w:cs="Arial" w:eastAsia="Arial" w:hAnsi="Arial"/>
          <w:sz w:val="19"/>
          <w:szCs w:val="19"/>
          <w:color w:val="auto"/>
        </w:rPr>
        <w:t>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w:t>
      </w:r>
    </w:p>
    <w:p>
      <w:pPr>
        <w:spacing w:after="0" w:line="174" w:lineRule="exact"/>
        <w:rPr>
          <w:rFonts w:ascii="Arial" w:cs="Arial" w:eastAsia="Arial" w:hAnsi="Arial"/>
          <w:sz w:val="19"/>
          <w:szCs w:val="19"/>
          <w:color w:val="auto"/>
        </w:rPr>
      </w:pPr>
    </w:p>
    <w:p>
      <w:pPr>
        <w:ind w:firstLine="1305"/>
        <w:spacing w:after="0" w:line="263" w:lineRule="auto"/>
        <w:tabs>
          <w:tab w:leader="none" w:pos="2197" w:val="left"/>
        </w:tabs>
        <w:numPr>
          <w:ilvl w:val="1"/>
          <w:numId w:val="32"/>
        </w:numPr>
        <w:rPr>
          <w:rFonts w:ascii="Arial" w:cs="Arial" w:eastAsia="Arial" w:hAnsi="Arial"/>
          <w:sz w:val="22"/>
          <w:szCs w:val="22"/>
          <w:color w:val="auto"/>
        </w:rPr>
      </w:pPr>
      <w:r>
        <w:rPr>
          <w:rFonts w:ascii="Arial" w:cs="Arial" w:eastAsia="Arial" w:hAnsi="Arial"/>
          <w:sz w:val="22"/>
          <w:szCs w:val="22"/>
          <w:color w:val="auto"/>
        </w:rPr>
        <w:t>Each such grant or sale may be made without additional consideration or in consideration of a payment by such Participant that is less than the Market Value per Share on the Date of Grant.</w:t>
      </w:r>
    </w:p>
    <w:p>
      <w:pPr>
        <w:spacing w:after="0" w:line="215" w:lineRule="exact"/>
        <w:rPr>
          <w:rFonts w:ascii="Arial" w:cs="Arial" w:eastAsia="Arial" w:hAnsi="Arial"/>
          <w:sz w:val="22"/>
          <w:szCs w:val="22"/>
          <w:color w:val="auto"/>
        </w:rPr>
      </w:pPr>
    </w:p>
    <w:p>
      <w:pPr>
        <w:jc w:val="both"/>
        <w:ind w:firstLine="1305"/>
        <w:spacing w:after="0" w:line="265" w:lineRule="auto"/>
        <w:tabs>
          <w:tab w:leader="none" w:pos="2185"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21"/>
          <w:szCs w:val="21"/>
          <w:b w:val="1"/>
          <w:bCs w:val="1"/>
          <w:u w:val="single" w:color="auto"/>
          <w:color w:val="auto"/>
        </w:rPr>
        <w:t>Section 6(e)</w:t>
      </w:r>
      <w:r>
        <w:rPr>
          <w:rFonts w:ascii="Arial" w:cs="Arial" w:eastAsia="Arial" w:hAnsi="Arial"/>
          <w:sz w:val="21"/>
          <w:szCs w:val="21"/>
          <w:color w:val="auto"/>
        </w:rPr>
        <w:t xml:space="preserve"> of this Plan. If the elimination of restrictions is based only on the passage of time, the period of time will be no shorter than one year.</w:t>
      </w:r>
    </w:p>
    <w:p>
      <w:pPr>
        <w:spacing w:after="0" w:line="216" w:lineRule="exact"/>
        <w:rPr>
          <w:rFonts w:ascii="Arial" w:cs="Arial" w:eastAsia="Arial" w:hAnsi="Arial"/>
          <w:sz w:val="21"/>
          <w:szCs w:val="21"/>
          <w:color w:val="auto"/>
        </w:rPr>
      </w:pPr>
    </w:p>
    <w:p>
      <w:pPr>
        <w:jc w:val="both"/>
        <w:ind w:firstLine="1305"/>
        <w:spacing w:after="0" w:line="302" w:lineRule="auto"/>
        <w:tabs>
          <w:tab w:leader="none" w:pos="2197" w:val="left"/>
        </w:tabs>
        <w:numPr>
          <w:ilvl w:val="1"/>
          <w:numId w:val="32"/>
        </w:numPr>
        <w:rPr>
          <w:rFonts w:ascii="Arial" w:cs="Arial" w:eastAsia="Arial" w:hAnsi="Arial"/>
          <w:sz w:val="19"/>
          <w:szCs w:val="19"/>
          <w:color w:val="auto"/>
        </w:rPr>
      </w:pPr>
      <w:r>
        <w:rPr>
          <w:rFonts w:ascii="Arial" w:cs="Arial" w:eastAsia="Arial" w:hAnsi="Arial"/>
          <w:sz w:val="19"/>
          <w:szCs w:val="19"/>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3" w:lineRule="exact"/>
        <w:rPr>
          <w:rFonts w:ascii="Arial" w:cs="Arial" w:eastAsia="Arial" w:hAnsi="Arial"/>
          <w:sz w:val="19"/>
          <w:szCs w:val="19"/>
          <w:color w:val="auto"/>
        </w:rPr>
      </w:pPr>
    </w:p>
    <w:p>
      <w:pPr>
        <w:jc w:val="both"/>
        <w:ind w:right="20" w:firstLine="1305"/>
        <w:spacing w:after="0" w:line="250" w:lineRule="auto"/>
        <w:tabs>
          <w:tab w:leader="none" w:pos="2185"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Any grant of Restricted Stock may specify Management Objectives that, if achieved, will result in termination or early termination of the restrictions applicable to such Restricted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subparagraph (c) above, for Restricted Stock that vests upon the achievement of Management Objectives, the performance period must be at least one year.</w:t>
      </w:r>
    </w:p>
    <w:p>
      <w:pPr>
        <w:spacing w:after="0" w:line="228" w:lineRule="exact"/>
        <w:rPr>
          <w:rFonts w:ascii="Arial" w:cs="Arial" w:eastAsia="Arial" w:hAnsi="Arial"/>
          <w:sz w:val="22"/>
          <w:szCs w:val="22"/>
          <w:color w:val="auto"/>
        </w:rPr>
      </w:pPr>
    </w:p>
    <w:p>
      <w:pPr>
        <w:jc w:val="both"/>
        <w:ind w:firstLine="1305"/>
        <w:spacing w:after="0" w:line="246" w:lineRule="auto"/>
        <w:tabs>
          <w:tab w:leader="none" w:pos="2161"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Plan (including minimum vesting requirements), Restricted Stock may provide for continued vesting or the earlier termination of restrictions on such Restricted Stock, including in the event of the retirement, death or disability of a Participant or in the event of a Change in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award of Restricted Stock intended to be a Qualified Performance-Based Award will provide for such early termination of restrictions (other than in connection with the death or disability of the Participant or a Change in Control) to the extent such provisions would result in the loss of the otherwise available exemption of the award under Section 162(m) of the Code.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53" w:name="page54"/>
    <w:bookmarkEnd w:id="53"/>
    <w:p>
      <w:pPr>
        <w:jc w:val="both"/>
        <w:ind w:firstLine="1305"/>
        <w:spacing w:after="0" w:line="302" w:lineRule="auto"/>
        <w:tabs>
          <w:tab w:leader="none" w:pos="2197"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 such grant or sale of Restricted Stock will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183" w:lineRule="exact"/>
        <w:rPr>
          <w:rFonts w:ascii="Arial" w:cs="Arial" w:eastAsia="Arial" w:hAnsi="Arial"/>
          <w:sz w:val="19"/>
          <w:szCs w:val="19"/>
          <w:color w:val="auto"/>
        </w:rPr>
      </w:pPr>
    </w:p>
    <w:p>
      <w:pPr>
        <w:jc w:val="both"/>
        <w:ind w:firstLine="1305"/>
        <w:spacing w:after="0" w:line="294" w:lineRule="auto"/>
        <w:tabs>
          <w:tab w:leader="none" w:pos="2197" w:val="left"/>
        </w:tabs>
        <w:numPr>
          <w:ilvl w:val="1"/>
          <w:numId w:val="33"/>
        </w:numPr>
        <w:rPr>
          <w:rFonts w:ascii="Arial" w:cs="Arial" w:eastAsia="Arial" w:hAnsi="Arial"/>
          <w:sz w:val="19"/>
          <w:szCs w:val="19"/>
          <w:color w:val="auto"/>
        </w:rPr>
      </w:pPr>
      <w:r>
        <w:rPr>
          <w:rFonts w:ascii="Arial" w:cs="Arial" w:eastAsia="Arial" w:hAnsi="Arial"/>
          <w:sz w:val="19"/>
          <w:szCs w:val="19"/>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84" w:lineRule="exact"/>
        <w:rPr>
          <w:rFonts w:ascii="Arial" w:cs="Arial" w:eastAsia="Arial" w:hAnsi="Arial"/>
          <w:sz w:val="19"/>
          <w:szCs w:val="19"/>
          <w:color w:val="auto"/>
        </w:rPr>
      </w:pPr>
    </w:p>
    <w:p>
      <w:pPr>
        <w:jc w:val="both"/>
        <w:ind w:firstLine="656"/>
        <w:spacing w:after="0" w:line="274" w:lineRule="auto"/>
        <w:tabs>
          <w:tab w:leader="none" w:pos="1459"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 xml:space="preserve">Restricted Stock Units. </w:t>
      </w:r>
      <w:r>
        <w:rPr>
          <w:rFonts w:ascii="Arial" w:cs="Arial" w:eastAsia="Arial" w:hAnsi="Arial"/>
          <w:sz w:val="21"/>
          <w:szCs w:val="21"/>
          <w:color w:val="auto"/>
        </w:rPr>
        <w:t>The Committee may, from time to time and upon such terms and conditions as it may</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 authorize the granting or sale of Restricted Stock Units to Participants. Each such grant or sale may utilize any or all of the authorizations, and will be subject to all of the requirements, contained in the following provisions:</w:t>
      </w:r>
    </w:p>
    <w:p>
      <w:pPr>
        <w:spacing w:after="0" w:line="205" w:lineRule="exact"/>
        <w:rPr>
          <w:rFonts w:ascii="Arial" w:cs="Arial" w:eastAsia="Arial" w:hAnsi="Arial"/>
          <w:sz w:val="21"/>
          <w:szCs w:val="21"/>
          <w:color w:val="auto"/>
        </w:rPr>
      </w:pPr>
    </w:p>
    <w:p>
      <w:pPr>
        <w:jc w:val="both"/>
        <w:ind w:firstLine="1305"/>
        <w:spacing w:after="0" w:line="250" w:lineRule="auto"/>
        <w:tabs>
          <w:tab w:leader="none" w:pos="2185"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2197"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a grant of Restricted Stock Units specifies that the Restriction Period will terminate only upon the achievement of Management Objectives or that the Restricted Stock Units will be earned based on the achievement of Management Objectives, then, notwithstanding anything to the contrary contained in subparagraph (d) below, the applicable performance period must be at least one year.</w:t>
      </w:r>
    </w:p>
    <w:p>
      <w:pPr>
        <w:spacing w:after="0" w:line="228" w:lineRule="exact"/>
        <w:rPr>
          <w:rFonts w:ascii="Arial" w:cs="Arial" w:eastAsia="Arial" w:hAnsi="Arial"/>
          <w:sz w:val="22"/>
          <w:szCs w:val="22"/>
          <w:color w:val="auto"/>
        </w:rPr>
      </w:pPr>
    </w:p>
    <w:p>
      <w:pPr>
        <w:ind w:firstLine="1305"/>
        <w:spacing w:after="0" w:line="263" w:lineRule="auto"/>
        <w:tabs>
          <w:tab w:leader="none" w:pos="2185"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such grant or sale may be made without additional consideration or in consideration of a payment by such Participant that is less than the Market Value per Share on the Date of Grant.</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the Restriction Period lapses only by the passage of time rather than the achievement of Management Objectives as provided in subparagraph (b) above, each such grant or sale will be subject to a Restriction Period of not less than one year.</w:t>
      </w:r>
    </w:p>
    <w:p>
      <w:pPr>
        <w:spacing w:after="0" w:line="226" w:lineRule="exact"/>
        <w:rPr>
          <w:rFonts w:ascii="Arial" w:cs="Arial" w:eastAsia="Arial" w:hAnsi="Arial"/>
          <w:sz w:val="22"/>
          <w:szCs w:val="22"/>
          <w:color w:val="auto"/>
        </w:rPr>
      </w:pPr>
    </w:p>
    <w:p>
      <w:pPr>
        <w:jc w:val="both"/>
        <w:ind w:firstLine="1305"/>
        <w:spacing w:after="0" w:line="250" w:lineRule="auto"/>
        <w:tabs>
          <w:tab w:leader="none" w:pos="2185"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Plan (including minimum vesting requirements), Restricted Stock Units may provide for continued vesting or the earlier lapse or other modification of the Restriction Period, including in the event of the retirement, death or disability of a Participant or in the event of a Change in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2"/>
          <w:szCs w:val="22"/>
          <w:color w:val="auto"/>
        </w:rPr>
        <w:t>no award of Restricted Stock Units intended to be a Qualified Performance-Based Award will provide for such early lapse or modification of the Restriction Period (other than in connection with the death or disability of the Participant or a Change in Control) to the extent such provisions would result in the loss of the otherwise available exemption of the award under Section 162(m) of the Code.</w:t>
      </w:r>
    </w:p>
    <w:p>
      <w:pPr>
        <w:spacing w:after="0" w:line="229" w:lineRule="exact"/>
        <w:rPr>
          <w:sz w:val="20"/>
          <w:szCs w:val="20"/>
          <w:color w:val="auto"/>
        </w:rPr>
      </w:pPr>
    </w:p>
    <w:p>
      <w:pPr>
        <w:jc w:val="both"/>
        <w:ind w:firstLine="1305"/>
        <w:spacing w:after="0" w:line="294" w:lineRule="auto"/>
        <w:tabs>
          <w:tab w:leader="none" w:pos="2161"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dividend equivalents or other distributions on shares of Common Stock underlying Restricted Stock Units will be deferred until and paid contingent upon the vesting of such Restricted Stock Units.</w:t>
      </w:r>
    </w:p>
    <w:p>
      <w:pPr>
        <w:spacing w:after="0" w:line="190" w:lineRule="exact"/>
        <w:rPr>
          <w:rFonts w:ascii="Arial" w:cs="Arial" w:eastAsia="Arial" w:hAnsi="Arial"/>
          <w:sz w:val="19"/>
          <w:szCs w:val="19"/>
          <w:color w:val="auto"/>
        </w:rPr>
      </w:pPr>
    </w:p>
    <w:p>
      <w:pPr>
        <w:jc w:val="both"/>
        <w:ind w:firstLine="1305"/>
        <w:spacing w:after="0" w:line="253" w:lineRule="auto"/>
        <w:tabs>
          <w:tab w:leader="none" w:pos="2197" w:val="left"/>
        </w:tabs>
        <w:numPr>
          <w:ilvl w:val="1"/>
          <w:numId w:val="35"/>
        </w:numPr>
        <w:rPr>
          <w:rFonts w:ascii="Arial" w:cs="Arial" w:eastAsia="Arial" w:hAnsi="Arial"/>
          <w:sz w:val="22"/>
          <w:szCs w:val="22"/>
          <w:color w:val="auto"/>
        </w:rPr>
      </w:pPr>
      <w:r>
        <w:rPr>
          <w:rFonts w:ascii="Arial" w:cs="Arial" w:eastAsia="Arial" w:hAnsi="Arial"/>
          <w:sz w:val="22"/>
          <w:szCs w:val="22"/>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35"/>
        </w:numPr>
        <w:rPr>
          <w:rFonts w:ascii="Arial" w:cs="Arial" w:eastAsia="Arial" w:hAnsi="Arial"/>
          <w:sz w:val="22"/>
          <w:szCs w:val="22"/>
          <w:color w:val="auto"/>
        </w:rPr>
      </w:pPr>
      <w:r>
        <w:rPr>
          <w:rFonts w:ascii="Arial" w:cs="Arial" w:eastAsia="Arial" w:hAnsi="Arial"/>
          <w:sz w:val="22"/>
          <w:szCs w:val="22"/>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220" w:lineRule="exact"/>
        <w:rPr>
          <w:rFonts w:ascii="Arial" w:cs="Arial" w:eastAsia="Arial" w:hAnsi="Arial"/>
          <w:sz w:val="22"/>
          <w:szCs w:val="22"/>
          <w:color w:val="auto"/>
        </w:rPr>
      </w:pPr>
    </w:p>
    <w:p>
      <w:pPr>
        <w:jc w:val="both"/>
        <w:ind w:firstLine="656"/>
        <w:spacing w:after="0" w:line="252" w:lineRule="auto"/>
        <w:tabs>
          <w:tab w:leader="none" w:pos="1459"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Cash Incentive Awards, Performance Shares and Performance Units. </w:t>
      </w:r>
      <w:r>
        <w:rPr>
          <w:rFonts w:ascii="Arial" w:cs="Arial" w:eastAsia="Arial" w:hAnsi="Arial"/>
          <w:sz w:val="22"/>
          <w:szCs w:val="22"/>
          <w:color w:val="auto"/>
        </w:rPr>
        <w:t>The Committee may,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226" w:lineRule="exact"/>
        <w:rPr>
          <w:rFonts w:ascii="Arial" w:cs="Arial" w:eastAsia="Arial" w:hAnsi="Arial"/>
          <w:sz w:val="22"/>
          <w:szCs w:val="22"/>
          <w:color w:val="auto"/>
        </w:rPr>
      </w:pPr>
    </w:p>
    <w:p>
      <w:pPr>
        <w:jc w:val="both"/>
        <w:ind w:firstLine="1305"/>
        <w:spacing w:after="0" w:line="247" w:lineRule="auto"/>
        <w:tabs>
          <w:tab w:leader="none" w:pos="2185"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Each grant will specify the number or amount of Performance Shares or Performance Units, or amount payable with respect to a Cash Incentive Award, to which it pertains, which number or amount may be subject to adjustment to reflect changes in compensation or other factors;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adjustment will be made in the case of a Qualified Performance-Based Award (other than in connection with the death or disability of the Participant or a Change in Control) where such action would result in the loss of the otherwise available exemption of the award under Section 162(m) of the Code.</w:t>
      </w:r>
    </w:p>
    <w:p>
      <w:pPr>
        <w:spacing w:after="0" w:line="234" w:lineRule="exact"/>
        <w:rPr>
          <w:rFonts w:ascii="Arial" w:cs="Arial" w:eastAsia="Arial" w:hAnsi="Arial"/>
          <w:sz w:val="22"/>
          <w:szCs w:val="22"/>
          <w:color w:val="auto"/>
        </w:rPr>
      </w:pPr>
    </w:p>
    <w:p>
      <w:pPr>
        <w:jc w:val="both"/>
        <w:ind w:firstLine="1305"/>
        <w:spacing w:after="0" w:line="247" w:lineRule="auto"/>
        <w:tabs>
          <w:tab w:leader="none" w:pos="2197"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The Performance Period with respect to each Cash Incentive Award or grant of Performance Shares or Performance Units will be such period of time (not less than one year) as will be determined by the Committee, which may be subject to continued vesting or earlier lapse or other modification, including in the event of the retirement, death or disability of a Participant or in the event of a Change in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adjustment will be made in the case of a Qualified Performance-Based Award (other than in connection with the death or disability of the Participant or a Change in Control) where such action would result in the loss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55" w:name="page56"/>
    <w:bookmarkEnd w:id="55"/>
    <w:p>
      <w:pPr>
        <w:spacing w:after="0" w:line="263" w:lineRule="auto"/>
        <w:rPr>
          <w:sz w:val="20"/>
          <w:szCs w:val="20"/>
          <w:color w:val="auto"/>
        </w:rPr>
      </w:pPr>
      <w:r>
        <w:rPr>
          <w:rFonts w:ascii="Arial" w:cs="Arial" w:eastAsia="Arial" w:hAnsi="Arial"/>
          <w:sz w:val="22"/>
          <w:szCs w:val="22"/>
          <w:color w:val="auto"/>
        </w:rPr>
        <w:t>the otherwise available exemption of the award under Section 162(m) of the Code. In such event, the Evidence of Award will specify the time and terms of delivery.</w:t>
      </w:r>
    </w:p>
    <w:p>
      <w:pPr>
        <w:spacing w:after="0" w:line="215" w:lineRule="exact"/>
        <w:rPr>
          <w:sz w:val="20"/>
          <w:szCs w:val="20"/>
          <w:color w:val="auto"/>
        </w:rPr>
      </w:pPr>
    </w:p>
    <w:p>
      <w:pPr>
        <w:jc w:val="both"/>
        <w:ind w:firstLine="1305"/>
        <w:spacing w:after="0" w:line="294" w:lineRule="auto"/>
        <w:tabs>
          <w:tab w:leader="none" w:pos="2185" w:val="left"/>
        </w:tabs>
        <w:numPr>
          <w:ilvl w:val="1"/>
          <w:numId w:val="37"/>
        </w:numPr>
        <w:rPr>
          <w:rFonts w:ascii="Arial" w:cs="Arial" w:eastAsia="Arial" w:hAnsi="Arial"/>
          <w:sz w:val="19"/>
          <w:szCs w:val="19"/>
          <w:color w:val="auto"/>
        </w:rPr>
      </w:pPr>
      <w:r>
        <w:rPr>
          <w:rFonts w:ascii="Arial" w:cs="Arial" w:eastAsia="Arial" w:hAnsi="Arial"/>
          <w:sz w:val="19"/>
          <w:szCs w:val="19"/>
          <w:color w:val="auto"/>
        </w:rPr>
        <w:t>Each grant of a Cash Incentive Award, Performance Shares or Performance Units will specify Management Objectives which, if achieved, will result in payment or early payment of the award, and each grant may specify in respect of such specified Management Objectives a minimum acceptable level or levels of achievement and may set forth a formula for determining the number of Performance Shares or Performance Units, or amount payable with respect to a Cash Incentive Award, that will be earned if performance is at or above the minimum or threshold level or levels, or is at or above the target level or levels, but falls short of maximum achievement of the specified Management Objectives.</w:t>
      </w:r>
    </w:p>
    <w:p>
      <w:pPr>
        <w:spacing w:after="0" w:line="190" w:lineRule="exact"/>
        <w:rPr>
          <w:rFonts w:ascii="Arial" w:cs="Arial" w:eastAsia="Arial" w:hAnsi="Arial"/>
          <w:sz w:val="19"/>
          <w:szCs w:val="19"/>
          <w:color w:val="auto"/>
        </w:rPr>
      </w:pPr>
    </w:p>
    <w:p>
      <w:pPr>
        <w:jc w:val="both"/>
        <w:ind w:firstLine="1305"/>
        <w:spacing w:after="0" w:line="312" w:lineRule="auto"/>
        <w:tabs>
          <w:tab w:leader="none" w:pos="2197" w:val="left"/>
        </w:tabs>
        <w:numPr>
          <w:ilvl w:val="1"/>
          <w:numId w:val="37"/>
        </w:numPr>
        <w:rPr>
          <w:rFonts w:ascii="Arial" w:cs="Arial" w:eastAsia="Arial" w:hAnsi="Arial"/>
          <w:sz w:val="19"/>
          <w:szCs w:val="19"/>
          <w:color w:val="auto"/>
        </w:rPr>
      </w:pPr>
      <w:r>
        <w:rPr>
          <w:rFonts w:ascii="Arial" w:cs="Arial" w:eastAsia="Arial" w:hAnsi="Arial"/>
          <w:sz w:val="19"/>
          <w:szCs w:val="19"/>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Stock or Restricted Stock Units or in any combination thereof.</w:t>
      </w:r>
    </w:p>
    <w:p>
      <w:pPr>
        <w:spacing w:after="0" w:line="174" w:lineRule="exact"/>
        <w:rPr>
          <w:rFonts w:ascii="Arial" w:cs="Arial" w:eastAsia="Arial" w:hAnsi="Arial"/>
          <w:sz w:val="19"/>
          <w:szCs w:val="19"/>
          <w:color w:val="auto"/>
        </w:rPr>
      </w:pPr>
    </w:p>
    <w:p>
      <w:pPr>
        <w:jc w:val="both"/>
        <w:ind w:firstLine="1305"/>
        <w:spacing w:after="0" w:line="253" w:lineRule="auto"/>
        <w:tabs>
          <w:tab w:leader="none" w:pos="2185"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Any grant of a Cash Incentive Award, Performance Shares or Performance Units may specify that the amount payable or the number of shares of Common Stock, Restricted Stock or Restricted Stock Units payable with respect thereto may not exceed a maximum specified by the Committee on the Date of Grant.</w:t>
      </w:r>
    </w:p>
    <w:p>
      <w:pPr>
        <w:spacing w:after="0" w:line="226" w:lineRule="exact"/>
        <w:rPr>
          <w:rFonts w:ascii="Arial" w:cs="Arial" w:eastAsia="Arial" w:hAnsi="Arial"/>
          <w:sz w:val="22"/>
          <w:szCs w:val="22"/>
          <w:color w:val="auto"/>
        </w:rPr>
      </w:pPr>
    </w:p>
    <w:p>
      <w:pPr>
        <w:jc w:val="both"/>
        <w:ind w:firstLine="1305"/>
        <w:spacing w:after="0" w:line="265" w:lineRule="auto"/>
        <w:tabs>
          <w:tab w:leader="none" w:pos="2161"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Committee may, on the Date of Grant of Performance Shares or Performance Units, provide for the payment of dividend equivalents to the holder thereof either in cash or in additional shares of Common Stock, subject in all cases to deferral and payment on a contingent basis based on the Participant’s earning of the Performance Shares or Performance Units, as applicable, with respect to which such dividend equivalents are paid.</w:t>
      </w:r>
    </w:p>
    <w:p>
      <w:pPr>
        <w:spacing w:after="0" w:line="216" w:lineRule="exact"/>
        <w:rPr>
          <w:rFonts w:ascii="Arial" w:cs="Arial" w:eastAsia="Arial" w:hAnsi="Arial"/>
          <w:sz w:val="21"/>
          <w:szCs w:val="21"/>
          <w:color w:val="auto"/>
        </w:rPr>
      </w:pPr>
    </w:p>
    <w:p>
      <w:pPr>
        <w:jc w:val="both"/>
        <w:ind w:firstLine="1305"/>
        <w:spacing w:after="0" w:line="253" w:lineRule="auto"/>
        <w:tabs>
          <w:tab w:leader="none" w:pos="2197"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220" w:lineRule="exact"/>
        <w:rPr>
          <w:rFonts w:ascii="Arial" w:cs="Arial" w:eastAsia="Arial" w:hAnsi="Arial"/>
          <w:sz w:val="22"/>
          <w:szCs w:val="22"/>
          <w:color w:val="auto"/>
        </w:rPr>
      </w:pPr>
    </w:p>
    <w:p>
      <w:pPr>
        <w:ind w:left="1460" w:hanging="804"/>
        <w:spacing w:after="0"/>
        <w:tabs>
          <w:tab w:leader="none" w:pos="146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Other Awards.</w:t>
      </w:r>
    </w:p>
    <w:p>
      <w:pPr>
        <w:spacing w:after="0" w:line="260" w:lineRule="exact"/>
        <w:rPr>
          <w:rFonts w:ascii="Arial" w:cs="Arial" w:eastAsia="Arial" w:hAnsi="Arial"/>
          <w:sz w:val="22"/>
          <w:szCs w:val="22"/>
          <w:color w:val="auto"/>
        </w:rPr>
      </w:pPr>
    </w:p>
    <w:p>
      <w:pPr>
        <w:jc w:val="both"/>
        <w:ind w:firstLine="1305"/>
        <w:spacing w:after="0" w:line="291" w:lineRule="auto"/>
        <w:tabs>
          <w:tab w:leader="none" w:pos="2185"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Subject to applicable law and the applicable limits set forth in </w:t>
      </w: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 xml:space="preserve"> of this Plan, the Committee may grant to any Participant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2"/>
          <w:szCs w:val="22"/>
          <w:color w:val="auto"/>
        </w:rPr>
        <w:t xml:space="preserve">units of the Company. The Committee will determine the terms and conditions of such awards. Shares of Common Stock delivered pursuant to an award in the nature of a purchase right granted under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will be purchased for such consideration, paid for at such time, by such methods, and in such forms, including, without limitation, shares of Common Stock, other awards, notes or other property, as the Committee determines.</w:t>
      </w:r>
    </w:p>
    <w:p>
      <w:pPr>
        <w:spacing w:after="0" w:line="229" w:lineRule="exact"/>
        <w:rPr>
          <w:sz w:val="20"/>
          <w:szCs w:val="20"/>
          <w:color w:val="auto"/>
        </w:rPr>
      </w:pPr>
    </w:p>
    <w:p>
      <w:pPr>
        <w:ind w:firstLine="1305"/>
        <w:spacing w:after="0" w:line="263" w:lineRule="auto"/>
        <w:tabs>
          <w:tab w:leader="none" w:pos="2197"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Cash awards, as an element of or supplement to any other award granted under this Plan, may also be granted pursuant to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2185"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Committee may grant shares of Common Stock as a bonus, or may grant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228" w:lineRule="exact"/>
        <w:rPr>
          <w:rFonts w:ascii="Arial" w:cs="Arial" w:eastAsia="Arial" w:hAnsi="Arial"/>
          <w:sz w:val="22"/>
          <w:szCs w:val="22"/>
          <w:color w:val="auto"/>
        </w:rPr>
      </w:pPr>
    </w:p>
    <w:p>
      <w:pPr>
        <w:jc w:val="both"/>
        <w:ind w:firstLine="1305"/>
        <w:spacing w:after="0" w:line="302" w:lineRule="auto"/>
        <w:tabs>
          <w:tab w:leader="none" w:pos="2197"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If the earning or vesting of, or elimination of restrictions applicable to, an award granted under this </w:t>
      </w:r>
      <w:r>
        <w:rPr>
          <w:rFonts w:ascii="Arial" w:cs="Arial" w:eastAsia="Arial" w:hAnsi="Arial"/>
          <w:sz w:val="19"/>
          <w:szCs w:val="19"/>
          <w:b w:val="1"/>
          <w:bCs w:val="1"/>
          <w:u w:val="single" w:color="auto"/>
          <w:color w:val="auto"/>
        </w:rPr>
        <w:t>Section 9</w:t>
      </w:r>
      <w:r>
        <w:rPr>
          <w:rFonts w:ascii="Arial" w:cs="Arial" w:eastAsia="Arial" w:hAnsi="Arial"/>
          <w:sz w:val="19"/>
          <w:szCs w:val="19"/>
          <w:b w:val="1"/>
          <w:bCs w:val="1"/>
          <w:color w:val="auto"/>
        </w:rPr>
        <w:t xml:space="preserve"> </w:t>
      </w:r>
      <w:r>
        <w:rPr>
          <w:rFonts w:ascii="Arial" w:cs="Arial" w:eastAsia="Arial" w:hAnsi="Arial"/>
          <w:sz w:val="19"/>
          <w:szCs w:val="19"/>
          <w:color w:val="auto"/>
        </w:rPr>
        <w:t>is based only on the passage of time rather than the achievement of Management Objectives, the period of time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 shorter than one year. If the earning or vesting of, or elimination of restrictions applicable to, awards granted under this </w:t>
      </w:r>
      <w:r>
        <w:rPr>
          <w:rFonts w:ascii="Arial" w:cs="Arial" w:eastAsia="Arial" w:hAnsi="Arial"/>
          <w:sz w:val="19"/>
          <w:szCs w:val="19"/>
          <w:b w:val="1"/>
          <w:bCs w:val="1"/>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9</w:t>
      </w:r>
      <w:r>
        <w:rPr>
          <w:rFonts w:ascii="Arial" w:cs="Arial" w:eastAsia="Arial" w:hAnsi="Arial"/>
          <w:sz w:val="19"/>
          <w:szCs w:val="19"/>
          <w:b w:val="1"/>
          <w:bCs w:val="1"/>
          <w:color w:val="auto"/>
        </w:rPr>
        <w:t xml:space="preserve"> </w:t>
      </w:r>
      <w:r>
        <w:rPr>
          <w:rFonts w:ascii="Arial" w:cs="Arial" w:eastAsia="Arial" w:hAnsi="Arial"/>
          <w:sz w:val="19"/>
          <w:szCs w:val="19"/>
          <w:color w:val="auto"/>
        </w:rPr>
        <w:t>is based on the achievement of Management Objectives, the performance period must be at least one year.</w:t>
      </w:r>
    </w:p>
    <w:p>
      <w:pPr>
        <w:spacing w:after="0" w:line="183" w:lineRule="exact"/>
        <w:rPr>
          <w:rFonts w:ascii="Arial" w:cs="Arial" w:eastAsia="Arial" w:hAnsi="Arial"/>
          <w:sz w:val="19"/>
          <w:szCs w:val="19"/>
          <w:color w:val="auto"/>
        </w:rPr>
      </w:pPr>
    </w:p>
    <w:p>
      <w:pPr>
        <w:jc w:val="both"/>
        <w:ind w:firstLine="1305"/>
        <w:spacing w:after="0" w:line="302" w:lineRule="auto"/>
        <w:tabs>
          <w:tab w:leader="none" w:pos="2185"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The Committee may, at or after the Date of Grant, authorize the payment of dividends or dividend equivalents on awards granted under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on a deferred and contingent basis, either in cash or in additional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dividend equivalents or other distributions on shares of Common Stock underlying awards granted under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will be deferred until and paid contingent upon the earning of such awards.</w:t>
      </w:r>
    </w:p>
    <w:p>
      <w:pPr>
        <w:spacing w:after="0" w:line="183" w:lineRule="exact"/>
        <w:rPr>
          <w:rFonts w:ascii="Arial" w:cs="Arial" w:eastAsia="Arial" w:hAnsi="Arial"/>
          <w:sz w:val="19"/>
          <w:szCs w:val="19"/>
          <w:color w:val="auto"/>
        </w:rPr>
      </w:pPr>
    </w:p>
    <w:p>
      <w:pPr>
        <w:jc w:val="both"/>
        <w:ind w:firstLine="1305"/>
        <w:spacing w:after="0" w:line="246" w:lineRule="auto"/>
        <w:tabs>
          <w:tab w:leader="none" w:pos="2161"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Plan (including minimum vesting requirements), awards under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may provide for the earning or vesting of, or earlier elimination of restrictions applicable to, such award, including in the event of the retirement, death or disability of a Participant or in the event of a Change in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adjustment will be made in the case of a Qualified Performance-Based Award (other than in connection with the death or disability of the Participant or a Change in Control) where such action would result in the loss of the otherwise available exemption of the award under Section 162(m) of the Code. In such event, the Evidence of Award will specify the time and terms of delivery.</w:t>
      </w:r>
    </w:p>
    <w:p>
      <w:pPr>
        <w:spacing w:after="0" w:line="231" w:lineRule="exact"/>
        <w:rPr>
          <w:rFonts w:ascii="Arial" w:cs="Arial" w:eastAsia="Arial" w:hAnsi="Arial"/>
          <w:sz w:val="22"/>
          <w:szCs w:val="22"/>
          <w:color w:val="auto"/>
        </w:rPr>
      </w:pPr>
    </w:p>
    <w:p>
      <w:pPr>
        <w:ind w:left="1580" w:hanging="924"/>
        <w:spacing w:after="0"/>
        <w:tabs>
          <w:tab w:leader="none" w:pos="158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Administration of this Plan.</w:t>
      </w:r>
    </w:p>
    <w:p>
      <w:pPr>
        <w:spacing w:after="0" w:line="266"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This Plan will be administered by the Committee.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interpretation and construction by the Committee of any provision of this Plan or of any Evidence of Award (or related documents) and any determination by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91" w:right="23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22"/>
          <w:szCs w:val="22"/>
          <w:color w:val="auto"/>
        </w:rPr>
        <w:t>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233" w:lineRule="exact"/>
        <w:rPr>
          <w:sz w:val="20"/>
          <w:szCs w:val="20"/>
          <w:color w:val="auto"/>
        </w:rPr>
      </w:pPr>
    </w:p>
    <w:p>
      <w:pPr>
        <w:jc w:val="both"/>
        <w:ind w:firstLine="1305"/>
        <w:spacing w:after="0" w:line="285" w:lineRule="auto"/>
        <w:tabs>
          <w:tab w:leader="none" w:pos="2185" w:val="left"/>
        </w:tabs>
        <w:numPr>
          <w:ilvl w:val="2"/>
          <w:numId w:val="41"/>
        </w:numPr>
        <w:rPr>
          <w:rFonts w:ascii="Arial" w:cs="Arial" w:eastAsia="Arial" w:hAnsi="Arial"/>
          <w:sz w:val="19"/>
          <w:szCs w:val="19"/>
          <w:color w:val="auto"/>
        </w:rPr>
      </w:pPr>
      <w:r>
        <w:rPr>
          <w:rFonts w:ascii="Arial" w:cs="Arial" w:eastAsia="Arial" w:hAnsi="Arial"/>
          <w:sz w:val="19"/>
          <w:szCs w:val="19"/>
          <w:color w:val="auto"/>
        </w:rPr>
        <w:t>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w:t>
      </w:r>
    </w:p>
    <w:p>
      <w:pPr>
        <w:jc w:val="both"/>
        <w:ind w:firstLine="8"/>
        <w:spacing w:after="0" w:line="287" w:lineRule="auto"/>
        <w:tabs>
          <w:tab w:leader="none" w:pos="3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determine the size of any such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the Committee will not delegate such responsibilities to any such officer for awards granted to an employee who is an officer,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or to any Participant who is, or is determined by the Committee to likely become, a “covered employee” within the meaning of Section 162(m) of the Code (or any successor provision);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195" w:lineRule="exact"/>
        <w:rPr>
          <w:rFonts w:ascii="Arial" w:cs="Arial" w:eastAsia="Arial" w:hAnsi="Arial"/>
          <w:sz w:val="19"/>
          <w:szCs w:val="19"/>
          <w:color w:val="auto"/>
        </w:rPr>
      </w:pPr>
    </w:p>
    <w:p>
      <w:pPr>
        <w:jc w:val="both"/>
        <w:ind w:firstLine="656"/>
        <w:spacing w:after="0" w:line="286" w:lineRule="auto"/>
        <w:tabs>
          <w:tab w:leader="none" w:pos="1559"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Adjustments. </w:t>
      </w:r>
      <w:r>
        <w:rPr>
          <w:rFonts w:ascii="Arial" w:cs="Arial" w:eastAsia="Arial" w:hAnsi="Arial"/>
          <w:sz w:val="19"/>
          <w:szCs w:val="19"/>
          <w:color w:val="auto"/>
        </w:rPr>
        <w:t>The Committee shall make or provide for such adjustments in the number of and kind of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Common Stock covered by 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1" w:right="239" w:bottom="1440" w:gutter="0" w:footer="0" w:header="0"/>
        </w:sectPr>
      </w:pPr>
    </w:p>
    <w:bookmarkStart w:id="58" w:name="page59"/>
    <w:bookmarkEnd w:id="58"/>
    <w:p>
      <w:pPr>
        <w:jc w:val="both"/>
        <w:spacing w:after="0" w:line="260" w:lineRule="auto"/>
        <w:rPr>
          <w:sz w:val="20"/>
          <w:szCs w:val="20"/>
          <w:color w:val="auto"/>
        </w:rPr>
      </w:pPr>
      <w:r>
        <w:rPr>
          <w:rFonts w:ascii="Arial" w:cs="Arial" w:eastAsia="Arial" w:hAnsi="Arial"/>
          <w:sz w:val="21"/>
          <w:szCs w:val="21"/>
          <w:color w:val="auto"/>
        </w:rPr>
        <w:t xml:space="preserve">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 w:cs="Arial" w:eastAsia="Arial" w:hAnsi="Arial"/>
          <w:sz w:val="21"/>
          <w:szCs w:val="21"/>
          <w:b w:val="1"/>
          <w:bCs w:val="1"/>
          <w:u w:val="single" w:color="auto"/>
          <w:color w:val="auto"/>
        </w:rPr>
        <w:t>Section 3</w:t>
      </w:r>
      <w:r>
        <w:rPr>
          <w:rFonts w:ascii="Arial" w:cs="Arial" w:eastAsia="Arial" w:hAnsi="Arial"/>
          <w:sz w:val="21"/>
          <w:szCs w:val="21"/>
          <w:color w:val="auto"/>
        </w:rPr>
        <w:t xml:space="preserve"> of this Plan as the Committee in its sole discretion, exercised in good faith, determines is appropriate to reflect any transaction or event described in this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such adjustment to the number specified in </w:t>
      </w:r>
      <w:r>
        <w:rPr>
          <w:rFonts w:ascii="Arial" w:cs="Arial" w:eastAsia="Arial" w:hAnsi="Arial"/>
          <w:sz w:val="21"/>
          <w:szCs w:val="21"/>
          <w:b w:val="1"/>
          <w:bCs w:val="1"/>
          <w:u w:val="single" w:color="auto"/>
          <w:color w:val="auto"/>
        </w:rPr>
        <w:t>Section 3(c)</w:t>
      </w:r>
      <w:r>
        <w:rPr>
          <w:rFonts w:ascii="Arial" w:cs="Arial" w:eastAsia="Arial" w:hAnsi="Arial"/>
          <w:sz w:val="21"/>
          <w:szCs w:val="21"/>
          <w:color w:val="auto"/>
        </w:rPr>
        <w:t xml:space="preserve"> of this Plan will be made only if and to the extent that such adjustment would not cause any Option Right intended to qualify as an Incentive Stock Option to fail to so qualify.</w:t>
      </w:r>
    </w:p>
    <w:p>
      <w:pPr>
        <w:spacing w:after="0" w:line="216" w:lineRule="exact"/>
        <w:rPr>
          <w:sz w:val="20"/>
          <w:szCs w:val="20"/>
          <w:color w:val="auto"/>
        </w:rPr>
      </w:pPr>
    </w:p>
    <w:p>
      <w:pPr>
        <w:jc w:val="both"/>
        <w:ind w:firstLine="656"/>
        <w:spacing w:after="0" w:line="256" w:lineRule="auto"/>
        <w:tabs>
          <w:tab w:leader="none" w:pos="1567"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For purposes of this Plan, except as may be otherwise prescribed by the Committee in an</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 of Award made under this Plan, a “Change in Control” will be deemed to have occurred upon the occurrence (after the Effective Date) of any of the following events:</w:t>
      </w:r>
    </w:p>
    <w:p>
      <w:pPr>
        <w:spacing w:after="0" w:line="222" w:lineRule="exact"/>
        <w:rPr>
          <w:rFonts w:ascii="Arial" w:cs="Arial" w:eastAsia="Arial" w:hAnsi="Arial"/>
          <w:sz w:val="22"/>
          <w:szCs w:val="22"/>
          <w:color w:val="auto"/>
        </w:rPr>
      </w:pPr>
    </w:p>
    <w:p>
      <w:pPr>
        <w:jc w:val="both"/>
        <w:ind w:firstLine="1305"/>
        <w:spacing w:after="0" w:line="263" w:lineRule="auto"/>
        <w:tabs>
          <w:tab w:leader="none" w:pos="2185" w:val="left"/>
        </w:tabs>
        <w:numPr>
          <w:ilvl w:val="1"/>
          <w:numId w:val="43"/>
        </w:numPr>
        <w:rPr>
          <w:rFonts w:ascii="Arial" w:cs="Arial" w:eastAsia="Arial" w:hAnsi="Arial"/>
          <w:sz w:val="21"/>
          <w:szCs w:val="21"/>
          <w:color w:val="auto"/>
        </w:rPr>
      </w:pPr>
      <w:r>
        <w:rPr>
          <w:rFonts w:ascii="Arial" w:cs="Arial" w:eastAsia="Arial" w:hAnsi="Arial"/>
          <w:sz w:val="21"/>
          <w:szCs w:val="21"/>
          <w:color w:val="auto"/>
        </w:rPr>
        <w:t xml:space="preserve">any Person is or becomes the beneficial owner (within the meaning of Rule 13d-3 promulgated under the Exchange Act),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(i) of </w:t>
      </w:r>
      <w:r>
        <w:rPr>
          <w:rFonts w:ascii="Arial" w:cs="Arial" w:eastAsia="Arial" w:hAnsi="Arial"/>
          <w:sz w:val="21"/>
          <w:szCs w:val="21"/>
          <w:b w:val="1"/>
          <w:bCs w:val="1"/>
          <w:u w:val="single" w:color="auto"/>
          <w:color w:val="auto"/>
        </w:rPr>
        <w:t>Section 12(c)</w:t>
      </w:r>
      <w:r>
        <w:rPr>
          <w:rFonts w:ascii="Arial" w:cs="Arial" w:eastAsia="Arial" w:hAnsi="Arial"/>
          <w:sz w:val="21"/>
          <w:szCs w:val="21"/>
          <w:color w:val="auto"/>
        </w:rPr>
        <w:t xml:space="preserve"> of this Plan;</w:t>
      </w:r>
    </w:p>
    <w:p>
      <w:pPr>
        <w:spacing w:after="0" w:line="216" w:lineRule="exact"/>
        <w:rPr>
          <w:rFonts w:ascii="Arial" w:cs="Arial" w:eastAsia="Arial" w:hAnsi="Arial"/>
          <w:sz w:val="21"/>
          <w:szCs w:val="21"/>
          <w:color w:val="auto"/>
        </w:rPr>
      </w:pPr>
    </w:p>
    <w:p>
      <w:pPr>
        <w:jc w:val="both"/>
        <w:ind w:firstLine="1305"/>
        <w:spacing w:after="0" w:line="288" w:lineRule="auto"/>
        <w:tabs>
          <w:tab w:leader="none" w:pos="2197"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Stockholders was approved or recommended by a vote of at least two-thirds (2/3) of the Directors then still in office who either were Directors on the Effective Date or whose appointment, election or nomination for election was previously so approved or recommended (the “Incumbent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00" w:lineRule="exact"/>
        <w:rPr>
          <w:rFonts w:ascii="Arial" w:cs="Arial" w:eastAsia="Arial" w:hAnsi="Arial"/>
          <w:sz w:val="19"/>
          <w:szCs w:val="19"/>
          <w:color w:val="auto"/>
        </w:rPr>
      </w:pPr>
    </w:p>
    <w:p>
      <w:pPr>
        <w:jc w:val="both"/>
        <w:ind w:firstLine="1305"/>
        <w:spacing w:after="0" w:line="246" w:lineRule="auto"/>
        <w:tabs>
          <w:tab w:leader="none" w:pos="2185"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there is consummated a merger, consolidation, wind-up, reorganization or restructuring of the Company with or into any other entity, or a similar event or series of such events, other than (i) any such event or series of events which results in (A)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91" w:right="239" w:bottom="1440" w:gutter="0" w:footer="0" w:header="0"/>
        </w:sectPr>
      </w:pPr>
    </w:p>
    <w:bookmarkStart w:id="59" w:name="page60"/>
    <w:bookmarkEnd w:id="59"/>
    <w:p>
      <w:pPr>
        <w:jc w:val="both"/>
        <w:spacing w:after="0" w:line="292" w:lineRule="auto"/>
        <w:rPr>
          <w:sz w:val="20"/>
          <w:szCs w:val="20"/>
          <w:color w:val="auto"/>
        </w:rPr>
      </w:pPr>
      <w:r>
        <w:rPr>
          <w:rFonts w:ascii="Arial" w:cs="Arial" w:eastAsia="Arial" w:hAnsi="Arial"/>
          <w:sz w:val="19"/>
          <w:szCs w:val="19"/>
          <w:color w:val="auto"/>
        </w:rPr>
        <w:t>or any parent thereof outstanding immediately after such merger or consolidation and (B)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(ii)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92" w:lineRule="exact"/>
        <w:rPr>
          <w:sz w:val="20"/>
          <w:szCs w:val="20"/>
          <w:color w:val="auto"/>
        </w:rPr>
      </w:pPr>
    </w:p>
    <w:p>
      <w:pPr>
        <w:jc w:val="both"/>
        <w:ind w:firstLine="1305"/>
        <w:spacing w:after="0" w:line="288" w:lineRule="auto"/>
        <w:tabs>
          <w:tab w:leader="none" w:pos="2197"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(i) at least 51% of the combined voting power of the voting securities of which are owned by Stockholders in substantially the same proportions as their ownership of the Company immediately prior to such sale or disposition and (ii) the majority of whose board of directors immediately following such sale or disposition consists of individuals who comprise the Board immediately prior thereto.</w:t>
      </w:r>
    </w:p>
    <w:p>
      <w:pPr>
        <w:spacing w:after="0" w:line="194" w:lineRule="exact"/>
        <w:rPr>
          <w:rFonts w:ascii="Arial" w:cs="Arial" w:eastAsia="Arial" w:hAnsi="Arial"/>
          <w:sz w:val="19"/>
          <w:szCs w:val="19"/>
          <w:color w:val="auto"/>
        </w:rPr>
      </w:pPr>
    </w:p>
    <w:p>
      <w:pPr>
        <w:jc w:val="both"/>
        <w:ind w:firstLine="656"/>
        <w:spacing w:after="0" w:line="288" w:lineRule="auto"/>
        <w:tabs>
          <w:tab w:leader="none" w:pos="1567"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Detrimental Activity and Recapture Provisions</w:t>
      </w:r>
      <w:r>
        <w:rPr>
          <w:rFonts w:ascii="Arial" w:cs="Arial" w:eastAsia="Arial" w:hAnsi="Arial"/>
          <w:sz w:val="19"/>
          <w:szCs w:val="19"/>
          <w:color w:val="auto"/>
        </w:rPr>
        <w:t>. Any Evidence of Award may provide for the cancellation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In addition, notwithstanding anything in this Plan to the contrary, any Evidence of Award may also provide for the cancellation or forfeiture of an award or the forfeiture and repayment to the Company of any shares of Common Stock issued under and/or any other benefit related to an award, or other provisions intended to have a similar effect,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w:t>
      </w:r>
    </w:p>
    <w:p>
      <w:pPr>
        <w:spacing w:after="0" w:line="195" w:lineRule="exact"/>
        <w:rPr>
          <w:rFonts w:ascii="Arial" w:cs="Arial" w:eastAsia="Arial" w:hAnsi="Arial"/>
          <w:sz w:val="19"/>
          <w:szCs w:val="19"/>
          <w:color w:val="auto"/>
        </w:rPr>
      </w:pPr>
    </w:p>
    <w:p>
      <w:pPr>
        <w:jc w:val="both"/>
        <w:ind w:firstLine="656"/>
        <w:spacing w:after="0" w:line="264" w:lineRule="auto"/>
        <w:tabs>
          <w:tab w:leader="none" w:pos="1567" w:val="left"/>
        </w:tabs>
        <w:numPr>
          <w:ilvl w:val="0"/>
          <w:numId w:val="45"/>
        </w:numPr>
        <w:rPr>
          <w:rFonts w:ascii="Arial" w:cs="Arial" w:eastAsia="Arial" w:hAnsi="Arial"/>
          <w:sz w:val="21"/>
          <w:szCs w:val="21"/>
          <w:color w:val="auto"/>
        </w:rPr>
      </w:pPr>
      <w:r>
        <w:rPr>
          <w:rFonts w:ascii="Arial" w:cs="Arial" w:eastAsia="Arial" w:hAnsi="Arial"/>
          <w:sz w:val="21"/>
          <w:szCs w:val="21"/>
          <w:b w:val="1"/>
          <w:bCs w:val="1"/>
          <w:color w:val="auto"/>
        </w:rPr>
        <w:t xml:space="preserve">Non-U.S. Participants. </w:t>
      </w:r>
      <w:r>
        <w:rPr>
          <w:rFonts w:ascii="Arial" w:cs="Arial" w:eastAsia="Arial" w:hAnsi="Arial"/>
          <w:sz w:val="21"/>
          <w:szCs w:val="21"/>
          <w:color w:val="auto"/>
        </w:rPr>
        <w:t>In order to facilitate the making of any grant or combination of grants under this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1" w:right="239" w:bottom="1440" w:gutter="0" w:footer="0" w:header="0"/>
        </w:sectPr>
      </w:pPr>
    </w:p>
    <w:bookmarkStart w:id="60" w:name="page61"/>
    <w:bookmarkEnd w:id="60"/>
    <w:p>
      <w:pPr>
        <w:jc w:val="both"/>
        <w:spacing w:after="0" w:line="261" w:lineRule="auto"/>
        <w:rPr>
          <w:sz w:val="20"/>
          <w:szCs w:val="20"/>
          <w:color w:val="auto"/>
        </w:rPr>
      </w:pPr>
      <w:r>
        <w:rPr>
          <w:rFonts w:ascii="Arial" w:cs="Arial" w:eastAsia="Arial" w:hAnsi="Arial"/>
          <w:sz w:val="21"/>
          <w:szCs w:val="21"/>
          <w:color w:val="auto"/>
        </w:rPr>
        <w:t>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215" w:lineRule="exact"/>
        <w:rPr>
          <w:sz w:val="20"/>
          <w:szCs w:val="20"/>
          <w:color w:val="auto"/>
        </w:rPr>
      </w:pPr>
    </w:p>
    <w:p>
      <w:pPr>
        <w:ind w:left="1580" w:hanging="924"/>
        <w:spacing w:after="0"/>
        <w:tabs>
          <w:tab w:leader="none" w:pos="1580" w:val="left"/>
        </w:tabs>
        <w:numPr>
          <w:ilvl w:val="1"/>
          <w:numId w:val="46"/>
        </w:numPr>
        <w:rPr>
          <w:rFonts w:ascii="Arial" w:cs="Arial" w:eastAsia="Arial" w:hAnsi="Arial"/>
          <w:sz w:val="22"/>
          <w:szCs w:val="22"/>
          <w:color w:val="auto"/>
        </w:rPr>
      </w:pPr>
      <w:r>
        <w:rPr>
          <w:rFonts w:ascii="Arial" w:cs="Arial" w:eastAsia="Arial" w:hAnsi="Arial"/>
          <w:sz w:val="22"/>
          <w:szCs w:val="22"/>
          <w:b w:val="1"/>
          <w:bCs w:val="1"/>
          <w:color w:val="auto"/>
        </w:rPr>
        <w:t>Transferability.</w:t>
      </w:r>
    </w:p>
    <w:p>
      <w:pPr>
        <w:spacing w:after="0" w:line="266" w:lineRule="exact"/>
        <w:rPr>
          <w:rFonts w:ascii="Arial" w:cs="Arial" w:eastAsia="Arial" w:hAnsi="Arial"/>
          <w:sz w:val="22"/>
          <w:szCs w:val="22"/>
          <w:color w:val="auto"/>
        </w:rPr>
      </w:pPr>
    </w:p>
    <w:p>
      <w:pPr>
        <w:jc w:val="both"/>
        <w:ind w:firstLine="1305"/>
        <w:spacing w:after="0" w:line="292" w:lineRule="auto"/>
        <w:tabs>
          <w:tab w:leader="none" w:pos="2185" w:val="left"/>
        </w:tabs>
        <w:numPr>
          <w:ilvl w:val="2"/>
          <w:numId w:val="46"/>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the Committee, no Option Right, Appreciation Right, Restricted Stock, Restricted Stock Unit, Performance Share, Performance Unit, Cash Incentive Award, award contemplated by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92" w:lineRule="exact"/>
        <w:rPr>
          <w:rFonts w:ascii="Arial" w:cs="Arial" w:eastAsia="Arial" w:hAnsi="Arial"/>
          <w:sz w:val="19"/>
          <w:szCs w:val="19"/>
          <w:color w:val="auto"/>
        </w:rPr>
      </w:pPr>
    </w:p>
    <w:p>
      <w:pPr>
        <w:ind w:left="2200" w:hanging="895"/>
        <w:spacing w:after="0"/>
        <w:tabs>
          <w:tab w:leader="none" w:pos="2200" w:val="left"/>
        </w:tabs>
        <w:numPr>
          <w:ilvl w:val="2"/>
          <w:numId w:val="46"/>
        </w:numPr>
        <w:rPr>
          <w:rFonts w:ascii="Arial" w:cs="Arial" w:eastAsia="Arial" w:hAnsi="Arial"/>
          <w:sz w:val="19"/>
          <w:szCs w:val="19"/>
          <w:color w:val="auto"/>
        </w:rPr>
      </w:pPr>
      <w:r>
        <w:rPr>
          <w:rFonts w:ascii="Arial" w:cs="Arial" w:eastAsia="Arial" w:hAnsi="Arial"/>
          <w:sz w:val="19"/>
          <w:szCs w:val="19"/>
          <w:color w:val="auto"/>
        </w:rPr>
        <w:t>The Committee may specify on the Date of Grant that part or all of the shares of Common Stock that are</w:t>
      </w:r>
    </w:p>
    <w:p>
      <w:pPr>
        <w:spacing w:after="0" w:line="56" w:lineRule="exact"/>
        <w:rPr>
          <w:rFonts w:ascii="Arial" w:cs="Arial" w:eastAsia="Arial" w:hAnsi="Arial"/>
          <w:sz w:val="19"/>
          <w:szCs w:val="19"/>
          <w:color w:val="auto"/>
        </w:rPr>
      </w:pPr>
    </w:p>
    <w:p>
      <w:pPr>
        <w:jc w:val="both"/>
        <w:ind w:firstLine="8"/>
        <w:spacing w:after="0" w:line="244" w:lineRule="auto"/>
        <w:tabs>
          <w:tab w:leader="none" w:pos="266"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22"/>
          <w:szCs w:val="22"/>
          <w:b w:val="1"/>
          <w:bCs w:val="1"/>
          <w:u w:val="single" w:color="auto"/>
          <w:color w:val="auto"/>
        </w:rPr>
        <w:t>Section 6</w:t>
      </w:r>
      <w:r>
        <w:rPr>
          <w:rFonts w:ascii="Arial" w:cs="Arial" w:eastAsia="Arial" w:hAnsi="Arial"/>
          <w:sz w:val="22"/>
          <w:szCs w:val="22"/>
          <w:color w:val="auto"/>
        </w:rPr>
        <w:t xml:space="preserve"> of this Plan, will be subject to further restrictions on transfer.</w:t>
      </w:r>
    </w:p>
    <w:p>
      <w:pPr>
        <w:spacing w:after="0" w:line="230" w:lineRule="exact"/>
        <w:rPr>
          <w:rFonts w:ascii="Arial" w:cs="Arial" w:eastAsia="Arial" w:hAnsi="Arial"/>
          <w:sz w:val="22"/>
          <w:szCs w:val="22"/>
          <w:color w:val="auto"/>
        </w:rPr>
      </w:pPr>
    </w:p>
    <w:p>
      <w:pPr>
        <w:jc w:val="both"/>
        <w:ind w:firstLine="656"/>
        <w:spacing w:after="0" w:line="287" w:lineRule="auto"/>
        <w:tabs>
          <w:tab w:leader="none" w:pos="1567" w:val="left"/>
        </w:tabs>
        <w:numPr>
          <w:ilvl w:val="1"/>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To the extent that the Company is required to withhold federal, state, local or foreign taxes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of Common Stock required to be delivered to the Participant, shares of Common Stock having a value equal to the amount required to be withheld or by delivering to the Company other shares of Common Stock held by such Participant. The shares of Common Stock used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91" w:right="239" w:bottom="1440" w:gutter="0" w:footer="0" w:header="0"/>
        </w:sectPr>
      </w:pPr>
    </w:p>
    <w:bookmarkStart w:id="61" w:name="page62"/>
    <w:bookmarkEnd w:id="61"/>
    <w:p>
      <w:pPr>
        <w:jc w:val="both"/>
        <w:spacing w:after="0" w:line="260" w:lineRule="auto"/>
        <w:rPr>
          <w:sz w:val="20"/>
          <w:szCs w:val="20"/>
          <w:color w:val="auto"/>
        </w:rPr>
      </w:pPr>
      <w:r>
        <w:rPr>
          <w:rFonts w:ascii="Arial" w:cs="Arial" w:eastAsia="Arial" w:hAnsi="Arial"/>
          <w:sz w:val="21"/>
          <w:szCs w:val="21"/>
          <w:color w:val="auto"/>
        </w:rPr>
        <w:t xml:space="preserve">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Arial" w:cs="Arial" w:eastAsia="Arial" w:hAnsi="Arial"/>
          <w:sz w:val="21"/>
          <w:szCs w:val="21"/>
          <w:b w:val="1"/>
          <w:bCs w:val="1"/>
          <w:u w:val="single" w:color="auto"/>
          <w:color w:val="auto"/>
        </w:rPr>
        <w:t>Section 16</w:t>
      </w:r>
      <w:r>
        <w:rPr>
          <w:rFonts w:ascii="Arial" w:cs="Arial" w:eastAsia="Arial" w:hAnsi="Arial"/>
          <w:sz w:val="21"/>
          <w:szCs w:val="21"/>
          <w:color w:val="auto"/>
        </w:rPr>
        <w:t xml:space="preserve"> to satisfy applicable withholding taxes or other amounts in connection with the benefit exceed the minimum amount required to be withheld, unless (i) an additional amount can be withheld and not result in adverse accounting consequences and (ii) is permitted by the Committee.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216" w:lineRule="exact"/>
        <w:rPr>
          <w:sz w:val="20"/>
          <w:szCs w:val="20"/>
          <w:color w:val="auto"/>
        </w:rPr>
      </w:pPr>
    </w:p>
    <w:p>
      <w:pPr>
        <w:ind w:left="1580" w:hanging="924"/>
        <w:spacing w:after="0"/>
        <w:tabs>
          <w:tab w:leader="none" w:pos="1580"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Compliance with Section 409A of the Code.</w:t>
      </w:r>
    </w:p>
    <w:p>
      <w:pPr>
        <w:spacing w:after="0" w:line="266" w:lineRule="exact"/>
        <w:rPr>
          <w:rFonts w:ascii="Arial" w:cs="Arial" w:eastAsia="Arial" w:hAnsi="Arial"/>
          <w:sz w:val="22"/>
          <w:szCs w:val="22"/>
          <w:color w:val="auto"/>
        </w:rPr>
      </w:pPr>
    </w:p>
    <w:p>
      <w:pPr>
        <w:jc w:val="both"/>
        <w:ind w:firstLine="1305"/>
        <w:spacing w:after="0" w:line="297" w:lineRule="auto"/>
        <w:tabs>
          <w:tab w:leader="none" w:pos="2185" w:val="left"/>
        </w:tabs>
        <w:numPr>
          <w:ilvl w:val="2"/>
          <w:numId w:val="48"/>
        </w:numPr>
        <w:rPr>
          <w:rFonts w:ascii="Arial" w:cs="Arial" w:eastAsia="Arial" w:hAnsi="Arial"/>
          <w:sz w:val="19"/>
          <w:szCs w:val="19"/>
          <w:color w:val="auto"/>
        </w:rPr>
      </w:pPr>
      <w:r>
        <w:rPr>
          <w:rFonts w:ascii="Arial" w:cs="Arial" w:eastAsia="Arial" w:hAnsi="Arial"/>
          <w:sz w:val="19"/>
          <w:szCs w:val="19"/>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87" w:lineRule="exact"/>
        <w:rPr>
          <w:rFonts w:ascii="Arial" w:cs="Arial" w:eastAsia="Arial" w:hAnsi="Arial"/>
          <w:sz w:val="19"/>
          <w:szCs w:val="19"/>
          <w:color w:val="auto"/>
        </w:rPr>
      </w:pPr>
    </w:p>
    <w:p>
      <w:pPr>
        <w:jc w:val="both"/>
        <w:ind w:firstLine="1305"/>
        <w:spacing w:after="0" w:line="261" w:lineRule="auto"/>
        <w:tabs>
          <w:tab w:leader="none" w:pos="2197" w:val="left"/>
        </w:tabs>
        <w:numPr>
          <w:ilvl w:val="2"/>
          <w:numId w:val="48"/>
        </w:numPr>
        <w:rPr>
          <w:rFonts w:ascii="Arial" w:cs="Arial" w:eastAsia="Arial" w:hAnsi="Arial"/>
          <w:sz w:val="21"/>
          <w:szCs w:val="21"/>
          <w:color w:val="auto"/>
        </w:rPr>
      </w:pPr>
      <w:r>
        <w:rPr>
          <w:rFonts w:ascii="Arial" w:cs="Arial" w:eastAsia="Arial" w:hAnsi="Arial"/>
          <w:sz w:val="21"/>
          <w:szCs w:val="21"/>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220" w:lineRule="exact"/>
        <w:rPr>
          <w:rFonts w:ascii="Arial" w:cs="Arial" w:eastAsia="Arial" w:hAnsi="Arial"/>
          <w:sz w:val="21"/>
          <w:szCs w:val="21"/>
          <w:color w:val="auto"/>
        </w:rPr>
      </w:pPr>
    </w:p>
    <w:p>
      <w:pPr>
        <w:ind w:left="2200" w:hanging="895"/>
        <w:spacing w:after="0"/>
        <w:tabs>
          <w:tab w:leader="none" w:pos="2200" w:val="left"/>
        </w:tabs>
        <w:numPr>
          <w:ilvl w:val="2"/>
          <w:numId w:val="48"/>
        </w:numPr>
        <w:rPr>
          <w:rFonts w:ascii="Arial" w:cs="Arial" w:eastAsia="Arial" w:hAnsi="Arial"/>
          <w:sz w:val="19"/>
          <w:szCs w:val="19"/>
          <w:color w:val="auto"/>
        </w:rPr>
      </w:pPr>
      <w:r>
        <w:rPr>
          <w:rFonts w:ascii="Arial" w:cs="Arial" w:eastAsia="Arial" w:hAnsi="Arial"/>
          <w:sz w:val="19"/>
          <w:szCs w:val="19"/>
          <w:color w:val="auto"/>
        </w:rPr>
        <w:t>If, at the time of a Participant’s separation from service (within the meaning of Section 409A of the Code),</w:t>
      </w:r>
    </w:p>
    <w:p>
      <w:pPr>
        <w:spacing w:after="0" w:line="56" w:lineRule="exact"/>
        <w:rPr>
          <w:rFonts w:ascii="Arial" w:cs="Arial" w:eastAsia="Arial" w:hAnsi="Arial"/>
          <w:sz w:val="19"/>
          <w:szCs w:val="19"/>
          <w:color w:val="auto"/>
        </w:rPr>
      </w:pPr>
    </w:p>
    <w:p>
      <w:pPr>
        <w:jc w:val="both"/>
        <w:ind w:firstLine="8"/>
        <w:spacing w:after="0" w:line="290" w:lineRule="auto"/>
        <w:tabs>
          <w:tab w:leader="none" w:pos="29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194" w:lineRule="exact"/>
        <w:rPr>
          <w:rFonts w:ascii="Arial" w:cs="Arial" w:eastAsia="Arial" w:hAnsi="Arial"/>
          <w:sz w:val="19"/>
          <w:szCs w:val="19"/>
          <w:color w:val="auto"/>
        </w:rPr>
      </w:pPr>
    </w:p>
    <w:p>
      <w:pPr>
        <w:jc w:val="both"/>
        <w:ind w:firstLine="1305"/>
        <w:spacing w:after="0" w:line="265" w:lineRule="auto"/>
        <w:tabs>
          <w:tab w:leader="none" w:pos="2197" w:val="left"/>
        </w:tabs>
        <w:numPr>
          <w:ilvl w:val="2"/>
          <w:numId w:val="49"/>
        </w:numPr>
        <w:rPr>
          <w:rFonts w:ascii="Arial" w:cs="Arial" w:eastAsia="Arial" w:hAnsi="Arial"/>
          <w:sz w:val="21"/>
          <w:szCs w:val="21"/>
          <w:color w:val="auto"/>
        </w:rPr>
      </w:pPr>
      <w:r>
        <w:rPr>
          <w:rFonts w:ascii="Arial" w:cs="Arial" w:eastAsia="Arial" w:hAnsi="Arial"/>
          <w:sz w:val="21"/>
          <w:szCs w:val="21"/>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91" w:right="2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22"/>
          <w:szCs w:val="22"/>
          <w:color w:val="auto"/>
        </w:rPr>
        <w:t>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226" w:lineRule="exact"/>
        <w:rPr>
          <w:sz w:val="20"/>
          <w:szCs w:val="20"/>
          <w:color w:val="auto"/>
        </w:rPr>
      </w:pPr>
    </w:p>
    <w:p>
      <w:pPr>
        <w:jc w:val="both"/>
        <w:ind w:firstLine="1305"/>
        <w:spacing w:after="0" w:line="292" w:lineRule="auto"/>
        <w:tabs>
          <w:tab w:leader="none" w:pos="2185" w:val="left"/>
        </w:tabs>
        <w:numPr>
          <w:ilvl w:val="1"/>
          <w:numId w:val="50"/>
        </w:numPr>
        <w:rPr>
          <w:rFonts w:ascii="Arial" w:cs="Arial" w:eastAsia="Arial" w:hAnsi="Arial"/>
          <w:sz w:val="19"/>
          <w:szCs w:val="19"/>
          <w:color w:val="auto"/>
        </w:rPr>
      </w:pPr>
      <w:r>
        <w:rPr>
          <w:rFonts w:ascii="Arial" w:cs="Arial" w:eastAsia="Arial" w:hAnsi="Arial"/>
          <w:sz w:val="19"/>
          <w:szCs w:val="19"/>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86" w:lineRule="exact"/>
        <w:rPr>
          <w:rFonts w:ascii="Arial" w:cs="Arial" w:eastAsia="Arial" w:hAnsi="Arial"/>
          <w:sz w:val="19"/>
          <w:szCs w:val="19"/>
          <w:color w:val="auto"/>
        </w:rPr>
      </w:pPr>
    </w:p>
    <w:p>
      <w:pPr>
        <w:ind w:left="1580" w:hanging="924"/>
        <w:spacing w:after="0"/>
        <w:tabs>
          <w:tab w:leader="none" w:pos="158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Amendments.</w:t>
      </w:r>
    </w:p>
    <w:p>
      <w:pPr>
        <w:spacing w:after="0" w:line="266" w:lineRule="exact"/>
        <w:rPr>
          <w:rFonts w:ascii="Arial" w:cs="Arial" w:eastAsia="Arial" w:hAnsi="Arial"/>
          <w:sz w:val="22"/>
          <w:szCs w:val="22"/>
          <w:color w:val="auto"/>
        </w:rPr>
      </w:pPr>
    </w:p>
    <w:p>
      <w:pPr>
        <w:jc w:val="both"/>
        <w:ind w:firstLine="1305"/>
        <w:spacing w:after="0" w:line="292" w:lineRule="auto"/>
        <w:tabs>
          <w:tab w:leader="none" w:pos="2185"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Board may at any time and from time to time amend this Plan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 amendment to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w:t>
      </w:r>
    </w:p>
    <w:p>
      <w:pPr>
        <w:spacing w:after="0" w:line="186" w:lineRule="exact"/>
        <w:rPr>
          <w:rFonts w:ascii="Arial" w:cs="Arial" w:eastAsia="Arial" w:hAnsi="Arial"/>
          <w:sz w:val="19"/>
          <w:szCs w:val="19"/>
          <w:color w:val="auto"/>
        </w:rPr>
      </w:pPr>
    </w:p>
    <w:p>
      <w:pPr>
        <w:jc w:val="both"/>
        <w:ind w:firstLine="1305"/>
        <w:spacing w:after="0" w:line="246" w:lineRule="auto"/>
        <w:tabs>
          <w:tab w:leader="none" w:pos="2197"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Except in connection with a corporate transaction or event described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Arial" w:cs="Arial" w:eastAsia="Arial" w:hAnsi="Arial"/>
          <w:sz w:val="22"/>
          <w:szCs w:val="22"/>
          <w:b w:val="1"/>
          <w:bCs w:val="1"/>
          <w:u w:val="single" w:color="auto"/>
          <w:color w:val="auto"/>
        </w:rPr>
        <w:t>Section 18(b)</w:t>
      </w:r>
      <w:r>
        <w:rPr>
          <w:rFonts w:ascii="Arial" w:cs="Arial" w:eastAsia="Arial" w:hAnsi="Arial"/>
          <w:sz w:val="22"/>
          <w:szCs w:val="22"/>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 Notwithstanding any provision of this Plan to the contrary, this </w:t>
      </w:r>
      <w:r>
        <w:rPr>
          <w:rFonts w:ascii="Arial" w:cs="Arial" w:eastAsia="Arial" w:hAnsi="Arial"/>
          <w:sz w:val="22"/>
          <w:szCs w:val="22"/>
          <w:b w:val="1"/>
          <w:bCs w:val="1"/>
          <w:u w:val="single" w:color="auto"/>
          <w:color w:val="auto"/>
        </w:rPr>
        <w:t>Section 18(b)</w:t>
      </w:r>
      <w:r>
        <w:rPr>
          <w:rFonts w:ascii="Arial" w:cs="Arial" w:eastAsia="Arial" w:hAnsi="Arial"/>
          <w:sz w:val="22"/>
          <w:szCs w:val="22"/>
          <w:color w:val="auto"/>
        </w:rPr>
        <w:t xml:space="preserve"> may not be amended without approval by the Stockholders.</w:t>
      </w:r>
    </w:p>
    <w:p>
      <w:pPr>
        <w:spacing w:after="0" w:line="238" w:lineRule="exact"/>
        <w:rPr>
          <w:rFonts w:ascii="Arial" w:cs="Arial" w:eastAsia="Arial" w:hAnsi="Arial"/>
          <w:sz w:val="22"/>
          <w:szCs w:val="22"/>
          <w:color w:val="auto"/>
        </w:rPr>
      </w:pPr>
    </w:p>
    <w:p>
      <w:pPr>
        <w:jc w:val="both"/>
        <w:ind w:firstLine="1305"/>
        <w:spacing w:after="0" w:line="263" w:lineRule="auto"/>
        <w:tabs>
          <w:tab w:leader="none" w:pos="2185" w:val="left"/>
        </w:tabs>
        <w:numPr>
          <w:ilvl w:val="1"/>
          <w:numId w:val="51"/>
        </w:numPr>
        <w:rPr>
          <w:rFonts w:ascii="Arial" w:cs="Arial" w:eastAsia="Arial" w:hAnsi="Arial"/>
          <w:sz w:val="21"/>
          <w:szCs w:val="21"/>
          <w:color w:val="auto"/>
        </w:rPr>
      </w:pPr>
      <w:r>
        <w:rPr>
          <w:rFonts w:ascii="Arial" w:cs="Arial" w:eastAsia="Arial" w:hAnsi="Arial"/>
          <w:sz w:val="21"/>
          <w:szCs w:val="21"/>
          <w:color w:val="auto"/>
        </w:rPr>
        <w:t>If permitted by Section 409A of the Code and Section 162(m) of the Code, but subject to the paragraph that follows, notwithstanding the Plan’s minimum vesting requirements, and including in the case of termination of employment or service by reason of death, disability or retirement,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91" w:right="239" w:bottom="1440" w:gutter="0" w:footer="0" w:header="0"/>
        </w:sectPr>
      </w:pPr>
    </w:p>
    <w:bookmarkStart w:id="63" w:name="page64"/>
    <w:bookmarkEnd w:id="63"/>
    <w:p>
      <w:pPr>
        <w:jc w:val="both"/>
        <w:spacing w:after="0" w:line="288" w:lineRule="auto"/>
        <w:rPr>
          <w:sz w:val="20"/>
          <w:szCs w:val="20"/>
          <w:color w:val="auto"/>
        </w:rPr>
      </w:pPr>
      <w:r>
        <w:rPr>
          <w:rFonts w:ascii="Arial" w:cs="Arial" w:eastAsia="Arial" w:hAnsi="Arial"/>
          <w:sz w:val="19"/>
          <w:szCs w:val="19"/>
          <w:color w:val="auto"/>
        </w:rPr>
        <w:t xml:space="preserve">or the prohibition or restriction on transfer has not lapsed, or any Restricted Stock Units as to which the Restriction Period has not been completed, or any Cash Incentive Awards, Performance Shares or Performance Units which have not been fully earned, or any other awards made pursuant to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subject to any vesting schedule or transfer restriction, or who holds shares of Common Stock subject to any transfer restriction imposed pursuant to </w:t>
      </w:r>
      <w:r>
        <w:rPr>
          <w:rFonts w:ascii="Arial" w:cs="Arial" w:eastAsia="Arial" w:hAnsi="Arial"/>
          <w:sz w:val="19"/>
          <w:szCs w:val="19"/>
          <w:b w:val="1"/>
          <w:bCs w:val="1"/>
          <w:u w:val="single" w:color="auto"/>
          <w:color w:val="auto"/>
        </w:rPr>
        <w:t>Section 15(b)</w:t>
      </w:r>
      <w:r>
        <w:rPr>
          <w:rFonts w:ascii="Arial" w:cs="Arial" w:eastAsia="Arial" w:hAnsi="Arial"/>
          <w:sz w:val="19"/>
          <w:szCs w:val="19"/>
          <w:color w:val="auto"/>
        </w:rPr>
        <w:t xml:space="preserve"> of this Plan, the Committee may, in its sole discretion, provide for continued vesting or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fully earned or the time when such transfer restriction will terminate or may waive any other limitation or requirement under any such award, except in the case of a Qualified Performance-Based Award where such action would result in the loss of the otherwise available exemption of the award under Section 162(m) of the Code.</w:t>
      </w:r>
    </w:p>
    <w:p>
      <w:pPr>
        <w:spacing w:after="0" w:line="195" w:lineRule="exact"/>
        <w:rPr>
          <w:sz w:val="20"/>
          <w:szCs w:val="20"/>
          <w:color w:val="auto"/>
        </w:rPr>
      </w:pPr>
    </w:p>
    <w:p>
      <w:pPr>
        <w:jc w:val="both"/>
        <w:ind w:firstLine="1305"/>
        <w:spacing w:after="0" w:line="259" w:lineRule="auto"/>
        <w:tabs>
          <w:tab w:leader="none" w:pos="2197"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u w:val="single" w:color="auto"/>
          <w:color w:val="auto"/>
        </w:rPr>
        <w:t>Section 18(b)</w:t>
      </w:r>
      <w:r>
        <w:rPr>
          <w:rFonts w:ascii="Arial" w:cs="Arial" w:eastAsia="Arial" w:hAnsi="Arial"/>
          <w:sz w:val="21"/>
          <w:szCs w:val="21"/>
          <w:color w:val="auto"/>
        </w:rPr>
        <w:t xml:space="preserve"> of this Plan, the Committee may amend the terms of any award theretofore granted under this Plan prospectively or retroactively, except in the case of a Qualified Performance-Based Award (other than in connection with the Participant’s death or disability, or a Change in Control) where such action would result in the loss of the otherwise available exemption of the award under Section 162(m) of the Code. In such case, the Committee will not make any modification of the Management Objectives or the level or levels of achievement with respect to such Qualified Performance-Based Award. Except for adjustments made pursuant to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of this Plan, no such amendment will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220" w:lineRule="exact"/>
        <w:rPr>
          <w:rFonts w:ascii="Arial" w:cs="Arial" w:eastAsia="Arial" w:hAnsi="Arial"/>
          <w:sz w:val="21"/>
          <w:szCs w:val="21"/>
          <w:color w:val="auto"/>
        </w:rPr>
      </w:pPr>
    </w:p>
    <w:p>
      <w:pPr>
        <w:ind w:firstLine="656"/>
        <w:spacing w:after="0" w:line="269" w:lineRule="auto"/>
        <w:tabs>
          <w:tab w:leader="none" w:pos="1567"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Plan and all grants and awards and actions taken hereunder will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internal substantive laws of the State of Delaware.</w:t>
      </w:r>
    </w:p>
    <w:p>
      <w:pPr>
        <w:spacing w:after="0" w:line="202" w:lineRule="exact"/>
        <w:rPr>
          <w:rFonts w:ascii="Arial" w:cs="Arial" w:eastAsia="Arial" w:hAnsi="Arial"/>
          <w:sz w:val="22"/>
          <w:szCs w:val="22"/>
          <w:color w:val="auto"/>
        </w:rPr>
      </w:pPr>
    </w:p>
    <w:p>
      <w:pPr>
        <w:jc w:val="both"/>
        <w:ind w:firstLine="656"/>
        <w:spacing w:after="0" w:line="304" w:lineRule="auto"/>
        <w:tabs>
          <w:tab w:leader="none" w:pos="1567"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Effective Date/Termination. </w:t>
      </w:r>
      <w:r>
        <w:rPr>
          <w:rFonts w:ascii="Arial" w:cs="Arial" w:eastAsia="Arial" w:hAnsi="Arial"/>
          <w:sz w:val="19"/>
          <w:szCs w:val="19"/>
          <w:color w:val="auto"/>
        </w:rPr>
        <w:t>This Plan will be effective as of the Effective Date. No grants will be made on or</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Effective Date under the Predecessor Plans, provided that outstanding awards granted under the Predecessor Plans will continue unaffected following the Effective Date. No grant will be made under this Plan on or after the tenth anniversary of the Effective Date, but all grants made prior to such date will continue in effect thereafter subject to the terms thereof and of this Plan.</w:t>
      </w:r>
    </w:p>
    <w:p>
      <w:pPr>
        <w:spacing w:after="0" w:line="175" w:lineRule="exact"/>
        <w:rPr>
          <w:rFonts w:ascii="Arial" w:cs="Arial" w:eastAsia="Arial" w:hAnsi="Arial"/>
          <w:sz w:val="19"/>
          <w:szCs w:val="19"/>
          <w:color w:val="auto"/>
        </w:rPr>
      </w:pPr>
    </w:p>
    <w:p>
      <w:pPr>
        <w:ind w:left="1580" w:hanging="924"/>
        <w:spacing w:after="0"/>
        <w:tabs>
          <w:tab w:leader="none" w:pos="158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p>
    <w:p>
      <w:pPr>
        <w:spacing w:after="0" w:line="266" w:lineRule="exact"/>
        <w:rPr>
          <w:rFonts w:ascii="Arial" w:cs="Arial" w:eastAsia="Arial" w:hAnsi="Arial"/>
          <w:sz w:val="22"/>
          <w:szCs w:val="22"/>
          <w:color w:val="auto"/>
        </w:rPr>
      </w:pPr>
    </w:p>
    <w:p>
      <w:pPr>
        <w:ind w:firstLine="1305"/>
        <w:spacing w:after="0" w:line="263" w:lineRule="auto"/>
        <w:tabs>
          <w:tab w:leader="none" w:pos="2185"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Company will not be required to issue any fractional shares of Common Stock pursuant to this Plan. The Committee may provide for the elimination of fractions or for the settlement of fractions in cash.</w:t>
      </w:r>
    </w:p>
    <w:p>
      <w:pPr>
        <w:spacing w:after="0" w:line="215" w:lineRule="exact"/>
        <w:rPr>
          <w:rFonts w:ascii="Arial" w:cs="Arial" w:eastAsia="Arial" w:hAnsi="Arial"/>
          <w:sz w:val="22"/>
          <w:szCs w:val="22"/>
          <w:color w:val="auto"/>
        </w:rPr>
      </w:pPr>
    </w:p>
    <w:p>
      <w:pPr>
        <w:ind w:firstLine="1305"/>
        <w:spacing w:after="0" w:line="263" w:lineRule="auto"/>
        <w:tabs>
          <w:tab w:leader="none" w:pos="2197"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This Plan will not confer upon any Participant any right with respect to continuance of employment or other service with the Company or any Subsidiary, nor will it interfere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91" w:right="23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22"/>
          <w:szCs w:val="22"/>
          <w:color w:val="auto"/>
        </w:rPr>
        <w:t>in any way with any right the Company or any Subsidiary would otherwise have to terminate such Participant’s employment or other service at any time.</w:t>
      </w:r>
    </w:p>
    <w:p>
      <w:pPr>
        <w:spacing w:after="0" w:line="209" w:lineRule="exact"/>
        <w:rPr>
          <w:sz w:val="20"/>
          <w:szCs w:val="20"/>
          <w:color w:val="auto"/>
        </w:rPr>
      </w:pPr>
    </w:p>
    <w:p>
      <w:pPr>
        <w:jc w:val="both"/>
        <w:ind w:firstLine="1305"/>
        <w:spacing w:after="0" w:line="252" w:lineRule="auto"/>
        <w:tabs>
          <w:tab w:leader="none" w:pos="2185"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Except with respect to </w:t>
      </w:r>
      <w:r>
        <w:rPr>
          <w:rFonts w:ascii="Arial" w:cs="Arial" w:eastAsia="Arial" w:hAnsi="Arial"/>
          <w:sz w:val="22"/>
          <w:szCs w:val="22"/>
          <w:b w:val="1"/>
          <w:bCs w:val="1"/>
          <w:u w:val="single" w:color="auto"/>
          <w:color w:val="auto"/>
        </w:rPr>
        <w:t>Section 21(e)</w:t>
      </w:r>
      <w:r>
        <w:rPr>
          <w:rFonts w:ascii="Arial" w:cs="Arial" w:eastAsia="Arial" w:hAnsi="Arial"/>
          <w:sz w:val="22"/>
          <w:szCs w:val="22"/>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226" w:lineRule="exact"/>
        <w:rPr>
          <w:rFonts w:ascii="Arial" w:cs="Arial" w:eastAsia="Arial" w:hAnsi="Arial"/>
          <w:sz w:val="22"/>
          <w:szCs w:val="22"/>
          <w:color w:val="auto"/>
        </w:rPr>
      </w:pPr>
    </w:p>
    <w:p>
      <w:pPr>
        <w:jc w:val="both"/>
        <w:ind w:firstLine="1305"/>
        <w:spacing w:after="0" w:line="343" w:lineRule="auto"/>
        <w:tabs>
          <w:tab w:leader="none" w:pos="2185" w:val="left"/>
        </w:tabs>
        <w:numPr>
          <w:ilvl w:val="0"/>
          <w:numId w:val="54"/>
        </w:numPr>
        <w:rPr>
          <w:rFonts w:ascii="Arial" w:cs="Arial" w:eastAsia="Arial" w:hAnsi="Arial"/>
          <w:sz w:val="19"/>
          <w:szCs w:val="19"/>
          <w:color w:val="auto"/>
        </w:rPr>
      </w:pPr>
      <w:r>
        <w:rPr>
          <w:rFonts w:ascii="Arial" w:cs="Arial" w:eastAsia="Arial" w:hAnsi="Arial"/>
          <w:sz w:val="19"/>
          <w:szCs w:val="19"/>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45" w:lineRule="exact"/>
        <w:rPr>
          <w:rFonts w:ascii="Arial" w:cs="Arial" w:eastAsia="Arial" w:hAnsi="Arial"/>
          <w:sz w:val="19"/>
          <w:szCs w:val="19"/>
          <w:color w:val="auto"/>
        </w:rPr>
      </w:pPr>
    </w:p>
    <w:p>
      <w:pPr>
        <w:jc w:val="both"/>
        <w:ind w:firstLine="1305"/>
        <w:spacing w:after="0" w:line="253" w:lineRule="auto"/>
        <w:tabs>
          <w:tab w:leader="none" w:pos="2161"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2197"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2149"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91" w:right="239" w:bottom="1440" w:gutter="0" w:footer="0" w:header="0"/>
        </w:sectPr>
      </w:pPr>
    </w:p>
    <w:bookmarkStart w:id="65" w:name="page66"/>
    <w:bookmarkEnd w:id="65"/>
    <w:p>
      <w:pPr>
        <w:ind w:right="20" w:firstLine="656"/>
        <w:spacing w:after="0" w:line="269" w:lineRule="auto"/>
        <w:tabs>
          <w:tab w:leader="none" w:pos="1567"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Stock-Based Awards in Substitution for Option Rights or Awards Granted by Another Company. </w:t>
      </w:r>
      <w:r>
        <w:rPr>
          <w:rFonts w:ascii="Arial" w:cs="Arial" w:eastAsia="Arial" w:hAnsi="Arial"/>
          <w:sz w:val="22"/>
          <w:szCs w:val="22"/>
          <w:color w:val="auto"/>
        </w:rPr>
        <w:t>Notwithstanding anything in this Plan to the contrary:</w:t>
      </w:r>
    </w:p>
    <w:p>
      <w:pPr>
        <w:spacing w:after="0" w:line="208" w:lineRule="exact"/>
        <w:rPr>
          <w:rFonts w:ascii="Arial" w:cs="Arial" w:eastAsia="Arial" w:hAnsi="Arial"/>
          <w:sz w:val="22"/>
          <w:szCs w:val="22"/>
          <w:color w:val="auto"/>
        </w:rPr>
      </w:pPr>
    </w:p>
    <w:p>
      <w:pPr>
        <w:jc w:val="both"/>
        <w:ind w:firstLine="1305"/>
        <w:spacing w:after="0" w:line="259" w:lineRule="auto"/>
        <w:tabs>
          <w:tab w:leader="none" w:pos="2185" w:val="left"/>
        </w:tabs>
        <w:numPr>
          <w:ilvl w:val="1"/>
          <w:numId w:val="55"/>
        </w:numPr>
        <w:rPr>
          <w:rFonts w:ascii="Arial" w:cs="Arial" w:eastAsia="Arial" w:hAnsi="Arial"/>
          <w:sz w:val="21"/>
          <w:szCs w:val="21"/>
          <w:color w:val="auto"/>
        </w:rPr>
      </w:pPr>
      <w:r>
        <w:rPr>
          <w:rFonts w:ascii="Arial" w:cs="Arial" w:eastAsia="Arial" w:hAnsi="Arial"/>
          <w:sz w:val="21"/>
          <w:szCs w:val="21"/>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220" w:lineRule="exact"/>
        <w:rPr>
          <w:rFonts w:ascii="Arial" w:cs="Arial" w:eastAsia="Arial" w:hAnsi="Arial"/>
          <w:sz w:val="21"/>
          <w:szCs w:val="21"/>
          <w:color w:val="auto"/>
        </w:rPr>
      </w:pPr>
    </w:p>
    <w:p>
      <w:pPr>
        <w:jc w:val="both"/>
        <w:ind w:firstLine="1305"/>
        <w:spacing w:after="0" w:line="292" w:lineRule="auto"/>
        <w:tabs>
          <w:tab w:leader="none" w:pos="2197"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92" w:lineRule="exact"/>
        <w:rPr>
          <w:rFonts w:ascii="Arial" w:cs="Arial" w:eastAsia="Arial" w:hAnsi="Arial"/>
          <w:sz w:val="19"/>
          <w:szCs w:val="19"/>
          <w:color w:val="auto"/>
        </w:rPr>
      </w:pPr>
    </w:p>
    <w:p>
      <w:pPr>
        <w:jc w:val="both"/>
        <w:ind w:firstLine="1305"/>
        <w:spacing w:after="0" w:line="289" w:lineRule="auto"/>
        <w:tabs>
          <w:tab w:leader="none" w:pos="2185"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Any shares of Common Stock that are issued or transferred by, or that are subject to any awards that are granted by, or become obligations of, the Company under </w:t>
      </w:r>
      <w:r>
        <w:rPr>
          <w:rFonts w:ascii="Arial" w:cs="Arial" w:eastAsia="Arial" w:hAnsi="Arial"/>
          <w:sz w:val="19"/>
          <w:szCs w:val="19"/>
          <w:b w:val="1"/>
          <w:bCs w:val="1"/>
          <w:u w:val="single" w:color="auto"/>
          <w:color w:val="auto"/>
        </w:rPr>
        <w:t>Sections 22(a)</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22(b)</w:t>
      </w:r>
      <w:r>
        <w:rPr>
          <w:rFonts w:ascii="Arial" w:cs="Arial" w:eastAsia="Arial" w:hAnsi="Arial"/>
          <w:sz w:val="19"/>
          <w:szCs w:val="19"/>
          <w:color w:val="auto"/>
        </w:rPr>
        <w:t xml:space="preserve"> of this Plan will not reduce the shares of Common Stock available for issuance or transfer under this Plan or otherwise count against the limits contained in </w:t>
      </w: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 xml:space="preserve"> of this Plan. In addition, no shares of Common Stock subject to an award that is granted by, or becomes an obligation of, the Company under </w:t>
      </w:r>
      <w:r>
        <w:rPr>
          <w:rFonts w:ascii="Arial" w:cs="Arial" w:eastAsia="Arial" w:hAnsi="Arial"/>
          <w:sz w:val="19"/>
          <w:szCs w:val="19"/>
          <w:b w:val="1"/>
          <w:bCs w:val="1"/>
          <w:u w:val="single" w:color="auto"/>
          <w:color w:val="auto"/>
        </w:rPr>
        <w:t>Sections 22(a)</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22(b)</w:t>
      </w:r>
      <w:r>
        <w:rPr>
          <w:rFonts w:ascii="Arial" w:cs="Arial" w:eastAsia="Arial" w:hAnsi="Arial"/>
          <w:sz w:val="19"/>
          <w:szCs w:val="19"/>
          <w:color w:val="auto"/>
        </w:rPr>
        <w:t xml:space="preserve"> of this Plan, will be added to the aggregate limit contained in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 in the following circumstances: (i) if such award is cancelled or forfeited, expires or is settled for cash (in whole or in part), (ii) if such shares of Common Stock are withheld by the Company, tendered or otherwise used in payment of the Option Price of an Option or to satisfy a tax withholding obligation with respect to any award or (iii) if such shares of Common Stock are not actually issued in connection with the settlement of an Appreciation Right on the exercise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58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8 TO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RECEIVABLES TRANSFER AGREEMENT</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AMENDMENT NO. 8 TO AMENDED AND RESTATED RECEIVABLES TRANSFER AGREEMENT </w:t>
      </w:r>
      <w:r>
        <w:rPr>
          <w:rFonts w:ascii="Arial" w:cs="Arial" w:eastAsia="Arial" w:hAnsi="Arial"/>
          <w:sz w:val="20"/>
          <w:szCs w:val="20"/>
          <w:color w:val="auto"/>
        </w:rPr>
        <w:t>(as amended,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supplemented or otherwise modified and in effect from time to time,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xml:space="preserve">”), effective as of April 21, 2017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is entered into by and among TSPC, INC., a Nevada corporation, as transferor (in such capacity,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Transferor</w:t>
      </w:r>
      <w:r>
        <w:rPr>
          <w:rFonts w:ascii="Arial" w:cs="Arial" w:eastAsia="Arial" w:hAnsi="Arial"/>
          <w:sz w:val="20"/>
          <w:szCs w:val="20"/>
          <w:color w:val="auto"/>
        </w:rPr>
        <w:t>”), TRIMAS CORPORATION, a Delaware corporation, as collection agent (in such capacity, the “</w:t>
      </w:r>
      <w:r>
        <w:rPr>
          <w:rFonts w:ascii="Arial" w:cs="Arial" w:eastAsia="Arial" w:hAnsi="Arial"/>
          <w:sz w:val="20"/>
          <w:szCs w:val="20"/>
          <w:b w:val="1"/>
          <w:bCs w:val="1"/>
          <w:i w:val="1"/>
          <w:iCs w:val="1"/>
          <w:color w:val="auto"/>
        </w:rPr>
        <w:t>Collection Agent</w:t>
      </w:r>
      <w:r>
        <w:rPr>
          <w:rFonts w:ascii="Arial" w:cs="Arial" w:eastAsia="Arial" w:hAnsi="Arial"/>
          <w:sz w:val="20"/>
          <w:szCs w:val="20"/>
          <w:color w:val="auto"/>
        </w:rPr>
        <w:t>”), TRIMAS COMPANY LLC, a Delaware limited liability company, as guarantor (in such capacity, the “</w:t>
      </w:r>
      <w:r>
        <w:rPr>
          <w:rFonts w:ascii="Arial" w:cs="Arial" w:eastAsia="Arial" w:hAnsi="Arial"/>
          <w:sz w:val="20"/>
          <w:szCs w:val="20"/>
          <w:b w:val="1"/>
          <w:bCs w:val="1"/>
          <w:i w:val="1"/>
          <w:iCs w:val="1"/>
          <w:color w:val="auto"/>
        </w:rPr>
        <w:t>Guarantor</w:t>
      </w:r>
      <w:r>
        <w:rPr>
          <w:rFonts w:ascii="Arial" w:cs="Arial" w:eastAsia="Arial" w:hAnsi="Arial"/>
          <w:sz w:val="20"/>
          <w:szCs w:val="20"/>
          <w:color w:val="auto"/>
        </w:rPr>
        <w:t>”), and WELLS FARGO BANK, NATIONAL ASSOCIATION, successor by merger to Wachovia Bank, National Association, individually (in such capacity, the sole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as letter of credit issuer (in such capacity, together with its successors in such capacity, the “</w:t>
      </w:r>
      <w:r>
        <w:rPr>
          <w:rFonts w:ascii="Arial" w:cs="Arial" w:eastAsia="Arial" w:hAnsi="Arial"/>
          <w:sz w:val="20"/>
          <w:szCs w:val="20"/>
          <w:b w:val="1"/>
          <w:bCs w:val="1"/>
          <w:i w:val="1"/>
          <w:iCs w:val="1"/>
          <w:color w:val="auto"/>
        </w:rPr>
        <w:t>LC</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Issuer</w:t>
      </w:r>
      <w:r>
        <w:rPr>
          <w:rFonts w:ascii="Arial" w:cs="Arial" w:eastAsia="Arial" w:hAnsi="Arial"/>
          <w:sz w:val="20"/>
          <w:szCs w:val="20"/>
          <w:color w:val="auto"/>
        </w:rPr>
        <w:t>”) and as administrative agent (in such capacity, together with its successors in such capacity,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Capitalized terms used and not otherwise defined herein are used with the meanings attributed thereto in the Agreement (as defined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W I T N E S S E T H:</w:t>
      </w:r>
    </w:p>
    <w:p>
      <w:pPr>
        <w:spacing w:after="0" w:line="229"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parties hereto have entered into that certain Amended and Restated Receivables Transfer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dated as of September 15, 2011, as amended by Amendment No. 1 to the Amended and Restated Receivables Transfer Agreement dated as of June 29, 2012, Amendment No. 2 to the Amended and Restated Receivables Transfer Agreement dated as of December 17, 2012, Amendment No. 3 to the Amended and Restated Receivables Transfer Agreement dated as of April 17, 2014, Amendment No. 4 to the Amended and Restated Receivables Transfer Agreement dated as of November 26, 2014, Amendment No. 5 dated as of February 28, 2015, Amendment No. 6 effective as of June 29, 2015, and Amendment No. 7 effective as of December 16, 2015 (as amended, amended and restated, or otherwise modified from time to time,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parties wish to amend the Agreement on the terms and conditions hereinafter set forth.</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20"/>
          <w:szCs w:val="20"/>
          <w:b w:val="1"/>
          <w:bCs w:val="1"/>
          <w:i w:val="1"/>
          <w:iCs w:val="1"/>
          <w:color w:val="auto"/>
        </w:rPr>
        <w:t>NOW, THEREFORE</w:t>
      </w:r>
      <w:r>
        <w:rPr>
          <w:rFonts w:ascii="Arial" w:cs="Arial" w:eastAsia="Arial" w:hAnsi="Arial"/>
          <w:sz w:val="20"/>
          <w:szCs w:val="20"/>
          <w:color w:val="auto"/>
        </w:rPr>
        <w:t>, for good and valuable consideration the receipt and sufficiency of which are hereby acknowledged, 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is hereby agreed by and among the parties as follows:</w:t>
      </w:r>
    </w:p>
    <w:p>
      <w:pPr>
        <w:spacing w:after="0" w:line="181" w:lineRule="exact"/>
        <w:rPr>
          <w:sz w:val="20"/>
          <w:szCs w:val="20"/>
          <w:color w:val="auto"/>
        </w:rPr>
      </w:pPr>
    </w:p>
    <w:p>
      <w:pPr>
        <w:ind w:firstLine="656"/>
        <w:spacing w:after="0" w:line="300" w:lineRule="auto"/>
        <w:tabs>
          <w:tab w:leader="none" w:pos="146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Effective as of the Effective Date, clause (5) of the definition of “</w:t>
      </w:r>
      <w:r>
        <w:rPr>
          <w:rFonts w:ascii="Arial" w:cs="Arial" w:eastAsia="Arial" w:hAnsi="Arial"/>
          <w:sz w:val="20"/>
          <w:szCs w:val="20"/>
          <w:b w:val="1"/>
          <w:bCs w:val="1"/>
          <w:u w:val="single" w:color="auto"/>
          <w:color w:val="auto"/>
        </w:rPr>
        <w:t>Eligible Receivable</w:t>
      </w:r>
      <w:r>
        <w:rPr>
          <w:rFonts w:ascii="Arial" w:cs="Arial" w:eastAsia="Arial" w:hAnsi="Arial"/>
          <w:sz w:val="20"/>
          <w:szCs w:val="20"/>
          <w:b w:val="1"/>
          <w:bCs w:val="1"/>
          <w:color w:val="auto"/>
        </w:rPr>
        <w:t xml:space="preserve">” in </w:t>
      </w:r>
      <w:r>
        <w:rPr>
          <w:rFonts w:ascii="Arial" w:cs="Arial" w:eastAsia="Arial" w:hAnsi="Arial"/>
          <w:sz w:val="20"/>
          <w:szCs w:val="20"/>
          <w:b w:val="1"/>
          <w:bCs w:val="1"/>
          <w:u w:val="single" w:color="auto"/>
          <w:color w:val="auto"/>
        </w:rPr>
        <w:t>Schedule A</w:t>
      </w:r>
      <w:r>
        <w:rPr>
          <w:rFonts w:ascii="Arial" w:cs="Arial" w:eastAsia="Arial" w:hAnsi="Arial"/>
          <w:sz w:val="20"/>
          <w:szCs w:val="20"/>
          <w:b w:val="1"/>
          <w:bCs w:val="1"/>
          <w:color w:val="auto"/>
        </w:rPr>
        <w:t xml:space="preserve"> to the Agreement is hereby amended and restated in its entirety to read as follows:</w:t>
      </w:r>
    </w:p>
    <w:p>
      <w:pPr>
        <w:spacing w:after="0" w:line="178" w:lineRule="exact"/>
        <w:rPr>
          <w:sz w:val="20"/>
          <w:szCs w:val="20"/>
          <w:color w:val="auto"/>
        </w:rPr>
      </w:pPr>
    </w:p>
    <w:p>
      <w:pPr>
        <w:jc w:val="both"/>
        <w:ind w:left="660" w:hanging="4"/>
        <w:spacing w:after="0"/>
        <w:tabs>
          <w:tab w:leader="none" w:pos="1162"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(A) which arises pursuant to a Contract with respect to which the Seller has performed all obligations required to be performed by it thereunder, including, without limitation, shipment of the merchandise and/or the performance of the services purchased thereunder; (B) which has been billed, and (C) which, on the date of determination, is due and payable within 90 days of the original due date therefor in accordance with the terms of the applicable Contract;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however, </w:t>
      </w:r>
      <w:r>
        <w:rPr>
          <w:rFonts w:ascii="Arial" w:cs="Arial" w:eastAsia="Arial" w:hAnsi="Arial"/>
          <w:sz w:val="20"/>
          <w:szCs w:val="20"/>
          <w:color w:val="auto"/>
        </w:rPr>
        <w:t>that in no event may the aggregate Outstanding Balance of Receivables that are due and payable within 61-90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days of the original due date therefor in accordance with the terms of the applicable Contract that are included as Eligible Receivables exceed 5% of the aggregate Outstanding Balance of all Receivables at such time.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7" w:name="page68"/>
    <w:bookmarkEnd w:id="67"/>
    <w:p>
      <w:pPr>
        <w:jc w:val="both"/>
        <w:ind w:firstLine="656"/>
        <w:spacing w:after="0" w:line="278" w:lineRule="auto"/>
        <w:tabs>
          <w:tab w:leader="none" w:pos="1462"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b w:val="1"/>
          <w:bCs w:val="1"/>
          <w:color w:val="auto"/>
        </w:rPr>
        <w:t xml:space="preserve">. In order to induce the Administrative Agent, the LC Issuer and the sole Purchaser to enter into this Amendment, each of the Transferor, the Guarantor and the Collection Agent (each, a </w:t>
      </w:r>
      <w:r>
        <w:rPr>
          <w:rFonts w:ascii="Arial" w:cs="Arial" w:eastAsia="Arial" w:hAnsi="Arial"/>
          <w:sz w:val="20"/>
          <w:szCs w:val="20"/>
          <w:b w:val="1"/>
          <w:bCs w:val="1"/>
          <w:i w:val="1"/>
          <w:iCs w:val="1"/>
          <w:color w:val="auto"/>
        </w:rPr>
        <w:t>“Transferor Party”</w:t>
      </w:r>
      <w:r>
        <w:rPr>
          <w:rFonts w:ascii="Arial" w:cs="Arial" w:eastAsia="Arial" w:hAnsi="Arial"/>
          <w:sz w:val="20"/>
          <w:szCs w:val="20"/>
          <w:b w:val="1"/>
          <w:bCs w:val="1"/>
          <w:color w:val="auto"/>
        </w:rPr>
        <w:t>) hereby represents and warrants to the Administrative Agent, the LC Issuer and the sole Purchaser as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follows:</w:t>
      </w:r>
    </w:p>
    <w:p>
      <w:pPr>
        <w:spacing w:after="0" w:line="214" w:lineRule="exact"/>
        <w:rPr>
          <w:rFonts w:ascii="Arial" w:cs="Arial" w:eastAsia="Arial" w:hAnsi="Arial"/>
          <w:sz w:val="20"/>
          <w:szCs w:val="20"/>
          <w:b w:val="1"/>
          <w:bCs w:val="1"/>
          <w:color w:val="auto"/>
        </w:rPr>
      </w:pPr>
    </w:p>
    <w:p>
      <w:pPr>
        <w:jc w:val="both"/>
        <w:ind w:left="660" w:firstLine="604"/>
        <w:spacing w:after="0" w:line="268" w:lineRule="auto"/>
        <w:tabs>
          <w:tab w:leader="none" w:pos="2185"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Entity and Governmental Authorization; Contravention</w:t>
      </w:r>
      <w:r>
        <w:rPr>
          <w:rFonts w:ascii="Arial" w:cs="Arial" w:eastAsia="Arial" w:hAnsi="Arial"/>
          <w:sz w:val="20"/>
          <w:szCs w:val="20"/>
          <w:color w:val="auto"/>
        </w:rPr>
        <w:t>. The execution, delivery and performance by such Transferor Party of this Amendment are within its corporate or limited liability company powers, as the case may be, have been duly authorized by all necessary corporate or limited liability company action, as applicable, require no action by or in respect of, or filing with, any Official Body or official thereof, and do not contravene, or constitute a default under, any provision of applicable law, rule or regulation or of the Certificate of Incorporation or the By-Laws (or other organizational documents) of such Transferor Party, or of any agreement, judgment, injunction, order, writ, decree or other instrument binding upon such Transferor Party, or result in the creation or imposition of any Adverse Claim on the assets of such Transferor Party (except those created by the Agreement).</w:t>
      </w:r>
    </w:p>
    <w:p>
      <w:pPr>
        <w:spacing w:after="0" w:line="227" w:lineRule="exact"/>
        <w:rPr>
          <w:rFonts w:ascii="Arial" w:cs="Arial" w:eastAsia="Arial" w:hAnsi="Arial"/>
          <w:sz w:val="20"/>
          <w:szCs w:val="20"/>
          <w:color w:val="auto"/>
        </w:rPr>
      </w:pPr>
    </w:p>
    <w:p>
      <w:pPr>
        <w:jc w:val="both"/>
        <w:ind w:left="660" w:firstLine="604"/>
        <w:spacing w:after="0" w:line="270" w:lineRule="auto"/>
        <w:tabs>
          <w:tab w:leader="none" w:pos="2185"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The Agreement, as amended by this Amendment, constitutes the legal, valid and binding obligation of such Transferor Party, enforceable against it in accordance with its terms, subject to applicable bankruptcy, insolvency, reorganization, fraudulent conveyance, moratorium or other similar laws affecting the rights of creditors and general equitable principles (whether considered in a proceeding in equity or at law).</w:t>
      </w:r>
    </w:p>
    <w:p>
      <w:pPr>
        <w:spacing w:after="0" w:line="221" w:lineRule="exact"/>
        <w:rPr>
          <w:rFonts w:ascii="Arial" w:cs="Arial" w:eastAsia="Arial" w:hAnsi="Arial"/>
          <w:sz w:val="20"/>
          <w:szCs w:val="20"/>
          <w:color w:val="auto"/>
        </w:rPr>
      </w:pPr>
    </w:p>
    <w:p>
      <w:pPr>
        <w:jc w:val="both"/>
        <w:ind w:left="660" w:firstLine="604"/>
        <w:spacing w:after="0" w:line="269" w:lineRule="auto"/>
        <w:tabs>
          <w:tab w:leader="none" w:pos="2174"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Consents, Licenses, Approvals, Etc</w:t>
      </w:r>
      <w:r>
        <w:rPr>
          <w:rFonts w:ascii="Arial" w:cs="Arial" w:eastAsia="Arial" w:hAnsi="Arial"/>
          <w:sz w:val="20"/>
          <w:szCs w:val="20"/>
          <w:color w:val="auto"/>
        </w:rPr>
        <w:t>. No consents, including, without limitation, consents under loan agreements and indentures to which such Transferor Party is a party), licenses or approvals are required in connection with the execution, delivery and performance by such Transferor Party of this Amendment, or the validity and enforceability against such Transferor Party of this Amendment, except such consents, licenses and approvals as have already been obtained and that remain in full force and effect on the date hereof.</w:t>
      </w:r>
    </w:p>
    <w:p>
      <w:pPr>
        <w:spacing w:after="0" w:line="199" w:lineRule="exact"/>
        <w:rPr>
          <w:rFonts w:ascii="Arial" w:cs="Arial" w:eastAsia="Arial" w:hAnsi="Arial"/>
          <w:sz w:val="20"/>
          <w:szCs w:val="20"/>
          <w:color w:val="auto"/>
        </w:rPr>
      </w:pPr>
    </w:p>
    <w:p>
      <w:pPr>
        <w:ind w:left="1460" w:hanging="804"/>
        <w:spacing w:after="0"/>
        <w:tabs>
          <w:tab w:leader="none" w:pos="14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Precedent</w:t>
      </w:r>
      <w:r>
        <w:rPr>
          <w:rFonts w:ascii="Arial" w:cs="Arial" w:eastAsia="Arial" w:hAnsi="Arial"/>
          <w:sz w:val="20"/>
          <w:szCs w:val="20"/>
          <w:b w:val="1"/>
          <w:bCs w:val="1"/>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color w:val="auto"/>
        </w:rPr>
        <w:t>This Amendment shall become effective when each of the following conditions precedent has been satisfied:</w:t>
      </w:r>
    </w:p>
    <w:p>
      <w:pPr>
        <w:spacing w:after="0" w:line="253" w:lineRule="exact"/>
        <w:rPr>
          <w:sz w:val="20"/>
          <w:szCs w:val="20"/>
          <w:color w:val="auto"/>
        </w:rPr>
      </w:pPr>
    </w:p>
    <w:p>
      <w:pPr>
        <w:ind w:left="1960" w:hanging="655"/>
        <w:spacing w:after="0" w:line="247" w:lineRule="auto"/>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Administrative Agent shall have received counterparts of this Amendment, duly executed by each of the parties hereto;</w:t>
      </w:r>
    </w:p>
    <w:p>
      <w:pPr>
        <w:spacing w:after="0" w:line="215" w:lineRule="exact"/>
        <w:rPr>
          <w:rFonts w:ascii="Arial" w:cs="Arial" w:eastAsia="Arial" w:hAnsi="Arial"/>
          <w:sz w:val="20"/>
          <w:szCs w:val="20"/>
          <w:color w:val="auto"/>
        </w:rPr>
      </w:pPr>
    </w:p>
    <w:p>
      <w:pPr>
        <w:jc w:val="both"/>
        <w:ind w:left="1960" w:hanging="655"/>
        <w:spacing w:after="0" w:line="243" w:lineRule="auto"/>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Administrative Agent’s counsel shall have received payment in full of its reasonable fees and disbursements in connection with the preparation, negotiation, and closing of this Amendment and the other documents required to be delivered to it hereunder; and</w:t>
      </w:r>
    </w:p>
    <w:p>
      <w:pPr>
        <w:spacing w:after="0" w:line="219" w:lineRule="exact"/>
        <w:rPr>
          <w:rFonts w:ascii="Arial" w:cs="Arial" w:eastAsia="Arial" w:hAnsi="Arial"/>
          <w:sz w:val="20"/>
          <w:szCs w:val="20"/>
          <w:color w:val="auto"/>
        </w:rPr>
      </w:pPr>
    </w:p>
    <w:p>
      <w:pPr>
        <w:jc w:val="both"/>
        <w:ind w:left="1960" w:hanging="655"/>
        <w:spacing w:after="0" w:line="243" w:lineRule="auto"/>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Each of the representations and warranties contained in Section 2 of this Amendment shall be true and correct in all material respects, it being understood that the foregoing materiality qualifier shall not apply to any representation that itself contains a materiality threshold.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68" w:name="page69"/>
    <w:bookmarkEnd w:id="68"/>
    <w:p>
      <w:pPr>
        <w:ind w:left="660" w:hanging="652"/>
        <w:spacing w:after="0"/>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4.1.  This Amendment shall be governed by and construed in accordance with the laws of the State of New York.</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4.2. Each of the parties hereto hereby submits to the nonexclusive jurisdiction of the United States District Court for the Southern District of New York and of any New York state court sitting in The City of New York for purposes of all legal proceedings arising out of or relating to this Amendment or the transactions contemplated hereby. Each of the parties hereto hereby irrevocably waives, to the fullest extent it may effectively do so, any objection which it may now or hereafter have to the laying of the venue of any such proceeding brought in such a court and any claim that any such proceeding brought in such a court has been brought in an inconvenient forum. Nothing in this Section 4.2 shall affect the right of any party hereto to bring any action or proceeding against any party hereto or its respective properties in the courts of other jurisdictions.</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4.3. This Amendment may be executed in two or more counterparts thereof (and by different parties on separate counterparts), each of which shall be an original, but all of which together shall constitute one and the same instrument. Delivery of an executed counterpart of a signature page to this Amendment by facsimile or by electronic mail with a .PDF or other image of a signed counterpart attached shall be effective as delivery of a manually executed counterpart of this Amendment to the fullest extent permitted by applicable law.</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4.4. This Amendment will inure to the benefit of and be binding upon the parties hereto and their respective successors, transferees and permitted assigns.</w:t>
      </w:r>
    </w:p>
    <w:p>
      <w:pPr>
        <w:spacing w:after="0" w:line="202"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4.5. The headings herein are for purposes of reference only and shall not otherwise affect the meaning or interpretation of any provision hereof.</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4.6. Each of the parties hereto hereby waives any right to have a jury participate in resolving any dispute, whether sounding in contract, tort or otherwise among any of them arising out of, connected with, relating to or incidental to the relationship between them in connection with this Amendment. The provisions of this Section shall be continuing and shall survive any termination of the Agreement as amended hereby.</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4.7. By its signature below, the Guarantor hereby confirms that its Limited Guaranty set forth in Article IX of the Agreement remains in full force and effect as of the date hereof and after giving effect to this Amendment.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1" w:right="239" w:bottom="1440" w:gutter="0" w:footer="0" w:header="0"/>
        </w:sectPr>
      </w:pPr>
    </w:p>
    <w:bookmarkStart w:id="69" w:name="page70"/>
    <w:bookmarkEnd w:id="69"/>
    <w:p>
      <w:pPr>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IN WITNESS WHEREOF, </w:t>
      </w:r>
      <w:r>
        <w:rPr>
          <w:rFonts w:ascii="Arial" w:cs="Arial" w:eastAsia="Arial" w:hAnsi="Arial"/>
          <w:sz w:val="20"/>
          <w:szCs w:val="20"/>
          <w:color w:val="auto"/>
        </w:rPr>
        <w:t>the parties have caused this Amendment to be duly executed by their respective officers as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day and year first above written.</w:t>
      </w:r>
    </w:p>
    <w:p>
      <w:pPr>
        <w:spacing w:after="0" w:line="17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TSPC, INC., as Transferor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Zalupski</w:t>
      </w:r>
    </w:p>
    <w:p>
      <w:pPr>
        <w:ind w:left="3420"/>
        <w:spacing w:after="0"/>
        <w:rPr>
          <w:sz w:val="20"/>
          <w:szCs w:val="20"/>
          <w:color w:val="auto"/>
        </w:rPr>
      </w:pPr>
      <w:r>
        <w:rPr>
          <w:rFonts w:ascii="Arial" w:cs="Arial" w:eastAsia="Arial" w:hAnsi="Arial"/>
          <w:sz w:val="20"/>
          <w:szCs w:val="20"/>
          <w:color w:val="auto"/>
        </w:rPr>
        <w:t>Name: Robert Zalupski</w:t>
      </w:r>
    </w:p>
    <w:p>
      <w:pPr>
        <w:ind w:left="3420"/>
        <w:spacing w:after="0"/>
        <w:rPr>
          <w:sz w:val="20"/>
          <w:szCs w:val="20"/>
          <w:color w:val="auto"/>
        </w:rPr>
      </w:pPr>
      <w:r>
        <w:rPr>
          <w:rFonts w:ascii="Arial" w:cs="Arial" w:eastAsia="Arial" w:hAnsi="Arial"/>
          <w:sz w:val="20"/>
          <w:szCs w:val="20"/>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TRIMAS CORPORATION, individually, as</w:t>
      </w:r>
    </w:p>
    <w:p>
      <w:pPr>
        <w:ind w:left="3420"/>
        <w:spacing w:after="0"/>
        <w:rPr>
          <w:sz w:val="20"/>
          <w:szCs w:val="20"/>
          <w:color w:val="auto"/>
        </w:rPr>
      </w:pPr>
      <w:r>
        <w:rPr>
          <w:rFonts w:ascii="Arial" w:cs="Arial" w:eastAsia="Arial" w:hAnsi="Arial"/>
          <w:sz w:val="20"/>
          <w:szCs w:val="20"/>
          <w:color w:val="auto"/>
        </w:rPr>
        <w:t>Collection Agent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Zalupski</w:t>
      </w:r>
    </w:p>
    <w:p>
      <w:pPr>
        <w:ind w:left="3420"/>
        <w:spacing w:after="0"/>
        <w:rPr>
          <w:sz w:val="20"/>
          <w:szCs w:val="20"/>
          <w:color w:val="auto"/>
        </w:rPr>
      </w:pPr>
      <w:r>
        <w:rPr>
          <w:rFonts w:ascii="Arial" w:cs="Arial" w:eastAsia="Arial" w:hAnsi="Arial"/>
          <w:sz w:val="20"/>
          <w:szCs w:val="20"/>
          <w:color w:val="auto"/>
        </w:rPr>
        <w:t>Name: Robert Zalupski</w:t>
      </w:r>
    </w:p>
    <w:p>
      <w:pPr>
        <w:ind w:left="342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TRIMAS COMPANY LLC, individually, as</w:t>
      </w:r>
    </w:p>
    <w:p>
      <w:pPr>
        <w:ind w:left="3420"/>
        <w:spacing w:after="0"/>
        <w:rPr>
          <w:sz w:val="20"/>
          <w:szCs w:val="20"/>
          <w:color w:val="auto"/>
        </w:rPr>
      </w:pPr>
      <w:r>
        <w:rPr>
          <w:rFonts w:ascii="Arial" w:cs="Arial" w:eastAsia="Arial" w:hAnsi="Arial"/>
          <w:sz w:val="20"/>
          <w:szCs w:val="20"/>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Zalupski</w:t>
      </w:r>
    </w:p>
    <w:p>
      <w:pPr>
        <w:ind w:left="3420"/>
        <w:spacing w:after="0"/>
        <w:rPr>
          <w:sz w:val="20"/>
          <w:szCs w:val="20"/>
          <w:color w:val="auto"/>
        </w:rPr>
      </w:pPr>
      <w:r>
        <w:rPr>
          <w:rFonts w:ascii="Arial" w:cs="Arial" w:eastAsia="Arial" w:hAnsi="Arial"/>
          <w:sz w:val="20"/>
          <w:szCs w:val="20"/>
          <w:color w:val="auto"/>
        </w:rPr>
        <w:t>Name: Robert Zalupski</w:t>
      </w:r>
    </w:p>
    <w:p>
      <w:pPr>
        <w:ind w:left="3420"/>
        <w:spacing w:after="0"/>
        <w:rPr>
          <w:sz w:val="20"/>
          <w:szCs w:val="20"/>
          <w:color w:val="auto"/>
        </w:rPr>
      </w:pPr>
      <w:r>
        <w:rPr>
          <w:rFonts w:ascii="Arial" w:cs="Arial" w:eastAsia="Arial" w:hAnsi="Arial"/>
          <w:sz w:val="20"/>
          <w:szCs w:val="20"/>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1" w:right="239" w:bottom="1440" w:gutter="0" w:footer="0" w:header="0"/>
        </w:sectPr>
      </w:pPr>
    </w:p>
    <w:bookmarkStart w:id="70" w:name="page71"/>
    <w:bookmarkEnd w:id="70"/>
    <w:p>
      <w:pPr>
        <w:ind w:left="2220"/>
        <w:spacing w:after="0" w:line="247" w:lineRule="auto"/>
        <w:rPr>
          <w:sz w:val="20"/>
          <w:szCs w:val="20"/>
          <w:color w:val="auto"/>
        </w:rPr>
      </w:pPr>
      <w:r>
        <w:rPr>
          <w:rFonts w:ascii="Arial" w:cs="Arial" w:eastAsia="Arial" w:hAnsi="Arial"/>
          <w:sz w:val="20"/>
          <w:szCs w:val="20"/>
          <w:color w:val="auto"/>
        </w:rPr>
        <w:t>WELLS FARGO BANK, NATIONAL ASSOCIATION, as a Purchaser, as LC Issuer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Elizabeth R. Wagner</w:t>
      </w:r>
    </w:p>
    <w:p>
      <w:pPr>
        <w:ind w:left="2220"/>
        <w:spacing w:after="0"/>
        <w:rPr>
          <w:sz w:val="20"/>
          <w:szCs w:val="20"/>
          <w:color w:val="auto"/>
        </w:rPr>
      </w:pPr>
      <w:r>
        <w:rPr>
          <w:rFonts w:ascii="Arial" w:cs="Arial" w:eastAsia="Arial" w:hAnsi="Arial"/>
          <w:sz w:val="20"/>
          <w:szCs w:val="20"/>
          <w:color w:val="auto"/>
        </w:rPr>
        <w:t>Name: Elizabeth R. Wagner</w:t>
      </w:r>
    </w:p>
    <w:p>
      <w:pPr>
        <w:ind w:left="22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9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1100 Abernathy Road, N.E.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Suite 1600</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Atlanta, GA 30328-5657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22"/>
          <w:szCs w:val="22"/>
          <w:i w:val="1"/>
          <w:iCs w:val="1"/>
          <w:u w:val="single" w:color="auto"/>
          <w:color w:val="auto"/>
        </w:rPr>
        <w:t>CONFIDENTIAL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April 21, 2017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TSPC,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TriMas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39400 Woodward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Suite 130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Bloomfield Hills, Michigan 48304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Robert Zalupski</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AMENDED AND RESTATED FEE LETTER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This is the Fee Letter (“</w:t>
      </w:r>
      <w:r>
        <w:rPr>
          <w:rFonts w:ascii="Arial" w:cs="Arial" w:eastAsia="Arial" w:hAnsi="Arial"/>
          <w:sz w:val="19"/>
          <w:szCs w:val="19"/>
          <w:u w:val="single" w:color="auto"/>
          <w:color w:val="auto"/>
        </w:rPr>
        <w:t>Fee Letter</w:t>
      </w:r>
      <w:r>
        <w:rPr>
          <w:rFonts w:ascii="Arial" w:cs="Arial" w:eastAsia="Arial" w:hAnsi="Arial"/>
          <w:sz w:val="19"/>
          <w:szCs w:val="19"/>
          <w:color w:val="auto"/>
        </w:rPr>
        <w:t>”) referred to in the Amended and Restated Receivables Transfer Agreement dated as of September 15, 2011 (as amended, restated or otherwise modified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TSPC, INC., a Nevada corporation, as transferor (in such capacity, the “</w:t>
      </w:r>
      <w:r>
        <w:rPr>
          <w:rFonts w:ascii="Arial" w:cs="Arial" w:eastAsia="Arial" w:hAnsi="Arial"/>
          <w:sz w:val="19"/>
          <w:szCs w:val="19"/>
          <w:u w:val="single" w:color="auto"/>
          <w:color w:val="auto"/>
        </w:rPr>
        <w:t>Transferor</w:t>
      </w:r>
      <w:r>
        <w:rPr>
          <w:rFonts w:ascii="Arial" w:cs="Arial" w:eastAsia="Arial" w:hAnsi="Arial"/>
          <w:sz w:val="19"/>
          <w:szCs w:val="19"/>
          <w:color w:val="auto"/>
        </w:rPr>
        <w:t>”), TRIMAS CORPORATION, a Delaware corporation, as Collection Agent, TRIMAS COMPANY LLC, a Delaware limited liability company, as Guarantor, the purchasers from time to time party thereto (each, a “</w:t>
      </w:r>
      <w:r>
        <w:rPr>
          <w:rFonts w:ascii="Arial" w:cs="Arial" w:eastAsia="Arial" w:hAnsi="Arial"/>
          <w:sz w:val="19"/>
          <w:szCs w:val="19"/>
          <w:u w:val="single" w:color="auto"/>
          <w:color w:val="auto"/>
        </w:rPr>
        <w:t>Purchaser</w:t>
      </w:r>
      <w:r>
        <w:rPr>
          <w:rFonts w:ascii="Arial" w:cs="Arial" w:eastAsia="Arial" w:hAnsi="Arial"/>
          <w:sz w:val="19"/>
          <w:szCs w:val="19"/>
          <w:color w:val="auto"/>
        </w:rPr>
        <w:t>”), and WELLS FARGO BANK, NATIONAL ASSOCIATION, a national banking association, individually as a Purchaser (“</w:t>
      </w:r>
      <w:r>
        <w:rPr>
          <w:rFonts w:ascii="Arial" w:cs="Arial" w:eastAsia="Arial" w:hAnsi="Arial"/>
          <w:sz w:val="19"/>
          <w:szCs w:val="19"/>
          <w:u w:val="single" w:color="auto"/>
          <w:color w:val="auto"/>
        </w:rPr>
        <w:t>Wells Fargo</w:t>
      </w:r>
      <w:r>
        <w:rPr>
          <w:rFonts w:ascii="Arial" w:cs="Arial" w:eastAsia="Arial" w:hAnsi="Arial"/>
          <w:sz w:val="19"/>
          <w:szCs w:val="19"/>
          <w:color w:val="auto"/>
        </w:rPr>
        <w:t>”) and as Administrative Agent (together with its successors in such latter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From and after the date hereof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Fee Letter amends and restates that certain fifth amended and restated fee letter effective as of December 16, 2015 by and among the parties. Capitalized terms used herein but not defined herein shall have the meanings assigned to such terms in the Agreement.</w:t>
      </w:r>
    </w:p>
    <w:p>
      <w:pPr>
        <w:spacing w:after="0" w:line="158" w:lineRule="exact"/>
        <w:rPr>
          <w:sz w:val="20"/>
          <w:szCs w:val="20"/>
          <w:color w:val="auto"/>
        </w:rPr>
      </w:pPr>
    </w:p>
    <w:p>
      <w:pPr>
        <w:jc w:val="both"/>
        <w:ind w:firstLine="656"/>
        <w:spacing w:after="0" w:line="253" w:lineRule="auto"/>
        <w:tabs>
          <w:tab w:leader="none" w:pos="1113"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addition to the legal, audit and other fees and expenses set forth in the Agreement and other amounts due to the Administrative Agent, the LC Issuer or the Purchaser(s) under the terms of the Agreement, the Transferor hereby agrees to pay the following fees in immediately available funds:</w:t>
      </w:r>
    </w:p>
    <w:p>
      <w:pPr>
        <w:spacing w:after="0" w:line="185" w:lineRule="exact"/>
        <w:rPr>
          <w:rFonts w:ascii="Arial" w:cs="Arial" w:eastAsia="Arial" w:hAnsi="Arial"/>
          <w:sz w:val="22"/>
          <w:szCs w:val="22"/>
          <w:color w:val="auto"/>
        </w:rPr>
      </w:pPr>
    </w:p>
    <w:p>
      <w:pPr>
        <w:ind w:left="1600" w:hanging="295"/>
        <w:spacing w:after="0"/>
        <w:tabs>
          <w:tab w:leader="none" w:pos="16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19" w:lineRule="exact"/>
        <w:rPr>
          <w:rFonts w:ascii="Arial" w:cs="Arial" w:eastAsia="Arial" w:hAnsi="Arial"/>
          <w:sz w:val="22"/>
          <w:szCs w:val="22"/>
          <w:color w:val="auto"/>
        </w:rPr>
      </w:pPr>
    </w:p>
    <w:p>
      <w:pPr>
        <w:ind w:firstLine="1305"/>
        <w:spacing w:after="0" w:line="263" w:lineRule="auto"/>
        <w:tabs>
          <w:tab w:leader="none" w:pos="1609" w:val="left"/>
        </w:tabs>
        <w:numPr>
          <w:ilvl w:val="1"/>
          <w:numId w:val="61"/>
        </w:numPr>
        <w:rPr>
          <w:rFonts w:ascii="Arial" w:cs="Arial" w:eastAsia="Arial" w:hAnsi="Arial"/>
          <w:sz w:val="22"/>
          <w:szCs w:val="22"/>
          <w:color w:val="auto"/>
        </w:rPr>
      </w:pPr>
      <w:r>
        <w:rPr>
          <w:rFonts w:ascii="Arial" w:cs="Arial" w:eastAsia="Arial" w:hAnsi="Arial"/>
          <w:sz w:val="22"/>
          <w:szCs w:val="22"/>
          <w:color w:val="auto"/>
        </w:rPr>
        <w:t>for each Letter of Credit, on its date of issuance and on each date, if any, on which its expiry date is extended or its face amount is increased, the Transferor agrees</w:t>
      </w:r>
    </w:p>
    <w:p>
      <w:pPr>
        <w:sectPr>
          <w:pgSz w:w="11900" w:h="16838" w:orient="portrait"/>
          <w:cols w:equalWidth="0" w:num="1">
            <w:col w:w="11420"/>
          </w:cols>
          <w:pgMar w:left="240" w:top="621" w:right="239" w:bottom="1440" w:gutter="0" w:footer="0" w:header="0"/>
        </w:sectPr>
      </w:pPr>
    </w:p>
    <w:bookmarkStart w:id="72" w:name="page73"/>
    <w:bookmarkEnd w:id="72"/>
    <w:p>
      <w:pPr>
        <w:jc w:val="both"/>
        <w:spacing w:after="0" w:line="247" w:lineRule="auto"/>
        <w:rPr>
          <w:sz w:val="20"/>
          <w:szCs w:val="20"/>
          <w:color w:val="auto"/>
        </w:rPr>
      </w:pPr>
      <w:r>
        <w:rPr>
          <w:rFonts w:ascii="Arial" w:cs="Arial" w:eastAsia="Arial" w:hAnsi="Arial"/>
          <w:sz w:val="22"/>
          <w:szCs w:val="22"/>
          <w:color w:val="auto"/>
        </w:rPr>
        <w:t>to pay to each of the Purchasers, such Purchaser’s Pro Rata Share of a fully earned and non-refundable fee equal to (i) a percentage equal to 99.9% of the Applicable Margin then in effect, multiplied by (ii) the face amount of such Letter of Credit (or, in the case of an increase in the face amount of such Letter of Credit, on the amount of such increase) multiplied by (iii) a fraction, the numerator of which shall be the actual number of days until such Letter of Credit’s expiry date (or, in the case of an extension, the actual number of days from but excluding the initial expiry date to and including the extended expiry date), and the denominator of which shall be 360 days;</w:t>
      </w:r>
    </w:p>
    <w:p>
      <w:pPr>
        <w:spacing w:after="0" w:line="194" w:lineRule="exact"/>
        <w:rPr>
          <w:sz w:val="20"/>
          <w:szCs w:val="20"/>
          <w:color w:val="auto"/>
        </w:rPr>
      </w:pPr>
    </w:p>
    <w:p>
      <w:pPr>
        <w:jc w:val="both"/>
        <w:ind w:firstLine="1305"/>
        <w:spacing w:after="0" w:line="292" w:lineRule="auto"/>
        <w:tabs>
          <w:tab w:leader="none" w:pos="1781" w:val="left"/>
        </w:tabs>
        <w:numPr>
          <w:ilvl w:val="1"/>
          <w:numId w:val="62"/>
        </w:numPr>
        <w:rPr>
          <w:rFonts w:ascii="Arial" w:cs="Arial" w:eastAsia="Arial" w:hAnsi="Arial"/>
          <w:sz w:val="19"/>
          <w:szCs w:val="19"/>
          <w:color w:val="auto"/>
        </w:rPr>
      </w:pPr>
      <w:r>
        <w:rPr>
          <w:rFonts w:ascii="Arial" w:cs="Arial" w:eastAsia="Arial" w:hAnsi="Arial"/>
          <w:sz w:val="19"/>
          <w:szCs w:val="19"/>
          <w:color w:val="auto"/>
        </w:rPr>
        <w:t>if, at any time, there is more than one Purchaser, on each Monthly Payment Date, the Transferor agrees to pay to the LC Issuer, for its sole account, a fully earned and non-refundable fee for the month prior to the month most recently ended equal to 0.15% multiplied by the average daily face amount of all Letters of Credit outstanding for such calendar month (or portion thereof) then most recently ended (the “</w:t>
      </w:r>
      <w:r>
        <w:rPr>
          <w:rFonts w:ascii="Arial" w:cs="Arial" w:eastAsia="Arial" w:hAnsi="Arial"/>
          <w:sz w:val="19"/>
          <w:szCs w:val="19"/>
          <w:u w:val="single" w:color="auto"/>
          <w:color w:val="auto"/>
        </w:rPr>
        <w:t>Fronting Fee</w:t>
      </w:r>
      <w:r>
        <w:rPr>
          <w:rFonts w:ascii="Arial" w:cs="Arial" w:eastAsia="Arial" w:hAnsi="Arial"/>
          <w:sz w:val="19"/>
          <w:szCs w:val="19"/>
          <w:color w:val="auto"/>
        </w:rPr>
        <w:t xml:space="preserve">”). The Fronting Fee shall be computed for actual days elapsed on the basis of a 360-day year,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with respect to the Termination Date, the Fronting Fee payable shall be equal to the Fronting Fee accrued for the actual number of days elapsed from and including the last day of the calendar month immediately preceding the most recent Monthly Payment Date to but excluding the Termination Date; and</w:t>
      </w:r>
    </w:p>
    <w:p>
      <w:pPr>
        <w:spacing w:after="0" w:line="151" w:lineRule="exact"/>
        <w:rPr>
          <w:rFonts w:ascii="Arial" w:cs="Arial" w:eastAsia="Arial" w:hAnsi="Arial"/>
          <w:sz w:val="19"/>
          <w:szCs w:val="19"/>
          <w:color w:val="auto"/>
        </w:rPr>
      </w:pPr>
    </w:p>
    <w:p>
      <w:pPr>
        <w:jc w:val="both"/>
        <w:ind w:firstLine="1305"/>
        <w:spacing w:after="0" w:line="260" w:lineRule="auto"/>
        <w:tabs>
          <w:tab w:leader="none" w:pos="1797" w:val="left"/>
        </w:tabs>
        <w:numPr>
          <w:ilvl w:val="1"/>
          <w:numId w:val="62"/>
        </w:numPr>
        <w:rPr>
          <w:rFonts w:ascii="Arial" w:cs="Arial" w:eastAsia="Arial" w:hAnsi="Arial"/>
          <w:sz w:val="21"/>
          <w:szCs w:val="21"/>
          <w:color w:val="auto"/>
        </w:rPr>
      </w:pPr>
      <w:r>
        <w:rPr>
          <w:rFonts w:ascii="Arial" w:cs="Arial" w:eastAsia="Arial" w:hAnsi="Arial"/>
          <w:sz w:val="21"/>
          <w:szCs w:val="21"/>
          <w:color w:val="auto"/>
        </w:rPr>
        <w:t>on each Monthly Payment Date, the Transferor agrees to pay to the each of the Purchasers, a fully earned and non-refundable fee for the month prior to the month most recently ended equal to 0.35% multiplied by the average daily difference between such Purchaser’s Commitment and its Credit Exposure for the calendar month (or portion thereof) then most recently ended (the “</w:t>
      </w:r>
      <w:r>
        <w:rPr>
          <w:rFonts w:ascii="Arial" w:cs="Arial" w:eastAsia="Arial" w:hAnsi="Arial"/>
          <w:sz w:val="21"/>
          <w:szCs w:val="21"/>
          <w:u w:val="single" w:color="auto"/>
          <w:color w:val="auto"/>
        </w:rPr>
        <w:t>Unused Fee</w:t>
      </w:r>
      <w:r>
        <w:rPr>
          <w:rFonts w:ascii="Arial" w:cs="Arial" w:eastAsia="Arial" w:hAnsi="Arial"/>
          <w:sz w:val="21"/>
          <w:szCs w:val="21"/>
          <w:color w:val="auto"/>
        </w:rPr>
        <w:t xml:space="preserve">”). The Unused Fee shall be computed for actual days elapsed on the basis of a 360-day year,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with respect to the Termination Date, the Unused Fee payable shall be equal to the Unused Fee accrued for the actual</w:t>
      </w:r>
      <w:r>
        <w:rPr>
          <w:rFonts w:ascii="Arial" w:cs="Arial" w:eastAsia="Arial" w:hAnsi="Arial"/>
          <w:sz w:val="21"/>
          <w:szCs w:val="21"/>
          <w:i w:val="1"/>
          <w:iCs w:val="1"/>
          <w:color w:val="auto"/>
        </w:rPr>
        <w:t xml:space="preserve"> </w:t>
      </w:r>
      <w:r>
        <w:rPr>
          <w:rFonts w:ascii="Arial" w:cs="Arial" w:eastAsia="Arial" w:hAnsi="Arial"/>
          <w:sz w:val="21"/>
          <w:szCs w:val="21"/>
          <w:color w:val="auto"/>
        </w:rPr>
        <w:t>number of days elapsed from and including the last day of the calendar month immediately preceding the most recent Monthly Payment Date to but excluding the Termination Date.</w:t>
      </w:r>
    </w:p>
    <w:p>
      <w:pPr>
        <w:spacing w:after="0" w:line="181" w:lineRule="exact"/>
        <w:rPr>
          <w:rFonts w:ascii="Arial" w:cs="Arial" w:eastAsia="Arial" w:hAnsi="Arial"/>
          <w:sz w:val="21"/>
          <w:szCs w:val="21"/>
          <w:color w:val="auto"/>
        </w:rPr>
      </w:pPr>
    </w:p>
    <w:p>
      <w:pPr>
        <w:jc w:val="both"/>
        <w:ind w:firstLine="656"/>
        <w:spacing w:after="0" w:line="297" w:lineRule="auto"/>
        <w:tabs>
          <w:tab w:leader="none" w:pos="1089" w:val="left"/>
        </w:tabs>
        <w:numPr>
          <w:ilvl w:val="0"/>
          <w:numId w:val="63"/>
        </w:numPr>
        <w:rPr>
          <w:rFonts w:ascii="Arial" w:cs="Arial" w:eastAsia="Arial" w:hAnsi="Arial"/>
          <w:sz w:val="19"/>
          <w:szCs w:val="19"/>
          <w:color w:val="auto"/>
        </w:rPr>
      </w:pPr>
      <w:r>
        <w:rPr>
          <w:rFonts w:ascii="Arial" w:cs="Arial" w:eastAsia="Arial" w:hAnsi="Arial"/>
          <w:sz w:val="19"/>
          <w:szCs w:val="19"/>
          <w:color w:val="auto"/>
        </w:rPr>
        <w:t>As used in the Agreement, “</w:t>
      </w:r>
      <w:r>
        <w:rPr>
          <w:rFonts w:ascii="Arial" w:cs="Arial" w:eastAsia="Arial" w:hAnsi="Arial"/>
          <w:sz w:val="19"/>
          <w:szCs w:val="19"/>
          <w:u w:val="single" w:color="auto"/>
          <w:color w:val="auto"/>
        </w:rPr>
        <w:t>Special Obligors</w:t>
      </w:r>
      <w:r>
        <w:rPr>
          <w:rFonts w:ascii="Arial" w:cs="Arial" w:eastAsia="Arial" w:hAnsi="Arial"/>
          <w:sz w:val="19"/>
          <w:szCs w:val="19"/>
          <w:color w:val="auto"/>
        </w:rPr>
        <w:t>” means (a) solely with respect to Receivables arising on or after October 31, 2012, Henkel Corporation, The Dial Corporation and their Affiliates, (b) solely with respect to Receivables arising on or after March 31, 2014, Hamilton Sundstrand Corporation and its Affiliates, and (c) solely with respect to Receivables arising on or after the date hereof, The Boeing Company and its Affiliates. Subject to the approval of the Administrative Agent (such approval not to be unreasonably withheld), the term “</w:t>
      </w:r>
      <w:r>
        <w:rPr>
          <w:rFonts w:ascii="Arial" w:cs="Arial" w:eastAsia="Arial" w:hAnsi="Arial"/>
          <w:sz w:val="19"/>
          <w:szCs w:val="19"/>
          <w:u w:val="single" w:color="auto"/>
          <w:color w:val="auto"/>
        </w:rPr>
        <w:t>Special Obligors</w:t>
      </w:r>
      <w:r>
        <w:rPr>
          <w:rFonts w:ascii="Arial" w:cs="Arial" w:eastAsia="Arial" w:hAnsi="Arial"/>
          <w:sz w:val="19"/>
          <w:szCs w:val="19"/>
          <w:color w:val="auto"/>
        </w:rPr>
        <w:t>” shall also include any entity reasonably requested by the Transferor.</w:t>
      </w:r>
    </w:p>
    <w:p>
      <w:pPr>
        <w:spacing w:after="0" w:line="187" w:lineRule="exact"/>
        <w:rPr>
          <w:rFonts w:ascii="Arial" w:cs="Arial" w:eastAsia="Arial" w:hAnsi="Arial"/>
          <w:sz w:val="19"/>
          <w:szCs w:val="19"/>
          <w:color w:val="auto"/>
        </w:rPr>
      </w:pPr>
    </w:p>
    <w:p>
      <w:pPr>
        <w:jc w:val="both"/>
        <w:ind w:firstLine="656"/>
        <w:spacing w:after="0" w:line="253" w:lineRule="auto"/>
        <w:tabs>
          <w:tab w:leader="none" w:pos="1189" w:val="left"/>
        </w:tabs>
        <w:numPr>
          <w:ilvl w:val="0"/>
          <w:numId w:val="63"/>
        </w:numPr>
        <w:rPr>
          <w:rFonts w:ascii="Arial" w:cs="Arial" w:eastAsia="Arial" w:hAnsi="Arial"/>
          <w:sz w:val="22"/>
          <w:szCs w:val="22"/>
          <w:color w:val="auto"/>
        </w:rPr>
      </w:pPr>
      <w:r>
        <w:rPr>
          <w:rFonts w:ascii="Arial" w:cs="Arial" w:eastAsia="Arial" w:hAnsi="Arial"/>
          <w:sz w:val="22"/>
          <w:szCs w:val="22"/>
          <w:color w:val="auto"/>
        </w:rPr>
        <w:t>L Brands, Inc. and its Affiliates shall have a Designated Concentration Limit of 8%, it being understood that such Designated Concentration Limit may be cancelled by any Purchaser upon not less than five (5) Business Days’ written notice to Transferor and the Administrative Agent.</w:t>
      </w:r>
    </w:p>
    <w:p>
      <w:pPr>
        <w:sectPr>
          <w:pgSz w:w="11900" w:h="16838" w:orient="portrait"/>
          <w:cols w:equalWidth="0" w:num="1">
            <w:col w:w="11420"/>
          </w:cols>
          <w:pgMar w:left="240" w:top="631" w:right="239" w:bottom="1440" w:gutter="0" w:footer="0" w:header="0"/>
        </w:sectPr>
      </w:pPr>
    </w:p>
    <w:bookmarkStart w:id="73" w:name="page74"/>
    <w:bookmarkEnd w:id="73"/>
    <w:p>
      <w:pPr>
        <w:ind w:left="1020" w:hanging="364"/>
        <w:spacing w:after="0"/>
        <w:tabs>
          <w:tab w:leader="none" w:pos="10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As used in the Agreement, “</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1.00% for each Calculation Period.</w:t>
      </w:r>
    </w:p>
    <w:p>
      <w:pPr>
        <w:spacing w:after="0" w:line="260" w:lineRule="exact"/>
        <w:rPr>
          <w:rFonts w:ascii="Arial" w:cs="Arial" w:eastAsia="Arial" w:hAnsi="Arial"/>
          <w:sz w:val="22"/>
          <w:szCs w:val="22"/>
          <w:color w:val="auto"/>
        </w:rPr>
      </w:pPr>
    </w:p>
    <w:p>
      <w:pPr>
        <w:jc w:val="both"/>
        <w:ind w:firstLine="656"/>
        <w:spacing w:after="0" w:line="261" w:lineRule="auto"/>
        <w:tabs>
          <w:tab w:leader="none" w:pos="1015" w:val="left"/>
        </w:tabs>
        <w:numPr>
          <w:ilvl w:val="0"/>
          <w:numId w:val="64"/>
        </w:numPr>
        <w:rPr>
          <w:rFonts w:ascii="Arial" w:cs="Arial" w:eastAsia="Arial" w:hAnsi="Arial"/>
          <w:sz w:val="21"/>
          <w:szCs w:val="21"/>
          <w:color w:val="auto"/>
        </w:rPr>
      </w:pPr>
      <w:r>
        <w:rPr>
          <w:rFonts w:ascii="Arial" w:cs="Arial" w:eastAsia="Arial" w:hAnsi="Arial"/>
          <w:sz w:val="21"/>
          <w:szCs w:val="21"/>
          <w:color w:val="auto"/>
        </w:rPr>
        <w:t>As used in the Agreement “</w:t>
      </w:r>
      <w:r>
        <w:rPr>
          <w:rFonts w:ascii="Arial" w:cs="Arial" w:eastAsia="Arial" w:hAnsi="Arial"/>
          <w:sz w:val="21"/>
          <w:szCs w:val="21"/>
          <w:u w:val="single" w:color="auto"/>
          <w:color w:val="auto"/>
        </w:rPr>
        <w:t>Special Adjustment</w:t>
      </w:r>
      <w:r>
        <w:rPr>
          <w:rFonts w:ascii="Arial" w:cs="Arial" w:eastAsia="Arial" w:hAnsi="Arial"/>
          <w:sz w:val="21"/>
          <w:szCs w:val="21"/>
          <w:color w:val="auto"/>
        </w:rPr>
        <w:t>” means, for purposes of calculating the Dilution Ratio as of any Cut-Off Date on which the Receivables of a Special Obligor are not Excluded Receivables and are not Eligible Receivables, a reduction of the numerator of the Dilution Ratio by the total amount of decreases in outstanding principal balances of Receivables owing from such Special Obligor due to Dilution during the Calculation Period ending on such Cut-Off Date, and a reduction of the denominator by the aggregate sales to such Special Obligor generated by the Sellers during the Calculation Period ending three months prior to the Calculation Period ending on such Cut-Off Date.</w:t>
      </w:r>
    </w:p>
    <w:p>
      <w:pPr>
        <w:spacing w:after="0" w:line="180" w:lineRule="exact"/>
        <w:rPr>
          <w:rFonts w:ascii="Arial" w:cs="Arial" w:eastAsia="Arial" w:hAnsi="Arial"/>
          <w:sz w:val="21"/>
          <w:szCs w:val="21"/>
          <w:color w:val="auto"/>
        </w:rPr>
      </w:pPr>
    </w:p>
    <w:p>
      <w:pPr>
        <w:jc w:val="both"/>
        <w:ind w:firstLine="656"/>
        <w:spacing w:after="0" w:line="271" w:lineRule="auto"/>
        <w:tabs>
          <w:tab w:leader="none" w:pos="1149" w:val="left"/>
        </w:tabs>
        <w:numPr>
          <w:ilvl w:val="0"/>
          <w:numId w:val="64"/>
        </w:numPr>
        <w:rPr>
          <w:rFonts w:ascii="Arial" w:cs="Arial" w:eastAsia="Arial" w:hAnsi="Arial"/>
          <w:sz w:val="21"/>
          <w:szCs w:val="21"/>
          <w:color w:val="auto"/>
        </w:rPr>
      </w:pPr>
      <w:r>
        <w:rPr>
          <w:rFonts w:ascii="Arial" w:cs="Arial" w:eastAsia="Arial" w:hAnsi="Arial"/>
          <w:sz w:val="21"/>
          <w:szCs w:val="21"/>
          <w:color w:val="auto"/>
        </w:rPr>
        <w:t>Transferor acknowledges and agrees that in the event Administrative Agent is asked to provide its consent to the addition of a Purchaser to the Agreement, Administrative Agent may condition such consent on receipt of a reasonable and customary Administrative Agent’s fee from Transferor in an amount to be negotiated by the parties.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THIS FEE LETTER SHALL BE GOVERNED BY AND CONSTRUED IN ACCORDANCE WITH THE LAWS OF THE STATE OF NEW YORK, WITHOUT REGARD TO THE PRINCIPLES OF CONFLICTS OF LAWS THEREOF OTHER THAN SECTION 5-1401 OF THE GENERAL OBLIGATIONS LAW.</w:t>
      </w:r>
    </w:p>
    <w:p>
      <w:pPr>
        <w:spacing w:after="0" w:line="18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Fee Letter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to this Fee Letter by facsimile shall be effective as delivery of a manually executed counterpart of a signature page hereto.</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the foregoing reflects our understanding, kindly execute the enclosed copy hereof any return it to the undersigned, whereupon this Fee Letter shall be binding upon you and us.</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right="900"/>
        <w:spacing w:after="0" w:line="263" w:lineRule="auto"/>
        <w:rPr>
          <w:sz w:val="20"/>
          <w:szCs w:val="20"/>
          <w:color w:val="auto"/>
        </w:rPr>
      </w:pPr>
      <w:r>
        <w:rPr>
          <w:rFonts w:ascii="Arial" w:cs="Arial" w:eastAsia="Arial" w:hAnsi="Arial"/>
          <w:sz w:val="22"/>
          <w:szCs w:val="22"/>
          <w:color w:val="auto"/>
        </w:rPr>
        <w:t>WELLS FARGO BANK, NATIONAL ASSOCIATION, as LC Issuer and as Administrative Agent</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Elizabeth R. Wagner</w:t>
      </w:r>
    </w:p>
    <w:p>
      <w:pPr>
        <w:spacing w:after="0" w:line="2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Elizabeth R. Wagner</w:t>
      </w:r>
    </w:p>
    <w:p>
      <w:pPr>
        <w:spacing w:after="0" w:line="4"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2"/>
          <w:szCs w:val="22"/>
          <w:color w:val="auto"/>
        </w:rPr>
        <w:t>Title:</w:t>
        <w:tab/>
        <w:t>Managing Director</w:t>
      </w:r>
    </w:p>
    <w:p>
      <w:pPr>
        <w:sectPr>
          <w:pgSz w:w="11900" w:h="16838" w:orient="portrait"/>
          <w:cols w:equalWidth="0" w:num="1">
            <w:col w:w="11420"/>
          </w:cols>
          <w:pgMar w:left="240" w:top="63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Agreed to and accepted as of the date first above written: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TSPC,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Zalupski</w:t>
      </w:r>
    </w:p>
    <w:p>
      <w:pPr>
        <w:spacing w:after="0" w:line="2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Name:</w:t>
        <w:tab/>
        <w:t>Robert Zalupski</w:t>
      </w:r>
    </w:p>
    <w:p>
      <w:pPr>
        <w:spacing w:after="0" w:line="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Title:</w:t>
        <w:tab/>
        <w:t>Vice President &amp; Treasurer</w:t>
      </w:r>
    </w:p>
    <w:p>
      <w:pPr>
        <w:sectPr>
          <w:pgSz w:w="11900" w:h="16838" w:orient="portrait"/>
          <w:cols w:equalWidth="0" w:num="1">
            <w:col w:w="10219"/>
          </w:cols>
          <w:pgMar w:left="240" w:top="631"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2017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2017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lowerLetter"/>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decimal"/>
      <w:start w:val="1"/>
    </w:lvl>
    <w:lvl w:ilvl="1">
      <w:lvlJc w:val="left"/>
      <w:lvlText w:val="(%2)"/>
      <w:numFmt w:val="lowerLetter"/>
      <w:start w:val="1"/>
    </w:lvl>
  </w:abstractNum>
  <w:abstractNum w:abstractNumId="13">
    <w:nsid w:val="153EA438"/>
    <w:multiLevelType w:val="hybridMultilevel"/>
    <w:lvl w:ilvl="0">
      <w:lvlJc w:val="left"/>
      <w:lvlText w:val="(%1)"/>
      <w:numFmt w:val="lowerLetter"/>
      <w:start w:val="11"/>
    </w:lvl>
    <w:lvl w:ilvl="1">
      <w:lvlJc w:val="left"/>
      <w:lvlText w:val="(%2)"/>
      <w:numFmt w:val="lowerRoman"/>
      <w:start w:val="1"/>
    </w:lvl>
  </w:abstractNum>
  <w:abstractNum w:abstractNumId="14">
    <w:nsid w:val="3855585C"/>
    <w:multiLevelType w:val="hybridMultilevel"/>
    <w:lvl w:ilvl="0">
      <w:lvlJc w:val="left"/>
      <w:lvlText w:val="(%1)"/>
      <w:numFmt w:val="lowerRoman"/>
      <w:start w:val="2"/>
    </w:lvl>
  </w:abstractNum>
  <w:abstractNum w:abstractNumId="15">
    <w:nsid w:val="70A64E2A"/>
    <w:multiLevelType w:val="hybridMultilevel"/>
    <w:lvl w:ilvl="0">
      <w:lvlJc w:val="left"/>
      <w:lvlText w:val="%1"/>
      <w:numFmt w:val="lowerLetter"/>
      <w:start w:val="1"/>
    </w:lvl>
    <w:lvl w:ilvl="1">
      <w:lvlJc w:val="left"/>
      <w:lvlText w:val="(%2)"/>
      <w:numFmt w:val="lowerLetter"/>
      <w:start w:val="17"/>
    </w:lvl>
  </w:abstractNum>
  <w:abstractNum w:abstractNumId="16">
    <w:nsid w:val="6A2342EC"/>
    <w:multiLevelType w:val="hybridMultilevel"/>
    <w:lvl w:ilvl="0">
      <w:lvlJc w:val="left"/>
      <w:lvlText w:val="(%1)"/>
      <w:numFmt w:val="lowerLetter"/>
      <w:start w:val="18"/>
    </w:lvl>
    <w:lvl w:ilvl="1">
      <w:lvlJc w:val="left"/>
      <w:lvlText w:val="%2"/>
      <w:numFmt w:val="lowerLetter"/>
      <w:start w:val="1"/>
    </w:lvl>
  </w:abstractNum>
  <w:abstractNum w:abstractNumId="17">
    <w:nsid w:val="2A487CB0"/>
    <w:multiLevelType w:val="hybridMultilevel"/>
    <w:lvl w:ilvl="0">
      <w:lvlJc w:val="left"/>
      <w:lvlText w:val="(%1)"/>
      <w:numFmt w:val="lowerLetter"/>
      <w:start w:val="23"/>
    </w:lvl>
  </w:abstractNum>
  <w:abstractNum w:abstractNumId="18">
    <w:nsid w:val="1D4ED43B"/>
    <w:multiLevelType w:val="hybridMultilevel"/>
    <w:lvl w:ilvl="0">
      <w:lvlJc w:val="left"/>
      <w:lvlText w:val="(%1)"/>
      <w:numFmt w:val="lowerLetter"/>
      <w:start w:val="27"/>
    </w:lvl>
  </w:abstractNum>
  <w:abstractNum w:abstractNumId="19">
    <w:nsid w:val="725A06FB"/>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20">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
    <w:nsid w:val="57E4CCAF"/>
    <w:multiLevelType w:val="hybridMultilevel"/>
    <w:lvl w:ilvl="0">
      <w:lvlJc w:val="left"/>
      <w:lvlText w:val="%1"/>
      <w:numFmt w:val="lowerLetter"/>
      <w:start w:val="1"/>
    </w:lvl>
    <w:lvl w:ilvl="1">
      <w:lvlJc w:val="left"/>
      <w:lvlText w:val="(%2)"/>
      <w:numFmt w:val="lowerRoman"/>
      <w:start w:val="2"/>
    </w:lvl>
  </w:abstractNum>
  <w:abstractNum w:abstractNumId="22">
    <w:nsid w:val="7A6D8D3C"/>
    <w:multiLevelType w:val="hybridMultilevel"/>
    <w:lvl w:ilvl="0">
      <w:lvlJc w:val="left"/>
      <w:lvlText w:val="(%1)"/>
      <w:numFmt w:val="lowerLetter"/>
      <w:start w:val="3"/>
    </w:lvl>
    <w:lvl w:ilvl="1">
      <w:lvlJc w:val="left"/>
      <w:lvlText w:val="%2"/>
      <w:numFmt w:val="lowerRoman"/>
      <w:start w:val="1"/>
    </w:lvl>
  </w:abstractNum>
  <w:abstractNum w:abstractNumId="23">
    <w:nsid w:val="4B588F54"/>
    <w:multiLevelType w:val="hybridMultilevel"/>
    <w:lvl w:ilvl="0">
      <w:lvlJc w:val="left"/>
      <w:lvlText w:val="(%1)"/>
      <w:numFmt w:val="lowerLetter"/>
      <w:start w:val="4"/>
    </w:lvl>
    <w:lvl w:ilvl="1">
      <w:lvlJc w:val="left"/>
      <w:lvlText w:val="(%2)"/>
      <w:numFmt w:val="lowerRoman"/>
      <w:start w:val="1"/>
    </w:lvl>
  </w:abstractNum>
  <w:abstractNum w:abstractNumId="24">
    <w:nsid w:val="542289EC"/>
    <w:multiLevelType w:val="hybridMultilevel"/>
    <w:lvl w:ilvl="0">
      <w:lvlJc w:val="left"/>
      <w:lvlText w:val="%1"/>
      <w:numFmt w:val="decimal"/>
      <w:start w:val="1"/>
    </w:lvl>
    <w:lvl w:ilvl="1">
      <w:lvlJc w:val="left"/>
      <w:lvlText w:val="(%2)"/>
      <w:numFmt w:val="lowerLetter"/>
      <w:start w:val="5"/>
    </w:lvl>
  </w:abstractNum>
  <w:abstractNum w:abstractNumId="25">
    <w:nsid w:val="6DE91B18"/>
    <w:multiLevelType w:val="hybridMultilevel"/>
    <w:lvl w:ilvl="0">
      <w:lvlJc w:val="left"/>
      <w:lvlText w:val="%1."/>
      <w:numFmt w:val="decimal"/>
      <w:start w:val="4"/>
    </w:lvl>
    <w:lvl w:ilvl="1">
      <w:lvlJc w:val="left"/>
      <w:lvlText w:val="(%2)"/>
      <w:numFmt w:val="lowerLetter"/>
      <w:start w:val="1"/>
    </w:lvl>
  </w:abstractNum>
  <w:abstractNum w:abstractNumId="26">
    <w:nsid w:val="38437FDB"/>
    <w:multiLevelType w:val="hybridMultilevel"/>
    <w:lvl w:ilvl="0">
      <w:lvlJc w:val="left"/>
      <w:lvlText w:val="%1"/>
      <w:numFmt w:val="decimal"/>
      <w:start w:val="1"/>
    </w:lvl>
    <w:lvl w:ilvl="1">
      <w:lvlJc w:val="left"/>
      <w:lvlText w:val="(%2)"/>
      <w:numFmt w:val="lowerLetter"/>
      <w:start w:val="5"/>
    </w:lvl>
  </w:abstractNum>
  <w:abstractNum w:abstractNumId="27">
    <w:nsid w:val="7644A45C"/>
    <w:multiLevelType w:val="hybridMultilevel"/>
    <w:lvl w:ilvl="0">
      <w:lvlJc w:val="left"/>
      <w:lvlText w:val="%1."/>
      <w:numFmt w:val="decimal"/>
      <w:start w:val="5"/>
    </w:lvl>
    <w:lvl w:ilvl="1">
      <w:lvlJc w:val="left"/>
      <w:lvlText w:val="(%2)"/>
      <w:numFmt w:val="lowerLetter"/>
      <w:start w:val="1"/>
    </w:lvl>
  </w:abstractNum>
  <w:abstractNum w:abstractNumId="28">
    <w:nsid w:val="32FFF902"/>
    <w:multiLevelType w:val="hybridMultilevel"/>
    <w:lvl w:ilvl="0">
      <w:lvlJc w:val="left"/>
      <w:lvlText w:val="(%1)"/>
      <w:numFmt w:val="lowerRoman"/>
      <w:start w:val="1"/>
    </w:lvl>
  </w:abstractNum>
  <w:abstractNum w:abstractNumId="29">
    <w:nsid w:val="684A481A"/>
    <w:multiLevelType w:val="hybridMultilevel"/>
    <w:lvl w:ilvl="0">
      <w:lvlJc w:val="left"/>
      <w:lvlText w:val="%1"/>
      <w:numFmt w:val="lowerLetter"/>
      <w:start w:val="1"/>
    </w:lvl>
    <w:lvl w:ilvl="1">
      <w:lvlJc w:val="left"/>
      <w:lvlText w:val="(%2)"/>
      <w:numFmt w:val="lowerRoman"/>
      <w:start w:val="2"/>
    </w:lvl>
  </w:abstractNum>
  <w:abstractNum w:abstractNumId="30">
    <w:nsid w:val="579478FE"/>
    <w:multiLevelType w:val="hybridMultilevel"/>
    <w:lvl w:ilvl="0">
      <w:lvlJc w:val="left"/>
      <w:lvlText w:val="(%1)"/>
      <w:numFmt w:val="lowerLetter"/>
      <w:start w:val="3"/>
    </w:lvl>
    <w:lvl w:ilvl="1">
      <w:lvlJc w:val="left"/>
      <w:lvlText w:val="(%2)"/>
      <w:numFmt w:val="lowerRoman"/>
      <w:start w:val="1"/>
    </w:lvl>
  </w:abstractNum>
  <w:abstractNum w:abstractNumId="31">
    <w:nsid w:val="749ABB43"/>
    <w:multiLevelType w:val="hybridMultilevel"/>
    <w:lvl w:ilvl="0">
      <w:lvlJc w:val="left"/>
      <w:lvlText w:val="%1."/>
      <w:numFmt w:val="decimal"/>
      <w:start w:val="6"/>
    </w:lvl>
    <w:lvl w:ilvl="1">
      <w:lvlJc w:val="left"/>
      <w:lvlText w:val="(%2)"/>
      <w:numFmt w:val="lowerLetter"/>
      <w:start w:val="1"/>
    </w:lvl>
  </w:abstractNum>
  <w:abstractNum w:abstractNumId="32">
    <w:nsid w:val="3DC240FB"/>
    <w:multiLevelType w:val="hybridMultilevel"/>
    <w:lvl w:ilvl="0">
      <w:lvlJc w:val="left"/>
      <w:lvlText w:val="%1"/>
      <w:numFmt w:val="decimal"/>
      <w:start w:val="1"/>
    </w:lvl>
    <w:lvl w:ilvl="1">
      <w:lvlJc w:val="left"/>
      <w:lvlText w:val="(%2)"/>
      <w:numFmt w:val="lowerLetter"/>
      <w:start w:val="7"/>
    </w:lvl>
  </w:abstractNum>
  <w:abstractNum w:abstractNumId="33">
    <w:nsid w:val="1BA026FA"/>
    <w:multiLevelType w:val="hybridMultilevel"/>
    <w:lvl w:ilvl="0">
      <w:lvlJc w:val="left"/>
      <w:lvlText w:val="%1."/>
      <w:numFmt w:val="decimal"/>
      <w:start w:val="7"/>
    </w:lvl>
    <w:lvl w:ilvl="1">
      <w:lvlJc w:val="left"/>
      <w:lvlText w:val="(%2)"/>
      <w:numFmt w:val="lowerLetter"/>
      <w:start w:val="1"/>
    </w:lvl>
  </w:abstractNum>
  <w:abstractNum w:abstractNumId="34">
    <w:nsid w:val="79A1DEAA"/>
    <w:multiLevelType w:val="hybridMultilevel"/>
    <w:lvl w:ilvl="0">
      <w:lvlJc w:val="left"/>
      <w:lvlText w:val="%1"/>
      <w:numFmt w:val="decimal"/>
      <w:start w:val="1"/>
    </w:lvl>
    <w:lvl w:ilvl="1">
      <w:lvlJc w:val="left"/>
      <w:lvlText w:val="(%2)"/>
      <w:numFmt w:val="lowerLetter"/>
      <w:start w:val="6"/>
    </w:lvl>
  </w:abstractNum>
  <w:abstractNum w:abstractNumId="35">
    <w:nsid w:val="75C6C33A"/>
    <w:multiLevelType w:val="hybridMultilevel"/>
    <w:lvl w:ilvl="0">
      <w:lvlJc w:val="left"/>
      <w:lvlText w:val="%1."/>
      <w:numFmt w:val="decimal"/>
      <w:start w:val="8"/>
    </w:lvl>
    <w:lvl w:ilvl="1">
      <w:lvlJc w:val="left"/>
      <w:lvlText w:val="(%2)"/>
      <w:numFmt w:val="lowerLetter"/>
      <w:start w:val="1"/>
    </w:lvl>
  </w:abstractNum>
  <w:abstractNum w:abstractNumId="36">
    <w:nsid w:val="12E685FB"/>
    <w:multiLevelType w:val="hybridMultilevel"/>
    <w:lvl w:ilvl="0">
      <w:lvlJc w:val="left"/>
      <w:lvlText w:val="%1"/>
      <w:numFmt w:val="decimal"/>
      <w:start w:val="1"/>
    </w:lvl>
    <w:lvl w:ilvl="1">
      <w:lvlJc w:val="left"/>
      <w:lvlText w:val="(%2)"/>
      <w:numFmt w:val="lowerLetter"/>
      <w:start w:val="3"/>
    </w:lvl>
  </w:abstractNum>
  <w:abstractNum w:abstractNumId="37">
    <w:nsid w:val="70C6A529"/>
    <w:multiLevelType w:val="hybridMultilevel"/>
    <w:lvl w:ilvl="0">
      <w:lvlJc w:val="left"/>
      <w:lvlText w:val="%1."/>
      <w:numFmt w:val="decimal"/>
      <w:start w:val="9"/>
    </w:lvl>
    <w:lvl w:ilvl="1">
      <w:lvlJc w:val="left"/>
      <w:lvlText w:val="(%2)"/>
      <w:numFmt w:val="lowerLetter"/>
      <w:start w:val="1"/>
    </w:lvl>
  </w:abstractNum>
  <w:abstractNum w:abstractNumId="38">
    <w:nsid w:val="520EEDD1"/>
    <w:multiLevelType w:val="hybridMultilevel"/>
    <w:lvl w:ilvl="0">
      <w:lvlJc w:val="left"/>
      <w:lvlText w:val="%1"/>
      <w:numFmt w:val="decimal"/>
      <w:start w:val="1"/>
    </w:lvl>
    <w:lvl w:ilvl="1">
      <w:lvlJc w:val="left"/>
      <w:lvlText w:val="(%2)"/>
      <w:numFmt w:val="lowerLetter"/>
      <w:start w:val="2"/>
    </w:lvl>
  </w:abstractNum>
  <w:abstractNum w:abstractNumId="39">
    <w:nsid w:val="374A3FE6"/>
    <w:multiLevelType w:val="hybridMultilevel"/>
    <w:lvl w:ilvl="0">
      <w:lvlJc w:val="left"/>
      <w:lvlText w:val="%1."/>
      <w:numFmt w:val="decimal"/>
      <w:start w:val="10"/>
    </w:lvl>
    <w:lvl w:ilvl="1">
      <w:lvlJc w:val="left"/>
      <w:lvlText w:val="(%2)"/>
      <w:numFmt w:val="lowerLetter"/>
      <w:start w:val="1"/>
    </w:lvl>
  </w:abstractNum>
  <w:abstractNum w:abstractNumId="40">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1">
    <w:nsid w:val="23F9C13C"/>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42">
    <w:nsid w:val="649BB77C"/>
    <w:multiLevelType w:val="hybridMultilevel"/>
    <w:lvl w:ilvl="0">
      <w:lvlJc w:val="left"/>
      <w:lvlText w:val="%1."/>
      <w:numFmt w:val="decimal"/>
      <w:start w:val="12"/>
    </w:lvl>
    <w:lvl w:ilvl="1">
      <w:lvlJc w:val="left"/>
      <w:lvlText w:val="(%2)"/>
      <w:numFmt w:val="lowerLetter"/>
      <w:start w:val="1"/>
    </w:lvl>
  </w:abstractNum>
  <w:abstractNum w:abstractNumId="43">
    <w:nsid w:val="275AC794"/>
    <w:multiLevelType w:val="hybridMultilevel"/>
    <w:lvl w:ilvl="0">
      <w:lvlJc w:val="left"/>
      <w:lvlText w:val="%1"/>
      <w:numFmt w:val="decimal"/>
      <w:start w:val="1"/>
    </w:lvl>
    <w:lvl w:ilvl="1">
      <w:lvlJc w:val="left"/>
      <w:lvlText w:val="(%2)"/>
      <w:numFmt w:val="lowerLetter"/>
      <w:start w:val="4"/>
    </w:lvl>
  </w:abstractNum>
  <w:abstractNum w:abstractNumId="44">
    <w:nsid w:val="39386575"/>
    <w:multiLevelType w:val="hybridMultilevel"/>
    <w:lvl w:ilvl="0">
      <w:lvlJc w:val="left"/>
      <w:lvlText w:val="%1."/>
      <w:numFmt w:val="decimal"/>
      <w:start w:val="13"/>
    </w:lvl>
    <w:lvl w:ilvl="1">
      <w:lvlJc w:val="left"/>
      <w:lvlText w:val="%2"/>
      <w:numFmt w:val="lowerLetter"/>
      <w:start w:val="1"/>
    </w:lvl>
  </w:abstractNum>
  <w:abstractNum w:abstractNumId="45">
    <w:nsid w:val="1CF10FD8"/>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46">
    <w:nsid w:val="180115BE"/>
    <w:multiLevelType w:val="hybridMultilevel"/>
    <w:lvl w:ilvl="0">
      <w:lvlJc w:val="left"/>
      <w:lvlText w:val="(%1)"/>
      <w:numFmt w:val="lowerLetter"/>
      <w:start w:val="9"/>
    </w:lvl>
    <w:lvl w:ilvl="1">
      <w:lvlJc w:val="left"/>
      <w:lvlText w:val="%2."/>
      <w:numFmt w:val="decimal"/>
      <w:start w:val="16"/>
    </w:lvl>
    <w:lvl w:ilvl="2">
      <w:lvlJc w:val="left"/>
      <w:lvlText w:val="%3"/>
      <w:numFmt w:val="lowerLetter"/>
      <w:start w:val="1"/>
    </w:lvl>
  </w:abstractNum>
  <w:abstractNum w:abstractNumId="47">
    <w:nsid w:val="235BA861"/>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48">
    <w:nsid w:val="47398C8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49">
    <w:nsid w:val="354FE9F9"/>
    <w:multiLevelType w:val="hybridMultilevel"/>
    <w:lvl w:ilvl="0">
      <w:lvlJc w:val="left"/>
      <w:lvlText w:val="%1"/>
      <w:numFmt w:val="decimal"/>
      <w:start w:val="1"/>
    </w:lvl>
    <w:lvl w:ilvl="1">
      <w:lvlJc w:val="left"/>
      <w:lvlText w:val="(%2)"/>
      <w:numFmt w:val="lowerLetter"/>
      <w:start w:val="5"/>
    </w:lvl>
  </w:abstractNum>
  <w:abstractNum w:abstractNumId="50">
    <w:nsid w:val="15B5AF5C"/>
    <w:multiLevelType w:val="hybridMultilevel"/>
    <w:lvl w:ilvl="0">
      <w:lvlJc w:val="left"/>
      <w:lvlText w:val="%1."/>
      <w:numFmt w:val="decimal"/>
      <w:start w:val="18"/>
    </w:lvl>
    <w:lvl w:ilvl="1">
      <w:lvlJc w:val="left"/>
      <w:lvlText w:val="(%2)"/>
      <w:numFmt w:val="lowerLetter"/>
      <w:start w:val="1"/>
    </w:lvl>
  </w:abstractNum>
  <w:abstractNum w:abstractNumId="51">
    <w:nsid w:val="741226BB"/>
    <w:multiLevelType w:val="hybridMultilevel"/>
    <w:lvl w:ilvl="0">
      <w:lvlJc w:val="left"/>
      <w:lvlText w:val="%1"/>
      <w:numFmt w:val="decimal"/>
      <w:start w:val="1"/>
    </w:lvl>
    <w:lvl w:ilvl="1">
      <w:lvlJc w:val="left"/>
      <w:lvlText w:val="(%2)"/>
      <w:numFmt w:val="lowerLetter"/>
      <w:start w:val="4"/>
    </w:lvl>
  </w:abstractNum>
  <w:abstractNum w:abstractNumId="52">
    <w:nsid w:val="D34B6A8"/>
    <w:multiLevelType w:val="hybridMultilevel"/>
    <w:lvl w:ilvl="0">
      <w:lvlJc w:val="left"/>
      <w:lvlText w:val="%1."/>
      <w:numFmt w:val="decimal"/>
      <w:start w:val="19"/>
    </w:lvl>
    <w:lvl w:ilvl="1">
      <w:lvlJc w:val="left"/>
      <w:lvlText w:val="(%2)"/>
      <w:numFmt w:val="lowerLetter"/>
      <w:start w:val="1"/>
    </w:lvl>
  </w:abstractNum>
  <w:abstractNum w:abstractNumId="53">
    <w:nsid w:val="10233C99"/>
    <w:multiLevelType w:val="hybridMultilevel"/>
    <w:lvl w:ilvl="0">
      <w:lvlJc w:val="left"/>
      <w:lvlText w:val="(%1)"/>
      <w:numFmt w:val="lowerLetter"/>
      <w:start w:val="3"/>
    </w:lvl>
  </w:abstractNum>
  <w:abstractNum w:abstractNumId="54">
    <w:nsid w:val="3F6AB60F"/>
    <w:multiLevelType w:val="hybridMultilevel"/>
    <w:lvl w:ilvl="0">
      <w:lvlJc w:val="left"/>
      <w:lvlText w:val="%1."/>
      <w:numFmt w:val="decimal"/>
      <w:start w:val="22"/>
    </w:lvl>
    <w:lvl w:ilvl="1">
      <w:lvlJc w:val="left"/>
      <w:lvlText w:val="(%2)"/>
      <w:numFmt w:val="lowerLetter"/>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5"/>
    </w:lvl>
  </w:abstractNum>
  <w:abstractNum w:abstractNumId="57">
    <w:nsid w:val="77AE35EB"/>
    <w:multiLevelType w:val="hybridMultilevel"/>
    <w:lvl w:ilvl="0">
      <w:lvlJc w:val="left"/>
      <w:lvlText w:val="%1."/>
      <w:numFmt w:val="decimal"/>
      <w:start w:val="2"/>
    </w:lvl>
    <w:lvl w:ilvl="1">
      <w:lvlJc w:val="left"/>
      <w:lvlText w:val="(%2)"/>
      <w:numFmt w:val="lowerLetter"/>
      <w:start w:val="1"/>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decimal"/>
      <w:start w:val="4"/>
    </w:lvl>
  </w:abstractNum>
  <w:abstractNum w:abstractNumId="60">
    <w:nsid w:val="5FF87E05"/>
    <w:multiLevelType w:val="hybridMultilevel"/>
    <w:lvl w:ilvl="0">
      <w:lvlJc w:val="left"/>
      <w:lvlText w:val="%1."/>
      <w:numFmt w:val="decimal"/>
      <w:start w:val="1"/>
    </w:lvl>
    <w:lvl w:ilvl="1">
      <w:lvlJc w:val="left"/>
      <w:lvlText w:val="(%2)"/>
      <w:numFmt w:val="lowerLetter"/>
      <w:start w:val="1"/>
    </w:lvl>
  </w:abstractNum>
  <w:abstractNum w:abstractNumId="61">
    <w:nsid w:val="2F305DEF"/>
    <w:multiLevelType w:val="hybridMultilevel"/>
    <w:lvl w:ilvl="0">
      <w:lvlJc w:val="left"/>
      <w:lvlText w:val="%1"/>
      <w:numFmt w:val="decimal"/>
      <w:start w:val="1"/>
    </w:lvl>
    <w:lvl w:ilvl="1">
      <w:lvlJc w:val="left"/>
      <w:lvlText w:val="(%2)"/>
      <w:numFmt w:val="lowerLetter"/>
      <w:start w:val="3"/>
    </w:lvl>
  </w:abstractNum>
  <w:abstractNum w:abstractNumId="62">
    <w:nsid w:val="25A70BF7"/>
    <w:multiLevelType w:val="hybridMultilevel"/>
    <w:lvl w:ilvl="0">
      <w:lvlJc w:val="left"/>
      <w:lvlText w:val="%1."/>
      <w:numFmt w:val="decimal"/>
      <w:start w:val="2"/>
    </w:lvl>
    <w:lvl w:ilvl="1">
      <w:lvlJc w:val="left"/>
      <w:lvlText w:val="%2"/>
      <w:numFmt w:val="lowerLetter"/>
      <w:start w:val="1"/>
    </w:lvl>
  </w:abstractNum>
  <w:abstractNum w:abstractNumId="63">
    <w:nsid w:val="1DBABF00"/>
    <w:multiLevelType w:val="hybridMultilevel"/>
    <w:lvl w:ilvl="0">
      <w:lvlJc w:val="left"/>
      <w:lvlText w:val="%1."/>
      <w:numFmt w:val="decimal"/>
      <w:start w:val="4"/>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2019-12-29T04:58:46Z</dcterms:created>
  <dcterms:modified xsi:type="dcterms:W3CDTF">2019-12-29T04:58:46Z</dcterms:modified>
</cp:coreProperties>
</file>