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19" w:lineRule="exact"/>
        <w:rPr>
          <w:sz w:val="24"/>
          <w:szCs w:val="24"/>
          <w:color w:val="auto"/>
        </w:rPr>
      </w:pPr>
    </w:p>
    <w:p>
      <w:pPr>
        <w:ind w:left="1640" w:hanging="1017"/>
        <w:spacing w:after="0"/>
        <w:tabs>
          <w:tab w:leader="none" w:pos="164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 w:lineRule="exact"/>
        <w:rPr>
          <w:sz w:val="24"/>
          <w:szCs w:val="24"/>
          <w:color w:val="auto"/>
        </w:rPr>
      </w:pPr>
    </w:p>
    <w:p>
      <w:pPr>
        <w:ind w:left="1640" w:hanging="1017"/>
        <w:spacing w:after="0"/>
        <w:tabs>
          <w:tab w:leader="none" w:pos="164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w w:val="91"/>
              </w:rPr>
              <w:t>For the Transition Period from</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920" w:type="dxa"/>
            <w:vAlign w:val="bottom"/>
          </w:tcPr>
          <w:p>
            <w:pPr>
              <w:jc w:val="right"/>
              <w:ind w:right="2770"/>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04"/>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555"/>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04"/>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63"/>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24"/>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59"/>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6"/>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incorporation or organization)</w:t>
            </w:r>
          </w:p>
        </w:tc>
        <w:tc>
          <w:tcPr>
            <w:tcW w:w="4320" w:type="dxa"/>
            <w:vAlign w:val="bottom"/>
            <w:gridSpan w:val="7"/>
          </w:tcPr>
          <w:p>
            <w:pPr>
              <w:jc w:val="center"/>
              <w:ind w:right="269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04"/>
              <w:spacing w:after="0"/>
              <w:rPr>
                <w:sz w:val="20"/>
                <w:szCs w:val="20"/>
                <w:color w:val="auto"/>
              </w:rPr>
            </w:pPr>
            <w:r>
              <w:rPr>
                <w:rFonts w:ascii="Arial" w:cs="Arial" w:eastAsia="Arial" w:hAnsi="Arial"/>
                <w:sz w:val="18"/>
                <w:szCs w:val="18"/>
                <w:b w:val="1"/>
                <w:bCs w:val="1"/>
                <w:color w:val="auto"/>
                <w:w w:val="89"/>
              </w:rPr>
              <w:t>38505 Woodward Avenue, Suite 200</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7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24"/>
              <w:spacing w:after="0"/>
              <w:rPr>
                <w:sz w:val="20"/>
                <w:szCs w:val="20"/>
                <w:color w:val="auto"/>
              </w:rPr>
            </w:pPr>
            <w:r>
              <w:rPr>
                <w:rFonts w:ascii="Arial" w:cs="Arial" w:eastAsia="Arial" w:hAnsi="Arial"/>
                <w:sz w:val="18"/>
                <w:szCs w:val="18"/>
                <w:b w:val="1"/>
                <w:bCs w:val="1"/>
                <w:color w:val="auto"/>
                <w:w w:val="91"/>
              </w:rPr>
              <w:t>Bloomfield Hills, Michigan 48304</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7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0"/>
          </w:tcPr>
          <w:p>
            <w:pPr>
              <w:jc w:val="center"/>
              <w:ind w:right="225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37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3"/>
          </w:tcPr>
          <w:p>
            <w:pPr>
              <w:jc w:val="center"/>
              <w:ind w:left="1884"/>
              <w:spacing w:after="0"/>
              <w:rPr>
                <w:sz w:val="20"/>
                <w:szCs w:val="20"/>
                <w:color w:val="auto"/>
              </w:rPr>
            </w:pPr>
            <w:r>
              <w:rPr>
                <w:rFonts w:ascii="Arial" w:cs="Arial" w:eastAsia="Arial" w:hAnsi="Arial"/>
                <w:sz w:val="18"/>
                <w:szCs w:val="18"/>
                <w:b w:val="1"/>
                <w:bCs w:val="1"/>
                <w:color w:val="auto"/>
                <w:w w:val="90"/>
              </w:rPr>
              <w:t>(248) 631-5450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7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jc w:val="center"/>
              <w:ind w:left="524"/>
              <w:spacing w:after="0"/>
              <w:rPr>
                <w:sz w:val="20"/>
                <w:szCs w:val="20"/>
                <w:color w:val="auto"/>
              </w:rPr>
            </w:pPr>
            <w:r>
              <w:rPr>
                <w:rFonts w:ascii="Arial" w:cs="Arial" w:eastAsia="Arial" w:hAnsi="Arial"/>
                <w:sz w:val="18"/>
                <w:szCs w:val="18"/>
                <w:color w:val="auto"/>
                <w:w w:val="89"/>
              </w:rPr>
              <w:t>(Registrant's telephone number, including area code)</w:t>
            </w: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500"/>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9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88"/>
              </w:rPr>
              <w:t>TRS</w:t>
            </w: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02" w:lineRule="exact"/>
        <w:rPr>
          <w:sz w:val="24"/>
          <w:szCs w:val="24"/>
          <w:color w:val="auto"/>
        </w:rPr>
      </w:pPr>
    </w:p>
    <w:p>
      <w:pPr>
        <w:jc w:val="both"/>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156" w:lineRule="exact"/>
        <w:rPr>
          <w:sz w:val="24"/>
          <w:szCs w:val="24"/>
          <w:color w:val="auto"/>
        </w:rPr>
      </w:pPr>
    </w:p>
    <w:p>
      <w:pPr>
        <w:jc w:val="both"/>
        <w:spacing w:after="0" w:line="26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12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6" w:lineRule="exact"/>
        <w:rPr>
          <w:sz w:val="24"/>
          <w:szCs w:val="24"/>
          <w:color w:val="auto"/>
        </w:rPr>
      </w:pPr>
    </w:p>
    <w:tbl>
      <w:tblPr>
        <w:tblLayout w:type="fixed"/>
        <w:tblInd w:w="1460" w:type="dxa"/>
        <w:tblCellMar>
          <w:top w:w="0" w:type="dxa"/>
          <w:left w:w="0" w:type="dxa"/>
          <w:bottom w:w="0" w:type="dxa"/>
          <w:right w:w="0" w:type="dxa"/>
        </w:tblCellMar>
      </w:tblPr>
      <w:tr>
        <w:trPr>
          <w:trHeight w:val="38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820"/>
              <w:spacing w:after="0" w:line="221" w:lineRule="exact"/>
              <w:rPr>
                <w:sz w:val="20"/>
                <w:szCs w:val="20"/>
                <w:color w:val="auto"/>
              </w:rPr>
            </w:pPr>
            <w:r>
              <w:rPr>
                <w:rFonts w:ascii="MS PGothic" w:cs="MS PGothic" w:eastAsia="MS PGothic" w:hAnsi="MS PGothic"/>
                <w:sz w:val="22"/>
                <w:szCs w:val="22"/>
                <w:color w:val="auto"/>
              </w:rPr>
              <w:t>☒</w:t>
            </w:r>
          </w:p>
        </w:tc>
        <w:tc>
          <w:tcPr>
            <w:tcW w:w="328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820"/>
              <w:spacing w:after="0" w:line="221" w:lineRule="exact"/>
              <w:rPr>
                <w:sz w:val="20"/>
                <w:szCs w:val="20"/>
                <w:color w:val="auto"/>
              </w:rPr>
            </w:pPr>
            <w:r>
              <w:rPr>
                <w:rFonts w:ascii="MS PGothic" w:cs="MS PGothic" w:eastAsia="MS PGothic" w:hAnsi="MS PGothic"/>
                <w:sz w:val="22"/>
                <w:szCs w:val="22"/>
                <w:color w:val="auto"/>
              </w:rPr>
              <w:t>☐</w:t>
            </w:r>
          </w:p>
        </w:tc>
        <w:tc>
          <w:tcPr>
            <w:tcW w:w="328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594"/>
        </w:trPr>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21" w:lineRule="exact"/>
        <w:rPr>
          <w:sz w:val="24"/>
          <w:szCs w:val="24"/>
          <w:color w:val="auto"/>
        </w:rPr>
      </w:pPr>
    </w:p>
    <w:p>
      <w:pPr>
        <w:ind w:right="2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4" w:lineRule="exact"/>
        <w:rPr>
          <w:sz w:val="24"/>
          <w:szCs w:val="24"/>
          <w:color w:val="auto"/>
        </w:rPr>
      </w:pPr>
    </w:p>
    <w:p>
      <w:pPr>
        <w:spacing w:after="0" w:line="230" w:lineRule="exact"/>
        <w:tabs>
          <w:tab w:leader="none" w:pos="88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As of July 23, 2019, the number of outstanding shares of the Registrant's common stock, $0.01 par value, was 45,243,642 shares.</w:t>
      </w:r>
    </w:p>
    <w:p>
      <w:pPr>
        <w:sectPr>
          <w:pgSz w:w="11900" w:h="16838" w:orient="portrait"/>
          <w:cols w:equalWidth="0" w:num="1">
            <w:col w:w="11420"/>
          </w:cols>
          <w:pgMar w:left="240" w:top="233" w:right="239" w:bottom="47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w w:val="95"/>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98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June 30, 2019 and December 31, 2018</w:t>
              </w:r>
            </w:hyperlink>
          </w:p>
        </w:tc>
        <w:tc>
          <w:tcPr>
            <w:tcW w:w="182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Consolidated Statement of Income for the Three and Six Months Ended June 30, 2019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 of Comprehensive Income for the Three and Six Months Ended June</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0000EE"/>
            </w:tcBorders>
            <w:gridSpan w:val="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30, 2019 and 2018</w:t>
              </w:r>
            </w:hyperlink>
          </w:p>
        </w:tc>
        <w:tc>
          <w:tcPr>
            <w:tcW w:w="5380" w:type="dxa"/>
            <w:vAlign w:val="bottom"/>
            <w:tcBorders>
              <w:top w:val="single" w:sz="8" w:color="0000EE"/>
            </w:tcBorders>
            <w:gridSpan w:val="11"/>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Cash Flows for the Six Months Ended June 30, 2019 and 2018</w:t>
              </w:r>
            </w:hyperlink>
          </w:p>
        </w:tc>
        <w:tc>
          <w:tcPr>
            <w:tcW w:w="58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Three and Six Months Ended June 30,</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2019 and 2018</w:t>
              </w:r>
            </w:hyperlink>
          </w:p>
        </w:tc>
        <w:tc>
          <w:tcPr>
            <w:tcW w:w="5980" w:type="dxa"/>
            <w:vAlign w:val="bottom"/>
            <w:gridSpan w:val="1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w:t>
              </w:r>
            </w:hyperlink>
          </w:p>
        </w:tc>
        <w:tc>
          <w:tcPr>
            <w:tcW w:w="3900" w:type="dxa"/>
            <w:vAlign w:val="bottom"/>
            <w:gridSpan w:val="8"/>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280" w:type="dxa"/>
            <w:vAlign w:val="bottom"/>
            <w:gridSpan w:val="3"/>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12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2160" w:type="dxa"/>
            <w:vAlign w:val="bottom"/>
            <w:tcBorders>
              <w:top w:val="single" w:sz="8" w:color="0000EE"/>
            </w:tcBorders>
            <w:gridSpan w:val="3"/>
          </w:tcPr>
          <w:p>
            <w:pPr>
              <w:spacing w:after="0"/>
              <w:rPr>
                <w:sz w:val="24"/>
                <w:szCs w:val="24"/>
                <w:color w:val="auto"/>
              </w:rPr>
            </w:pPr>
          </w:p>
        </w:tc>
        <w:tc>
          <w:tcPr>
            <w:tcW w:w="58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Other Information</w:t>
              </w:r>
            </w:hyperlink>
          </w:p>
        </w:tc>
        <w:tc>
          <w:tcPr>
            <w:tcW w:w="646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27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220" w:type="dxa"/>
            <w:vAlign w:val="bottom"/>
            <w:gridSpan w:val="2"/>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472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220" w:type="dxa"/>
            <w:vAlign w:val="bottom"/>
            <w:gridSpan w:val="2"/>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28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400" w:type="dxa"/>
            <w:vAlign w:val="bottom"/>
            <w:gridSpan w:val="4"/>
          </w:tcPr>
          <w:p>
            <w:pPr>
              <w:spacing w:after="0"/>
              <w:rPr>
                <w:sz w:val="24"/>
                <w:szCs w:val="24"/>
                <w:color w:val="auto"/>
              </w:rPr>
            </w:pPr>
          </w:p>
        </w:tc>
        <w:tc>
          <w:tcPr>
            <w:tcW w:w="70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72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40</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1"/>
          </w:tcPr>
          <w:p>
            <w:pPr>
              <w:jc w:val="center"/>
              <w:ind w:left="209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2018.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2018</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Receivables, net of reserves of approximately $3.7 million and $3.4 million as of June 30, 2019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2018,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150,410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123,110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7,430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225,630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187,800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334,780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316,650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1,171,780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1,100,520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85,570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93,430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48,300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294,120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293,560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18,780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39,220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524,420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480,070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45,243,419 shares at June 30, 2019 and 45,527,993 shares at December 31, 2018</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816,500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(179,660)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647,360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620,450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1,171,780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1,100,520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442,010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(174,020)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(335,490)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(316,850)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56,810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41,110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43,920</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45,592,075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45,920,307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45,585,445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45,850,137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45,828,315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46,200,757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45,910,249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46,215,047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43,920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10)</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44,350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3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41,110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43,920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Adjustments to reconcile net income to net cash provided by operating activities, net of acquisition impact: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9,740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6,340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(20,380)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operating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net of acquisition impact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facilities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93,220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59,060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(decrease) for the period</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25,820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53,400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3,210</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620,450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19,090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accounting standards adoption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 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814,530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640,510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800,900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647,360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97"/>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24,320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822,770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(238,640)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565,780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1,910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June 30,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821,170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585,690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first quarter of 2019, TriMas began reporting its machined components operations, located in Stanton, California and Tolleson, Arizona, in its Specialty Products reportable segment. This change was made in connection with the transition of leadership responsibilities out of Aerospace to Specialty Products, allowing the Company to better leverage the machining competencies and resources of these operations with the other businesses within the Specialty Products reportable segment, as well as provide the Company with the opportunity to expand sales of these products to customers outside of the aerospace market. In addition, this change enables the Company's Aerospace reportable segment to better focus on driving growth and innovation in its aerospace fastener and related product lines. See Note 13, "</w:t>
      </w:r>
      <w:r>
        <w:rPr>
          <w:rFonts w:ascii="Arial" w:cs="Arial" w:eastAsia="Arial" w:hAnsi="Arial"/>
          <w:sz w:val="16"/>
          <w:szCs w:val="16"/>
          <w:i w:val="1"/>
          <w:iCs w:val="1"/>
          <w:color w:val="auto"/>
        </w:rPr>
        <w:t>Segment Information</w:t>
      </w:r>
      <w:r>
        <w:rPr>
          <w:rFonts w:ascii="Arial" w:cs="Arial" w:eastAsia="Arial" w:hAnsi="Arial"/>
          <w:sz w:val="16"/>
          <w:szCs w:val="16"/>
          <w:color w:val="auto"/>
        </w:rPr>
        <w:t>," for further information on each of the Company's reportable segments.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2018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which provides for the option to reclassify stranded tax effects resulting from the Tax Cuts and Jobs Act ("Tax Reform Act") classified within accumulated other comprehensive income (loss) ("AOCI") to retained earnings. The Company adopted ASU 2018-02 on January 1, 2019, and elected to reclassify approximately $1.3 million in stranded tax effects from accumulated other comprehensive loss to accumulated deficit on the accompanying consolidated balance sheet. The Company's accounting policy is to release the income tax effects from AOCI when a defined benefit plan or a derivative instrument is liquidated and/or settled.</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(“ASU 2016-02”) (the “New Lease Standard"), which requires lessees to recognize a lease liability and right-of-use (ROU) asset on its balance sheet for operating leases. Accounting for finance leases is substantially unchanged. The Company adopted the New Lease Standard on January 1, 2019 using a modified retrospective transition, with the cumulative-effect adjustment to the opening balance of accumulated deficit as of the effective date (the effective date method).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adoption, the Company recognized approximately $40 million of right-of-use assets and lease liabilities on its consolidated balance sheet. Additionally, the Company recognized an approximate $0.1 million cumulative effective adjustment debit, net of tax, to accumulated deficit related to unamortized deferred losses for certain sale-leaseback transactions. The standard did not have an impact on the Company's consolidated statement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w w:val="99"/>
              </w:rPr>
              <w:t>Three months ended June 30,</w:t>
            </w:r>
          </w:p>
        </w:tc>
        <w:tc>
          <w:tcPr>
            <w:tcW w:w="440" w:type="dxa"/>
            <w:vAlign w:val="bottom"/>
          </w:tcPr>
          <w:p>
            <w:pPr>
              <w:spacing w:after="0"/>
              <w:rPr>
                <w:sz w:val="18"/>
                <w:szCs w:val="18"/>
                <w:color w:val="auto"/>
              </w:rPr>
            </w:pPr>
          </w:p>
        </w:tc>
        <w:tc>
          <w:tcPr>
            <w:tcW w:w="2700" w:type="dxa"/>
            <w:vAlign w:val="bottom"/>
            <w:gridSpan w:val="3"/>
          </w:tcPr>
          <w:p>
            <w:pPr>
              <w:jc w:val="right"/>
              <w:ind w:right="51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End Markets</w:t>
            </w:r>
          </w:p>
        </w:tc>
        <w:tc>
          <w:tcPr>
            <w:tcW w:w="32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1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71,990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148,790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136,720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Aerospace</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49,510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45,620</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95,090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91,430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55,970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109,110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110,320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Oil and gas</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53,680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51,330</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107,670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103,540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239,370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224,910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460,660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442,010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Packaging reportable segment earns revenues from the consumer (comprised of the health, beauty and home care, as well as food and beverage markets) and industrial end markets. The Aerospace reportable segment earns revenues from the aerospace end market. The Specialty Products reportable segment earns revenues from the industrial, oil and gas and aerospace end markets.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Bangalore, India facility</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the Company exited its Bangalore, India facility within the Specialty Products reportable segment. In connection with this action, the Company recorded pre-tax charges of approximately $0.7 million within selling, general and administrative expenses and approximately $0.6 million within cost of sales related to severance benefits for employees involuntarily terminated, facility closure costs and costs related to the disposal of certain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the Company ceased production at its Reynosa, Mexico facility within the Specialty Products reportable segment, and recorded a charge within cost of sales for estimated future unrecoverable lease obligations. During the second quarter of 2018, following entry into a sublease agreement for the facility, the Company re-evaluated its estimate of unrecoverable future obligations, and reduced its estimate by approximately $1.1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household, and food and beverage packaging end markets, for an aggregate amount of approximately $44.6 million, net of cash acquired. Located in both Italy and Slovakia, Taplast serves end markets in Europe and North America and generates approximately $32 million in annual revenue. Taplast is included in the Company's Packaging reportable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 applications, for an aggregate amount of approximately $22.4 million, net of cash acquired. Located in Forli, Italy, Plastic Srl serves the home care market in Italy and other European countries and generates approximately $12 million in annual revenue. Plastic Srl is included in the Company's Packaging reportable segment.</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these acquisitions, the Company recorded approximately $0.2 million and $1.2 million of non-cash purchase accounting-related expenses during the three and six months ended June 30, 2019, respectively. Of these amounts, approximately $0.9 million was recognized during the six months ended June 30, 2019, within selling, general and administrative expenses, primarily related to the write-off of the Plastic Srl trade name acquired that will not be used. In addition, approximately $0.2 million and $0.3 million was recognized during the three and six months ended June 30, 2019, respectively, within cost of sales related to the step-up in value and subsequent sale of inventory.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2019, in an effort to better align the Company's machining competencies and resources, the Company began reporting its machined products operations within the Specialty Products reportable segment. These operations were previously reported in the Company's Aerospace reportable segment. As a result of the reporting structure change, the Company's previous Aerospace reporting unit was split into two new reporting units, Machined Products and Aerospace. The Company reallocated the goodwill attributed to the previous Aerospace reporting unit on a relative fair value basis between the Machined Products and the new Aerospace reporting units, resulting in an allocation of goodwill of $12.7 million and $133.7 million, respectively.</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reallocation of goodwill, the Company performed a Step I quantitative assessment for both the Machined Products and the new Aerospace reporting units. As part of this assessment, the Company determined that the fair value of the Aerospace reporting unit exceeded its carrying value by more than 34% and the fair value of the Machined Products reporting unit exceeded its carrying value by more than 13%.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2019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Specialty Products</w:t>
            </w: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r>
      <w:tr>
        <w:trPr>
          <w:trHeight w:val="33"/>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316,650</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18,340</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181,790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133,690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334,780</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900"/>
              <w:spacing w:after="0"/>
              <w:rPr>
                <w:sz w:val="20"/>
                <w:szCs w:val="20"/>
                <w:color w:val="auto"/>
              </w:rPr>
            </w:pPr>
            <w:r>
              <w:rPr>
                <w:rFonts w:ascii="Arial" w:cs="Arial" w:eastAsia="Arial" w:hAnsi="Arial"/>
                <w:sz w:val="16"/>
                <w:szCs w:val="16"/>
                <w:b w:val="1"/>
                <w:bCs w:val="1"/>
                <w:color w:val="auto"/>
              </w:rPr>
              <w:t>As of June 30, 2019</w:t>
            </w:r>
          </w:p>
        </w:tc>
        <w:tc>
          <w:tcPr>
            <w:tcW w:w="200" w:type="dxa"/>
            <w:vAlign w:val="bottom"/>
          </w:tcPr>
          <w:p>
            <w:pPr>
              <w:spacing w:after="0"/>
              <w:rPr>
                <w:sz w:val="18"/>
                <w:szCs w:val="18"/>
                <w:color w:val="auto"/>
              </w:rPr>
            </w:pPr>
          </w:p>
        </w:tc>
        <w:tc>
          <w:tcPr>
            <w:tcW w:w="330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(52,550)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73,450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(48,410)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(58,790)</w:t>
            </w:r>
          </w:p>
        </w:tc>
      </w:tr>
      <w:tr>
        <w:trPr>
          <w:trHeight w:val="237"/>
        </w:trPr>
        <w:tc>
          <w:tcPr>
            <w:tcW w:w="422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213,430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205,680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(107,200)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r>
      <w:tr>
        <w:trPr>
          <w:trHeight w:val="243"/>
        </w:trPr>
        <w:tc>
          <w:tcPr>
            <w:tcW w:w="422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(35,600)</w:t>
            </w:r>
          </w:p>
        </w:tc>
      </w:tr>
      <w:tr>
        <w:trPr>
          <w:trHeight w:val="27"/>
        </w:trPr>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(67,200)</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361,320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348,930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(174,400)</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33"/>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Customer relationships,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3,830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3,620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7,290</w:t>
            </w:r>
          </w:p>
        </w:tc>
      </w:tr>
      <w:tr>
        <w:trPr>
          <w:trHeight w:val="27"/>
        </w:trPr>
        <w:tc>
          <w:tcPr>
            <w:tcW w:w="5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5,040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4,830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9,740</w:t>
            </w: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17"/>
                <w:szCs w:val="17"/>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52,260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180,500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173,120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8. Property and Equipment, Net</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June 30,</w:t>
            </w:r>
          </w:p>
        </w:tc>
        <w:tc>
          <w:tcPr>
            <w:tcW w:w="220" w:type="dxa"/>
            <w:vAlign w:val="bottom"/>
          </w:tcPr>
          <w:p>
            <w:pPr>
              <w:spacing w:after="0"/>
              <w:rPr>
                <w:sz w:val="24"/>
                <w:szCs w:val="24"/>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88,350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344,950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318,860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452,510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408,550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220,750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225,630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187,800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6,470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0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1,030</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6,840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6,540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12,870</w:t>
            </w: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r>
      <w:tr>
        <w:trPr>
          <w:trHeight w:val="237"/>
        </w:trPr>
        <w:tc>
          <w:tcPr>
            <w:tcW w:w="8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294,180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293,560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294,120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293,560</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existing and future senior indebtedness and subordinated to all existing and future secured indebtedness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value of the assets securing such indebtedness.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June 30, 2019, the Company had no amounts outstanding under its revolving credit facility and had approximately $285.2 million potentially available after giving effect to approximately $14.8 million of letters of credit issued and outstanding. At December 31, 2018, the Company had no amounts outstanding under its revolving credit facility and had approximately $284.9 million potentially available after giving effect to approximately $15.1 million of letters of credit issued and outstanding. After consideration of leverage restrictions contained in the Credit Agreement, the Company had approximately $285.2 million and $284.9 million of borrowing capacity available for general corporate purposes at June 30, 2019 and December 31, 2018, respectively.</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2019, the Company was in compliance with its financial covenants contained in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2019</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4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282,750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2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2018, immediately prior to entering into these cross-currency swap agreements, the Company terminated its existing cross-currency swap agreements, de-designating the swaps as net investment hedges and receiving approximately $1.1 million of cash. The cross-currency swap agreements were entered into in October 2017 and hedged the Company's net investment in Euro-denominated assets against future volatility in the exchange rate between the U.S. dollar and the Euro. The agreements had a five year tenor at notional amounts declining from $150.0 million to $75.0 million over the contract period. Under the terms of the swap agreements, the Company was to receive net interest payments at a fixed rate of approximately 2.1% of the notional amount.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2019 and December 31, 2018,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80" w:type="dxa"/>
            <w:vAlign w:val="bottom"/>
            <w:gridSpan w:val="2"/>
          </w:tcPr>
          <w:p>
            <w:pPr>
              <w:ind w:left="58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18"/>
                <w:szCs w:val="18"/>
                <w:color w:val="auto"/>
              </w:rPr>
            </w:pPr>
          </w:p>
        </w:tc>
        <w:tc>
          <w:tcPr>
            <w:tcW w:w="1120" w:type="dxa"/>
            <w:vAlign w:val="bottom"/>
          </w:tcPr>
          <w:p>
            <w:pPr>
              <w:jc w:val="right"/>
              <w:ind w:right="43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income recognized in AOCI on derivative contracts designated as hedging instruments as of June 30, 2019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the amounts reclassified from AOCI into earnings for the three and six months ended June 30, 2019 and 2018 (dollars in thousands):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Amount of Income Recognized</w:t>
      </w:r>
    </w:p>
    <w:p>
      <w:pPr>
        <w:spacing w:after="0" w:line="4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in AOCI on Derivative</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(Effective Portion,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40005</wp:posOffset>
            </wp:positionV>
            <wp:extent cx="1835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Amount of Income (Loss) Reclassified</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33020</wp:posOffset>
            </wp:positionV>
            <wp:extent cx="2735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8"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Six months ended</w:t>
      </w:r>
    </w:p>
    <w:p>
      <w:pPr>
        <w:spacing w:after="0" w:line="26"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33020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6720" w:space="720"/>
            <w:col w:w="3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Location of Income (Loss)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4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Reclassified from AOCI into</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97"/>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2018</w:t>
            </w:r>
          </w:p>
        </w:tc>
        <w:tc>
          <w:tcPr>
            <w:tcW w:w="24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Earnings (Effective Portion)</w:t>
            </w:r>
          </w:p>
        </w:tc>
        <w:tc>
          <w:tcPr>
            <w:tcW w:w="700" w:type="dxa"/>
            <w:vAlign w:val="bottom"/>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2018</w:t>
            </w:r>
          </w:p>
        </w:tc>
      </w:tr>
      <w:tr>
        <w:trPr>
          <w:trHeight w:val="33"/>
        </w:trPr>
        <w:tc>
          <w:tcPr>
            <w:tcW w:w="1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120" w:type="dxa"/>
            <w:vAlign w:val="bottom"/>
            <w:gridSpan w:val="2"/>
          </w:tcPr>
          <w:p>
            <w:pPr>
              <w:ind w:left="180"/>
              <w:spacing w:after="0"/>
              <w:rPr>
                <w:sz w:val="20"/>
                <w:szCs w:val="20"/>
                <w:color w:val="auto"/>
              </w:rPr>
            </w:pPr>
            <w:r>
              <w:rPr>
                <w:rFonts w:ascii="Arial" w:cs="Arial" w:eastAsia="Arial" w:hAnsi="Arial"/>
                <w:sz w:val="18"/>
                <w:szCs w:val="18"/>
                <w:color w:val="auto"/>
                <w:w w:val="96"/>
              </w:rPr>
              <w:t>Cross-currency swaps  $</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480" w:type="dxa"/>
            <w:vAlign w:val="bottom"/>
            <w:gridSpan w:val="3"/>
          </w:tcPr>
          <w:p>
            <w:pPr>
              <w:ind w:left="40"/>
              <w:spacing w:after="0"/>
              <w:rPr>
                <w:sz w:val="20"/>
                <w:szCs w:val="20"/>
                <w:color w:val="auto"/>
              </w:rPr>
            </w:pPr>
            <w:r>
              <w:rPr>
                <w:rFonts w:ascii="Arial" w:cs="Arial" w:eastAsia="Arial" w:hAnsi="Arial"/>
                <w:sz w:val="18"/>
                <w:szCs w:val="18"/>
                <w:color w:val="auto"/>
                <w:w w:val="95"/>
              </w:rPr>
              <w:t>Other income (expense), net   $</w:t>
            </w:r>
          </w:p>
        </w:tc>
        <w:tc>
          <w:tcPr>
            <w:tcW w:w="104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2019, the Company was party to foreign currency exchange forward contracts to economically hedge changes in foreign currency rates with notional amounts of approximately $96.2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and the Chinese yuan, and have various settlement dates through March 2020. These contracts are not designated as hedge instruments; therefore, gains and losses on these contracts are recognized each period directly into the consolidated statement of income.</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80" w:type="dxa"/>
            <w:vAlign w:val="bottom"/>
            <w:gridSpan w:val="7"/>
          </w:tcPr>
          <w:p>
            <w:pPr>
              <w:jc w:val="center"/>
              <w:ind w:right="20"/>
              <w:spacing w:after="0"/>
              <w:rPr>
                <w:sz w:val="20"/>
                <w:szCs w:val="20"/>
                <w:color w:val="auto"/>
              </w:rPr>
            </w:pPr>
            <w:r>
              <w:rPr>
                <w:rFonts w:ascii="Arial" w:cs="Arial" w:eastAsia="Arial" w:hAnsi="Arial"/>
                <w:sz w:val="16"/>
                <w:szCs w:val="16"/>
                <w:b w:val="1"/>
                <w:bCs w:val="1"/>
                <w:color w:val="auto"/>
                <w:w w:val="91"/>
              </w:rPr>
              <w:t>Amount of Income Recognized in</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2"/>
              </w:rPr>
              <w:t>Earnings on Derivatives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left="417"/>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98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Location of Income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2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Recognized in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Earnings on Derivatives</w:t>
            </w:r>
          </w:p>
        </w:tc>
        <w:tc>
          <w:tcPr>
            <w:tcW w:w="220" w:type="dxa"/>
            <w:vAlign w:val="bottom"/>
          </w:tcPr>
          <w:p>
            <w:pPr>
              <w:spacing w:after="0"/>
              <w:rPr>
                <w:sz w:val="18"/>
                <w:szCs w:val="18"/>
                <w:color w:val="auto"/>
              </w:rPr>
            </w:pPr>
          </w:p>
        </w:tc>
        <w:tc>
          <w:tcPr>
            <w:tcW w:w="800" w:type="dxa"/>
            <w:vAlign w:val="bottom"/>
          </w:tcPr>
          <w:p>
            <w:pPr>
              <w:jc w:val="right"/>
              <w:ind w:right="277"/>
              <w:spacing w:after="0"/>
              <w:rPr>
                <w:sz w:val="20"/>
                <w:szCs w:val="20"/>
                <w:color w:val="auto"/>
              </w:rPr>
            </w:pPr>
            <w:r>
              <w:rPr>
                <w:rFonts w:ascii="Arial" w:cs="Arial" w:eastAsia="Arial" w:hAnsi="Arial"/>
                <w:sz w:val="16"/>
                <w:szCs w:val="16"/>
                <w:b w:val="1"/>
                <w:bCs w:val="1"/>
                <w:color w:val="auto"/>
              </w:rPr>
              <w:t>2019</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4"/>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220</w:t>
            </w:r>
          </w:p>
        </w:tc>
        <w:tc>
          <w:tcPr>
            <w:tcW w:w="8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2019 and December 31, 2018 are shown below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2019</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7"/>
                <w:szCs w:val="17"/>
                <w:color w:val="auto"/>
              </w:rPr>
            </w:pPr>
          </w:p>
        </w:tc>
        <w:tc>
          <w:tcPr>
            <w:tcW w:w="204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7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Short-term, variable and other lease costs</w:t>
            </w:r>
          </w:p>
        </w:tc>
        <w:tc>
          <w:tcPr>
            <w:tcW w:w="50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7"/>
              </w:rPr>
              <w:t>Operating Leases</w:t>
            </w:r>
            <w:r>
              <w:rPr>
                <w:rFonts w:ascii="Arial" w:cs="Arial" w:eastAsia="Arial" w:hAnsi="Arial"/>
                <w:sz w:val="25"/>
                <w:szCs w:val="25"/>
                <w:color w:val="auto"/>
                <w:w w:val="87"/>
                <w:vertAlign w:val="superscript"/>
              </w:rPr>
              <w:t>(a)</w:t>
            </w: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46,080</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line="273"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June 30, 2019 is approximately 6.1 years. The weighted-average discount rate as of June 30, 2019 is approximately 5.0%.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during the six months ended June 30, 2019 was approximately $5.1 million, and is included in cash flows provided by operating activities in the consolidated statement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lease liabilities during the six months ended June 30, 2019 was approximately $1.9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2019, the Company was a party to 366 pending cases involving an aggregate of 4,806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Claims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3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June 30,</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1,184,000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4,820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2,260,000</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4,806 claims pending at June 30, 2019, 61 set forth specific amounts of damages (other than those stating the statutory minimum or maximum). At June 30, 2019, of the 61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$9.2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will be solely responsible for defense costs and indemnity payments prior to the commencement of coverage under this agreement, the duration of which would be subject to the scope of damage awards and settlements paid.</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2002, the Company was wholly-owned by Metaldyne Corporation ("Metaldyne"). In connection with the reorganization between TriMas and Metaldyne in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reports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develops and manufactures specialty dispensing and closure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health, beauty and home care, food and beverage, and industrial markets.</w:t>
      </w:r>
    </w:p>
    <w:p>
      <w:pPr>
        <w:spacing w:after="0" w:line="253" w:lineRule="exact"/>
        <w:rPr>
          <w:sz w:val="20"/>
          <w:szCs w:val="20"/>
          <w:color w:val="auto"/>
        </w:rPr>
      </w:pPr>
    </w:p>
    <w:p>
      <w:pPr>
        <w:jc w:val="both"/>
        <w:spacing w:after="0" w:line="188"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The Aerospace segment, which includes the Monogram Aerospace Fasteners</w:t>
      </w:r>
      <w:r>
        <w:rPr>
          <w:rFonts w:ascii="Arial" w:cs="Arial" w:eastAsia="Arial" w:hAnsi="Arial"/>
          <w:sz w:val="25"/>
          <w:szCs w:val="25"/>
          <w:color w:val="auto"/>
          <w:vertAlign w:val="superscript"/>
        </w:rPr>
        <w:t>™</w:t>
      </w:r>
      <w:r>
        <w:rPr>
          <w:rFonts w:ascii="Arial" w:cs="Arial" w:eastAsia="Arial" w:hAnsi="Arial"/>
          <w:sz w:val="18"/>
          <w:szCs w:val="18"/>
          <w:color w:val="auto"/>
        </w:rPr>
        <w:t>, Allfast Fastening Systems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Mac Fasteners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develops, qualifies and manufactures highly-engineered, precision fasteners to serve the aerospace market.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Specialty Products – </w:t>
      </w:r>
      <w:r>
        <w:rPr>
          <w:rFonts w:ascii="Arial" w:cs="Arial" w:eastAsia="Arial" w:hAnsi="Arial"/>
          <w:sz w:val="17"/>
          <w:szCs w:val="17"/>
          <w:color w:val="auto"/>
        </w:rPr>
        <w:t>The Specialty Products segment, which includes the Norris Cylinder</w:t>
      </w:r>
      <w:r>
        <w:rPr>
          <w:rFonts w:ascii="Arial" w:cs="Arial" w:eastAsia="Arial" w:hAnsi="Arial"/>
          <w:sz w:val="24"/>
          <w:szCs w:val="24"/>
          <w:color w:val="auto"/>
          <w:vertAlign w:val="superscript"/>
        </w:rPr>
        <w:t>™</w:t>
      </w:r>
      <w:r>
        <w:rPr>
          <w:rFonts w:ascii="Arial" w:cs="Arial" w:eastAsia="Arial" w:hAnsi="Arial"/>
          <w:sz w:val="17"/>
          <w:szCs w:val="17"/>
          <w:color w:val="auto"/>
        </w:rPr>
        <w:t>, Lamons</w:t>
      </w:r>
      <w:r>
        <w:rPr>
          <w:rFonts w:ascii="Arial" w:cs="Arial" w:eastAsia="Arial" w:hAnsi="Arial"/>
          <w:sz w:val="24"/>
          <w:szCs w:val="24"/>
          <w:color w:val="auto"/>
          <w:vertAlign w:val="superscript"/>
        </w:rPr>
        <w:t>®</w:t>
      </w:r>
      <w:r>
        <w:rPr>
          <w:rFonts w:ascii="Arial" w:cs="Arial" w:eastAsia="Arial" w:hAnsi="Arial"/>
          <w:sz w:val="17"/>
          <w:szCs w:val="17"/>
          <w:color w:val="auto"/>
        </w:rPr>
        <w:t>, Arrow</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Engine and Martinic Engineering</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brands,</w:t>
      </w:r>
      <w:r>
        <w:rPr>
          <w:rFonts w:ascii="Arial" w:cs="Arial" w:eastAsia="Arial" w:hAnsi="Arial"/>
          <w:sz w:val="17"/>
          <w:szCs w:val="17"/>
          <w:b w:val="1"/>
          <w:bCs w:val="1"/>
          <w:color w:val="auto"/>
        </w:rPr>
        <w:t xml:space="preserve"> </w:t>
      </w:r>
      <w:r>
        <w:rPr>
          <w:rFonts w:ascii="Arial" w:cs="Arial" w:eastAsia="Arial" w:hAnsi="Arial"/>
          <w:sz w:val="17"/>
          <w:szCs w:val="17"/>
          <w:color w:val="auto"/>
        </w:rPr>
        <w:t>designs, manufactures and distributes highly-engineered steel cylinders, sealing and fastener products, wellhead engines and compression systems and machined products for use within the industrial, petrochemical, oil and gas exploration and refining and aerospace markets.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91"/>
              <w:spacing w:after="0"/>
              <w:rPr>
                <w:sz w:val="20"/>
                <w:szCs w:val="20"/>
                <w:color w:val="auto"/>
              </w:rPr>
            </w:pPr>
            <w:r>
              <w:rPr>
                <w:rFonts w:ascii="Arial" w:cs="Arial" w:eastAsia="Arial" w:hAnsi="Arial"/>
                <w:sz w:val="16"/>
                <w:szCs w:val="16"/>
                <w:b w:val="1"/>
                <w:bCs w:val="1"/>
                <w:color w:val="auto"/>
                <w:w w:val="84"/>
              </w:rPr>
              <w:t>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42,240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80,570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76,890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187,260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181,830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239,370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224,910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460,660</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442,010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22,640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22,810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42,390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31,110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340" w:hanging="332"/>
        <w:spacing w:after="0" w:line="213"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4"/>
          <w:szCs w:val="14"/>
          <w:color w:val="auto"/>
        </w:rPr>
        <w:t>During the first quarter of 2018, the Company removed an obligation from its balance sheet, resulting in an approximate $8.2 million non-cash reduction in selling, general and administrative expenses. See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grant any stock option awards during the six months ended June 30, 2019. Information related to stock options at June 30, 2019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June 30, 2019</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1,965,000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2019, 100,000 stock options outstanding were exercisable under the Company's long-term equity incentive plans. As of June 30, 2019, there was approximately $0.1 million of unrecognized compensation cost related to stock options that is expected to be recorded during the third quarter of 2019.</w:t>
      </w:r>
    </w:p>
    <w:p>
      <w:pPr>
        <w:sectPr>
          <w:pgSz w:w="11900" w:h="16838" w:orient="portrait"/>
          <w:cols w:equalWidth="0" w:num="1">
            <w:col w:w="11420"/>
          </w:cols>
          <w:pgMar w:left="240" w:top="125"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$0.1 million of stock-based compensation expense related to stock options during each of the three month periods ended June 30, 2019 and 2018, respectively, and approximately $0.1 million and $0.2 million of stock-based compensation expense during the six months ended June 30, 2019 and 2018, respectively. The stock-based compensation expense is included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2019:</w:t>
      </w:r>
    </w:p>
    <w:p>
      <w:pPr>
        <w:spacing w:after="0" w:line="27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129,929 RSUs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25,872 RSUs to its non-employee independent directors, which vest one year from date of grant so long as the director and/or Company does not terminate the director's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issued 2,711 RSUs related to director fee deferrals during the six months ended June 30, 2019.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the Company awarded 95,882 performance-based RSUs to certain Company key employees which vest three years from the grant date as long as the employee remains with the Company. These awards are earned 50% based upon the Company's achievement of earnings per share compound annual growth rate ("EPS CAGR") metrics over a period beginning January 1, 2019 and ending December 31, 2021. The remaining 50% of the grants are earned based on the Company's total shareholder return ("TSR") relative to the TSR of the common stock of a pre-defined industry peer-group and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estimates the grant-date fair value subject to a market condition using a Monte Carlo simulation model, using the following weighted average assumptions: risk-free rate of 2.29% and annualized volatility of 26.7%. Depending on the performance achieved for these two metrics, the amount of shares earned, if any, can vary for each metric from 0% of the target award to a maximum of 200% of the target award.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the Company awarded performance-based RSUs to certain Company key employees which were earned based upon the Company's TSR relative to the TSR of the common stock of a pre-defined industry peer-group and measured over a period beginning January 1, 2016 and ending on December 31, 2018. Depending on the performance achieved, the amount of shares earned could vary from 0% of the target award to a maximum of 200% of the target award. The Company attained 139.0% of the target on a weighted average basis, resulting in an increase of 38,315 shares during the six months ended June 30, 2019.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2019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292,709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662,253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20,509,975</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there was approximately $12.3 million of unrecognized compensation cost related to unvested RSUs that is expected to be recorded over a weighted average period of 2.3 years.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recognized stock-based compensation expense related to RSUs of approximately $1.7 million and $1.3 million during the three months ended June 30, 2019 and 2018, respectively and approximately $3.0 million and $2.5 million during the six months ended June 30, 2019 and 2018, respectively. The stock-based compensation expense is included in selling, general and administrative expenses in the accompanying consolidated statement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six months ended June 30, 2019 and 2018:</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5620" w:type="dxa"/>
            <w:vAlign w:val="bottom"/>
          </w:tcPr>
          <w:p>
            <w:pPr>
              <w:spacing w:after="0"/>
              <w:rPr>
                <w:sz w:val="18"/>
                <w:szCs w:val="18"/>
                <w:color w:val="auto"/>
              </w:rPr>
            </w:pPr>
          </w:p>
        </w:tc>
        <w:tc>
          <w:tcPr>
            <w:tcW w:w="18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left="954"/>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45,592,075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45,920,307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45,585,445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45,850,137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174,571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176,658</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253,796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267,620</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61,669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103,792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97,290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45,828,315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46,200,757</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45,910,249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46,215,047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Company announced its Board of Directors had authorized the Company to increase the purchase of its common stock up to $75 million in the aggregate. The previous authorization, approved in November 2015, authorized up to $50 million in share repurchases. In the three and six months ended June 30, 2019, the Company purchased 502,500 and 527,400 shares of its outstanding common stock for approximately $14.7 million and $15.4 million, respectively. During the the three and six months ended June 30, 2018, the Company purchased 100,947 shares of its outstanding common stock for approximately $2.9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Benefit Plans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Pension Plans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34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Settlement/curtailment loss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2,500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2,890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3,310</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the Company purchased an annuity contract to transfer certain retiree defined benefit obligations to an insurance company. The annuity contract was funded by plan assets. The Company recognized a one-time settlement charge of approximately $2.5 million, which is included in other income (expense), net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contributed approximately $0.5 million and $1.0 million to its defined benefit pension plans during the three and six months ended June 30, 2019, respectively. The Company expects to contribute approximately $1.9 million to its defined benefit pension plans for the full year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2019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June 30,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10,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$0.8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diversified global manufacturer and provider of products for customers in the consumer products, aerospace, industrial, petrochemical, refinery, and oil and gas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cyclical industries that are highly competitive and that may be significantly impacted by changes in economic conditions.</w:t>
      </w:r>
    </w:p>
    <w:p>
      <w:pPr>
        <w:spacing w:after="0" w:line="224"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Our overall second quarter 2019 financial results were largely consistent with our expectations. We achieved sales increases in each of our reportable segments compared to second quarter 2018 as result of organic growth initiatives as well as incremental sales generated by the two businesses we acquired in 2019. Demand levels in our end markets have been generally stable, except for the upstream oil and gas end market, which softened in second quarter 2019 compared with second quarter 2018 due to reduced drilling investment activity as a result of lower active rig counts in the U.S. and Canada.</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drivers of change in results of operations compared with second quarter 2018 were the impact of our two acquisitions in 2019 and a one-time charge of $2.5 million related to the settlement of defined benefit obligations in second quarter 2018 that did not repeat in 2019.</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acquired Plastic Srl and Taplast S.p.A. ("Taplast") in January 2019 and April 2019, respectively. Plastic Srl is a manufacturer of single-bodied and assembled polymeric caps and closures for use in home care product applications. Taplast is a designer and manufacturer of dispensers, closures and containers for the beauty and personal care, household, and food and beverage packaging end markets. These acquisitions contributed $9.6 million of sales during second quarter 2019 within our Packaging reportable segment, and provide opportunities for future growth, as well as additional manufacturing and engineering capacity, in the European market. The current profit margins of these acquired businesses are below those of our Packaging base product lines. While Plastic Srl and Taplast were accretive to second quarter 2019 operating profit dollars, their relative contribution at a lower margin reduced the overall Packaging reportable segment operating profit margin by more than 100 basis points. We expect, over time, to fully integrate these acquisitions utilizing the TriMas Business Model ("TBM"), gaining planned synergies and improving margins over time.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we purchased an annuity contract to transfer certain retiree defined benefit obligations to an insurance company. The annuity contract was funded by plan assets. We recognized a one-time settlement charge of approximately $2.5 million, which is included in other income (expense), net in the accompanying consolidated statement of income.</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additional factor significantly impacting the year-to-date June 2019 versus year-to-date June 2018 results of operations relates to the first quarter 2018 termination of a legacy liability of approximately $8.2 million, which resulted in a non-cash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tax-related matters, benefit plan liabilities and reimbursements to Metaldyne of normal course payments to be made on TriMas' behalf. Metaldyne and its U.S. subsidiaries filed voluntary petitions in the United States Bankruptcy Court under Chapter 11 of the U.S. Bankruptcy Code in 2009. In January 2018, the U.S. Bankruptcy Court entered a final decree to close all remaining cases and finalize the Metaldyne bankruptcy distribution trust, effectively terminating any potential obligation by TriMas to Metaldyne.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purchases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In mid 2018, material costs began to rise, increasing through the remainder of 2018, primarily as a direct and indirect result of foreign trade policy changes. These cost increases primarily related to oil and metal-based commodities. We took swift actions, and continue to take actions, to mitigate such cost increases, including implementing commercial pricing adjustments, resourcing to alternate suppliers and insourcing of previously sourced products to better leverage our global manufacturing footprint. As a result of these actions, as well as softening of certain underlying commodity costs, we have largely mitigated the impact such that material costs were not a significant driver of year-over-year profit change.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businesses in our Specialty Products reportable segment are sensitive to the demand for natural gas and crude oil in North America. For example, demand for our Arrow Engine business' engine, pump jack and compressor products are impacted by active oil and gas rig counts and wellhead investment activities. In addition, a small portion of our Lamons business serves upstream customers at oil well sites that are impacted by fluctuating oil prices. The majority of the Lamons business provides sealing and fastening products to oil refineries and petrochemical plants, which may or may not decide to incur capital expenditures for their preventive maintenance or capacity expansion activities during times of fluctuating oil prices. Separately, oil-based commodity costs are a significant driver of raw materials and purchased components used within our Packaging reportable segment. Although we have escalator/de-escalator clauses in commercial contracts with certain of our customers, or can modify prices based on market conditions to recover higher costs, we cannot be assured of full cost recovery in the open market.</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of the TBM, our businesses target cost savings from Kaizen and continuous improvement initiatives in an effort to reduce input and conversion costs and/or increase throughput and yield rates with a goal of at least covering inflationary and market cost increases. In addition, we continuously review our cost structures to ensure alignment with current market demand.</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evaluate alternatives to redeploy the cash generated by our businesses, one of which includes returning capital to our shareholders. In February 2019, we announced our Board of Directors had authorized the Company to increase the purchase of its common stock up to $75 million in the aggregate. The previous authorization, approved in November 2015, authorized up to $50 million in share repurchases. In the three and six months ended June 30, 2019, we purchased 502,500 and 527,400 shares of our outstanding common stock, each of which represents more than 1% of our outstanding common shares as of December 31, 2018, for approximately $14.7 million and $15.4 million, respectively. During the three and six months ended June 30, 2018, we purchased 100,947 shares of our outstanding common stock for approximately $2.9 million.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three months ended June 30, 2019 and 2018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103,990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95,090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93,140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90,720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239,370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224,910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31,630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20,670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21,730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65,350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64,780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34,240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33,260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22,640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22,810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6,840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6,540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4,830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2019 and 2018 (dollars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620"/>
              <w:spacing w:after="0"/>
              <w:rPr>
                <w:sz w:val="20"/>
                <w:szCs w:val="20"/>
                <w:color w:val="auto"/>
              </w:rPr>
            </w:pPr>
            <w:r>
              <w:rPr>
                <w:rFonts w:ascii="Arial" w:cs="Arial" w:eastAsia="Arial" w:hAnsi="Arial"/>
                <w:sz w:val="16"/>
                <w:szCs w:val="16"/>
                <w:b w:val="1"/>
                <w:bCs w:val="1"/>
                <w:color w:val="auto"/>
              </w:rPr>
              <w:t>Six months ended June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192,830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183,290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187,260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181,830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460,660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442,010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23,140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42,820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125,170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125,160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20,430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22,580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40,280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42,390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21,030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56,960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66,730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9,970</w:t>
            </w:r>
          </w:p>
        </w:tc>
        <w:tc>
          <w:tcPr>
            <w:tcW w:w="2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9,740</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94615</wp:posOffset>
            </wp:positionV>
            <wp:extent cx="42538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3865" cy="2603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three months ended June 30, 2019, compared with the three months ended June 30, 2018, were:</w:t>
      </w:r>
    </w:p>
    <w:p>
      <w:pPr>
        <w:spacing w:after="0" w:line="293" w:lineRule="exact"/>
        <w:rPr>
          <w:sz w:val="20"/>
          <w:szCs w:val="20"/>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sales levels in all three reportable segments, primarily driven by growth in our health, beauty and home care end market within our Packaging reportable segment and increased throughput within our Aerospace reportable segment;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Plastic Srl and Taplast acquisitions in 2019 within our Packaging reportable segment; and</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recognition of a one-time, non-cash settlement charge of approximately $2.5 million in second quarter 2018 related to our decision to purchase an annuity contract to transfer certain U.S. pension obligations to an insurance company.</w:t>
      </w:r>
    </w:p>
    <w:p>
      <w:pPr>
        <w:sectPr>
          <w:pgSz w:w="11900" w:h="16838" w:orient="portrait"/>
          <w:cols w:equalWidth="0" w:num="1">
            <w:col w:w="11420"/>
          </w:cols>
          <w:pgMar w:left="240" w:top="125" w:right="23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825"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Compared with Three Months Ended June 30, 2018</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net sales increased approximately $14.5 million, or 6.4%, to $239.4 million for the three months ended June 30, 2019, as compared with $224.9 million in the three months ended June 30, 2018. The acquisitions of Taplast, in April 2019, and Plastic Srl, in January 2019, contributed approximately $9.6 million of sales in our Packaging reportable segment. Sales of our historical businesses increased by approximately $6.8 million, primarily driven by approximately $4.0 million higher sales within our Packaging reportable segment's health, beauty and home care products and $3.1 million higher sales within our Aerospace reportable segment. These increases were partially offset by approximately $2.0 million of net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margin (gross profit as a percentage of sales) approximated 27.3% and 28.8% for the three months ended June 30, 2019 and 2018, respectively. Gross profit margin decreased, as the impact of higher sales levels was more than offset by a less favorable product sales mix, resulting from higher levels of growth in our lower gross margin reportable segments, as well as due to the recent acquisitions yielding lower gross profit margins. Gross profit margin further declined due to a $1.1 million reduction in expense in second quarter 2018 related to a change in our estimate of future unrecoverable lease obligations for our former Reynosa, Mexico facility that did not repeat in 2019, and as a result of unfavorable currency exchange.</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13.0% and 14.0% for the three months ended June 30, 2019 and 2018, respectively. Operating profit decreased approximately $0.4 million, or 1.3%, to $31.1 million for the three months ended June 30, 2019, from $31.5 million for the three months ended June 30, 2018. Operating profit and related margin declined as the impact of higher sales levels was more than offset by a less favorable product sales mix, increases in purchase accounting expenses and professional fees supporting corporate development activities, and as a result of unfavorable currency exchange.</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remained flat at approximately $3.5 million for the three months ended June 30, 2019 and 2018, as there was no significant change in our debt structure, and the majority of the borrowings are at a fixed rate.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decreased approximately $3.5 million, to $1.3 million of other income, net for the three months ended June 30, 2019, as compared to $2.2 million of other expense, net for the three months ended June 30, 2018, primarily due to a one-time charge of $2.5 million related to the settlement of defined benefit obligations in second quarter 2018 that did not repeat in second quarter 2019, and an increase in gains on transactions denominated in foreign currencies.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 for the three months ended June 30, 2019 and 2018 was 24.0% and 24.2%, respectively. The decrease in the rate was primarily a result of generating fewer losses at certain foreign subsidiaries where no tax benefit could be recorded in the three months ended June 30, 2019 as compared to the three months ended June 30, 2018.</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increased approximately $2.4 million, to $22.0 million for the three months ended June 30, 2019, as compared to $19.6 million for the three months ended June 30, 2018. The increase in net income was the result of a decrease in other income (expense), net of approximately $3.5 million, partially offset by an increase in income tax expense of approximately $0.7 million and a decrease in operating profit of approximately $0.4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$8.9 million, or 9.4%, to $104.0 million in the three months ended June 30, 2019, as compared to $95.1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June 30, 2018. The acquisitions of Taplast, in April 2019, and Plastic Srl, in January 2019, contributed approximately $9.6 million of sales. Sales of our health, beauty and home care products increased approximately $4.0 million, primarily due to higher demand in North America and Europe. These increases were partially offset by a decrease in sales of our food and beverage products of approximately $2.8 million, primarily due to lower sales of pumps as well as softer overall end market demand in North America. Sales of our industrial products declined by approximately $0.2 million due to lower end market demand in North America. Additionally, net sales decreased by approximately $1.7 million due to unfavorable currency exchange, as our reported results in U.S. dollars were negatively impacted as a result of the stronger U.S. dollar relative to foreign currencies.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$1.1 million to $32.7 million, or 31.5% of sales, in the three months ended June 30, 2019, as compared to $31.6 million, or 33.3% of sales, in the three months ended June 30, 2018. Although gross profit dollars increased due to higher sales, gross profit margin declined primarily due to a less favorable product sales mix, as our acquired companies have lower margins than the Packaging base business, impacting our gross margin by more than 100 basis points. In addition, our health, beauty and home care end market products comprised a larger percentage of net sales in second quarter 2019, and yield a lower gross profit margin than the remainder of this segment. Lastly, gross profit decreased by approximately $0.7 million due to unfavorable currency exchange, as our reported results in U.S. dollars were negatively impacted as a result of the stronger U.S. dollar relative to foreign currencies.</w:t>
      </w:r>
    </w:p>
    <w:p>
      <w:pPr>
        <w:sectPr>
          <w:pgSz w:w="11900" w:h="16838" w:orient="portrait"/>
          <w:cols w:equalWidth="0" w:num="1">
            <w:col w:w="11420"/>
          </w:cols>
          <w:pgMar w:left="240" w:top="125"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increased approximately $1.3 million to $10.1 million, or 9.7% of sales, in the three months ended June 30, 2019, as compared to $8.8 million, or 9.3% of sales, in the three months ended June 30, 2018, primarily due higher ongoing selling, general and administrative costs associated with our 2019 acquisitions.</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Packaging's operating profit decreased approximately $0.2 million to $22.6 million, or 21.8% of sales, in the three months ended June 30, 2019, as compared to $22.8 million, or 24.0% of sales, in the three months ended June 30, 2018, as the impact of a less favorable product sales mix and unfavorable foreign currency exchange more than offset the impact of higher sales levels.</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2019 increased approximately $3.1 million, or 8.0%, to $42.2 million, as compared to $39.1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June 30, 2018, due to steady demand levels for fastener products combined with improved production throughput at our Commerce, California and Ottawa, Kansas manufacturing facilities.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approximately $0.5 million to $11.9 million, or 28.3% of sales, in the three months ended June 30, 2019, from $11.4 million, or 29.2% of sales, in the three months ended June 30, 2018, primarily due to the higher sales levels, while gross profit margins slightly declined due to a less favorable product sales mix, with a higher percentage of standard fastener sales in second quarter 2019 as a result of improved production throughput at our Ottawa, Kansas manufacturing facility.</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$0.1 million to approximately $4.9 million, or 11.7% of sales, in the three months ended June 30, 2019, as compared to $5.0 million, or 12.7% of sales, in the three months ended June 30, 2018, as a result of leveraging the higher sales levels without additional selling costs.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within Aerospace increased approximately $0.6 million to $7.0 million, or 16.6% of sales, in the three months ended June 30, 2019, as compared to $6.5 million, or 16.5% of sales in the three months ended June 30, 2018, primarily due to higher sales levels.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June 30, 2019 increased approximately $2.4 million, or 2.7%, to $93.1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$90.7 million in the three months ended June 30, 2018. Sales of our oil and gas related products increased by approximately $2.5 million, primarily as a result of increased petrochemical and refining-customer demand in North America, which more than offset lower sales of engines, compressors and related parts used in upstream applications due to lower drilling investment activity as a result of lower rig counts in the U.S. and Canada. Sales also increased by approximately $0.8 million due to increased demand for our machined components products. Sales of our industrial products decreased by approximately $0.7 million due to decreased demand for both high pressure and acetylene steel cylinders, which we believe was due to U.S. weather-related delays in the typical spring and summer heating, ventilation and air conditioning ("HVAC") selling season. In addition, net sales decreased by approximately $0.2 million of net unfavorable currency exchange, as our reported results in U.S. dollars were negatively impacted as a result of the stronger U.S. dollar relative to foreign currencies.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Specialty Products decreased approximately $1.0 million to $20.7 million, or 22.2% of sales, in the three months ended June 30, 2019, as compared to $21.7 million, or 24.0% of sales, in the three months ended June 30, 2018. In second quarter 2018, we reduced our estimate of future unrecoverable lease obligations related to the closure of our former Reynosa, Mexico facility by $1.1 million. This reduction did not repeat in 2019. In addition, gross profit decreased from second quarter 2018 levels as a result of higher freight and conversion costs.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decreased approximately $1.1 million to $10.5 million, or 11.3% of sales, in the three months ended June 30, 2019, as compared to $11.6 million, or 12.8% of sales, in the three months ended June 30, 2018, primarily due to approximately $0.7 million of severance and restructuring costs associated with the exit of our Bangalore, India facility in the second quarter of 2018 that did not repeat, and leverage of our lower cost footprint.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$0.1 million to $10.2 million, or 10.9% of sales, in the three months ended June 30, 2019, as compared to $10.1 million, or 11.1% of sales, in the three months ended June 30, 2018. Operating profit and related margin was essentially flat, as the impact of higher sales levels, freight and conversion costs in second quarter 2019 were offset by restructuring-related items in second quarter 2018 related to our Bangalore, India and Reynosa, Mexico facilities that did not repeat in 2019.</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expenses increased approximately $0.9 million to $8.7 million for the three months ended June 30, 2019, from $7.8 million for the three months ended June 30, 2018. Corporate operating expenses remained flat at approximately $5.9 million for the three months ended June 30, 2019 and 2018, as an increase in professional fees related to corporate development activities was offset by a decrease in expense related to the timing and estimated attainment of our annual incentive compensation plans. Legacy expenses increased approximately $0.6 million, primarily due to reductions of certain of our legacy liabilities in 2018 that did not repeat in 2019. Non-cash stock compensation increased approximately $0.3 million, primarily due to the timing and amount of equity grants in 2019 compared with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Compared with Six Months Ended June 30, 2018</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net sales increased approximately $18.7 million, or 4.2%, to $460.7 million for the six months ended June 30, 2019, as compared with $442.0 million in the six months ended June 30, 2018, The acquisitions of Taplast, in April 2019, and Plastic Srl, in January 2019, contributed approximately $12.5 million of sales in our Packaging reportable segment. Sales of our historical businesses increased by approximately $10.4 million. The primary drivers of this increase were approximately $9.0 million higher sales within our Packaging reportable segment's health, beauty and home care products, $4.6 million higher sales in our oil and gas-related products within our Specialty Products reportable segment and $3.7 million higher sales within our Aerospace reportable segment, which were partially offset by approximately $6.3 million lower sales of our industrial and food and beverage products in our Packaging reportable segment. Our sales were also impacted by $4.2 million of net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margin (gross profit as a percentage of sales) approximated 27.2% and 28.3% for the six months ended June 30, 2019 and 2018, respectively. Gross profit margin decreased, as the impact of higher sales levels was more than offset by a less favorable product sales mix, resulting from higher levels of growth in our lower gross margin reportable segments, as well as due to the recent acquisitions yielding lower gross profit margins. Gross profit margin further declined due to a $1.1 million reduction in expense in the first half of 2018 related to a change in our estimate of future unrecoverable lease obligations for our former Reynosa, Mexico facility that did not repeat in the first half of 2019, and as a result of unfavorable currency exchange.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profit margin (operating profit as a percentage of sales) approximated 12.4% and 15.1% for the six months ended June 30, 2019 and 2018, respectively. Operating profit decreased approximately $9.8 million, or 14.6%, to $57.0 million for the six months ended June 30, 2019, compared to $66.7 million for the six months ended June 30, 2018. The primary driver of this year-over-year decrease in operating profit and related margin was an approximately $8.2 million non-cash reduction of our recorded liability to Metaldyne in first quarter 2018 following the U.S. Bankruptcy Court's final decree to close all remaining cases and terminate the Metaldyne bankruptcy distribution trust. Operating profit and related margin further declined as the impact of higher sales levels was more than offset by a less favorable product sales mix, increases in purchase accounting expenses and professional fees supporting corporate development activities, and as a result of unfavorable currency exchange.</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approximately $0.3 million, to $6.9 million, for the six months ended June 30, 2019, as compared to $7.2 million for the six months ended June 30, 2018, as a result of a decrease in our variable interest rates and lower weighted average borrowings.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decreased approximately $3.4 million, to $0.7 million of other income, net for the six months ended June 30, 2019, from $2.7 million of other expense, net for the six months ended June 30, 2018, primarily due to a one-time charge of $2.5 million related to the settlement of defined benefit obligations in second quarter 2018 that did not repeat in second quarter 2019, and an increase in gains on transactions denominated in foreign currencies.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effective income tax rate for the six months ended June 30, 2019 and 2018 was 18.9% and 22.7%, respectively. The decrease in the rate was primarily a result of discrete items that occurred during the first quarter of 2019, including the reversal of uncertain tax benefits for which the statute of limitations expired, excess tax benefits related to share based compensation that vested in first quarter 2019, and a reduction in deferred tax liabilities resulting from the implementation of state tax planning initiatives. In addition, we generated fewer losses at certain foreign subsidiaries where no tax benefit could be recorded in the six months ended June 30, 2019 as compared to the six months ended June 30, 2018.</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decreased by approximately $2.8 million, to $41.1 million for the six months ended June 30, 2019, compared to $43.9 million for the six months ended June 30, 2018. The decrease was primarily the result of a decrease in operating profit of approximately $9.8 million, partially offset by a decrease in other income (expense), net of approximately $3.4 million, a decrease in income tax expense of approximately $3.3 million, and a decrease in interest expense of approximately $0.3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$9.5 million, or 5.2%, to $192.8 million in the six months ended June 30, 2019, as compared to $183.3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six months ended June 30, 2018. The Taplast and Plastic Srl acquisitions contributed approximately $12.5 million in the first half of 2019. Sales of our health, beauty and home care products increased approximately $9.0 million, primarily due to higher demand in North America and Europe as well as continued sales growth in Asia. These increases were partially offset by a decrease in sales of our food and beverage products by approximately $6.3 million, primarily due to lower sales of pumps as well as softer overall end market demand in North America. Sales of our industrial products declined by approximately $1.9 million due to lower end market demand in North America, in part due to the unusually cold weather in the first quarter of 2019. Additionally, net sales decreased by approximately $3.8 million due to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decreased approximately $0.2 million to $60.7 million, or 31.5% of sales, in the six months ended June 30, 2019, as compared to $60.9 million, or 33.2% of sales, in the six months ended June 30, 2018. Gross profit decreased by approximately $1.5 million due to unfavorable currency exchange, as our reported results in U.S. dollars were negatively impacted as a result of the stronger U.S. dollar relative to foreign currencies. In addition, while gross profit dollars increased as a result of higher sales levels, gross profit margin declined due to a less favorable product sales mix, as the acquired businesses have lower margins than the Packaging base business, impacting first half 2019 gross margin by nearly 100 basis points. In addition, our health, beauty and home care end market products comprised a larger percentage of net sales in the first half of 2019, and yield a lower gross profit margin than sales to our other end markets.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selling, general and administrative expenses increased approximately $2.0 million to $20.4 million, or 10.6% of sales, in the six months ended June 30, 2019, as compared to $18.5 million, or 10.1% of sales, in the six months ended June 30, 2018, primarily due to higher ongoing selling, general and administrative costs associated with our 2019 acquisitions as well as non-cash purchase accounting-related expenses of approximately $0.8 million related to the write-off of the trade name acquired in the Plastic Srl acquisition that will not be used.</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Packaging's operating profit decreased approximately $2.1 million to $40.3 million, or 20.9% of sales, in the six months ended June 30, 2019, as compared to $42.4 million, or 23.1% of sales, in the six months ended June 30, 2018, as the impact of unfavorable foreign currency exchange, a less favorable product sales mix and higher selling, general and administrative expenses more than offset the impact of higher sales levels.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six months ended June 30, 2019 increased approximately $3.7 million, or 4.8%, to $80.6 million, as compared to $76.9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six months ended June 30, 2018, due to steady demand levels for fastener products combined with improved production throughput in second quarter 2019 at our Commerce, California and Ottawa, Kansas manufacturing facilities.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Gross profit within Aerospace increased approximately $1.7 million to $23.1 million, or 28.7% of sales, in the six months ended June 30, 2019, from $21.5 million, or 27.9% of sales, in the six months ended June 30, 2018, primarily due to the higher sales levels and improved production efficiencies.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remained relatively flat at approximately $10.4 million, or 12.9% of sales, in the six months ended June 30, 2019, as compared to $10.4 million, or 13.6% of sales, in the six months ended June 30, 2018, as lower ongoing selling expenses were offset by approximately $0.4 million of professional fees incurred in the first quarter of 2019 to analyze our standard fastener product line and recommend opportunities to improve.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$1.7 million to $12.8 million, or 15.8% of sales, in the six months ended June 30, 2019, as compared to $11.0 million, or 14.4% of sales, in the six months ended June 30, 2018, primarily due to higher sales levels and improved production efficiencies.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six months ended June 30, 2019 increased approximately $5.5 million, or 3.0%, to $187.3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$181.8 million in the six months ended June 30, 2018. Sales of our oil and gas related products increased by approximately $4.6 million, primarily as a result of increased petrochemical and refining-customer demand in North America, which more than offset lower sales of engines, compressors and related parts used in upstream applications due to lower drilling investment activity as a result of lower rig counts in the U.S. and Canada. Sales of our industrial products increased by approximately $1.3 million, primarily due to increased demand for specialty steel cylinders, which more than offset lower sales of high pressure and acetylene steel cylinder sales. In addition, net sales decreased by approximately $0.4 million of net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Specialty Products decreased approximately $1.5 million to $41.3 million, or 22.1% of sales, in the six months ended June 30, 2019, as compared to $42.8 million, or 23.5% of sales, in the six months ended June 30, 2018. In second quarter 2018, we reduced our estimate of future unrecoverable lease obligations related to the closure of our former Reynosa, Mexico facility by $1.1 million. This reduction did not repeat in 2019. In addition, gross profit decreased from first half 2018 levels as a result of higher freight and conversion costs.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Specialty Products decreased approximately $2.3 million to $20.3 million, or 10.8% of sales, in the six months ended June 30, 2019, as compared to $22.6 million, or 12.4% of sales, in the six months ended June 30, 2018, primarily due to leverage of our lower cost footprint, as well as approximately $0.7 million of severance and restructuring costs associated with the exit of our Bangalore, India facility in 2018 that did not repeat in 2019.</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$0.8 million to $21.0 million, or 11.2% of sales, in the six months ended June 30, 2019, as compared to $20.2 million, or 11.1% of sales, in the six months ended June 30, 2018, primarily due to lower selling, general and administrative spending in the first half of 2019, which was partially offset by higher freight and conversion costs in the first half of 2019 and reduction in a lease obligation in 2018 that did not repeat in 2019.</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13"/>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 net</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Corporate expenses, net increased approximately $10.2 million to $17.1 million for the six months ended June 30, 2019, from $6.9 million for the six months ended June 30, 2018. Legacy (income) expenses, net increased approximately $9.2 million, primarily due to the termination of the liability to Metaldyne in first quarter 2018, which resulted in an approximate $8.2 million non-cash reduction in legacy (income) expenses, net. Corporate operating expenses increased approximately $0.6 million, primarily due to an increase in professional fees related to corporate development activities. Non-cash stock compensation increased approximately $0.4 million, primarily due to the timing and amount of equity grants in 2019 compared with 2018.</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$29.3 million for the six months ended June 30, 2019, as compared to approximately $51.6 million for the six months ended June 30, 2018.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2019, the Company generated approximately $70.7 million of cash, based on the reported net income of approximately $41.1 million and after considering the effects of non-cash items related to depreciation, amortization, loss on dispositions of assets, changes in deferred income taxes, stock-based compensation and other operating activities. For the six months ended June 30, 2018, the Company generated approximately $76.4 million in cash flows based on the reported net income of approximately $43.9 million and after considering the effects of similar non-cash items.</w:t>
      </w:r>
    </w:p>
    <w:p>
      <w:pPr>
        <w:spacing w:after="0" w:line="24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$12.4 million and $20.4 million for the six months ended June 30, 2019 and 2018, respectively. The increased use of cash for each of the six month periods is due primarily to the timing of sales and collection of cash related thereto within the periods. Days sales outstanding of receivables increased by approximately three days.</w:t>
      </w:r>
    </w:p>
    <w:p>
      <w:pPr>
        <w:spacing w:after="0" w:line="219"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$1.1 million and $5.9 million for the six months ended June 30, 2019 and 2018, respectively, primarily as a result of operating at higher production levels to support sales growth, plus additional procurement of China-sourced inventory ahead of anticipated tariff increases.</w:t>
      </w:r>
    </w:p>
    <w:p>
      <w:pPr>
        <w:spacing w:after="0" w:line="23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Decreases in prepaid expenses and other assets resulted in a use of cash of approximately $1.1 million and $9.0 million for the six months ended June 30, 2019 and 2018, respectively, primarily as a result of the timing of payments made for income taxes and certain operating expenses.</w:t>
      </w:r>
    </w:p>
    <w:p>
      <w:pPr>
        <w:spacing w:after="0" w:line="17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use of cash of approximately $29.1 million and $7.5 million for the six months ended June 30, 2019 and 2018, respectively, primarily as a result of the timing of payments made to suppliers and the mix of vendors and related terms. The decrease in accounts payable and accrued liabilities for the six months ended June 30, 2018 was further impacted by an approximate $8.2 million non-cash reduction in an obligation.</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six months ended June 30, 2019 and 2018 was approximately $79.3 million and $11.1 million, respectively. During the first six months of 2019, we paid approximately $67.0 million, net of cash acquired, to acquire Plastic Srl and Taplast. We also incurred approximately $12.3 million in capital expenditures, as we continued our investment in growth, capacity and productivity-related capital projects. During the first six months of 2018, we incurred approximately $11.3 million in capital expenditures and received cash from the disposition of property and equipment of approximately $0.3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for the six months ended June 30, 2019 and 2018 was approximately $17.8 million and $14.7 million, respectively. During the first six months of 2019, we received proceeds from borrowings, net of repayments, of approximately $0.8 million on our revolving credit facilities. We also purchased approximately $15.4 million of outstanding common stock and used a net cash amount of approximately $3.2 million related to our stock compensation arrangements. During the first six months of 2018, we made net repayments of approximately $9.4 million on our revolving credit facilities. We also purchased approximately $2.9 million of outstanding common stock and used a net cash amount of approximately $2.4 million related to our stock compensation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senior notes accrue interest at a rate of 4.875% per annum, payable semi-annually in arrears on April 15 and October 15, commencing on April 15, 2018 ("Senior Notes").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six months ended June 30, 2019, our consolidated subsidiaries that do not guarantee the Senior Notes represented approximately 16% of the total of guarantor and non-guarantor net sales, treating each as a consolidated group and excluding intercompany transactions between guarantor and non-guarantor subsidiaries. In addition, our non-guarantor subsidiaries represented approximately 33% and 15% of the total guarantor and non-guarantor assets and liabilities, respectively, as of June 30, 2019, treating the guarantor and non-guarantor subsidiaries each as a consolidated group and excluding intercompany transactions between such groups.</w:t>
      </w:r>
    </w:p>
    <w:p>
      <w:pPr>
        <w:sectPr>
          <w:pgSz w:w="11900" w:h="16838" w:orient="portrait"/>
          <w:cols w:equalWidth="0" w:num="1">
            <w:col w:w="11420"/>
          </w:cols>
          <w:pgMar w:left="240" w:top="125"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2019. If we were to complete an acquisition which qualifies for a Covenant Holiday Period, as defined in our Credit Agreement, then our permitted total net leverage ratio cannot exceed 4.50 to 1.00 during that period. Our actual total net leverage ratio was 1.57 to 1.00 at June 30, 2019. Our permitted senior secured net leverage ratio under the Credit Agreement is 3.50 to 1.00 as of June 30, 2019.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June 30, 2019. Our permitted interest expense coverage ratio under the Credit Agreement is 3.00 to 1.00 as of June 30, 2019. Our actual interest expense coverage ratio was 15.35 to 1.00 at June 30, 2019. At June 30, 2019, we were in compliance with our financial covenants.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2019 (dollars in thousands). We present Consolidated Bank EBITDA to show our performance under our financial covenants.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Ended June 30, 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80,490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13,660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19,440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44,450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12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7,590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12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4,090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Extraordinary, non-recurring or unusual gains or losses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Business and asset dispositions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Permitted acquisitions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4,480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Casualty or business interruption expenses covered and reimbursed by insurance</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182,020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right"/>
              <w:ind w:right="451"/>
              <w:spacing w:after="0"/>
              <w:rPr>
                <w:sz w:val="20"/>
                <w:szCs w:val="20"/>
                <w:color w:val="auto"/>
              </w:rPr>
            </w:pPr>
            <w:r>
              <w:rPr>
                <w:rFonts w:ascii="Arial" w:cs="Arial" w:eastAsia="Arial" w:hAnsi="Arial"/>
                <w:sz w:val="16"/>
                <w:szCs w:val="16"/>
                <w:b w:val="1"/>
                <w:bCs w:val="1"/>
                <w:color w:val="auto"/>
              </w:rPr>
              <w:t>June 30,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6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285,000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June 30,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1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660" w:type="dxa"/>
            <w:vAlign w:val="bottom"/>
            <w:shd w:val="clear" w:color="auto" w:fill="CCEEFF"/>
          </w:tcPr>
          <w:p>
            <w:pPr>
              <w:jc w:val="right"/>
              <w:ind w:right="49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10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Ended June 30, 2019</w:t>
            </w: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gridSpan w:val="3"/>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13,660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gridSpan w:val="3"/>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11,860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gridSpan w:val="2"/>
            <w:vMerge w:val="restart"/>
          </w:tcPr>
          <w:p>
            <w:pPr>
              <w:jc w:val="right"/>
              <w:ind w:right="3250"/>
              <w:spacing w:after="0"/>
              <w:rPr>
                <w:sz w:val="20"/>
                <w:szCs w:val="20"/>
                <w:color w:val="auto"/>
              </w:rPr>
            </w:pPr>
            <w:r>
              <w:rPr>
                <w:rFonts w:ascii="Arial" w:cs="Arial" w:eastAsia="Arial" w:hAnsi="Arial"/>
                <w:sz w:val="18"/>
                <w:szCs w:val="18"/>
                <w:color w:val="auto"/>
              </w:rPr>
              <w:t>33</w:t>
            </w: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472"/>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182,020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20" w:type="dxa"/>
            <w:vAlign w:val="bottom"/>
          </w:tcPr>
          <w:p>
            <w:pPr>
              <w:spacing w:after="0"/>
              <w:rPr>
                <w:sz w:val="21"/>
                <w:szCs w:val="21"/>
                <w:color w:val="auto"/>
              </w:rPr>
            </w:pP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11,860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10"/>
        </w:numPr>
        <w:rPr>
          <w:rFonts w:ascii="Arial" w:cs="Arial" w:eastAsia="Arial" w:hAnsi="Arial"/>
          <w:sz w:val="8"/>
          <w:szCs w:val="8"/>
          <w:color w:val="auto"/>
        </w:rPr>
      </w:pPr>
      <w:r>
        <w:rPr>
          <w:rFonts w:ascii="Arial" w:cs="Arial" w:eastAsia="Arial" w:hAnsi="Arial"/>
          <w:sz w:val="13"/>
          <w:szCs w:val="13"/>
          <w:color w:val="auto"/>
        </w:rPr>
        <w:t>Senior secured indebtedness is negative at June 30, 2019 due to the deduction of certain unrestricted cash and unrestricted permitted investments as allowed under the Credit Agreement.</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2018, we terminated our $75.0 million accounts receivable facility, under which we had the ability to sell eligible accounts receivable to a third-party multi-seller receivables funding company.</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2019, we had no amounts outstanding under our revolving credit facility and had approximately $285.2 million potentially available after giving effect to approximately $14.8 million of letters of credit issued and outstanding. At December 31, 2018, we had no amounts outstanding under our revolving credit facility and had approximately $284.9 million potentially available after giving effect to approximately $15.1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June 30, 2019 and December 31, 2018, we had approximately $285.2 million and $284.9 million, respectively, of borrowing capacity available for general corporate purposes.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 as applicable.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weighted average borrowings during the first six months of 2019 approximated $329.5 million, compared to approximately $330.3 million during the first six months of 2018, as we effectively redeployed the cash generated by our operations over this time period into two bolt-on acquisitions, capital investments in our business and repurchases of our common stock.</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June 30, 2019 is located in jurisdictions outside the U.S., given available funding under our revolving credit facility of $285.2 million at June 30, 2019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variable interest rates on our revolving credit facility. At June 30, 2019, 1-Month LIBOR approximated 2.40%. At June 30, 2019, we had no amounts outstanding on our revolving credit facility and therefore no variable rate-based borrowings outstanding.</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$12.3 million in 2018. We expect leasing will continue to be an available financing option to fund future capital expenditure requirements.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we announced our Board of Directors had authorized us to increase the purchase of our common stock up to $75 million in the aggregate. The previous authorization, approved in November 2015, authorized up to $50 million in share repurchases. In the three and six months ended June 30, 2019, we purchased 502,500 and 527,400 shares of our outstanding common stock for an aggregate purchase price of approximately $14.7 million and $15.4 million, respectively. We will continue to evaluate opportunities to return capital to shareholders through the purchase of our common stock, depending on market conditions and other factors.</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2019, we were party to foreign exchange forward and swap contracts to hedge changes in foreign currency exchange rates with notional amounts of approximately $96.2 million. We also use cross-currency swap agreements to mitigate currency risks associated with the net investment in certain of our foreign subsidiaries. See Note 10,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7, 2019, Moody's affirmed a Ba3 rating to our Senior Notes, as presented in Note 9,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Part I, Item 1, </w:t>
      </w:r>
      <w:r>
        <w:rPr>
          <w:rFonts w:ascii="Arial" w:cs="Arial" w:eastAsia="Arial" w:hAnsi="Arial"/>
          <w:sz w:val="17"/>
          <w:szCs w:val="17"/>
          <w:i w:val="1"/>
          <w:iCs w:val="1"/>
          <w:color w:val="auto"/>
        </w:rPr>
        <w:t>"Notes to Unaudited Consolidated Financial Statements"</w:t>
      </w:r>
      <w:r>
        <w:rPr>
          <w:rFonts w:ascii="Arial" w:cs="Arial" w:eastAsia="Arial" w:hAnsi="Arial"/>
          <w:sz w:val="17"/>
          <w:szCs w:val="17"/>
          <w:color w:val="auto"/>
        </w:rPr>
        <w:t xml:space="preserve"> within this quarterly report on Form 10-Q. Moody's also affirmed a Ba2 Corporate Family Rating and maintained its outlook as stable. On January 30, 2019,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second quarter 2019 results continued our positive momentum, as we further improve our operating efficacy under the TriMas Business Model, which provides the standardized set of processes that we follow to drive results across our multi-industry set of businesses. We experienced year-over-year increases in sales in each of our three reportable segments, plus added two bolt-on acquisitions, and achieved anticipated overall first half 2019 financial results.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maintain our positive momentum throughout 2019, and believe we are well positioned to capitalize on available market growth opportunities, as well as have instilled a culture of Kaizen and continuous improvement to generate additional production efficiencies and cost savings. We remain cautiously optimistic about our growth and earnings expansion prospects for 2019. We are not anticipating improvements in our end markets, particularly given economic uncertainty around direct and indirect impacts of foreign trade policies. We will continue our efforts to mitigate the impact of external factors, while focusing on the aspects of our business that we can control.</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will continue to prioritize and pursue growth programs, particularly in our Packaging and Aerospace reportable segments, where we have many initiatives underway that we expect will benefit us in the second half of 2019. We will also continue to ensure our cost structures remain aligned with customer demand in the end markets we serve, most notably in our Specialty Products reportable segment. We expect to leverage the tenets of the TriMas Business Model to achieve our growth plans, execute continuous improvement initiatives to offset inflationary pressures, and seek lower-cost sources for input costs, all while continuously assessing our manufacturing footprint, productivity and fixed-cost structure.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June 30, 2019,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9, "</w:t>
      </w:r>
      <w:r>
        <w:rPr>
          <w:rFonts w:ascii="Arial" w:cs="Arial" w:eastAsia="Arial" w:hAnsi="Arial"/>
          <w:sz w:val="18"/>
          <w:szCs w:val="18"/>
          <w:i w:val="1"/>
          <w:iCs w:val="1"/>
          <w:color w:val="auto"/>
        </w:rPr>
        <w:t>Long-term Debt</w:t>
      </w:r>
      <w:r>
        <w:rPr>
          <w:rFonts w:ascii="Arial" w:cs="Arial" w:eastAsia="Arial" w:hAnsi="Arial"/>
          <w:sz w:val="18"/>
          <w:szCs w:val="18"/>
          <w:color w:val="auto"/>
        </w:rPr>
        <w:t>," and Note 10,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2019,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2019,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June 30, 2019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2018, which could materially affect our business, financial condition or future results. There have been no significant changes in our risk factors as disclosed in our 2018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2019 to April 30,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62,179,972</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May 1, 2019 to May 31, 2019</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167,900</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167,900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57,294,263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2019 to June 30,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334,600</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334,600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47,433,785</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502,500</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502,500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47,433,785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57" w:lineRule="auto"/>
        <w:tabs>
          <w:tab w:leader="none" w:pos="3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February 2019, the Company announced its Board of Directors had authorized the Company to increase the purchase of its common stock up to $75 million in the aggregate from its previous authorization of $50 million. Pursuant to this share repurchase program, during the three months ended June 30, 2019, the Company repurchased 502,500 shares of its common stock at a cost of approximately $14.7 million. The share repurchase program is effective and has no expiration date.</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60" w:type="dxa"/>
            <w:vAlign w:val="bottom"/>
            <w:gridSpan w:val="9"/>
          </w:tcPr>
          <w:p>
            <w:pPr>
              <w:spacing w:after="0"/>
              <w:rPr>
                <w:sz w:val="20"/>
                <w:szCs w:val="20"/>
                <w:color w:val="auto"/>
              </w:rPr>
            </w:pPr>
            <w:r>
              <w:rPr>
                <w:rFonts w:ascii="Arial" w:cs="Arial" w:eastAsia="Arial" w:hAnsi="Arial"/>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Arial" w:cs="Arial" w:eastAsia="Arial" w:hAnsi="Arial"/>
                <w:sz w:val="18"/>
                <w:szCs w:val="18"/>
                <w:color w:val="auto"/>
              </w:rPr>
              <w:t>3.1 (a)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3"/>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Fourth Amended and Restated Certificate of Incorporation of TriMas Corporation.</w:t>
              </w:r>
            </w:hyperlink>
          </w:p>
        </w:tc>
        <w:tc>
          <w:tcPr>
            <w:tcW w:w="3660" w:type="dxa"/>
            <w:vAlign w:val="bottom"/>
            <w:gridSpan w:val="4"/>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 (b)</w:t>
            </w:r>
          </w:p>
        </w:tc>
        <w:tc>
          <w:tcPr>
            <w:tcW w:w="1040" w:type="dxa"/>
            <w:vAlign w:val="bottom"/>
          </w:tcPr>
          <w:p>
            <w:pPr>
              <w:spacing w:after="0"/>
              <w:rPr>
                <w:sz w:val="21"/>
                <w:szCs w:val="21"/>
                <w:color w:val="auto"/>
              </w:rPr>
            </w:pPr>
          </w:p>
        </w:tc>
        <w:tc>
          <w:tcPr>
            <w:tcW w:w="4480" w:type="dxa"/>
            <w:vAlign w:val="bottom"/>
            <w:tcBorders>
              <w:bottom w:val="single" w:sz="8" w:color="0000FF"/>
            </w:tcBorders>
            <w:gridSpan w:val="2"/>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Third Amended and Restated By-laws of TriMas Corporation.</w:t>
              </w:r>
            </w:hyperlink>
          </w:p>
        </w:tc>
        <w:tc>
          <w:tcPr>
            <w:tcW w:w="5120" w:type="dxa"/>
            <w:vAlign w:val="bottom"/>
            <w:gridSpan w:val="5"/>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21"/>
                <w:szCs w:val="21"/>
                <w:color w:val="auto"/>
              </w:rPr>
            </w:pPr>
          </w:p>
        </w:tc>
        <w:tc>
          <w:tcPr>
            <w:tcW w:w="84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Form of Performance Stock Units Agreement - 2019 LTI - under the 2017 Equity and Incentive Compensation Plan.*</w:t>
              </w:r>
            </w:hyperlink>
          </w:p>
        </w:tc>
        <w:tc>
          <w:tcPr>
            <w:tcW w:w="1140" w:type="dxa"/>
            <w:vAlign w:val="bottom"/>
            <w:gridSpan w:val="3"/>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21"/>
                <w:szCs w:val="21"/>
                <w:color w:val="auto"/>
              </w:rPr>
            </w:pPr>
          </w:p>
        </w:tc>
        <w:tc>
          <w:tcPr>
            <w:tcW w:w="96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Form of Restricted Stock Units Agreement (Three-Year Vest) - 2019 LTI - under the 2017 Equity and Incentive Compensation Plan.*</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1040" w:type="dxa"/>
            <w:vAlign w:val="bottom"/>
          </w:tcPr>
          <w:p>
            <w:pPr>
              <w:spacing w:after="0"/>
              <w:rPr>
                <w:sz w:val="21"/>
                <w:szCs w:val="21"/>
                <w:color w:val="auto"/>
              </w:rPr>
            </w:pPr>
          </w:p>
        </w:tc>
        <w:tc>
          <w:tcPr>
            <w:tcW w:w="9600" w:type="dxa"/>
            <w:vAlign w:val="bottom"/>
            <w:gridSpan w:val="7"/>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Form of Restricted Stock Units Agreement (Board Of Directors) (One-Year Vest) - 2019 LTI - under the 2017 Equity and Incentive</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Compensation Plan.*</w:t>
              </w:r>
            </w:hyperlink>
          </w:p>
        </w:tc>
        <w:tc>
          <w:tcPr>
            <w:tcW w:w="7900" w:type="dxa"/>
            <w:vAlign w:val="bottom"/>
            <w:tcBorders>
              <w:top w:val="single" w:sz="8" w:color="0000FF"/>
            </w:tcBorders>
            <w:gridSpan w:val="5"/>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8">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99">
              <w:r>
                <w:rPr>
                  <w:rFonts w:ascii="Arial" w:cs="Arial" w:eastAsia="Arial" w:hAnsi="Arial"/>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100">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0"/>
        </w:trPr>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1"/>
                <w:szCs w:val="21"/>
                <w:color w:val="auto"/>
              </w:rPr>
            </w:pPr>
          </w:p>
        </w:tc>
        <w:tc>
          <w:tcPr>
            <w:tcW w:w="9600" w:type="dxa"/>
            <w:vAlign w:val="bottom"/>
            <w:gridSpan w:val="7"/>
          </w:tcPr>
          <w:p>
            <w:pPr>
              <w:spacing w:after="0" w:line="207" w:lineRule="exact"/>
              <w:rPr>
                <w:rFonts w:ascii="Arial" w:cs="Arial" w:eastAsia="Arial" w:hAnsi="Arial"/>
                <w:sz w:val="18"/>
                <w:szCs w:val="18"/>
                <w:color w:val="0000FF"/>
                <w:w w:val="99"/>
              </w:rPr>
            </w:pPr>
            <w:hyperlink w:anchor="page101">
              <w:r>
                <w:rPr>
                  <w:rFonts w:ascii="Arial" w:cs="Arial" w:eastAsia="Arial" w:hAnsi="Arial"/>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Arial" w:cs="Arial" w:eastAsia="Arial" w:hAnsi="Arial"/>
                  <w:sz w:val="18"/>
                  <w:szCs w:val="18"/>
                  <w:color w:val="0000FF"/>
                  <w:w w:val="99"/>
                </w:rPr>
                <w:t>Oxley Act of 2002.</w:t>
              </w:r>
            </w:hyperlink>
          </w:p>
        </w:tc>
      </w:tr>
      <w:tr>
        <w:trPr>
          <w:trHeight w:val="291"/>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0" w:type="dxa"/>
            <w:vAlign w:val="bottom"/>
          </w:tcPr>
          <w:p>
            <w:pPr>
              <w:spacing w:after="0"/>
              <w:rPr>
                <w:sz w:val="24"/>
                <w:szCs w:val="24"/>
                <w:color w:val="auto"/>
              </w:rPr>
            </w:pPr>
          </w:p>
        </w:tc>
        <w:tc>
          <w:tcPr>
            <w:tcW w:w="87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gridSpan w:val="2"/>
          </w:tcPr>
          <w:p>
            <w:pPr>
              <w:spacing w:after="0"/>
              <w:rPr>
                <w:sz w:val="24"/>
                <w:szCs w:val="24"/>
                <w:color w:val="auto"/>
              </w:rPr>
            </w:pP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40" w:type="dxa"/>
            <w:vAlign w:val="bottom"/>
          </w:tcPr>
          <w:p>
            <w:pPr>
              <w:spacing w:after="0"/>
              <w:rPr>
                <w:sz w:val="23"/>
                <w:szCs w:val="23"/>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460" w:hanging="832"/>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460" w:hanging="832"/>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180" w:type="dxa"/>
            <w:vAlign w:val="bottom"/>
            <w:gridSpan w:val="2"/>
          </w:tcPr>
          <w:p>
            <w:pPr>
              <w:ind w:left="106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Date:  July 30, 2019</w:t>
            </w:r>
          </w:p>
        </w:tc>
        <w:tc>
          <w:tcPr>
            <w:tcW w:w="4180" w:type="dxa"/>
            <w:vAlign w:val="bottom"/>
            <w:gridSpan w:val="2"/>
          </w:tcPr>
          <w:p>
            <w:pPr>
              <w:ind w:left="106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00" w:type="dxa"/>
            <w:vAlign w:val="bottom"/>
          </w:tcPr>
          <w:p>
            <w:pPr>
              <w:spacing w:after="0"/>
              <w:rPr>
                <w:sz w:val="24"/>
                <w:szCs w:val="24"/>
                <w:color w:val="auto"/>
              </w:rPr>
            </w:pPr>
          </w:p>
        </w:tc>
        <w:tc>
          <w:tcPr>
            <w:tcW w:w="4180" w:type="dxa"/>
            <w:vAlign w:val="bottom"/>
            <w:gridSpan w:val="2"/>
          </w:tcPr>
          <w:p>
            <w:pPr>
              <w:jc w:val="right"/>
              <w:ind w:right="1020"/>
              <w:spacing w:after="0"/>
              <w:rPr>
                <w:sz w:val="20"/>
                <w:szCs w:val="20"/>
                <w:color w:val="auto"/>
              </w:rPr>
            </w:pPr>
            <w:r>
              <w:rPr>
                <w:rFonts w:ascii="Arial" w:cs="Arial" w:eastAsia="Arial" w:hAnsi="Arial"/>
                <w:sz w:val="18"/>
                <w:szCs w:val="18"/>
                <w:color w:val="auto"/>
              </w:rPr>
              <w:t>40</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1/1/19 - 12/31/21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one or more Appendices to this Agreement, the terms used in this Agreement have the same meanings as defined in the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gridSpan w:val="3"/>
          </w:tcPr>
          <w:p>
            <w:pPr>
              <w:spacing w:after="0"/>
              <w:rPr>
                <w:sz w:val="20"/>
                <w:szCs w:val="20"/>
                <w:color w:val="auto"/>
              </w:rPr>
            </w:pPr>
            <w:r>
              <w:rPr>
                <w:rFonts w:ascii="Arial" w:cs="Arial" w:eastAsia="Arial" w:hAnsi="Arial"/>
                <w:sz w:val="22"/>
                <w:szCs w:val="22"/>
                <w:b w:val="1"/>
                <w:bCs w:val="1"/>
                <w:color w:val="auto"/>
              </w:rPr>
              <w:t>I.  NOTICE OF PSU AWARD</w:t>
            </w:r>
          </w:p>
        </w:tc>
        <w:tc>
          <w:tcPr>
            <w:tcW w:w="5760" w:type="dxa"/>
            <w:vAlign w:val="bottom"/>
          </w:tcPr>
          <w:p>
            <w:pPr>
              <w:spacing w:after="0"/>
              <w:rPr>
                <w:sz w:val="21"/>
                <w:szCs w:val="21"/>
                <w:color w:val="auto"/>
              </w:rPr>
            </w:pPr>
          </w:p>
        </w:tc>
      </w:tr>
      <w:tr>
        <w:trPr>
          <w:trHeight w:val="787"/>
        </w:trPr>
        <w:tc>
          <w:tcPr>
            <w:tcW w:w="360" w:type="dxa"/>
            <w:vAlign w:val="bottom"/>
          </w:tcPr>
          <w:p>
            <w:pPr>
              <w:spacing w:after="0"/>
              <w:rPr>
                <w:sz w:val="24"/>
                <w:szCs w:val="24"/>
                <w:color w:val="auto"/>
              </w:rPr>
            </w:pPr>
          </w:p>
        </w:tc>
        <w:tc>
          <w:tcPr>
            <w:tcW w:w="2520" w:type="dxa"/>
            <w:vAlign w:val="bottom"/>
            <w:tcBorders>
              <w:top w:val="single" w:sz="8" w:color="auto"/>
            </w:tcBorders>
          </w:tcPr>
          <w:p>
            <w:pPr>
              <w:ind w:left="700"/>
              <w:spacing w:after="0"/>
              <w:rPr>
                <w:sz w:val="20"/>
                <w:szCs w:val="20"/>
                <w:color w:val="auto"/>
              </w:rPr>
            </w:pPr>
            <w:r>
              <w:rPr>
                <w:rFonts w:ascii="Arial" w:cs="Arial" w:eastAsia="Arial" w:hAnsi="Arial"/>
                <w:sz w:val="22"/>
                <w:szCs w:val="22"/>
                <w:b w:val="1"/>
                <w:bCs w:val="1"/>
                <w:color w:val="auto"/>
              </w:rPr>
              <w:t>Grantee:</w:t>
            </w:r>
          </w:p>
        </w:tc>
        <w:tc>
          <w:tcPr>
            <w:tcW w:w="1640" w:type="dxa"/>
            <w:vAlign w:val="bottom"/>
          </w:tcPr>
          <w:p>
            <w:pPr>
              <w:spacing w:after="0"/>
              <w:rPr>
                <w:sz w:val="24"/>
                <w:szCs w:val="24"/>
                <w:color w:val="auto"/>
              </w:rPr>
            </w:pPr>
          </w:p>
        </w:tc>
        <w:tc>
          <w:tcPr>
            <w:tcW w:w="5760" w:type="dxa"/>
            <w:vAlign w:val="bottom"/>
          </w:tcPr>
          <w:p>
            <w:pPr>
              <w:ind w:left="940"/>
              <w:spacing w:after="0"/>
              <w:rPr>
                <w:sz w:val="20"/>
                <w:szCs w:val="20"/>
                <w:color w:val="auto"/>
              </w:rPr>
            </w:pPr>
            <w:r>
              <w:rPr>
                <w:rFonts w:ascii="Arial" w:cs="Arial" w:eastAsia="Arial" w:hAnsi="Arial"/>
                <w:sz w:val="22"/>
                <w:szCs w:val="22"/>
                <w:color w:val="auto"/>
              </w:rPr>
              <w:t>[specify Grantee’s name]</w:t>
            </w:r>
          </w:p>
        </w:tc>
      </w:tr>
      <w:tr>
        <w:trPr>
          <w:trHeight w:val="297"/>
        </w:trPr>
        <w:tc>
          <w:tcPr>
            <w:tcW w:w="360" w:type="dxa"/>
            <w:vAlign w:val="bottom"/>
          </w:tcPr>
          <w:p>
            <w:pPr>
              <w:spacing w:after="0"/>
              <w:rPr>
                <w:sz w:val="24"/>
                <w:szCs w:val="24"/>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Date of Agreement:</w:t>
            </w:r>
          </w:p>
        </w:tc>
        <w:tc>
          <w:tcPr>
            <w:tcW w:w="5760" w:type="dxa"/>
            <w:vAlign w:val="bottom"/>
          </w:tcPr>
          <w:p>
            <w:pPr>
              <w:ind w:left="940"/>
              <w:spacing w:after="0"/>
              <w:rPr>
                <w:sz w:val="20"/>
                <w:szCs w:val="20"/>
                <w:color w:val="auto"/>
              </w:rPr>
            </w:pPr>
            <w:r>
              <w:rPr>
                <w:rFonts w:ascii="Arial" w:cs="Arial" w:eastAsia="Arial" w:hAnsi="Arial"/>
                <w:sz w:val="22"/>
                <w:szCs w:val="22"/>
                <w:color w:val="auto"/>
              </w:rPr>
              <w:t>As of [enter date]</w:t>
            </w:r>
          </w:p>
        </w:tc>
      </w:tr>
      <w:tr>
        <w:trPr>
          <w:trHeight w:val="297"/>
        </w:trPr>
        <w:tc>
          <w:tcPr>
            <w:tcW w:w="360" w:type="dxa"/>
            <w:vAlign w:val="bottom"/>
          </w:tcPr>
          <w:p>
            <w:pPr>
              <w:spacing w:after="0"/>
              <w:rPr>
                <w:sz w:val="24"/>
                <w:szCs w:val="24"/>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Date of Grant:</w:t>
            </w:r>
          </w:p>
        </w:tc>
        <w:tc>
          <w:tcPr>
            <w:tcW w:w="5760" w:type="dxa"/>
            <w:vAlign w:val="bottom"/>
          </w:tcPr>
          <w:p>
            <w:pPr>
              <w:ind w:left="940"/>
              <w:spacing w:after="0"/>
              <w:rPr>
                <w:sz w:val="20"/>
                <w:szCs w:val="20"/>
                <w:color w:val="auto"/>
              </w:rPr>
            </w:pPr>
            <w:r>
              <w:rPr>
                <w:rFonts w:ascii="Arial" w:cs="Arial" w:eastAsia="Arial" w:hAnsi="Arial"/>
                <w:sz w:val="22"/>
                <w:szCs w:val="22"/>
                <w:color w:val="auto"/>
              </w:rPr>
              <w:t>[Grant Date]</w:t>
            </w:r>
          </w:p>
        </w:tc>
      </w:tr>
      <w:tr>
        <w:trPr>
          <w:trHeight w:val="266"/>
        </w:trPr>
        <w:tc>
          <w:tcPr>
            <w:tcW w:w="360" w:type="dxa"/>
            <w:vAlign w:val="bottom"/>
          </w:tcPr>
          <w:p>
            <w:pPr>
              <w:spacing w:after="0"/>
              <w:rPr>
                <w:sz w:val="23"/>
                <w:szCs w:val="23"/>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Number of PSUs in Award:</w:t>
            </w:r>
          </w:p>
        </w:tc>
        <w:tc>
          <w:tcPr>
            <w:tcW w:w="5760" w:type="dxa"/>
            <w:vAlign w:val="bottom"/>
          </w:tcPr>
          <w:p>
            <w:pPr>
              <w:ind w:left="940"/>
              <w:spacing w:after="0"/>
              <w:rPr>
                <w:sz w:val="20"/>
                <w:szCs w:val="20"/>
                <w:color w:val="auto"/>
              </w:rPr>
            </w:pPr>
            <w:r>
              <w:rPr>
                <w:rFonts w:ascii="Arial" w:cs="Arial" w:eastAsia="Arial" w:hAnsi="Arial"/>
                <w:sz w:val="22"/>
                <w:szCs w:val="22"/>
                <w:color w:val="auto"/>
                <w:w w:val="98"/>
              </w:rPr>
              <w:t>[number of PSUs] (“Target”), subject to addition or</w:t>
            </w:r>
          </w:p>
        </w:tc>
      </w:tr>
      <w:tr>
        <w:trPr>
          <w:trHeight w:val="243"/>
        </w:trPr>
        <w:tc>
          <w:tcPr>
            <w:tcW w:w="3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760" w:type="dxa"/>
            <w:vAlign w:val="bottom"/>
          </w:tcPr>
          <w:p>
            <w:pPr>
              <w:ind w:left="940"/>
              <w:spacing w:after="0" w:line="243" w:lineRule="exact"/>
              <w:rPr>
                <w:sz w:val="20"/>
                <w:szCs w:val="20"/>
                <w:color w:val="auto"/>
              </w:rPr>
            </w:pPr>
            <w:r>
              <w:rPr>
                <w:rFonts w:ascii="Arial" w:cs="Arial" w:eastAsia="Arial" w:hAnsi="Arial"/>
                <w:sz w:val="22"/>
                <w:szCs w:val="22"/>
                <w:color w:val="auto"/>
                <w:w w:val="93"/>
              </w:rPr>
              <w:t>subtraction as set forth on Appendix A depending on</w:t>
            </w:r>
          </w:p>
        </w:tc>
      </w:tr>
      <w:tr>
        <w:trPr>
          <w:trHeight w:val="275"/>
        </w:trPr>
        <w:tc>
          <w:tcPr>
            <w:tcW w:w="3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760" w:type="dxa"/>
            <w:vAlign w:val="bottom"/>
          </w:tcPr>
          <w:p>
            <w:pPr>
              <w:ind w:left="940"/>
              <w:spacing w:after="0"/>
              <w:rPr>
                <w:sz w:val="20"/>
                <w:szCs w:val="20"/>
                <w:color w:val="auto"/>
              </w:rPr>
            </w:pPr>
            <w:r>
              <w:rPr>
                <w:rFonts w:ascii="Arial" w:cs="Arial" w:eastAsia="Arial" w:hAnsi="Arial"/>
                <w:sz w:val="22"/>
                <w:szCs w:val="22"/>
                <w:color w:val="auto"/>
                <w:w w:val="96"/>
              </w:rPr>
              <w:t>achievement of applicable Management Objectives</w:t>
            </w:r>
          </w:p>
        </w:tc>
      </w:tr>
      <w:tr>
        <w:trPr>
          <w:trHeight w:val="266"/>
        </w:trPr>
        <w:tc>
          <w:tcPr>
            <w:tcW w:w="360" w:type="dxa"/>
            <w:vAlign w:val="bottom"/>
          </w:tcPr>
          <w:p>
            <w:pPr>
              <w:spacing w:after="0"/>
              <w:rPr>
                <w:sz w:val="23"/>
                <w:szCs w:val="23"/>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Performance Period:</w:t>
            </w:r>
          </w:p>
        </w:tc>
        <w:tc>
          <w:tcPr>
            <w:tcW w:w="5760" w:type="dxa"/>
            <w:vAlign w:val="bottom"/>
          </w:tcPr>
          <w:p>
            <w:pPr>
              <w:ind w:left="940"/>
              <w:spacing w:after="0"/>
              <w:rPr>
                <w:sz w:val="20"/>
                <w:szCs w:val="20"/>
                <w:color w:val="auto"/>
              </w:rPr>
            </w:pPr>
            <w:r>
              <w:rPr>
                <w:rFonts w:ascii="Arial" w:cs="Arial" w:eastAsia="Arial" w:hAnsi="Arial"/>
                <w:sz w:val="22"/>
                <w:szCs w:val="22"/>
                <w:color w:val="auto"/>
                <w:w w:val="90"/>
              </w:rPr>
              <w:t>Beginning on January 1, 2019, and continuing through</w:t>
            </w:r>
          </w:p>
        </w:tc>
      </w:tr>
      <w:tr>
        <w:trPr>
          <w:trHeight w:val="275"/>
        </w:trPr>
        <w:tc>
          <w:tcPr>
            <w:tcW w:w="3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760" w:type="dxa"/>
            <w:vAlign w:val="bottom"/>
          </w:tcPr>
          <w:p>
            <w:pPr>
              <w:ind w:left="940"/>
              <w:spacing w:after="0"/>
              <w:rPr>
                <w:sz w:val="20"/>
                <w:szCs w:val="20"/>
                <w:color w:val="auto"/>
              </w:rPr>
            </w:pPr>
            <w:r>
              <w:rPr>
                <w:rFonts w:ascii="Arial" w:cs="Arial" w:eastAsia="Arial" w:hAnsi="Arial"/>
                <w:sz w:val="22"/>
                <w:szCs w:val="22"/>
                <w:color w:val="auto"/>
              </w:rPr>
              <w:t>December 31, 2021</w:t>
            </w:r>
          </w:p>
        </w:tc>
      </w:tr>
      <w:tr>
        <w:trPr>
          <w:trHeight w:val="297"/>
        </w:trPr>
        <w:tc>
          <w:tcPr>
            <w:tcW w:w="360" w:type="dxa"/>
            <w:vAlign w:val="bottom"/>
          </w:tcPr>
          <w:p>
            <w:pPr>
              <w:spacing w:after="0"/>
              <w:rPr>
                <w:sz w:val="24"/>
                <w:szCs w:val="24"/>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Settlement Date</w:t>
            </w:r>
          </w:p>
        </w:tc>
        <w:tc>
          <w:tcPr>
            <w:tcW w:w="5760" w:type="dxa"/>
            <w:vAlign w:val="bottom"/>
          </w:tcPr>
          <w:p>
            <w:pPr>
              <w:ind w:left="940"/>
              <w:spacing w:after="0"/>
              <w:rPr>
                <w:sz w:val="20"/>
                <w:szCs w:val="20"/>
                <w:color w:val="auto"/>
              </w:rPr>
            </w:pPr>
            <w:r>
              <w:rPr>
                <w:rFonts w:ascii="Arial" w:cs="Arial" w:eastAsia="Arial" w:hAnsi="Arial"/>
                <w:sz w:val="22"/>
                <w:szCs w:val="22"/>
                <w:color w:val="auto"/>
              </w:rPr>
              <w:t>May 1, 2022</w:t>
            </w:r>
          </w:p>
        </w:tc>
      </w:tr>
      <w:tr>
        <w:trPr>
          <w:trHeight w:val="266"/>
        </w:trPr>
        <w:tc>
          <w:tcPr>
            <w:tcW w:w="360" w:type="dxa"/>
            <w:vAlign w:val="bottom"/>
          </w:tcPr>
          <w:p>
            <w:pPr>
              <w:spacing w:after="0"/>
              <w:rPr>
                <w:sz w:val="23"/>
                <w:szCs w:val="23"/>
                <w:color w:val="auto"/>
              </w:rPr>
            </w:pPr>
          </w:p>
        </w:tc>
        <w:tc>
          <w:tcPr>
            <w:tcW w:w="4160" w:type="dxa"/>
            <w:vAlign w:val="bottom"/>
            <w:gridSpan w:val="2"/>
          </w:tcPr>
          <w:p>
            <w:pPr>
              <w:ind w:left="700"/>
              <w:spacing w:after="0"/>
              <w:rPr>
                <w:sz w:val="20"/>
                <w:szCs w:val="20"/>
                <w:color w:val="auto"/>
              </w:rPr>
            </w:pPr>
            <w:r>
              <w:rPr>
                <w:rFonts w:ascii="Arial" w:cs="Arial" w:eastAsia="Arial" w:hAnsi="Arial"/>
                <w:sz w:val="22"/>
                <w:szCs w:val="22"/>
                <w:b w:val="1"/>
                <w:bCs w:val="1"/>
                <w:color w:val="auto"/>
              </w:rPr>
              <w:t>Settlement Method:</w:t>
            </w:r>
          </w:p>
        </w:tc>
        <w:tc>
          <w:tcPr>
            <w:tcW w:w="5760" w:type="dxa"/>
            <w:vAlign w:val="bottom"/>
          </w:tcPr>
          <w:p>
            <w:pPr>
              <w:ind w:left="940"/>
              <w:spacing w:after="0"/>
              <w:rPr>
                <w:sz w:val="20"/>
                <w:szCs w:val="20"/>
                <w:color w:val="auto"/>
              </w:rPr>
            </w:pPr>
            <w:r>
              <w:rPr>
                <w:rFonts w:ascii="Arial" w:cs="Arial" w:eastAsia="Arial" w:hAnsi="Arial"/>
                <w:sz w:val="22"/>
                <w:szCs w:val="22"/>
                <w:color w:val="auto"/>
                <w:w w:val="92"/>
              </w:rPr>
              <w:t>Earned and vested PSUs will be settled by delivery of</w:t>
            </w:r>
          </w:p>
        </w:tc>
      </w:tr>
      <w:tr>
        <w:trPr>
          <w:trHeight w:val="275"/>
        </w:trPr>
        <w:tc>
          <w:tcPr>
            <w:tcW w:w="3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760" w:type="dxa"/>
            <w:vAlign w:val="bottom"/>
          </w:tcPr>
          <w:p>
            <w:pPr>
              <w:ind w:left="940"/>
              <w:spacing w:after="0"/>
              <w:rPr>
                <w:sz w:val="20"/>
                <w:szCs w:val="20"/>
                <w:color w:val="auto"/>
              </w:rPr>
            </w:pPr>
            <w:r>
              <w:rPr>
                <w:rFonts w:ascii="Arial" w:cs="Arial" w:eastAsia="Arial" w:hAnsi="Arial"/>
                <w:sz w:val="22"/>
                <w:szCs w:val="22"/>
                <w:color w:val="auto"/>
                <w:w w:val="87"/>
              </w:rPr>
              <w:t>one share of Common Stock for each PSU being settled</w:t>
            </w:r>
          </w:p>
        </w:tc>
      </w:tr>
    </w:tbl>
    <w:p>
      <w:pPr>
        <w:spacing w:after="0" w:line="39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24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granted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earn the number of PSUs described above, subject to the terms of this Agreement (this “Award”).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ectPr>
          <w:pgSz w:w="11900" w:h="16838" w:orient="portrait"/>
          <w:cols w:equalWidth="0" w:num="1">
            <w:col w:w="11420"/>
          </w:cols>
          <w:pgMar w:left="240" w:top="369" w:right="239" w:bottom="1440" w:gutter="0" w:footer="0" w:header="0"/>
        </w:sectPr>
      </w:pPr>
    </w:p>
    <w:bookmarkStart w:id="42" w:name="page43"/>
    <w:bookmarkEnd w:id="42"/>
    <w:p>
      <w:pPr>
        <w:jc w:val="both"/>
        <w:ind w:firstLine="1305"/>
        <w:spacing w:after="0" w:line="249" w:lineRule="auto"/>
        <w:tabs>
          <w:tab w:leader="none" w:pos="185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86" w:lineRule="exact"/>
        <w:rPr>
          <w:rFonts w:ascii="Arial" w:cs="Arial" w:eastAsia="Arial" w:hAnsi="Arial"/>
          <w:sz w:val="22"/>
          <w:szCs w:val="22"/>
          <w:b w:val="1"/>
          <w:bCs w:val="1"/>
          <w:color w:val="auto"/>
        </w:rPr>
      </w:pPr>
    </w:p>
    <w:p>
      <w:pPr>
        <w:jc w:val="both"/>
        <w:ind w:firstLine="1305"/>
        <w:spacing w:after="0" w:line="256" w:lineRule="auto"/>
        <w:tabs>
          <w:tab w:leader="none" w:pos="1729"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color w:val="auto"/>
        </w:rPr>
        <w:t>. Grantee will only receive shares of Common Stock related to, and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such shares are earned pursuant to, the Management Objectives and goals specified in Appendix A to this Agreement (“Performance Goals”).</w:t>
      </w:r>
    </w:p>
    <w:p>
      <w:pPr>
        <w:spacing w:after="0" w:line="176" w:lineRule="exact"/>
        <w:rPr>
          <w:rFonts w:ascii="Arial" w:cs="Arial" w:eastAsia="Arial" w:hAnsi="Arial"/>
          <w:sz w:val="22"/>
          <w:szCs w:val="22"/>
          <w:b w:val="1"/>
          <w:bCs w:val="1"/>
          <w:color w:val="auto"/>
        </w:rPr>
      </w:pPr>
    </w:p>
    <w:p>
      <w:pPr>
        <w:jc w:val="both"/>
        <w:ind w:firstLine="1305"/>
        <w:spacing w:after="0" w:line="259" w:lineRule="auto"/>
        <w:tabs>
          <w:tab w:leader="none" w:pos="1742"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PSU equal to the amount of each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0" w:lineRule="exact"/>
        <w:rPr>
          <w:rFonts w:ascii="Arial" w:cs="Arial" w:eastAsia="Arial" w:hAnsi="Arial"/>
          <w:sz w:val="21"/>
          <w:szCs w:val="21"/>
          <w:b w:val="1"/>
          <w:bCs w:val="1"/>
          <w:color w:val="auto"/>
        </w:rPr>
      </w:pPr>
    </w:p>
    <w:p>
      <w:pPr>
        <w:jc w:val="both"/>
        <w:ind w:firstLine="1305"/>
        <w:spacing w:after="0" w:line="261" w:lineRule="auto"/>
        <w:tabs>
          <w:tab w:leader="none" w:pos="1688"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color w:val="auto"/>
        </w:rPr>
        <w:t>. This Award does not entitle Grantee to any ownership interest in any actual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4" w:lineRule="exact"/>
        <w:rPr>
          <w:rFonts w:ascii="Arial" w:cs="Arial" w:eastAsia="Arial" w:hAnsi="Arial"/>
          <w:sz w:val="21"/>
          <w:szCs w:val="21"/>
          <w:b w:val="1"/>
          <w:bCs w:val="1"/>
          <w:color w:val="auto"/>
        </w:rPr>
      </w:pPr>
    </w:p>
    <w:p>
      <w:pPr>
        <w:ind w:left="1720" w:hanging="415"/>
        <w:spacing w:after="0"/>
        <w:tabs>
          <w:tab w:leader="none" w:pos="172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covered by this Award will be subject to adjustment as provided in Section 11 of the</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w:t>
      </w:r>
    </w:p>
    <w:p>
      <w:pPr>
        <w:spacing w:after="0" w:line="195" w:lineRule="exact"/>
        <w:rPr>
          <w:rFonts w:ascii="Arial" w:cs="Arial" w:eastAsia="Arial" w:hAnsi="Arial"/>
          <w:sz w:val="19"/>
          <w:szCs w:val="19"/>
          <w:b w:val="1"/>
          <w:bCs w:val="1"/>
          <w:color w:val="auto"/>
        </w:rPr>
      </w:pPr>
    </w:p>
    <w:p>
      <w:pPr>
        <w:ind w:left="1680" w:hanging="375"/>
        <w:spacing w:after="0"/>
        <w:tabs>
          <w:tab w:leader="none" w:pos="16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firstLine="1293"/>
        <w:spacing w:after="0" w:line="249" w:lineRule="auto"/>
        <w:tabs>
          <w:tab w:leader="none" w:pos="2642" w:val="left"/>
        </w:tabs>
        <w:numPr>
          <w:ilvl w:val="1"/>
          <w:numId w:val="14"/>
        </w:numPr>
        <w:rPr>
          <w:rFonts w:ascii="Arial" w:cs="Arial" w:eastAsia="Arial" w:hAnsi="Arial"/>
          <w:sz w:val="22"/>
          <w:szCs w:val="22"/>
          <w:color w:val="auto"/>
        </w:rPr>
      </w:pPr>
      <w:r>
        <w:rPr>
          <w:rFonts w:ascii="Arial" w:cs="Arial" w:eastAsia="Arial" w:hAnsi="Arial"/>
          <w:sz w:val="22"/>
          <w:szCs w:val="22"/>
          <w:b w:val="1"/>
          <w:bCs w:val="1"/>
          <w:color w:val="auto"/>
        </w:rPr>
        <w:t>Voluntary Termination; Termination by Company; Breach of Other Obligations</w:t>
      </w:r>
      <w:r>
        <w:rPr>
          <w:rFonts w:ascii="Arial" w:cs="Arial" w:eastAsia="Arial" w:hAnsi="Arial"/>
          <w:sz w:val="22"/>
          <w:szCs w:val="22"/>
          <w:color w:val="auto"/>
        </w:rPr>
        <w:t>. Any PSUs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this Award will be canceled and forfeited if, prior to the Settlement Date, Grantee voluntarily terminates as a Service Provider (other than for Good Reason as provided below), if Grantee’s status as a Service Provider is terminated by the Company or a Subsidiary for any reason (other than death, Disability, or Retirement), or if Grantee violates the provisions of Section II.B.4 below.</w:t>
      </w:r>
    </w:p>
    <w:p>
      <w:pPr>
        <w:spacing w:after="0" w:line="186" w:lineRule="exact"/>
        <w:rPr>
          <w:rFonts w:ascii="Arial" w:cs="Arial" w:eastAsia="Arial" w:hAnsi="Arial"/>
          <w:sz w:val="22"/>
          <w:szCs w:val="22"/>
          <w:color w:val="auto"/>
        </w:rPr>
      </w:pPr>
    </w:p>
    <w:p>
      <w:pPr>
        <w:jc w:val="both"/>
        <w:ind w:left="660" w:firstLine="1293"/>
        <w:spacing w:after="0" w:line="293" w:lineRule="auto"/>
        <w:tabs>
          <w:tab w:leader="none" w:pos="2479" w:val="left"/>
        </w:tabs>
        <w:numPr>
          <w:ilvl w:val="1"/>
          <w:numId w:val="14"/>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in Control</w:t>
      </w:r>
      <w:r>
        <w:rPr>
          <w:rFonts w:ascii="Arial" w:cs="Arial" w:eastAsia="Arial" w:hAnsi="Arial"/>
          <w:sz w:val="19"/>
          <w:szCs w:val="19"/>
          <w:color w:val="auto"/>
        </w:rPr>
        <w:t>. Notwithstanding the foregoing,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subsection (f)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3" w:name="page44"/>
    <w:bookmarkEnd w:id="43"/>
    <w:p>
      <w:pPr>
        <w:jc w:val="both"/>
        <w:ind w:right="20"/>
        <w:spacing w:after="0" w:line="253" w:lineRule="auto"/>
        <w:rPr>
          <w:sz w:val="20"/>
          <w:szCs w:val="20"/>
          <w:color w:val="auto"/>
        </w:rPr>
      </w:pPr>
      <w:r>
        <w:rPr>
          <w:rFonts w:ascii="Arial" w:cs="Arial" w:eastAsia="Arial" w:hAnsi="Arial"/>
          <w:sz w:val="22"/>
          <w:szCs w:val="22"/>
          <w:color w:val="auto"/>
        </w:rPr>
        <w:t>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80" w:lineRule="exact"/>
        <w:rPr>
          <w:sz w:val="20"/>
          <w:szCs w:val="20"/>
          <w:color w:val="auto"/>
        </w:rPr>
      </w:pPr>
    </w:p>
    <w:p>
      <w:pPr>
        <w:jc w:val="both"/>
        <w:ind w:firstLine="1293"/>
        <w:spacing w:after="0" w:line="304" w:lineRule="auto"/>
        <w:tabs>
          <w:tab w:leader="none" w:pos="1887"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Notwithstanding the foregoing, if Grantee ceases to be a Service Provider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Date as a 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35" w:lineRule="exact"/>
        <w:rPr>
          <w:rFonts w:ascii="Arial" w:cs="Arial" w:eastAsia="Arial" w:hAnsi="Arial"/>
          <w:sz w:val="19"/>
          <w:szCs w:val="19"/>
          <w:color w:val="auto"/>
        </w:rPr>
      </w:pPr>
    </w:p>
    <w:p>
      <w:pPr>
        <w:jc w:val="both"/>
        <w:ind w:right="20" w:firstLine="1293"/>
        <w:spacing w:after="0" w:line="256" w:lineRule="auto"/>
        <w:tabs>
          <w:tab w:leader="none" w:pos="1967"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a result of Grantee’s death, Grantee’s PSUs shall immediately become fully vested based on the Target number set forth in “Number of PSUs in Award” in Section I.</w:t>
      </w:r>
    </w:p>
    <w:p>
      <w:pPr>
        <w:spacing w:after="0" w:line="176" w:lineRule="exact"/>
        <w:rPr>
          <w:rFonts w:ascii="Arial" w:cs="Arial" w:eastAsia="Arial" w:hAnsi="Arial"/>
          <w:sz w:val="22"/>
          <w:szCs w:val="22"/>
          <w:color w:val="auto"/>
        </w:rPr>
      </w:pPr>
    </w:p>
    <w:p>
      <w:pPr>
        <w:jc w:val="both"/>
        <w:ind w:firstLine="1293"/>
        <w:spacing w:after="0" w:line="256" w:lineRule="auto"/>
        <w:tabs>
          <w:tab w:leader="none" w:pos="1995"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amount of PSUs, with the pro-rata amount determined in accordance with subsection (b) of this Section II.A.6.</w:t>
      </w:r>
    </w:p>
    <w:p>
      <w:pPr>
        <w:spacing w:after="0" w:line="176" w:lineRule="exact"/>
        <w:rPr>
          <w:rFonts w:ascii="Arial" w:cs="Arial" w:eastAsia="Arial" w:hAnsi="Arial"/>
          <w:sz w:val="22"/>
          <w:szCs w:val="22"/>
          <w:color w:val="auto"/>
        </w:rPr>
      </w:pPr>
    </w:p>
    <w:p>
      <w:pPr>
        <w:ind w:firstLine="1293"/>
        <w:spacing w:after="0" w:line="269" w:lineRule="auto"/>
        <w:tabs>
          <w:tab w:leader="none" w:pos="1783"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Settlement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PSUs will vest in accordance with this Section II.A.6(f).</w:t>
      </w:r>
    </w:p>
    <w:p>
      <w:pPr>
        <w:spacing w:after="0" w:line="168" w:lineRule="exact"/>
        <w:rPr>
          <w:sz w:val="20"/>
          <w:szCs w:val="20"/>
          <w:color w:val="auto"/>
        </w:rPr>
      </w:pPr>
    </w:p>
    <w:p>
      <w:pPr>
        <w:jc w:val="both"/>
        <w:ind w:left="640" w:firstLine="653"/>
        <w:spacing w:after="0" w:line="259" w:lineRule="auto"/>
        <w:tabs>
          <w:tab w:leader="none" w:pos="1802" w:val="left"/>
        </w:tabs>
        <w:numPr>
          <w:ilvl w:val="0"/>
          <w:numId w:val="16"/>
        </w:numPr>
        <w:rPr>
          <w:rFonts w:ascii="Arial" w:cs="Arial" w:eastAsia="Arial" w:hAnsi="Arial"/>
          <w:sz w:val="21"/>
          <w:szCs w:val="21"/>
          <w:color w:val="auto"/>
        </w:rPr>
      </w:pPr>
      <w:r>
        <w:rPr>
          <w:rFonts w:ascii="Arial" w:cs="Arial" w:eastAsia="Arial" w:hAnsi="Arial"/>
          <w:sz w:val="21"/>
          <w:szCs w:val="21"/>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II.A.6(f)(2) to continue, replace or assume the PSUs covered by this Agreement (the “Replaced Award”)) as follows: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80" w:lineRule="exact"/>
        <w:rPr>
          <w:rFonts w:ascii="Arial" w:cs="Arial" w:eastAsia="Arial" w:hAnsi="Arial"/>
          <w:sz w:val="21"/>
          <w:szCs w:val="21"/>
          <w:color w:val="auto"/>
        </w:rPr>
      </w:pPr>
    </w:p>
    <w:p>
      <w:pPr>
        <w:jc w:val="both"/>
        <w:ind w:left="640" w:firstLine="653"/>
        <w:spacing w:after="0" w:line="286" w:lineRule="auto"/>
        <w:tabs>
          <w:tab w:leader="none" w:pos="1813" w:val="left"/>
        </w:tabs>
        <w:numPr>
          <w:ilvl w:val="0"/>
          <w:numId w:val="16"/>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(A) of the same type (e.g., performance stock units) as the Replaced Award, (B) that has a value at least equal to the value of the Replaced Award,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II.A.6(f)(2) are satisfied will be made by the Committee, as constituted immediately before the Change in Control, in its sole discretion.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375" w:right="239" w:bottom="1440" w:gutter="0" w:footer="0" w:header="0"/>
        </w:sectPr>
      </w:pPr>
    </w:p>
    <w:bookmarkStart w:id="44" w:name="page45"/>
    <w:bookmarkEnd w:id="44"/>
    <w:p>
      <w:pPr>
        <w:jc w:val="both"/>
        <w:ind w:left="1300" w:firstLine="653"/>
        <w:spacing w:after="0" w:line="292" w:lineRule="auto"/>
        <w:tabs>
          <w:tab w:leader="none" w:pos="2582" w:val="left"/>
        </w:tabs>
        <w:numPr>
          <w:ilvl w:val="0"/>
          <w:numId w:val="17"/>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5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99" w:lineRule="exact"/>
        <w:rPr>
          <w:sz w:val="20"/>
          <w:szCs w:val="20"/>
          <w:color w:val="auto"/>
        </w:rPr>
      </w:pPr>
    </w:p>
    <w:p>
      <w:pPr>
        <w:ind w:left="1680" w:hanging="375"/>
        <w:spacing w:after="0"/>
        <w:tabs>
          <w:tab w:leader="none" w:pos="16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355" w:lineRule="exact"/>
        <w:rPr>
          <w:sz w:val="20"/>
          <w:szCs w:val="20"/>
          <w:color w:val="auto"/>
        </w:rPr>
      </w:pPr>
    </w:p>
    <w:p>
      <w:pPr>
        <w:jc w:val="both"/>
        <w:ind w:left="660" w:firstLine="645"/>
        <w:spacing w:after="0" w:line="248" w:lineRule="auto"/>
        <w:tabs>
          <w:tab w:leader="none" w:pos="2196" w:val="left"/>
        </w:tabs>
        <w:numPr>
          <w:ilvl w:val="1"/>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Subject to Section II.A.7(b), upon the Committee’s certification of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May 1, 2022 (the “Settlement Date”).</w:t>
      </w:r>
    </w:p>
    <w:p>
      <w:pPr>
        <w:spacing w:after="0" w:line="241" w:lineRule="exact"/>
        <w:rPr>
          <w:rFonts w:ascii="Arial" w:cs="Arial" w:eastAsia="Arial" w:hAnsi="Arial"/>
          <w:sz w:val="22"/>
          <w:szCs w:val="22"/>
          <w:color w:val="auto"/>
        </w:rPr>
      </w:pPr>
    </w:p>
    <w:p>
      <w:pPr>
        <w:ind w:left="660" w:firstLine="645"/>
        <w:spacing w:after="0" w:line="269" w:lineRule="auto"/>
        <w:tabs>
          <w:tab w:leader="none" w:pos="2209" w:val="left"/>
        </w:tabs>
        <w:numPr>
          <w:ilvl w:val="1"/>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Other Payment Events. </w:t>
      </w:r>
      <w:r>
        <w:rPr>
          <w:rFonts w:ascii="Arial" w:cs="Arial" w:eastAsia="Arial" w:hAnsi="Arial"/>
          <w:sz w:val="22"/>
          <w:szCs w:val="22"/>
          <w:color w:val="auto"/>
        </w:rPr>
        <w:t>Notwithstanding Section II.A.7(a), to the extent that the PSUs are vested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dates set forth below, payment with respect to the PSUs will be made as follows:</w:t>
      </w:r>
    </w:p>
    <w:p>
      <w:pPr>
        <w:spacing w:after="0" w:line="87" w:lineRule="exact"/>
        <w:rPr>
          <w:rFonts w:ascii="Arial" w:cs="Arial" w:eastAsia="Arial" w:hAnsi="Arial"/>
          <w:sz w:val="22"/>
          <w:szCs w:val="22"/>
          <w:color w:val="auto"/>
        </w:rPr>
      </w:pPr>
    </w:p>
    <w:p>
      <w:pPr>
        <w:jc w:val="both"/>
        <w:ind w:left="1260" w:firstLine="625"/>
        <w:spacing w:after="0" w:line="265" w:lineRule="auto"/>
        <w:tabs>
          <w:tab w:leader="none" w:pos="2380" w:val="left"/>
        </w:tabs>
        <w:numPr>
          <w:ilvl w:val="2"/>
          <w:numId w:val="19"/>
        </w:numPr>
        <w:rPr>
          <w:rFonts w:ascii="Arial" w:cs="Arial" w:eastAsia="Arial" w:hAnsi="Arial"/>
          <w:sz w:val="21"/>
          <w:szCs w:val="21"/>
          <w:color w:val="auto"/>
        </w:rPr>
      </w:pPr>
      <w:r>
        <w:rPr>
          <w:rFonts w:ascii="Arial" w:cs="Arial" w:eastAsia="Arial" w:hAnsi="Arial"/>
          <w:sz w:val="21"/>
          <w:szCs w:val="21"/>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216" w:lineRule="exact"/>
        <w:rPr>
          <w:rFonts w:ascii="Arial" w:cs="Arial" w:eastAsia="Arial" w:hAnsi="Arial"/>
          <w:sz w:val="21"/>
          <w:szCs w:val="21"/>
          <w:color w:val="auto"/>
        </w:rPr>
      </w:pPr>
    </w:p>
    <w:p>
      <w:pPr>
        <w:jc w:val="both"/>
        <w:ind w:left="1260" w:firstLine="625"/>
        <w:spacing w:after="0" w:line="290" w:lineRule="auto"/>
        <w:tabs>
          <w:tab w:leader="none" w:pos="2188" w:val="left"/>
        </w:tabs>
        <w:numPr>
          <w:ilvl w:val="2"/>
          <w:numId w:val="19"/>
        </w:numPr>
        <w:rPr>
          <w:rFonts w:ascii="Arial" w:cs="Arial" w:eastAsia="Arial" w:hAnsi="Arial"/>
          <w:sz w:val="19"/>
          <w:szCs w:val="19"/>
          <w:color w:val="auto"/>
        </w:rPr>
      </w:pPr>
      <w:r>
        <w:rPr>
          <w:rFonts w:ascii="Arial" w:cs="Arial" w:eastAsia="Arial" w:hAnsi="Arial"/>
          <w:sz w:val="19"/>
          <w:szCs w:val="19"/>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II.A.7(a) or II.A.7(b)(1) as though such Change in Control had not occurred.</w:t>
      </w:r>
    </w:p>
    <w:p>
      <w:pPr>
        <w:spacing w:after="0" w:line="291" w:lineRule="exact"/>
        <w:rPr>
          <w:rFonts w:ascii="Arial" w:cs="Arial" w:eastAsia="Arial" w:hAnsi="Arial"/>
          <w:sz w:val="19"/>
          <w:szCs w:val="19"/>
          <w:color w:val="auto"/>
        </w:rPr>
      </w:pPr>
    </w:p>
    <w:p>
      <w:pPr>
        <w:jc w:val="both"/>
        <w:ind w:left="660" w:firstLine="645"/>
        <w:spacing w:after="0" w:line="253" w:lineRule="auto"/>
        <w:tabs>
          <w:tab w:leader="none" w:pos="2196" w:val="left"/>
        </w:tabs>
        <w:numPr>
          <w:ilvl w:val="1"/>
          <w:numId w:val="19"/>
        </w:numPr>
        <w:rPr>
          <w:rFonts w:ascii="Arial" w:cs="Arial" w:eastAsia="Arial" w:hAnsi="Arial"/>
          <w:sz w:val="22"/>
          <w:szCs w:val="22"/>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98"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45" w:name="page46"/>
    <w:bookmarkEnd w:id="45"/>
    <w:p>
      <w:pPr>
        <w:jc w:val="both"/>
        <w:ind w:firstLine="1305"/>
        <w:spacing w:after="0" w:line="315" w:lineRule="auto"/>
        <w:tabs>
          <w:tab w:leader="none" w:pos="1675"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25" w:lineRule="exact"/>
        <w:rPr>
          <w:rFonts w:ascii="Arial" w:cs="Arial" w:eastAsia="Arial" w:hAnsi="Arial"/>
          <w:sz w:val="19"/>
          <w:szCs w:val="19"/>
          <w:b w:val="1"/>
          <w:bCs w:val="1"/>
          <w:color w:val="auto"/>
        </w:rPr>
      </w:pPr>
    </w:p>
    <w:p>
      <w:pPr>
        <w:jc w:val="both"/>
        <w:ind w:firstLine="1305"/>
        <w:spacing w:after="0" w:line="257" w:lineRule="auto"/>
        <w:tabs>
          <w:tab w:leader="none" w:pos="1742"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the Company is required to withhold federal, state, local or foreign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may elect that (1) the Company will withhold shares of Common Stock having a value equal to the amount required to be withheld or (2) Grantee will pay to the Company an amount in cash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84" w:lineRule="exact"/>
        <w:rPr>
          <w:rFonts w:ascii="Arial" w:cs="Arial" w:eastAsia="Arial" w:hAnsi="Arial"/>
          <w:sz w:val="21"/>
          <w:szCs w:val="21"/>
          <w:b w:val="1"/>
          <w:bCs w:val="1"/>
          <w:color w:val="auto"/>
        </w:rPr>
      </w:pPr>
    </w:p>
    <w:p>
      <w:pPr>
        <w:jc w:val="both"/>
        <w:ind w:firstLine="1305"/>
        <w:spacing w:after="0" w:line="267" w:lineRule="auto"/>
        <w:tabs>
          <w:tab w:leader="none" w:pos="1783"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86"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64" w:lineRule="auto"/>
        <w:tabs>
          <w:tab w:leader="none" w:pos="1803"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0" w:lineRule="exact"/>
        <w:rPr>
          <w:rFonts w:ascii="Arial" w:cs="Arial" w:eastAsia="Arial" w:hAnsi="Arial"/>
          <w:sz w:val="21"/>
          <w:szCs w:val="21"/>
          <w:color w:val="auto"/>
        </w:rPr>
      </w:pPr>
    </w:p>
    <w:p>
      <w:pPr>
        <w:jc w:val="both"/>
        <w:ind w:left="1300" w:firstLine="653"/>
        <w:spacing w:after="0" w:line="298" w:lineRule="auto"/>
        <w:tabs>
          <w:tab w:leader="none" w:pos="2470" w:val="left"/>
        </w:tabs>
        <w:numPr>
          <w:ilvl w:val="1"/>
          <w:numId w:val="22"/>
        </w:numPr>
        <w:rPr>
          <w:rFonts w:ascii="Arial" w:cs="Arial" w:eastAsia="Arial" w:hAnsi="Arial"/>
          <w:sz w:val="19"/>
          <w:szCs w:val="19"/>
          <w:color w:val="auto"/>
        </w:rPr>
      </w:pPr>
      <w:r>
        <w:rPr>
          <w:rFonts w:ascii="Arial" w:cs="Arial" w:eastAsia="Arial" w:hAnsi="Arial"/>
          <w:sz w:val="19"/>
          <w:szCs w:val="19"/>
          <w:b w:val="1"/>
          <w:bCs w:val="1"/>
          <w:color w:val="auto"/>
        </w:rPr>
        <w:t>Arbitrator</w:t>
      </w:r>
      <w:r>
        <w:rPr>
          <w:rFonts w:ascii="Arial" w:cs="Arial" w:eastAsia="Arial" w:hAnsi="Arial"/>
          <w:sz w:val="19"/>
          <w:szCs w:val="19"/>
          <w:color w:val="auto"/>
        </w:rPr>
        <w:t>. The arbitration will be conducted by one arbitrator skilled in the arbitration of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46" w:name="page47"/>
    <w:bookmarkEnd w:id="46"/>
    <w:p>
      <w:pPr>
        <w:ind w:left="1300" w:right="20"/>
        <w:spacing w:after="0" w:line="263" w:lineRule="auto"/>
        <w:rPr>
          <w:sz w:val="20"/>
          <w:szCs w:val="20"/>
          <w:color w:val="auto"/>
        </w:rPr>
      </w:pPr>
      <w:r>
        <w:rPr>
          <w:rFonts w:ascii="Arial" w:cs="Arial" w:eastAsia="Arial" w:hAnsi="Arial"/>
          <w:sz w:val="22"/>
          <w:szCs w:val="22"/>
          <w:color w:val="auto"/>
        </w:rPr>
        <w:t>arbitration, unless otherwise determined by the arbitrator. Each party to the arbitration will be responsible for his/its respective attorneys’ fees or other costs of representation.</w:t>
      </w:r>
    </w:p>
    <w:p>
      <w:pPr>
        <w:spacing w:after="0" w:line="169" w:lineRule="exact"/>
        <w:rPr>
          <w:sz w:val="20"/>
          <w:szCs w:val="20"/>
          <w:color w:val="auto"/>
        </w:rPr>
      </w:pPr>
    </w:p>
    <w:p>
      <w:pPr>
        <w:ind w:left="2420" w:hanging="467"/>
        <w:spacing w:after="0"/>
        <w:tabs>
          <w:tab w:leader="none" w:pos="242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2" w:lineRule="auto"/>
        <w:tabs>
          <w:tab w:leader="none" w:pos="247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left="1680" w:hanging="375"/>
        <w:spacing w:after="0"/>
        <w:tabs>
          <w:tab w:leader="none" w:pos="168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355" w:lineRule="exact"/>
        <w:rPr>
          <w:sz w:val="20"/>
          <w:szCs w:val="20"/>
          <w:color w:val="auto"/>
        </w:rPr>
      </w:pPr>
    </w:p>
    <w:p>
      <w:pPr>
        <w:jc w:val="both"/>
        <w:ind w:left="620" w:firstLine="631"/>
        <w:spacing w:after="0" w:line="291" w:lineRule="auto"/>
        <w:tabs>
          <w:tab w:leader="none" w:pos="2156"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Generally</w:t>
      </w:r>
      <w:r>
        <w:rPr>
          <w:rFonts w:ascii="Arial" w:cs="Arial" w:eastAsia="Arial" w:hAnsi="Arial"/>
          <w:sz w:val="19"/>
          <w:szCs w:val="19"/>
          <w:color w:val="auto"/>
        </w:rPr>
        <w:t>. The Company would not be providing PSUs or Common Stock to Grantee without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203" w:lineRule="exact"/>
        <w:rPr>
          <w:rFonts w:ascii="Arial" w:cs="Arial" w:eastAsia="Arial" w:hAnsi="Arial"/>
          <w:sz w:val="19"/>
          <w:szCs w:val="19"/>
          <w:color w:val="auto"/>
        </w:rPr>
      </w:pPr>
    </w:p>
    <w:p>
      <w:pPr>
        <w:jc w:val="both"/>
        <w:ind w:left="620" w:firstLine="631"/>
        <w:spacing w:after="0" w:line="295" w:lineRule="auto"/>
        <w:tabs>
          <w:tab w:leader="none" w:pos="2169"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47" w:name="page48"/>
    <w:bookmarkEnd w:id="47"/>
    <w:p>
      <w:pPr>
        <w:jc w:val="both"/>
        <w:spacing w:after="0" w:line="258" w:lineRule="auto"/>
        <w:rPr>
          <w:sz w:val="20"/>
          <w:szCs w:val="20"/>
          <w:color w:val="auto"/>
        </w:rPr>
      </w:pPr>
      <w:r>
        <w:rPr>
          <w:rFonts w:ascii="Arial" w:cs="Arial" w:eastAsia="Arial" w:hAnsi="Arial"/>
          <w:sz w:val="21"/>
          <w:szCs w:val="21"/>
          <w:color w:val="auto"/>
        </w:rPr>
        <w:t>Company as soon as reasonably possible after being subpoenaed or otherwise requested by any third party to disclose any Confidential Information. This Section II.B.4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231" w:lineRule="exact"/>
        <w:rPr>
          <w:sz w:val="20"/>
          <w:szCs w:val="20"/>
          <w:color w:val="auto"/>
        </w:rPr>
      </w:pPr>
    </w:p>
    <w:p>
      <w:pPr>
        <w:jc w:val="both"/>
        <w:ind w:firstLine="631"/>
        <w:spacing w:after="0" w:line="290" w:lineRule="auto"/>
        <w:tabs>
          <w:tab w:leader="none" w:pos="1536"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Covenants Against Competition and Solicitation</w:t>
      </w:r>
      <w:r>
        <w:rPr>
          <w:rFonts w:ascii="Arial" w:cs="Arial" w:eastAsia="Arial" w:hAnsi="Arial"/>
          <w:sz w:val="19"/>
          <w:szCs w:val="19"/>
          <w:color w:val="auto"/>
        </w:rPr>
        <w:t>. Grantee agrees that, while Grantee is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331" w:lineRule="exact"/>
        <w:rPr>
          <w:sz w:val="20"/>
          <w:szCs w:val="20"/>
          <w:color w:val="auto"/>
        </w:rPr>
      </w:pPr>
    </w:p>
    <w:p>
      <w:pPr>
        <w:jc w:val="both"/>
        <w:ind w:left="40"/>
        <w:spacing w:after="0" w:line="258"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active employee of the Company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315" w:lineRule="exact"/>
        <w:rPr>
          <w:sz w:val="20"/>
          <w:szCs w:val="20"/>
          <w:color w:val="auto"/>
        </w:rPr>
      </w:pPr>
    </w:p>
    <w:p>
      <w:pPr>
        <w:jc w:val="both"/>
        <w:ind w:firstLine="631"/>
        <w:spacing w:after="0" w:line="252" w:lineRule="auto"/>
        <w:tabs>
          <w:tab w:leader="none" w:pos="1549"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234" w:lineRule="exact"/>
        <w:rPr>
          <w:rFonts w:ascii="Arial" w:cs="Arial" w:eastAsia="Arial" w:hAnsi="Arial"/>
          <w:sz w:val="22"/>
          <w:szCs w:val="22"/>
          <w:color w:val="auto"/>
        </w:rPr>
      </w:pPr>
    </w:p>
    <w:p>
      <w:pPr>
        <w:ind w:left="1540" w:hanging="909"/>
        <w:spacing w:after="0"/>
        <w:tabs>
          <w:tab w:leader="none" w:pos="1540"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 The following definitions shall apply solely with respect to this Section II.B.4:</w:t>
      </w:r>
    </w:p>
    <w:p>
      <w:pPr>
        <w:spacing w:after="0" w:line="156" w:lineRule="exact"/>
        <w:rPr>
          <w:rFonts w:ascii="Arial" w:cs="Arial" w:eastAsia="Arial" w:hAnsi="Arial"/>
          <w:sz w:val="21"/>
          <w:szCs w:val="21"/>
          <w:color w:val="auto"/>
        </w:rPr>
      </w:pPr>
    </w:p>
    <w:p>
      <w:pPr>
        <w:jc w:val="both"/>
        <w:ind w:left="680" w:right="20" w:firstLine="612"/>
        <w:spacing w:after="0" w:line="253" w:lineRule="auto"/>
        <w:tabs>
          <w:tab w:leader="none" w:pos="1769" w:val="left"/>
        </w:tabs>
        <w:numPr>
          <w:ilvl w:val="1"/>
          <w:numId w:val="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w:t>
      </w:r>
    </w:p>
    <w:p>
      <w:pPr>
        <w:spacing w:after="0" w:line="200" w:lineRule="exact"/>
        <w:rPr>
          <w:sz w:val="20"/>
          <w:szCs w:val="20"/>
          <w:color w:val="auto"/>
        </w:rPr>
      </w:pPr>
    </w:p>
    <w:p>
      <w:pPr>
        <w:spacing w:after="0" w:line="3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860" w:top="510" w:right="239" w:bottom="1440" w:gutter="0" w:footer="0" w:header="0"/>
        </w:sectPr>
      </w:pPr>
    </w:p>
    <w:bookmarkStart w:id="48" w:name="page49"/>
    <w:bookmarkEnd w:id="48"/>
    <w:p>
      <w:pPr>
        <w:jc w:val="both"/>
        <w:ind w:left="1300"/>
        <w:spacing w:after="0" w:line="265" w:lineRule="auto"/>
        <w:rPr>
          <w:sz w:val="20"/>
          <w:szCs w:val="20"/>
          <w:color w:val="auto"/>
        </w:rPr>
      </w:pPr>
      <w:r>
        <w:rPr>
          <w:rFonts w:ascii="Arial" w:cs="Arial" w:eastAsia="Arial" w:hAnsi="Arial"/>
          <w:sz w:val="21"/>
          <w:szCs w:val="21"/>
          <w:color w:val="auto"/>
        </w:rPr>
        <w:t>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6" w:lineRule="exact"/>
        <w:rPr>
          <w:sz w:val="20"/>
          <w:szCs w:val="20"/>
          <w:color w:val="auto"/>
        </w:rPr>
      </w:pPr>
    </w:p>
    <w:p>
      <w:pPr>
        <w:jc w:val="both"/>
        <w:ind w:left="1300" w:right="20" w:firstLine="612"/>
        <w:spacing w:after="0" w:line="253" w:lineRule="auto"/>
        <w:tabs>
          <w:tab w:leader="none" w:pos="2524" w:val="left"/>
        </w:tabs>
        <w:numPr>
          <w:ilvl w:val="2"/>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1300" w:firstLine="612"/>
        <w:spacing w:after="0" w:line="287" w:lineRule="auto"/>
        <w:tabs>
          <w:tab w:leader="none" w:pos="2376" w:val="left"/>
        </w:tabs>
        <w:numPr>
          <w:ilvl w:val="2"/>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700" w:hanging="449"/>
        <w:spacing w:after="0"/>
        <w:tabs>
          <w:tab w:leader="none" w:pos="1700"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Separate Covenants</w:t>
      </w:r>
      <w:r>
        <w:rPr>
          <w:rFonts w:ascii="Arial" w:cs="Arial" w:eastAsia="Arial" w:hAnsi="Arial"/>
          <w:sz w:val="19"/>
          <w:szCs w:val="19"/>
          <w:color w:val="auto"/>
        </w:rPr>
        <w:t>. Each of the covenants contained in this Section II.B.4 are separate and distinct covenants</w:t>
      </w:r>
    </w:p>
    <w:p>
      <w:pPr>
        <w:spacing w:after="0" w:line="6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of Grantee.</w:t>
      </w:r>
    </w:p>
    <w:p>
      <w:pPr>
        <w:spacing w:after="0" w:line="195" w:lineRule="exact"/>
        <w:rPr>
          <w:rFonts w:ascii="Arial" w:cs="Arial" w:eastAsia="Arial" w:hAnsi="Arial"/>
          <w:sz w:val="19"/>
          <w:szCs w:val="19"/>
          <w:color w:val="auto"/>
        </w:rPr>
      </w:pPr>
    </w:p>
    <w:p>
      <w:pPr>
        <w:jc w:val="both"/>
        <w:ind w:firstLine="1305"/>
        <w:spacing w:after="0" w:line="248" w:lineRule="auto"/>
        <w:tabs>
          <w:tab w:leader="none" w:pos="1675"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color w:val="auto"/>
        </w:rPr>
        <w:t>. To the extent applicable, it is intended that this Agreement and the Plan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7" w:lineRule="exact"/>
        <w:rPr>
          <w:rFonts w:ascii="Arial" w:cs="Arial" w:eastAsia="Arial" w:hAnsi="Arial"/>
          <w:sz w:val="22"/>
          <w:szCs w:val="22"/>
          <w:b w:val="1"/>
          <w:bCs w:val="1"/>
          <w:color w:val="auto"/>
        </w:rPr>
      </w:pPr>
    </w:p>
    <w:p>
      <w:pPr>
        <w:jc w:val="both"/>
        <w:ind w:firstLine="1305"/>
        <w:spacing w:after="0" w:line="304" w:lineRule="auto"/>
        <w:tabs>
          <w:tab w:leader="none" w:pos="1729"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Continued Right as Service Provider</w:t>
      </w:r>
      <w:r>
        <w:rPr>
          <w:rFonts w:ascii="Arial" w:cs="Arial" w:eastAsia="Arial" w:hAnsi="Arial"/>
          <w:sz w:val="19"/>
          <w:szCs w:val="19"/>
          <w:color w:val="auto"/>
        </w:rPr>
        <w:t>. Nothing in the Plan or in this Agreement confers on Grantee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continue as a Service Provider, or interferes with or restricts in any way the rights of the Company or any Subsidiary,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35" w:lineRule="exact"/>
        <w:rPr>
          <w:rFonts w:ascii="Arial" w:cs="Arial" w:eastAsia="Arial" w:hAnsi="Arial"/>
          <w:sz w:val="19"/>
          <w:szCs w:val="19"/>
          <w:b w:val="1"/>
          <w:bCs w:val="1"/>
          <w:color w:val="auto"/>
        </w:rPr>
      </w:pPr>
    </w:p>
    <w:p>
      <w:pPr>
        <w:jc w:val="both"/>
        <w:ind w:firstLine="1305"/>
        <w:spacing w:after="0" w:line="252" w:lineRule="auto"/>
        <w:tabs>
          <w:tab w:leader="none" w:pos="1688"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49" w:name="page50"/>
    <w:bookmarkEnd w:id="49"/>
    <w:p>
      <w:pPr>
        <w:jc w:val="both"/>
        <w:ind w:firstLine="1305"/>
        <w:spacing w:after="0" w:line="256" w:lineRule="auto"/>
        <w:tabs>
          <w:tab w:leader="none" w:pos="1864"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If Grantee is or was employed by a subsidiary of the Company, then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is intended to be a third-party beneficiary of this Agreement and shall have the right to enforce this Agreement, including, but not limited to, the provisions of Section II.B.4.</w:t>
      </w:r>
    </w:p>
    <w:p>
      <w:pPr>
        <w:spacing w:after="0" w:line="176" w:lineRule="exact"/>
        <w:rPr>
          <w:rFonts w:ascii="Arial" w:cs="Arial" w:eastAsia="Arial" w:hAnsi="Arial"/>
          <w:sz w:val="22"/>
          <w:szCs w:val="22"/>
          <w:b w:val="1"/>
          <w:bCs w:val="1"/>
          <w:color w:val="auto"/>
        </w:rPr>
      </w:pPr>
    </w:p>
    <w:p>
      <w:pPr>
        <w:jc w:val="both"/>
        <w:ind w:right="20" w:firstLine="1305"/>
        <w:spacing w:after="0" w:line="256" w:lineRule="auto"/>
        <w:tabs>
          <w:tab w:leader="none" w:pos="1729"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has no rights other than those of a general creditor of the Company. The PSUs represent an unfunded and unsecured obligation of the Company, subject to the terms and conditions of this Agreement and the Plan.</w:t>
      </w:r>
    </w:p>
    <w:p>
      <w:pPr>
        <w:spacing w:after="0" w:line="176" w:lineRule="exact"/>
        <w:rPr>
          <w:rFonts w:ascii="Arial" w:cs="Arial" w:eastAsia="Arial" w:hAnsi="Arial"/>
          <w:sz w:val="22"/>
          <w:szCs w:val="22"/>
          <w:b w:val="1"/>
          <w:bCs w:val="1"/>
          <w:color w:val="auto"/>
        </w:rPr>
      </w:pPr>
    </w:p>
    <w:p>
      <w:pPr>
        <w:jc w:val="both"/>
        <w:ind w:firstLine="1305"/>
        <w:spacing w:after="0" w:line="252" w:lineRule="auto"/>
        <w:tabs>
          <w:tab w:leader="none" w:pos="1837"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49" w:lineRule="auto"/>
        <w:tabs>
          <w:tab w:leader="none" w:pos="1784"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Company may, in its sole discretion, deliver any documents related to the PSUs and</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6" w:lineRule="exact"/>
        <w:rPr>
          <w:rFonts w:ascii="Arial" w:cs="Arial" w:eastAsia="Arial" w:hAnsi="Arial"/>
          <w:sz w:val="22"/>
          <w:szCs w:val="22"/>
          <w:b w:val="1"/>
          <w:bCs w:val="1"/>
          <w:color w:val="auto"/>
        </w:rPr>
      </w:pPr>
    </w:p>
    <w:p>
      <w:pPr>
        <w:ind w:left="1800" w:hanging="495"/>
        <w:spacing w:after="0"/>
        <w:tabs>
          <w:tab w:leader="none" w:pos="18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26" w:lineRule="exact"/>
        <w:rPr>
          <w:sz w:val="20"/>
          <w:szCs w:val="20"/>
          <w:color w:val="auto"/>
        </w:rPr>
      </w:pPr>
    </w:p>
    <w:p>
      <w:pPr>
        <w:ind w:left="660" w:firstLine="645"/>
        <w:spacing w:after="0" w:line="343" w:lineRule="auto"/>
        <w:tabs>
          <w:tab w:leader="none" w:pos="190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04" w:lineRule="exact"/>
        <w:rPr>
          <w:rFonts w:ascii="Arial" w:cs="Arial" w:eastAsia="Arial" w:hAnsi="Arial"/>
          <w:sz w:val="19"/>
          <w:szCs w:val="19"/>
          <w:color w:val="auto"/>
        </w:rPr>
      </w:pPr>
    </w:p>
    <w:p>
      <w:pPr>
        <w:ind w:left="660" w:firstLine="645"/>
        <w:spacing w:after="0" w:line="343" w:lineRule="auto"/>
        <w:tabs>
          <w:tab w:leader="none" w:pos="178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760" w:hanging="455"/>
        <w:spacing w:after="0"/>
        <w:tabs>
          <w:tab w:leader="none" w:pos="17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Committee;</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90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31"/>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9" w:right="239" w:bottom="1440" w:gutter="0" w:footer="0" w:header="0"/>
        </w:sectPr>
      </w:pPr>
    </w:p>
    <w:bookmarkStart w:id="50" w:name="page51"/>
    <w:bookmarkEnd w:id="50"/>
    <w:p>
      <w:pPr>
        <w:jc w:val="both"/>
        <w:ind w:left="660" w:firstLine="645"/>
        <w:spacing w:after="0" w:line="247" w:lineRule="auto"/>
        <w:tabs>
          <w:tab w:leader="none" w:pos="1753"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93" w:lineRule="exact"/>
        <w:rPr>
          <w:rFonts w:ascii="Arial" w:cs="Arial" w:eastAsia="Arial" w:hAnsi="Arial"/>
          <w:sz w:val="22"/>
          <w:szCs w:val="22"/>
          <w:color w:val="auto"/>
        </w:rPr>
      </w:pPr>
    </w:p>
    <w:p>
      <w:pPr>
        <w:jc w:val="both"/>
        <w:ind w:left="660" w:firstLine="645"/>
        <w:spacing w:after="0" w:line="263" w:lineRule="auto"/>
        <w:tabs>
          <w:tab w:leader="none" w:pos="1782"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69" w:lineRule="exact"/>
        <w:rPr>
          <w:rFonts w:ascii="Arial" w:cs="Arial" w:eastAsia="Arial" w:hAnsi="Arial"/>
          <w:sz w:val="21"/>
          <w:szCs w:val="21"/>
          <w:color w:val="auto"/>
        </w:rPr>
      </w:pPr>
    </w:p>
    <w:p>
      <w:pPr>
        <w:jc w:val="both"/>
        <w:ind w:left="80" w:firstLine="1292"/>
        <w:spacing w:after="0" w:line="262" w:lineRule="auto"/>
        <w:tabs>
          <w:tab w:leader="none" w:pos="1917" w:val="left"/>
        </w:tabs>
        <w:numPr>
          <w:ilvl w:val="1"/>
          <w:numId w:val="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Non-U.S. Addendum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provisions in this Agreement, the PSUs shall also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74" w:lineRule="exact"/>
        <w:rPr>
          <w:sz w:val="20"/>
          <w:szCs w:val="20"/>
          <w:color w:val="auto"/>
        </w:rPr>
      </w:pPr>
    </w:p>
    <w:p>
      <w:pPr>
        <w:jc w:val="both"/>
        <w:ind w:firstLine="1305"/>
        <w:spacing w:after="0" w:line="249" w:lineRule="auto"/>
        <w:tabs>
          <w:tab w:leader="none" w:pos="1864"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891"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0" w:lineRule="exact"/>
        <w:rPr>
          <w:rFonts w:ascii="Arial" w:cs="Arial" w:eastAsia="Arial" w:hAnsi="Arial"/>
          <w:sz w:val="22"/>
          <w:szCs w:val="22"/>
          <w:b w:val="1"/>
          <w:bCs w:val="1"/>
          <w:color w:val="auto"/>
        </w:rPr>
      </w:pPr>
    </w:p>
    <w:p>
      <w:pPr>
        <w:ind w:right="20" w:firstLine="1305"/>
        <w:spacing w:after="0" w:line="269" w:lineRule="auto"/>
        <w:tabs>
          <w:tab w:leader="none" w:pos="1850"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62" w:lineRule="exact"/>
        <w:rPr>
          <w:rFonts w:ascii="Arial" w:cs="Arial" w:eastAsia="Arial" w:hAnsi="Arial"/>
          <w:sz w:val="22"/>
          <w:szCs w:val="22"/>
          <w:b w:val="1"/>
          <w:bCs w:val="1"/>
          <w:color w:val="auto"/>
        </w:rPr>
      </w:pPr>
    </w:p>
    <w:p>
      <w:pPr>
        <w:ind w:left="1800" w:hanging="495"/>
        <w:spacing w:after="0"/>
        <w:tabs>
          <w:tab w:leader="none" w:pos="1800"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w:t>
      </w:r>
    </w:p>
    <w:p>
      <w:pPr>
        <w:spacing w:after="0" w:line="360" w:lineRule="exact"/>
        <w:rPr>
          <w:rFonts w:ascii="Arial" w:cs="Arial" w:eastAsia="Arial" w:hAnsi="Arial"/>
          <w:sz w:val="22"/>
          <w:szCs w:val="22"/>
          <w:b w:val="1"/>
          <w:bCs w:val="1"/>
          <w:color w:val="auto"/>
        </w:rPr>
      </w:pPr>
    </w:p>
    <w:p>
      <w:pPr>
        <w:jc w:val="both"/>
        <w:ind w:left="620" w:firstLine="631"/>
        <w:spacing w:after="0" w:line="259" w:lineRule="auto"/>
        <w:tabs>
          <w:tab w:leader="none" w:pos="2156" w:val="left"/>
        </w:tabs>
        <w:numPr>
          <w:ilvl w:val="0"/>
          <w:numId w:val="34"/>
        </w:numPr>
        <w:rPr>
          <w:rFonts w:ascii="Arial" w:cs="Arial" w:eastAsia="Arial" w:hAnsi="Arial"/>
          <w:sz w:val="21"/>
          <w:szCs w:val="21"/>
          <w:color w:val="auto"/>
        </w:rPr>
      </w:pPr>
      <w:r>
        <w:rPr>
          <w:rFonts w:ascii="Arial" w:cs="Arial" w:eastAsia="Arial" w:hAnsi="Arial"/>
          <w:sz w:val="21"/>
          <w:szCs w:val="21"/>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to the terms and conditions of the Compensation Recovery Policy from and after the effective date thereof.</w:t>
      </w:r>
    </w:p>
    <w:p>
      <w:pPr>
        <w:spacing w:after="0" w:line="274" w:lineRule="exact"/>
        <w:rPr>
          <w:sz w:val="20"/>
          <w:szCs w:val="20"/>
          <w:color w:val="auto"/>
        </w:rPr>
      </w:pPr>
    </w:p>
    <w:p>
      <w:pPr>
        <w:jc w:val="both"/>
        <w:ind w:firstLine="631"/>
        <w:spacing w:after="0" w:line="312" w:lineRule="auto"/>
        <w:tabs>
          <w:tab w:leader="none" w:pos="1549" w:val="left"/>
        </w:tabs>
        <w:numPr>
          <w:ilvl w:val="0"/>
          <w:numId w:val="35"/>
        </w:numPr>
        <w:rPr>
          <w:rFonts w:ascii="Arial" w:cs="Arial" w:eastAsia="Arial" w:hAnsi="Arial"/>
          <w:sz w:val="19"/>
          <w:szCs w:val="19"/>
          <w:color w:val="auto"/>
        </w:rPr>
      </w:pPr>
      <w:r>
        <w:rPr>
          <w:rFonts w:ascii="Arial" w:cs="Arial" w:eastAsia="Arial" w:hAnsi="Arial"/>
          <w:sz w:val="19"/>
          <w:szCs w:val="19"/>
          <w:color w:val="auto"/>
        </w:rPr>
        <w:t>Without limiting the foregoing, violation of Section II.B.4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5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(Signature Page Follows)</w:t>
      </w:r>
    </w:p>
    <w:p>
      <w:pPr>
        <w:spacing w:after="0" w:line="3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860" w:top="510" w:right="239" w:bottom="1440" w:gutter="0" w:footer="0" w:header="0"/>
        </w:sectPr>
      </w:pPr>
    </w:p>
    <w:bookmarkStart w:id="52" w:name="page53"/>
    <w:bookmarkEnd w:id="52"/>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860" w:type="dxa"/>
            <w:vAlign w:val="bottom"/>
          </w:tcPr>
          <w:p>
            <w:pPr>
              <w:spacing w:after="0"/>
              <w:rPr>
                <w:sz w:val="24"/>
                <w:szCs w:val="24"/>
                <w:color w:val="auto"/>
              </w:rPr>
            </w:pPr>
          </w:p>
        </w:tc>
        <w:tc>
          <w:tcPr>
            <w:tcW w:w="6040" w:type="dxa"/>
            <w:vAlign w:val="bottom"/>
            <w:gridSpan w:val="3"/>
          </w:tcPr>
          <w:p>
            <w:pPr>
              <w:ind w:left="720"/>
              <w:spacing w:after="0"/>
              <w:rPr>
                <w:sz w:val="20"/>
                <w:szCs w:val="20"/>
                <w:color w:val="auto"/>
              </w:rPr>
            </w:pPr>
            <w:r>
              <w:rPr>
                <w:rFonts w:ascii="Arial" w:cs="Arial" w:eastAsia="Arial" w:hAnsi="Arial"/>
                <w:sz w:val="22"/>
                <w:szCs w:val="22"/>
                <w:b w:val="1"/>
                <w:bCs w:val="1"/>
                <w:color w:val="auto"/>
              </w:rPr>
              <w:t>TRIMAS CORPORATION</w:t>
            </w:r>
          </w:p>
        </w:tc>
      </w:tr>
      <w:tr>
        <w:trPr>
          <w:trHeight w:val="706"/>
        </w:trPr>
        <w:tc>
          <w:tcPr>
            <w:tcW w:w="2860" w:type="dxa"/>
            <w:vAlign w:val="bottom"/>
          </w:tcPr>
          <w:p>
            <w:pPr>
              <w:spacing w:after="0"/>
              <w:rPr>
                <w:sz w:val="20"/>
                <w:szCs w:val="20"/>
                <w:color w:val="auto"/>
              </w:rPr>
            </w:pPr>
            <w:r>
              <w:rPr>
                <w:rFonts w:ascii="Arial" w:cs="Arial" w:eastAsia="Arial" w:hAnsi="Arial"/>
                <w:sz w:val="22"/>
                <w:szCs w:val="22"/>
                <w:color w:val="auto"/>
              </w:rPr>
              <w:t xml:space="preserve">Dated as of: </w:t>
            </w:r>
            <w:r>
              <w:rPr>
                <w:rFonts w:ascii="Arial" w:cs="Arial" w:eastAsia="Arial" w:hAnsi="Arial"/>
                <w:sz w:val="22"/>
                <w:szCs w:val="22"/>
                <w:b w:val="1"/>
                <w:bCs w:val="1"/>
                <w:i w:val="1"/>
                <w:iCs w:val="1"/>
                <w:color w:val="auto"/>
              </w:rPr>
              <w:t>[grant date]</w:t>
            </w:r>
          </w:p>
        </w:tc>
        <w:tc>
          <w:tcPr>
            <w:tcW w:w="6040" w:type="dxa"/>
            <w:vAlign w:val="bottom"/>
            <w:gridSpan w:val="3"/>
          </w:tcPr>
          <w:p>
            <w:pPr>
              <w:ind w:left="1780"/>
              <w:spacing w:after="0"/>
              <w:rPr>
                <w:sz w:val="20"/>
                <w:szCs w:val="20"/>
                <w:color w:val="auto"/>
              </w:rPr>
            </w:pPr>
            <w:r>
              <w:rPr>
                <w:rFonts w:ascii="Arial" w:cs="Arial" w:eastAsia="Arial" w:hAnsi="Arial"/>
                <w:sz w:val="22"/>
                <w:szCs w:val="22"/>
                <w:color w:val="auto"/>
              </w:rPr>
              <w:t>By:  /s/ Joshua A. Sherbin</w:t>
            </w:r>
          </w:p>
        </w:tc>
      </w:tr>
      <w:tr>
        <w:trPr>
          <w:trHeight w:val="20"/>
        </w:trPr>
        <w:tc>
          <w:tcPr>
            <w:tcW w:w="28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2"/>
        </w:trPr>
        <w:tc>
          <w:tcPr>
            <w:tcW w:w="2860" w:type="dxa"/>
            <w:vAlign w:val="bottom"/>
          </w:tcPr>
          <w:p>
            <w:pPr>
              <w:spacing w:after="0"/>
              <w:rPr>
                <w:sz w:val="21"/>
                <w:szCs w:val="21"/>
                <w:color w:val="auto"/>
              </w:rPr>
            </w:pPr>
          </w:p>
        </w:tc>
        <w:tc>
          <w:tcPr>
            <w:tcW w:w="6040" w:type="dxa"/>
            <w:vAlign w:val="bottom"/>
            <w:gridSpan w:val="3"/>
          </w:tcPr>
          <w:p>
            <w:pPr>
              <w:ind w:left="178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860" w:type="dxa"/>
            <w:vAlign w:val="bottom"/>
          </w:tcPr>
          <w:p>
            <w:pPr>
              <w:spacing w:after="0"/>
              <w:rPr>
                <w:sz w:val="23"/>
                <w:szCs w:val="23"/>
                <w:color w:val="auto"/>
              </w:rPr>
            </w:pPr>
          </w:p>
        </w:tc>
        <w:tc>
          <w:tcPr>
            <w:tcW w:w="6040" w:type="dxa"/>
            <w:vAlign w:val="bottom"/>
            <w:gridSpan w:val="3"/>
          </w:tcPr>
          <w:p>
            <w:pPr>
              <w:ind w:left="178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 FOR PSU AWARD</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May 1, 2022 following the end of the Performance Period (“Determination Date”), using data as of, and including, December 31, 2021 under the rules described below. Any PSUs not earned as of the Determination Date will be canceled and forfeited.</w:t>
      </w:r>
    </w:p>
    <w:p>
      <w:pPr>
        <w:spacing w:after="0" w:line="226" w:lineRule="exact"/>
        <w:rPr>
          <w:sz w:val="20"/>
          <w:szCs w:val="20"/>
          <w:color w:val="auto"/>
        </w:rPr>
      </w:pPr>
    </w:p>
    <w:p>
      <w:pPr>
        <w:ind w:firstLine="8"/>
        <w:spacing w:after="0" w:line="343" w:lineRule="auto"/>
        <w:tabs>
          <w:tab w:leader="none" w:pos="431"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45" w:lineRule="exact"/>
        <w:rPr>
          <w:rFonts w:ascii="Arial" w:cs="Arial" w:eastAsia="Arial" w:hAnsi="Arial"/>
          <w:sz w:val="19"/>
          <w:szCs w:val="19"/>
          <w:color w:val="auto"/>
        </w:rPr>
      </w:pPr>
    </w:p>
    <w:p>
      <w:pPr>
        <w:ind w:firstLine="8"/>
        <w:spacing w:after="0" w:line="287" w:lineRule="auto"/>
        <w:tabs>
          <w:tab w:leader="none" w:pos="406"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specific performance measures over the Performance Period (i.e., January 1, 2019 through December 31, 2021) and determined on the Determination Date.</w:t>
      </w:r>
    </w:p>
    <w:p>
      <w:pPr>
        <w:spacing w:after="0" w:line="192" w:lineRule="exact"/>
        <w:rPr>
          <w:rFonts w:ascii="Arial" w:cs="Arial" w:eastAsia="Arial" w:hAnsi="Arial"/>
          <w:sz w:val="21"/>
          <w:szCs w:val="21"/>
          <w:color w:val="auto"/>
        </w:rPr>
      </w:pPr>
    </w:p>
    <w:p>
      <w:pPr>
        <w:ind w:firstLine="8"/>
        <w:spacing w:after="0" w:line="287" w:lineRule="auto"/>
        <w:tabs>
          <w:tab w:leader="none" w:pos="432" w:val="left"/>
        </w:tabs>
        <w:numPr>
          <w:ilvl w:val="0"/>
          <w:numId w:val="36"/>
        </w:numPr>
        <w:rPr>
          <w:rFonts w:ascii="Arial" w:cs="Arial" w:eastAsia="Arial" w:hAnsi="Arial"/>
          <w:sz w:val="21"/>
          <w:szCs w:val="21"/>
          <w:color w:val="auto"/>
        </w:rPr>
      </w:pPr>
      <w:r>
        <w:rPr>
          <w:rFonts w:ascii="Arial" w:cs="Arial" w:eastAsia="Arial" w:hAnsi="Arial"/>
          <w:sz w:val="21"/>
          <w:szCs w:val="21"/>
          <w:color w:val="auto"/>
        </w:rPr>
        <w:t>50% of the Target PSUs will be earned based on the achievement of EPS CAGR (the “</w:t>
      </w:r>
      <w:r>
        <w:rPr>
          <w:rFonts w:ascii="Arial" w:cs="Arial" w:eastAsia="Arial" w:hAnsi="Arial"/>
          <w:sz w:val="21"/>
          <w:szCs w:val="21"/>
          <w:b w:val="1"/>
          <w:bCs w:val="1"/>
          <w:i w:val="1"/>
          <w:iCs w:val="1"/>
          <w:color w:val="auto"/>
        </w:rPr>
        <w:t>EPS CAGR PSUs</w:t>
      </w:r>
      <w:r>
        <w:rPr>
          <w:rFonts w:ascii="Arial" w:cs="Arial" w:eastAsia="Arial" w:hAnsi="Arial"/>
          <w:sz w:val="21"/>
          <w:szCs w:val="21"/>
          <w:color w:val="auto"/>
        </w:rPr>
        <w:t>”), and 50% of the Target PSUs will be earned based on the achievement of Relative Total Shareholder Return (“</w:t>
      </w:r>
      <w:r>
        <w:rPr>
          <w:rFonts w:ascii="Arial" w:cs="Arial" w:eastAsia="Arial" w:hAnsi="Arial"/>
          <w:sz w:val="21"/>
          <w:szCs w:val="21"/>
          <w:b w:val="1"/>
          <w:bCs w:val="1"/>
          <w:i w:val="1"/>
          <w:iCs w:val="1"/>
          <w:color w:val="auto"/>
        </w:rPr>
        <w:t>RTSR PSUs</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ind w:left="380" w:hanging="372"/>
        <w:spacing w:after="0"/>
        <w:tabs>
          <w:tab w:leader="none" w:pos="3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60"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EPS CAGR</w:t>
      </w:r>
      <w:r>
        <w:rPr>
          <w:rFonts w:ascii="Arial" w:cs="Arial" w:eastAsia="Arial" w:hAnsi="Arial"/>
          <w:sz w:val="22"/>
          <w:szCs w:val="22"/>
          <w:color w:val="auto"/>
        </w:rPr>
        <w:t>”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228"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1"/>
          <w:numId w:val="3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Peer Group</w:t>
      </w:r>
      <w:r>
        <w:rPr>
          <w:rFonts w:ascii="Arial" w:cs="Arial" w:eastAsia="Arial" w:hAnsi="Arial"/>
          <w:sz w:val="21"/>
          <w:szCs w:val="21"/>
          <w:color w:val="auto"/>
        </w:rPr>
        <w:t xml:space="preserve">” means, of a benchmark group of 98 entities currently in the S&amp;P SmallCap 600 Capped Industrials index (the names of which are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those entities that remain in the Peer Group as of the end of the Performance Period after application of the Peer Group Adjustment Protocol.</w:t>
      </w:r>
    </w:p>
    <w:p>
      <w:pPr>
        <w:spacing w:after="0" w:line="208" w:lineRule="exact"/>
        <w:rPr>
          <w:rFonts w:ascii="Arial" w:cs="Arial" w:eastAsia="Arial" w:hAnsi="Arial"/>
          <w:sz w:val="21"/>
          <w:szCs w:val="21"/>
          <w:color w:val="auto"/>
        </w:rPr>
      </w:pPr>
    </w:p>
    <w:p>
      <w:pPr>
        <w:jc w:val="both"/>
        <w:ind w:left="1300" w:hanging="644"/>
        <w:spacing w:after="0" w:line="288"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 Adjustment Protocol</w:t>
      </w:r>
      <w:r>
        <w:rPr>
          <w:rFonts w:ascii="Arial" w:cs="Arial" w:eastAsia="Arial" w:hAnsi="Arial"/>
          <w:sz w:val="19"/>
          <w:szCs w:val="19"/>
          <w:color w:val="auto"/>
        </w:rPr>
        <w:t xml:space="preserve">” means: (i) if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19"/>
          <w:szCs w:val="19"/>
          <w:u w:val="single" w:color="auto"/>
          <w:color w:val="auto"/>
        </w:rPr>
        <w:t>Annex</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55" w:right="239" w:bottom="1440" w:gutter="0" w:footer="0" w:header="0"/>
        </w:sectPr>
      </w:pPr>
    </w:p>
    <w:bookmarkStart w:id="54" w:name="page55"/>
    <w:bookmarkEnd w:id="54"/>
    <w:p>
      <w:pPr>
        <w:ind w:left="1292"/>
        <w:spacing w:after="0" w:line="263" w:lineRule="auto"/>
        <w:rPr>
          <w:sz w:val="20"/>
          <w:szCs w:val="20"/>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such entity shall be deemed to include any successor to all or substantially all of the primary business of such entity at end of the Performance Period.</w:t>
      </w:r>
    </w:p>
    <w:p>
      <w:pPr>
        <w:spacing w:after="0" w:line="215" w:lineRule="exact"/>
        <w:rPr>
          <w:sz w:val="20"/>
          <w:szCs w:val="20"/>
          <w:color w:val="auto"/>
        </w:rPr>
      </w:pPr>
    </w:p>
    <w:p>
      <w:pPr>
        <w:jc w:val="both"/>
        <w:ind w:left="1292" w:hanging="644"/>
        <w:spacing w:after="0" w:line="253" w:lineRule="auto"/>
        <w:tabs>
          <w:tab w:leader="none" w:pos="129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226" w:lineRule="exact"/>
        <w:rPr>
          <w:rFonts w:ascii="Arial" w:cs="Arial" w:eastAsia="Arial" w:hAnsi="Arial"/>
          <w:sz w:val="22"/>
          <w:szCs w:val="22"/>
          <w:color w:val="auto"/>
        </w:rPr>
      </w:pPr>
    </w:p>
    <w:p>
      <w:pPr>
        <w:jc w:val="both"/>
        <w:ind w:left="1292" w:hanging="644"/>
        <w:spacing w:after="0" w:line="290" w:lineRule="auto"/>
        <w:tabs>
          <w:tab w:leader="none" w:pos="1292"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2019 on the principal stock exchange on which the stock is then traded and the ending stock price will be based on the average closing stock price for the 20 trading days immediately preceding January 1, 2022 on the principal stock exchange on which the stock then trades.</w:t>
      </w:r>
    </w:p>
    <w:p>
      <w:pPr>
        <w:spacing w:after="0" w:line="197" w:lineRule="exact"/>
        <w:rPr>
          <w:rFonts w:ascii="Arial" w:cs="Arial" w:eastAsia="Arial" w:hAnsi="Arial"/>
          <w:sz w:val="19"/>
          <w:szCs w:val="19"/>
          <w:color w:val="auto"/>
        </w:rPr>
      </w:pPr>
    </w:p>
    <w:p>
      <w:pPr>
        <w:ind w:left="-8" w:firstLine="8"/>
        <w:spacing w:after="0" w:line="263" w:lineRule="auto"/>
        <w:tabs>
          <w:tab w:leader="none" w:pos="38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EPS CAGR Performance Matrix</w:t>
      </w:r>
      <w:r>
        <w:rPr>
          <w:rFonts w:ascii="Arial" w:cs="Arial" w:eastAsia="Arial" w:hAnsi="Arial"/>
          <w:sz w:val="22"/>
          <w:szCs w:val="22"/>
          <w:color w:val="auto"/>
        </w:rPr>
        <w:t>. From 0% to 200% of the EPS CAGR PSUs will be earned based on achievement of the EPS CAGR performance goal during the Performance Period as follows:</w:t>
      </w:r>
    </w:p>
    <w:p>
      <w:pPr>
        <w:spacing w:after="0" w:line="217" w:lineRule="exact"/>
        <w:rPr>
          <w:sz w:val="20"/>
          <w:szCs w:val="20"/>
          <w:color w:val="auto"/>
        </w:rPr>
      </w:pPr>
    </w:p>
    <w:tbl>
      <w:tblPr>
        <w:tblLayout w:type="fixed"/>
        <w:tblInd w:w="2942" w:type="dxa"/>
        <w:tblCellMar>
          <w:top w:w="0" w:type="dxa"/>
          <w:left w:w="0" w:type="dxa"/>
          <w:bottom w:w="0" w:type="dxa"/>
          <w:right w:w="0" w:type="dxa"/>
        </w:tblCellMar>
      </w:tblPr>
      <w:tr>
        <w:trPr>
          <w:trHeight w:val="304"/>
        </w:trPr>
        <w:tc>
          <w:tcPr>
            <w:tcW w:w="2800" w:type="dxa"/>
            <w:vAlign w:val="bottom"/>
            <w:tcBorders>
              <w:top w:val="single" w:sz="8" w:color="auto"/>
              <w:left w:val="single" w:sz="8" w:color="auto"/>
              <w:bottom w:val="single" w:sz="8" w:color="auto"/>
              <w:right w:val="single" w:sz="8" w:color="auto"/>
            </w:tcBorders>
            <w:shd w:val="clear" w:color="auto" w:fill="ACACAC"/>
          </w:tcPr>
          <w:p>
            <w:pPr>
              <w:ind w:left="720"/>
              <w:spacing w:after="0"/>
              <w:rPr>
                <w:sz w:val="20"/>
                <w:szCs w:val="20"/>
                <w:color w:val="auto"/>
              </w:rPr>
            </w:pPr>
            <w:r>
              <w:rPr>
                <w:rFonts w:ascii="Arial" w:cs="Arial" w:eastAsia="Arial" w:hAnsi="Arial"/>
                <w:sz w:val="22"/>
                <w:szCs w:val="22"/>
                <w:b w:val="1"/>
                <w:bCs w:val="1"/>
                <w:color w:val="auto"/>
              </w:rPr>
              <w:t>EPS CAGR %</w:t>
            </w:r>
          </w:p>
        </w:tc>
        <w:tc>
          <w:tcPr>
            <w:tcW w:w="2780" w:type="dxa"/>
            <w:vAlign w:val="bottom"/>
            <w:tcBorders>
              <w:top w:val="single" w:sz="8" w:color="auto"/>
              <w:bottom w:val="single" w:sz="8" w:color="auto"/>
              <w:right w:val="single" w:sz="8" w:color="auto"/>
            </w:tcBorders>
            <w:shd w:val="clear" w:color="auto" w:fill="ACACAC"/>
          </w:tcPr>
          <w:p>
            <w:pPr>
              <w:ind w:left="180"/>
              <w:spacing w:after="0"/>
              <w:rPr>
                <w:sz w:val="20"/>
                <w:szCs w:val="20"/>
                <w:color w:val="auto"/>
              </w:rPr>
            </w:pPr>
            <w:r>
              <w:rPr>
                <w:rFonts w:ascii="Arial" w:cs="Arial" w:eastAsia="Arial" w:hAnsi="Arial"/>
                <w:sz w:val="22"/>
                <w:szCs w:val="22"/>
                <w:b w:val="1"/>
                <w:bCs w:val="1"/>
                <w:color w:val="auto"/>
                <w:w w:val="98"/>
              </w:rPr>
              <w:t>EPS CAGR PSUs Earned</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4.5%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5.0%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5.5%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65.0%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6.0%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77.5.%</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6.5%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90.0%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7.5%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8.5%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9.5%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140.0%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10.0%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10.5%</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291"/>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11.0%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bl>
    <w:p>
      <w:pPr>
        <w:spacing w:after="0" w:line="127" w:lineRule="exact"/>
        <w:rPr>
          <w:sz w:val="20"/>
          <w:szCs w:val="20"/>
          <w:color w:val="auto"/>
        </w:rPr>
      </w:pPr>
    </w:p>
    <w:p>
      <w:pPr>
        <w:jc w:val="both"/>
        <w:ind w:left="-8" w:firstLine="8"/>
        <w:spacing w:after="0" w:line="250" w:lineRule="auto"/>
        <w:tabs>
          <w:tab w:leader="none" w:pos="451"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Number of EPS CAGR PSUs Earned</w:t>
      </w:r>
      <w:r>
        <w:rPr>
          <w:rFonts w:ascii="Arial" w:cs="Arial" w:eastAsia="Arial" w:hAnsi="Arial"/>
          <w:sz w:val="22"/>
          <w:szCs w:val="22"/>
          <w:color w:val="auto"/>
        </w:rPr>
        <w:t>. Following the Performance Period, on the Determination Date, the Committee shall determine whether and to what extent the EPS CAGR performance goal has been satisfied for the Performance Period and shall determine the number of EPS CAGR PSUs that shall become nonforfeitable hereunder and under the Agreement on the basis of the following:</w:t>
      </w:r>
    </w:p>
    <w:p>
      <w:pPr>
        <w:spacing w:after="0" w:line="228" w:lineRule="exact"/>
        <w:rPr>
          <w:rFonts w:ascii="Arial" w:cs="Arial" w:eastAsia="Arial" w:hAnsi="Arial"/>
          <w:sz w:val="22"/>
          <w:szCs w:val="22"/>
          <w:color w:val="auto"/>
        </w:rPr>
      </w:pPr>
    </w:p>
    <w:p>
      <w:pPr>
        <w:ind w:left="1292" w:right="240" w:hanging="738"/>
        <w:spacing w:after="0" w:line="253" w:lineRule="auto"/>
        <w:tabs>
          <w:tab w:leader="none" w:pos="1292"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Below Threshold</w:t>
      </w:r>
      <w:r>
        <w:rPr>
          <w:rFonts w:ascii="Arial" w:cs="Arial" w:eastAsia="Arial" w:hAnsi="Arial"/>
          <w:sz w:val="22"/>
          <w:szCs w:val="22"/>
          <w:color w:val="auto"/>
        </w:rPr>
        <w:t>. If, upon the conclusion of the Performance Period, EPS CAGR for the Performance Period falls below the lowest EPS CAGR level set forth in the Performance Matrix, no EPS CAGR PSUs shall become nonforfeitable.</w:t>
      </w:r>
    </w:p>
    <w:p>
      <w:pPr>
        <w:spacing w:after="0" w:line="226"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2"/>
          <w:numId w:val="39"/>
        </w:numPr>
        <w:rPr>
          <w:rFonts w:ascii="Arial" w:cs="Arial" w:eastAsia="Arial" w:hAnsi="Arial"/>
          <w:sz w:val="22"/>
          <w:szCs w:val="22"/>
          <w:color w:val="auto"/>
        </w:rPr>
      </w:pPr>
      <w:r>
        <w:rPr>
          <w:rFonts w:ascii="Arial" w:cs="Arial" w:eastAsia="Arial" w:hAnsi="Arial"/>
          <w:sz w:val="22"/>
          <w:szCs w:val="22"/>
          <w:u w:val="single" w:color="auto"/>
          <w:color w:val="auto"/>
        </w:rPr>
        <w:t>Threshold or Above</w:t>
      </w:r>
      <w:r>
        <w:rPr>
          <w:rFonts w:ascii="Arial" w:cs="Arial" w:eastAsia="Arial" w:hAnsi="Arial"/>
          <w:sz w:val="22"/>
          <w:szCs w:val="22"/>
          <w:color w:val="auto"/>
        </w:rPr>
        <w:t>. If, upon the conclusion of the Performance Period, EPS CAGR for the Performance Period is exactly equal to one of the levels set forth in the Performance Matrix, a percentage of the EPS CAGR PSUs equal to the percentage set forth opposite such level in the Performance Matrix (rounded down to the nearest whole number of PSUs) shall become</w:t>
      </w:r>
    </w:p>
    <w:p>
      <w:pPr>
        <w:sectPr>
          <w:pgSz w:w="11900" w:h="16838" w:orient="portrait"/>
          <w:cols w:equalWidth="0" w:num="1">
            <w:col w:w="11412"/>
          </w:cols>
          <w:pgMar w:left="248" w:top="861" w:right="239" w:bottom="1440" w:gutter="0" w:footer="0" w:header="0"/>
        </w:sectPr>
      </w:pPr>
    </w:p>
    <w:p>
      <w:pPr>
        <w:spacing w:after="0" w:line="344"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12"/>
          </w:cols>
          <w:pgMar w:left="248" w:top="861" w:right="239" w:bottom="1440" w:gutter="0" w:footer="0" w:header="0"/>
          <w:type w:val="continuous"/>
        </w:sectPr>
      </w:pPr>
    </w:p>
    <w:bookmarkStart w:id="55" w:name="page56"/>
    <w:bookmarkEnd w:id="55"/>
    <w:p>
      <w:pPr>
        <w:jc w:val="both"/>
        <w:ind w:left="1300"/>
        <w:spacing w:after="0" w:line="250" w:lineRule="auto"/>
        <w:rPr>
          <w:sz w:val="20"/>
          <w:szCs w:val="20"/>
          <w:color w:val="auto"/>
        </w:rPr>
      </w:pPr>
      <w:r>
        <w:rPr>
          <w:rFonts w:ascii="Arial" w:cs="Arial" w:eastAsia="Arial" w:hAnsi="Arial"/>
          <w:sz w:val="22"/>
          <w:szCs w:val="22"/>
          <w:color w:val="auto"/>
        </w:rPr>
        <w:t>nonforfeitable. If, upon the conclusion of the Performance Period, EPS CAGR for the 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229" w:lineRule="exact"/>
        <w:rPr>
          <w:sz w:val="20"/>
          <w:szCs w:val="20"/>
          <w:color w:val="auto"/>
        </w:rPr>
      </w:pPr>
    </w:p>
    <w:p>
      <w:pPr>
        <w:ind w:firstLine="8"/>
        <w:spacing w:after="0" w:line="263" w:lineRule="auto"/>
        <w:tabs>
          <w:tab w:leader="none" w:pos="5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RTSR Performance Matrix</w:t>
      </w:r>
      <w:r>
        <w:rPr>
          <w:rFonts w:ascii="Arial" w:cs="Arial" w:eastAsia="Arial" w:hAnsi="Arial"/>
          <w:sz w:val="22"/>
          <w:szCs w:val="22"/>
          <w:color w:val="auto"/>
        </w:rPr>
        <w:t>. From 0% to 200% of the RTSR PSUs will be earned based on achievement of the RTSR performance goal during the Performance Period as follows:</w:t>
      </w:r>
    </w:p>
    <w:p>
      <w:pPr>
        <w:spacing w:after="0" w:line="217" w:lineRule="exact"/>
        <w:rPr>
          <w:sz w:val="20"/>
          <w:szCs w:val="20"/>
          <w:color w:val="auto"/>
        </w:rPr>
      </w:pPr>
    </w:p>
    <w:tbl>
      <w:tblPr>
        <w:tblLayout w:type="fixed"/>
        <w:tblInd w:w="830" w:type="dxa"/>
        <w:tblCellMar>
          <w:top w:w="0" w:type="dxa"/>
          <w:left w:w="0" w:type="dxa"/>
          <w:bottom w:w="0" w:type="dxa"/>
          <w:right w:w="0" w:type="dxa"/>
        </w:tblCellMar>
      </w:tblPr>
      <w:tr>
        <w:trPr>
          <w:trHeight w:val="304"/>
        </w:trPr>
        <w:tc>
          <w:tcPr>
            <w:tcW w:w="28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Relative Total Shareholder Return</w:t>
            </w:r>
          </w:p>
        </w:tc>
        <w:tc>
          <w:tcPr>
            <w:tcW w:w="2240" w:type="dxa"/>
            <w:vAlign w:val="bottom"/>
            <w:tcBorders>
              <w:top w:val="single" w:sz="8" w:color="auto"/>
              <w:bottom w:val="single" w:sz="8" w:color="auto"/>
              <w:right w:val="single" w:sz="8" w:color="auto"/>
            </w:tcBorders>
            <w:shd w:val="clear" w:color="auto" w:fill="BFBFBF"/>
          </w:tcPr>
          <w:p>
            <w:pPr>
              <w:ind w:left="180"/>
              <w:spacing w:after="0"/>
              <w:rPr>
                <w:sz w:val="20"/>
                <w:szCs w:val="20"/>
                <w:color w:val="auto"/>
              </w:rPr>
            </w:pPr>
            <w:r>
              <w:rPr>
                <w:rFonts w:ascii="Arial" w:cs="Arial" w:eastAsia="Arial" w:hAnsi="Arial"/>
                <w:sz w:val="22"/>
                <w:szCs w:val="22"/>
                <w:b w:val="1"/>
                <w:bCs w:val="1"/>
                <w:color w:val="auto"/>
                <w:w w:val="98"/>
              </w:rPr>
              <w:t>RTSR PSUs Earned</w:t>
            </w:r>
          </w:p>
        </w:tc>
      </w:tr>
      <w:tr>
        <w:trPr>
          <w:trHeight w:val="297"/>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472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88"/>
              </w:rPr>
              <w:t>Ranked below or at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Above Threshold</w:t>
            </w:r>
          </w:p>
        </w:tc>
        <w:tc>
          <w:tcPr>
            <w:tcW w:w="47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35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47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50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Intermediate</w:t>
            </w:r>
          </w:p>
        </w:tc>
        <w:tc>
          <w:tcPr>
            <w:tcW w:w="47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65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472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or above 80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127" w:lineRule="exact"/>
        <w:rPr>
          <w:sz w:val="20"/>
          <w:szCs w:val="20"/>
          <w:color w:val="auto"/>
        </w:rPr>
      </w:pPr>
    </w:p>
    <w:p>
      <w:pPr>
        <w:jc w:val="both"/>
        <w:ind w:firstLine="8"/>
        <w:spacing w:after="0" w:line="312" w:lineRule="auto"/>
        <w:tabs>
          <w:tab w:leader="none" w:pos="37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Number of RTSR PSUs Earned</w:t>
      </w:r>
      <w:r>
        <w:rPr>
          <w:rFonts w:ascii="Arial" w:cs="Arial" w:eastAsia="Arial" w:hAnsi="Arial"/>
          <w:sz w:val="19"/>
          <w:szCs w:val="19"/>
          <w:color w:val="auto"/>
        </w:rPr>
        <w:t>.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174" w:lineRule="exact"/>
        <w:rPr>
          <w:rFonts w:ascii="Arial" w:cs="Arial" w:eastAsia="Arial" w:hAnsi="Arial"/>
          <w:sz w:val="19"/>
          <w:szCs w:val="19"/>
          <w:color w:val="auto"/>
        </w:rPr>
      </w:pPr>
    </w:p>
    <w:p>
      <w:pPr>
        <w:ind w:left="1300" w:hanging="738"/>
        <w:spacing w:after="0" w:line="343"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If, upon the conclusion of the Performance Period, RTSR for the Performance Period equals or falls below the “Threshold” level, as set forth in the Performance Matrix, no RTSR PSUs shall become nonforfeitable.</w:t>
      </w:r>
    </w:p>
    <w:p>
      <w:pPr>
        <w:spacing w:after="0" w:line="145" w:lineRule="exact"/>
        <w:rPr>
          <w:rFonts w:ascii="Arial" w:cs="Arial" w:eastAsia="Arial" w:hAnsi="Arial"/>
          <w:sz w:val="19"/>
          <w:szCs w:val="19"/>
          <w:color w:val="auto"/>
        </w:rPr>
      </w:pPr>
    </w:p>
    <w:p>
      <w:pPr>
        <w:jc w:val="both"/>
        <w:ind w:left="1300" w:hanging="644"/>
        <w:spacing w:after="0" w:line="302" w:lineRule="auto"/>
        <w:tabs>
          <w:tab w:leader="none" w:pos="1300"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Between Threshold and Above Threshold</w:t>
      </w:r>
      <w:r>
        <w:rPr>
          <w:rFonts w:ascii="Arial" w:cs="Arial" w:eastAsia="Arial" w:hAnsi="Arial"/>
          <w:sz w:val="19"/>
          <w:szCs w:val="19"/>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RTSR PSUs (rounded down to the nearest whole number of PSUs) shall become nonforfeitable.</w:t>
      </w:r>
    </w:p>
    <w:p>
      <w:pPr>
        <w:spacing w:after="0" w:line="18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226"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Between Above Threshold and Target</w:t>
      </w:r>
      <w:r>
        <w:rPr>
          <w:rFonts w:ascii="Arial" w:cs="Arial" w:eastAsia="Arial" w:hAnsi="Arial"/>
          <w:sz w:val="19"/>
          <w:szCs w:val="19"/>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183" w:lineRule="exact"/>
        <w:rPr>
          <w:rFonts w:ascii="Arial" w:cs="Arial" w:eastAsia="Arial" w:hAnsi="Arial"/>
          <w:sz w:val="19"/>
          <w:szCs w:val="19"/>
          <w:color w:val="auto"/>
        </w:rPr>
      </w:pPr>
    </w:p>
    <w:p>
      <w:pPr>
        <w:ind w:left="1300" w:hanging="644"/>
        <w:spacing w:after="0" w:line="287" w:lineRule="auto"/>
        <w:tabs>
          <w:tab w:leader="none" w:pos="1300"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Target</w:t>
      </w:r>
      <w:r>
        <w:rPr>
          <w:rFonts w:ascii="Arial" w:cs="Arial" w:eastAsia="Arial" w:hAnsi="Arial"/>
          <w:sz w:val="21"/>
          <w:szCs w:val="21"/>
          <w:color w:val="auto"/>
        </w:rPr>
        <w:t>. If, upon the conclusion of the Performance Period, RTSR for the Performance Period equals the “Target” level, as set forth in the Performance Matrix, 100% of the RTSR PSUs shall become nonforfeitable.</w:t>
      </w:r>
    </w:p>
    <w:p>
      <w:pPr>
        <w:spacing w:after="0" w:line="192" w:lineRule="exact"/>
        <w:rPr>
          <w:rFonts w:ascii="Arial" w:cs="Arial" w:eastAsia="Arial" w:hAnsi="Arial"/>
          <w:sz w:val="21"/>
          <w:szCs w:val="21"/>
          <w:color w:val="auto"/>
        </w:rPr>
      </w:pPr>
    </w:p>
    <w:p>
      <w:pPr>
        <w:ind w:left="1300" w:right="20" w:hanging="644"/>
        <w:spacing w:after="0" w:line="263" w:lineRule="auto"/>
        <w:tabs>
          <w:tab w:leader="none" w:pos="1300"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Between Target and Intermediate</w:t>
      </w:r>
      <w:r>
        <w:rPr>
          <w:rFonts w:ascii="Arial" w:cs="Arial" w:eastAsia="Arial" w:hAnsi="Arial"/>
          <w:sz w:val="22"/>
          <w:szCs w:val="22"/>
          <w:color w:val="auto"/>
        </w:rPr>
        <w:t>. If, upon the conclusion of the Performance Period, RTSR for the Performance Period exceeds the “Target” level, but is less than the “Intermediate”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861" w:right="239" w:bottom="1440" w:gutter="0" w:footer="0" w:header="0"/>
        </w:sectPr>
      </w:pPr>
    </w:p>
    <w:bookmarkStart w:id="56" w:name="page57"/>
    <w:bookmarkEnd w:id="56"/>
    <w:p>
      <w:pPr>
        <w:jc w:val="both"/>
        <w:ind w:left="644"/>
        <w:spacing w:after="0" w:line="253" w:lineRule="auto"/>
        <w:rPr>
          <w:sz w:val="20"/>
          <w:szCs w:val="20"/>
          <w:color w:val="auto"/>
        </w:rPr>
      </w:pPr>
      <w:r>
        <w:rPr>
          <w:rFonts w:ascii="Arial" w:cs="Arial" w:eastAsia="Arial" w:hAnsi="Arial"/>
          <w:sz w:val="22"/>
          <w:szCs w:val="22"/>
          <w:color w:val="auto"/>
        </w:rPr>
        <w:t>level, as set forth in the Performance Matrix, a percentage between 100% and 150% (determined on the basis of straight-line mathematical interpolation) of the RTSR PSUs (rounded down to the nearest whole number of PSUs) shall become nonforfeitable.</w:t>
      </w:r>
    </w:p>
    <w:p>
      <w:pPr>
        <w:spacing w:after="0" w:line="226" w:lineRule="exact"/>
        <w:rPr>
          <w:sz w:val="20"/>
          <w:szCs w:val="20"/>
          <w:color w:val="auto"/>
        </w:rPr>
      </w:pPr>
    </w:p>
    <w:p>
      <w:pPr>
        <w:ind w:left="644" w:hanging="644"/>
        <w:spacing w:after="0" w:line="343" w:lineRule="auto"/>
        <w:tabs>
          <w:tab w:leader="none" w:pos="64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Intermediate</w:t>
      </w:r>
      <w:r>
        <w:rPr>
          <w:rFonts w:ascii="Arial" w:cs="Arial" w:eastAsia="Arial" w:hAnsi="Arial"/>
          <w:sz w:val="19"/>
          <w:szCs w:val="19"/>
          <w:color w:val="auto"/>
        </w:rPr>
        <w:t>. If, upon the conclusion of the Performance Period, RTSR for the Performance Period equals the “Intermediate” level, as set forth in the Performance Matrix, 150% of the RTSR PSUs shall become nonforfeitable.</w:t>
      </w:r>
    </w:p>
    <w:p>
      <w:pPr>
        <w:spacing w:after="0" w:line="145" w:lineRule="exact"/>
        <w:rPr>
          <w:rFonts w:ascii="Arial" w:cs="Arial" w:eastAsia="Arial" w:hAnsi="Arial"/>
          <w:sz w:val="19"/>
          <w:szCs w:val="19"/>
          <w:color w:val="auto"/>
        </w:rPr>
      </w:pPr>
    </w:p>
    <w:p>
      <w:pPr>
        <w:ind w:left="644" w:right="40" w:hanging="644"/>
        <w:spacing w:after="0" w:line="302" w:lineRule="auto"/>
        <w:tabs>
          <w:tab w:leader="none" w:pos="64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Between Intermediate and Maximum</w:t>
      </w:r>
      <w:r>
        <w:rPr>
          <w:rFonts w:ascii="Arial" w:cs="Arial" w:eastAsia="Arial" w:hAnsi="Arial"/>
          <w:sz w:val="19"/>
          <w:szCs w:val="19"/>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318"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764"/>
          </w:cols>
          <w:pgMar w:left="896" w:top="861" w:right="23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60" w:type="dxa"/>
            <w:vAlign w:val="bottom"/>
            <w:tcBorders>
              <w:left w:val="single" w:sz="8" w:color="00497F"/>
              <w:right w:val="single" w:sz="8" w:color="00497F"/>
            </w:tcBorders>
            <w:shd w:val="clear" w:color="auto" w:fill="00497F"/>
          </w:tcPr>
          <w:p>
            <w:pPr>
              <w:spacing w:after="0"/>
              <w:rPr>
                <w:sz w:val="22"/>
                <w:szCs w:val="22"/>
                <w:color w:val="auto"/>
              </w:rPr>
            </w:pPr>
          </w:p>
        </w:tc>
        <w:tc>
          <w:tcPr>
            <w:tcW w:w="780" w:type="dxa"/>
            <w:vAlign w:val="bottom"/>
            <w:shd w:val="clear" w:color="auto" w:fill="00497F"/>
          </w:tcPr>
          <w:p>
            <w:pPr>
              <w:spacing w:after="0"/>
              <w:rPr>
                <w:sz w:val="22"/>
                <w:szCs w:val="22"/>
                <w:color w:val="auto"/>
              </w:rPr>
            </w:pPr>
          </w:p>
        </w:tc>
        <w:tc>
          <w:tcPr>
            <w:tcW w:w="7000" w:type="dxa"/>
            <w:vAlign w:val="bottom"/>
            <w:tcBorders>
              <w:right w:val="single" w:sz="8" w:color="00497F"/>
            </w:tcBorders>
            <w:gridSpan w:val="4"/>
            <w:shd w:val="clear" w:color="auto" w:fill="00497F"/>
          </w:tcPr>
          <w:p>
            <w:pPr>
              <w:ind w:left="40"/>
              <w:spacing w:after="0"/>
              <w:rPr>
                <w:sz w:val="20"/>
                <w:szCs w:val="20"/>
                <w:color w:val="auto"/>
              </w:rPr>
            </w:pPr>
            <w:r>
              <w:rPr>
                <w:rFonts w:ascii="Arial" w:cs="Arial" w:eastAsia="Arial" w:hAnsi="Arial"/>
                <w:sz w:val="18"/>
                <w:szCs w:val="18"/>
                <w:b w:val="1"/>
                <w:bCs w:val="1"/>
                <w:color w:val="FFFFFF"/>
              </w:rPr>
              <w:t>S&amp;P SmallCap 600 Industrials (End of December 2018)</w:t>
            </w:r>
          </w:p>
        </w:tc>
        <w:tc>
          <w:tcPr>
            <w:tcW w:w="900" w:type="dxa"/>
            <w:vAlign w:val="bottom"/>
            <w:tcBorders>
              <w:right w:val="single" w:sz="8" w:color="00497F"/>
            </w:tcBorders>
            <w:shd w:val="clear" w:color="auto" w:fill="00497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60" w:type="dxa"/>
            <w:vAlign w:val="bottom"/>
            <w:tcBorders>
              <w:left w:val="single" w:sz="8" w:color="00497F"/>
              <w:bottom w:val="single" w:sz="8" w:color="00497F"/>
              <w:right w:val="single" w:sz="8" w:color="00497F"/>
            </w:tcBorders>
            <w:shd w:val="clear" w:color="auto" w:fill="00497F"/>
          </w:tcPr>
          <w:p>
            <w:pPr>
              <w:ind w:left="40"/>
              <w:spacing w:after="0"/>
              <w:rPr>
                <w:sz w:val="20"/>
                <w:szCs w:val="20"/>
                <w:color w:val="auto"/>
              </w:rPr>
            </w:pPr>
            <w:r>
              <w:rPr>
                <w:rFonts w:ascii="Arial" w:cs="Arial" w:eastAsia="Arial" w:hAnsi="Arial"/>
                <w:sz w:val="18"/>
                <w:szCs w:val="18"/>
                <w:b w:val="1"/>
                <w:bCs w:val="1"/>
                <w:color w:val="FFFFFF"/>
              </w:rPr>
              <w:t>Company Name</w:t>
            </w:r>
          </w:p>
        </w:tc>
        <w:tc>
          <w:tcPr>
            <w:tcW w:w="780" w:type="dxa"/>
            <w:vAlign w:val="bottom"/>
            <w:tcBorders>
              <w:bottom w:val="single" w:sz="8" w:color="00497F"/>
            </w:tcBorders>
            <w:shd w:val="clear" w:color="auto" w:fill="00497F"/>
          </w:tcPr>
          <w:p>
            <w:pPr>
              <w:ind w:left="260"/>
              <w:spacing w:after="0"/>
              <w:rPr>
                <w:sz w:val="20"/>
                <w:szCs w:val="20"/>
                <w:color w:val="auto"/>
              </w:rPr>
            </w:pPr>
            <w:r>
              <w:rPr>
                <w:rFonts w:ascii="Arial" w:cs="Arial" w:eastAsia="Arial" w:hAnsi="Arial"/>
                <w:sz w:val="18"/>
                <w:szCs w:val="18"/>
                <w:b w:val="1"/>
                <w:bCs w:val="1"/>
                <w:color w:val="FFFFFF"/>
                <w:w w:val="94"/>
              </w:rPr>
              <w:t>Ticker</w:t>
            </w:r>
          </w:p>
        </w:tc>
        <w:tc>
          <w:tcPr>
            <w:tcW w:w="260" w:type="dxa"/>
            <w:vAlign w:val="bottom"/>
            <w:tcBorders>
              <w:bottom w:val="single" w:sz="8" w:color="00497F"/>
              <w:right w:val="single" w:sz="8" w:color="00497F"/>
            </w:tcBorders>
            <w:shd w:val="clear" w:color="auto" w:fill="00497F"/>
          </w:tcPr>
          <w:p>
            <w:pPr>
              <w:spacing w:after="0"/>
              <w:rPr>
                <w:sz w:val="24"/>
                <w:szCs w:val="24"/>
                <w:color w:val="auto"/>
              </w:rPr>
            </w:pPr>
          </w:p>
        </w:tc>
        <w:tc>
          <w:tcPr>
            <w:tcW w:w="2860" w:type="dxa"/>
            <w:vAlign w:val="bottom"/>
            <w:tcBorders>
              <w:bottom w:val="single" w:sz="8" w:color="00497F"/>
              <w:right w:val="single" w:sz="8" w:color="00497F"/>
            </w:tcBorders>
            <w:shd w:val="clear" w:color="auto" w:fill="00497F"/>
          </w:tcPr>
          <w:p>
            <w:pPr>
              <w:ind w:left="20"/>
              <w:spacing w:after="0"/>
              <w:rPr>
                <w:sz w:val="20"/>
                <w:szCs w:val="20"/>
                <w:color w:val="auto"/>
              </w:rPr>
            </w:pPr>
            <w:r>
              <w:rPr>
                <w:rFonts w:ascii="Arial" w:cs="Arial" w:eastAsia="Arial" w:hAnsi="Arial"/>
                <w:sz w:val="18"/>
                <w:szCs w:val="18"/>
                <w:b w:val="1"/>
                <w:bCs w:val="1"/>
                <w:color w:val="FFFFFF"/>
              </w:rPr>
              <w:t>Company Name</w:t>
            </w:r>
          </w:p>
        </w:tc>
        <w:tc>
          <w:tcPr>
            <w:tcW w:w="1020" w:type="dxa"/>
            <w:vAlign w:val="bottom"/>
            <w:tcBorders>
              <w:bottom w:val="single" w:sz="8" w:color="00497F"/>
              <w:right w:val="single" w:sz="8" w:color="00497F"/>
            </w:tcBorders>
            <w:shd w:val="clear" w:color="auto" w:fill="00497F"/>
          </w:tcPr>
          <w:p>
            <w:pPr>
              <w:ind w:left="240"/>
              <w:spacing w:after="0"/>
              <w:rPr>
                <w:sz w:val="20"/>
                <w:szCs w:val="20"/>
                <w:color w:val="auto"/>
              </w:rPr>
            </w:pPr>
            <w:r>
              <w:rPr>
                <w:rFonts w:ascii="Arial" w:cs="Arial" w:eastAsia="Arial" w:hAnsi="Arial"/>
                <w:sz w:val="18"/>
                <w:szCs w:val="18"/>
                <w:b w:val="1"/>
                <w:bCs w:val="1"/>
                <w:color w:val="FFFFFF"/>
              </w:rPr>
              <w:t>Ticker</w:t>
            </w:r>
          </w:p>
        </w:tc>
        <w:tc>
          <w:tcPr>
            <w:tcW w:w="2860" w:type="dxa"/>
            <w:vAlign w:val="bottom"/>
            <w:tcBorders>
              <w:bottom w:val="single" w:sz="8" w:color="00497F"/>
              <w:right w:val="single" w:sz="8" w:color="00497F"/>
            </w:tcBorders>
            <w:shd w:val="clear" w:color="auto" w:fill="00497F"/>
          </w:tcPr>
          <w:p>
            <w:pPr>
              <w:ind w:left="20"/>
              <w:spacing w:after="0"/>
              <w:rPr>
                <w:sz w:val="20"/>
                <w:szCs w:val="20"/>
                <w:color w:val="auto"/>
              </w:rPr>
            </w:pPr>
            <w:r>
              <w:rPr>
                <w:rFonts w:ascii="Arial" w:cs="Arial" w:eastAsia="Arial" w:hAnsi="Arial"/>
                <w:sz w:val="18"/>
                <w:szCs w:val="18"/>
                <w:b w:val="1"/>
                <w:bCs w:val="1"/>
                <w:color w:val="FFFFFF"/>
              </w:rPr>
              <w:t>Company Name</w:t>
            </w:r>
          </w:p>
        </w:tc>
        <w:tc>
          <w:tcPr>
            <w:tcW w:w="900" w:type="dxa"/>
            <w:vAlign w:val="bottom"/>
            <w:tcBorders>
              <w:bottom w:val="single" w:sz="8" w:color="00497F"/>
              <w:right w:val="single" w:sz="8" w:color="00497F"/>
            </w:tcBorders>
            <w:shd w:val="clear" w:color="auto" w:fill="00497F"/>
          </w:tcPr>
          <w:p>
            <w:pPr>
              <w:ind w:left="180"/>
              <w:spacing w:after="0"/>
              <w:rPr>
                <w:sz w:val="20"/>
                <w:szCs w:val="20"/>
                <w:color w:val="auto"/>
              </w:rPr>
            </w:pPr>
            <w:r>
              <w:rPr>
                <w:rFonts w:ascii="Arial" w:cs="Arial" w:eastAsia="Arial" w:hAnsi="Arial"/>
                <w:sz w:val="18"/>
                <w:szCs w:val="18"/>
                <w:b w:val="1"/>
                <w:bCs w:val="1"/>
                <w:color w:val="FFFFFF"/>
              </w:rPr>
              <w:t>Ticker</w:t>
            </w:r>
          </w:p>
        </w:tc>
        <w:tc>
          <w:tcPr>
            <w:tcW w:w="0" w:type="dxa"/>
            <w:vAlign w:val="bottom"/>
          </w:tcPr>
          <w:p>
            <w:pPr>
              <w:spacing w:after="0"/>
              <w:rPr>
                <w:sz w:val="1"/>
                <w:szCs w:val="1"/>
                <w:color w:val="auto"/>
              </w:rPr>
            </w:pPr>
          </w:p>
        </w:tc>
      </w:tr>
      <w:tr>
        <w:trPr>
          <w:trHeight w:val="237"/>
        </w:trPr>
        <w:tc>
          <w:tcPr>
            <w:tcW w:w="2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AAON</w:t>
            </w:r>
          </w:p>
        </w:tc>
        <w:tc>
          <w:tcPr>
            <w:tcW w:w="260" w:type="dxa"/>
            <w:vAlign w:val="bottom"/>
            <w:tcBorders>
              <w:top w:val="single" w:sz="8" w:color="auto"/>
              <w:right w:val="single" w:sz="8" w:color="auto"/>
            </w:tcBorders>
          </w:tcPr>
          <w:p>
            <w:pPr>
              <w:spacing w:after="0"/>
              <w:rPr>
                <w:sz w:val="20"/>
                <w:szCs w:val="20"/>
                <w:color w:val="auto"/>
              </w:rPr>
            </w:pPr>
          </w:p>
        </w:tc>
        <w:tc>
          <w:tcPr>
            <w:tcW w:w="28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Federal Signal.</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FSS</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Orion Group Holdings, Inc.</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780" w:type="dxa"/>
            <w:vAlign w:val="bottom"/>
          </w:tcPr>
          <w:p>
            <w:pPr>
              <w:ind w:left="40"/>
              <w:spacing w:after="0"/>
              <w:rPr>
                <w:sz w:val="20"/>
                <w:szCs w:val="20"/>
                <w:color w:val="auto"/>
              </w:rPr>
            </w:pPr>
            <w:r>
              <w:rPr>
                <w:rFonts w:ascii="Arial" w:cs="Arial" w:eastAsia="Arial" w:hAnsi="Arial"/>
                <w:sz w:val="18"/>
                <w:szCs w:val="18"/>
                <w:color w:val="auto"/>
              </w:rPr>
              <w:t>AIR</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Forrester Research,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FORR</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Patrick Industries,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PATK</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w:t>
            </w:r>
          </w:p>
        </w:tc>
        <w:tc>
          <w:tcPr>
            <w:tcW w:w="780" w:type="dxa"/>
            <w:vAlign w:val="bottom"/>
          </w:tcPr>
          <w:p>
            <w:pPr>
              <w:ind w:left="40"/>
              <w:spacing w:after="0"/>
              <w:rPr>
                <w:sz w:val="20"/>
                <w:szCs w:val="20"/>
                <w:color w:val="auto"/>
              </w:rPr>
            </w:pPr>
            <w:r>
              <w:rPr>
                <w:rFonts w:ascii="Arial" w:cs="Arial" w:eastAsia="Arial" w:hAnsi="Arial"/>
                <w:sz w:val="18"/>
                <w:szCs w:val="18"/>
                <w:color w:val="auto"/>
              </w:rPr>
              <w:t>ABM</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Forward Air.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FWRD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 Innovations,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Actuant Corporation.</w:t>
            </w:r>
          </w:p>
        </w:tc>
        <w:tc>
          <w:tcPr>
            <w:tcW w:w="780" w:type="dxa"/>
            <w:vAlign w:val="bottom"/>
          </w:tcPr>
          <w:p>
            <w:pPr>
              <w:ind w:left="40"/>
              <w:spacing w:after="0"/>
              <w:rPr>
                <w:sz w:val="20"/>
                <w:szCs w:val="20"/>
                <w:color w:val="auto"/>
              </w:rPr>
            </w:pPr>
            <w:r>
              <w:rPr>
                <w:rFonts w:ascii="Arial" w:cs="Arial" w:eastAsia="Arial" w:hAnsi="Arial"/>
                <w:sz w:val="18"/>
                <w:szCs w:val="18"/>
                <w:color w:val="auto"/>
              </w:rPr>
              <w:t>ATU</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Franklin Electric Co.,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FELE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POWL</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Corporation.</w:t>
            </w:r>
          </w:p>
        </w:tc>
        <w:tc>
          <w:tcPr>
            <w:tcW w:w="780" w:type="dxa"/>
            <w:vAlign w:val="bottom"/>
          </w:tcPr>
          <w:p>
            <w:pPr>
              <w:ind w:left="40"/>
              <w:spacing w:after="0"/>
              <w:rPr>
                <w:sz w:val="20"/>
                <w:szCs w:val="20"/>
                <w:color w:val="auto"/>
              </w:rPr>
            </w:pPr>
            <w:r>
              <w:rPr>
                <w:rFonts w:ascii="Arial" w:cs="Arial" w:eastAsia="Arial" w:hAnsi="Arial"/>
                <w:sz w:val="18"/>
                <w:szCs w:val="18"/>
                <w:color w:val="auto"/>
              </w:rPr>
              <w:t>AEGN</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FTI Consulting,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Proto Labs,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PRLB</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Aerojet Rocketdyne Holdings, Inc.</w:t>
            </w:r>
          </w:p>
        </w:tc>
        <w:tc>
          <w:tcPr>
            <w:tcW w:w="780" w:type="dxa"/>
            <w:vAlign w:val="bottom"/>
          </w:tcPr>
          <w:p>
            <w:pPr>
              <w:ind w:left="40"/>
              <w:spacing w:after="0"/>
              <w:rPr>
                <w:sz w:val="20"/>
                <w:szCs w:val="20"/>
                <w:color w:val="auto"/>
              </w:rPr>
            </w:pPr>
            <w:r>
              <w:rPr>
                <w:rFonts w:ascii="Arial" w:cs="Arial" w:eastAsia="Arial" w:hAnsi="Arial"/>
                <w:sz w:val="18"/>
                <w:szCs w:val="18"/>
                <w:color w:val="auto"/>
              </w:rPr>
              <w:t>AJRD</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Gibraltar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Quanex Building.</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NX</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780" w:type="dxa"/>
            <w:vAlign w:val="bottom"/>
          </w:tcPr>
          <w:p>
            <w:pPr>
              <w:ind w:left="40"/>
              <w:spacing w:after="0"/>
              <w:rPr>
                <w:sz w:val="20"/>
                <w:szCs w:val="20"/>
                <w:color w:val="auto"/>
              </w:rPr>
            </w:pPr>
            <w:r>
              <w:rPr>
                <w:rFonts w:ascii="Arial" w:cs="Arial" w:eastAsia="Arial" w:hAnsi="Arial"/>
                <w:sz w:val="18"/>
                <w:szCs w:val="18"/>
                <w:color w:val="auto"/>
              </w:rPr>
              <w:t>AVAV</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Griffon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GFF</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 R.</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RRD</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Alamo Group Inc.</w:t>
            </w:r>
          </w:p>
        </w:tc>
        <w:tc>
          <w:tcPr>
            <w:tcW w:w="780" w:type="dxa"/>
            <w:vAlign w:val="bottom"/>
          </w:tcPr>
          <w:p>
            <w:pPr>
              <w:ind w:left="40"/>
              <w:spacing w:after="0"/>
              <w:rPr>
                <w:sz w:val="20"/>
                <w:szCs w:val="20"/>
                <w:color w:val="auto"/>
              </w:rPr>
            </w:pPr>
            <w:r>
              <w:rPr>
                <w:rFonts w:ascii="Arial" w:cs="Arial" w:eastAsia="Arial" w:hAnsi="Arial"/>
                <w:sz w:val="18"/>
                <w:szCs w:val="18"/>
                <w:color w:val="auto"/>
              </w:rPr>
              <w:t>ALG</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Harsco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HSC</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Raven Industries,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RAVN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International Corp.</w:t>
            </w:r>
          </w:p>
        </w:tc>
        <w:tc>
          <w:tcPr>
            <w:tcW w:w="780" w:type="dxa"/>
            <w:vAlign w:val="bottom"/>
          </w:tcPr>
          <w:p>
            <w:pPr>
              <w:ind w:left="40"/>
              <w:spacing w:after="0"/>
              <w:rPr>
                <w:sz w:val="20"/>
                <w:szCs w:val="20"/>
                <w:color w:val="auto"/>
              </w:rPr>
            </w:pPr>
            <w:r>
              <w:rPr>
                <w:rFonts w:ascii="Arial" w:cs="Arial" w:eastAsia="Arial" w:hAnsi="Arial"/>
                <w:sz w:val="18"/>
                <w:szCs w:val="18"/>
                <w:color w:val="auto"/>
              </w:rPr>
              <w:t>AIN</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Hawaiian Holdings,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RECN</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Allegiant Travel.</w:t>
            </w:r>
          </w:p>
        </w:tc>
        <w:tc>
          <w:tcPr>
            <w:tcW w:w="780" w:type="dxa"/>
            <w:vAlign w:val="bottom"/>
          </w:tcPr>
          <w:p>
            <w:pPr>
              <w:ind w:left="40"/>
              <w:spacing w:after="0"/>
              <w:rPr>
                <w:sz w:val="20"/>
                <w:szCs w:val="20"/>
                <w:color w:val="auto"/>
              </w:rPr>
            </w:pPr>
            <w:r>
              <w:rPr>
                <w:rFonts w:ascii="Arial" w:cs="Arial" w:eastAsia="Arial" w:hAnsi="Arial"/>
                <w:sz w:val="18"/>
                <w:szCs w:val="18"/>
                <w:color w:val="auto"/>
              </w:rPr>
              <w:t>ALGT</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Heartland Express,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HTLD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American Woodmark.</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AMWD</w:t>
            </w:r>
          </w:p>
        </w:tc>
        <w:tc>
          <w:tcPr>
            <w:tcW w:w="26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Heidrick &amp; Struggles International,</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HSII</w:t>
            </w: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Simpson Manufacturing Co., Inc.</w:t>
            </w:r>
          </w:p>
        </w:tc>
        <w:tc>
          <w:tcPr>
            <w:tcW w:w="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SSD</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Inc.</w:t>
            </w: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780" w:type="dxa"/>
            <w:vAlign w:val="bottom"/>
          </w:tcPr>
          <w:p>
            <w:pPr>
              <w:ind w:left="40"/>
              <w:spacing w:after="0"/>
              <w:rPr>
                <w:sz w:val="20"/>
                <w:szCs w:val="20"/>
                <w:color w:val="auto"/>
              </w:rPr>
            </w:pPr>
            <w:r>
              <w:rPr>
                <w:rFonts w:ascii="Arial" w:cs="Arial" w:eastAsia="Arial" w:hAnsi="Arial"/>
                <w:sz w:val="18"/>
                <w:szCs w:val="18"/>
                <w:color w:val="auto"/>
              </w:rPr>
              <w:t>APOG</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Hillenbrand,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SkyWest,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SKYW</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Technologies,</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AIT</w:t>
            </w:r>
          </w:p>
        </w:tc>
        <w:tc>
          <w:tcPr>
            <w:tcW w:w="26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Hub Group, Inc.</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HUBG</w:t>
            </w: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SPX Corporation.</w:t>
            </w:r>
          </w:p>
        </w:tc>
        <w:tc>
          <w:tcPr>
            <w:tcW w:w="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SPXC</w:t>
            </w:r>
          </w:p>
        </w:tc>
        <w:tc>
          <w:tcPr>
            <w:tcW w:w="0" w:type="dxa"/>
            <w:vAlign w:val="bottom"/>
          </w:tcPr>
          <w:p>
            <w:pPr>
              <w:spacing w:after="0"/>
              <w:rPr>
                <w:sz w:val="1"/>
                <w:szCs w:val="1"/>
                <w:color w:val="auto"/>
              </w:rPr>
            </w:pPr>
          </w:p>
        </w:tc>
      </w:tr>
      <w:tr>
        <w:trPr>
          <w:trHeight w:val="122"/>
        </w:trPr>
        <w:tc>
          <w:tcPr>
            <w:tcW w:w="2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Inc.</w:t>
            </w:r>
          </w:p>
        </w:tc>
        <w:tc>
          <w:tcPr>
            <w:tcW w:w="78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60" w:type="dxa"/>
            <w:vAlign w:val="bottom"/>
            <w:tcBorders>
              <w:left w:val="single" w:sz="8" w:color="auto"/>
              <w:right w:val="single" w:sz="8" w:color="auto"/>
            </w:tcBorders>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ArcBest Corporation.</w:t>
            </w:r>
          </w:p>
        </w:tc>
        <w:tc>
          <w:tcPr>
            <w:tcW w:w="780" w:type="dxa"/>
            <w:vAlign w:val="bottom"/>
          </w:tcPr>
          <w:p>
            <w:pPr>
              <w:ind w:left="40"/>
              <w:spacing w:after="0"/>
              <w:rPr>
                <w:sz w:val="20"/>
                <w:szCs w:val="20"/>
                <w:color w:val="auto"/>
              </w:rPr>
            </w:pPr>
            <w:r>
              <w:rPr>
                <w:rFonts w:ascii="Arial" w:cs="Arial" w:eastAsia="Arial" w:hAnsi="Arial"/>
                <w:sz w:val="18"/>
                <w:szCs w:val="18"/>
                <w:color w:val="auto"/>
              </w:rPr>
              <w:t>ARCB</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Insteel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IIIN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FLOW</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Arcosa, Inc.</w:t>
            </w:r>
          </w:p>
        </w:tc>
        <w:tc>
          <w:tcPr>
            <w:tcW w:w="780" w:type="dxa"/>
            <w:vAlign w:val="bottom"/>
          </w:tcPr>
          <w:p>
            <w:pPr>
              <w:ind w:left="40"/>
              <w:spacing w:after="0"/>
              <w:rPr>
                <w:sz w:val="20"/>
                <w:szCs w:val="20"/>
                <w:color w:val="auto"/>
              </w:rPr>
            </w:pPr>
            <w:r>
              <w:rPr>
                <w:rFonts w:ascii="Arial" w:cs="Arial" w:eastAsia="Arial" w:hAnsi="Arial"/>
                <w:sz w:val="18"/>
                <w:szCs w:val="18"/>
                <w:color w:val="auto"/>
              </w:rPr>
              <w:t>ACA</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Interface,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TILE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Standex International.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SXI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780" w:type="dxa"/>
            <w:vAlign w:val="bottom"/>
          </w:tcPr>
          <w:p>
            <w:pPr>
              <w:ind w:left="40"/>
              <w:spacing w:after="0"/>
              <w:rPr>
                <w:sz w:val="20"/>
                <w:szCs w:val="20"/>
                <w:color w:val="auto"/>
              </w:rPr>
            </w:pPr>
            <w:r>
              <w:rPr>
                <w:rFonts w:ascii="Arial" w:cs="Arial" w:eastAsia="Arial" w:hAnsi="Arial"/>
                <w:sz w:val="18"/>
                <w:szCs w:val="18"/>
                <w:color w:val="auto"/>
              </w:rPr>
              <w:t>ASTE</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Bean.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JBT</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Team,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TISI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Atlas Air Worldwide Holdings, Inc.</w:t>
            </w:r>
          </w:p>
        </w:tc>
        <w:tc>
          <w:tcPr>
            <w:tcW w:w="780" w:type="dxa"/>
            <w:vAlign w:val="bottom"/>
          </w:tcPr>
          <w:p>
            <w:pPr>
              <w:ind w:left="40"/>
              <w:spacing w:after="0"/>
              <w:rPr>
                <w:sz w:val="20"/>
                <w:szCs w:val="20"/>
                <w:color w:val="auto"/>
              </w:rPr>
            </w:pPr>
            <w:r>
              <w:rPr>
                <w:rFonts w:ascii="Arial" w:cs="Arial" w:eastAsia="Arial" w:hAnsi="Arial"/>
                <w:sz w:val="18"/>
                <w:szCs w:val="18"/>
                <w:color w:val="auto"/>
              </w:rPr>
              <w:t>AAWW</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Kaman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KAMN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Tennant Company.</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TNC</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Axon Enterprise, Inc.</w:t>
            </w:r>
          </w:p>
        </w:tc>
        <w:tc>
          <w:tcPr>
            <w:tcW w:w="780" w:type="dxa"/>
            <w:vAlign w:val="bottom"/>
          </w:tcPr>
          <w:p>
            <w:pPr>
              <w:ind w:left="40"/>
              <w:spacing w:after="0"/>
              <w:rPr>
                <w:sz w:val="20"/>
                <w:szCs w:val="20"/>
                <w:color w:val="auto"/>
              </w:rPr>
            </w:pPr>
            <w:r>
              <w:rPr>
                <w:rFonts w:ascii="Arial" w:cs="Arial" w:eastAsia="Arial" w:hAnsi="Arial"/>
                <w:sz w:val="18"/>
                <w:szCs w:val="18"/>
                <w:color w:val="auto"/>
              </w:rPr>
              <w:t>AAXN</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Kelly Services,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KELY.A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Tetra Tech,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TTEK</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780" w:type="dxa"/>
            <w:vAlign w:val="bottom"/>
          </w:tcPr>
          <w:p>
            <w:pPr>
              <w:ind w:left="40"/>
              <w:spacing w:after="0"/>
              <w:rPr>
                <w:sz w:val="20"/>
                <w:szCs w:val="20"/>
                <w:color w:val="auto"/>
              </w:rPr>
            </w:pPr>
            <w:r>
              <w:rPr>
                <w:rFonts w:ascii="Arial" w:cs="Arial" w:eastAsia="Arial" w:hAnsi="Arial"/>
                <w:sz w:val="18"/>
                <w:szCs w:val="18"/>
                <w:color w:val="auto"/>
              </w:rPr>
              <w:t>AZZ</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Korn Ferry.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KFY</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Greenbrier Companies,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GBX</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780" w:type="dxa"/>
            <w:vAlign w:val="bottom"/>
          </w:tcPr>
          <w:p>
            <w:pPr>
              <w:ind w:left="40"/>
              <w:spacing w:after="0"/>
              <w:rPr>
                <w:sz w:val="20"/>
                <w:szCs w:val="20"/>
                <w:color w:val="auto"/>
              </w:rPr>
            </w:pPr>
            <w:r>
              <w:rPr>
                <w:rFonts w:ascii="Arial" w:cs="Arial" w:eastAsia="Arial" w:hAnsi="Arial"/>
                <w:sz w:val="18"/>
                <w:szCs w:val="18"/>
                <w:color w:val="auto"/>
              </w:rPr>
              <w:t>B</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Lindsay Corporation.</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LNN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Corporation.</w:t>
            </w:r>
          </w:p>
        </w:tc>
        <w:tc>
          <w:tcPr>
            <w:tcW w:w="780" w:type="dxa"/>
            <w:vAlign w:val="bottom"/>
          </w:tcPr>
          <w:p>
            <w:pPr>
              <w:ind w:left="40"/>
              <w:spacing w:after="0"/>
              <w:rPr>
                <w:sz w:val="20"/>
                <w:szCs w:val="20"/>
                <w:color w:val="auto"/>
              </w:rPr>
            </w:pPr>
            <w:r>
              <w:rPr>
                <w:rFonts w:ascii="Arial" w:cs="Arial" w:eastAsia="Arial" w:hAnsi="Arial"/>
                <w:sz w:val="18"/>
                <w:szCs w:val="18"/>
                <w:color w:val="auto"/>
              </w:rPr>
              <w:t>BRC</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LSC Communications,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LKSD</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Trex Company,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TREX</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w:t>
            </w:r>
          </w:p>
        </w:tc>
        <w:tc>
          <w:tcPr>
            <w:tcW w:w="780" w:type="dxa"/>
            <w:vAlign w:val="bottom"/>
          </w:tcPr>
          <w:p>
            <w:pPr>
              <w:ind w:left="40"/>
              <w:spacing w:after="0"/>
              <w:rPr>
                <w:sz w:val="20"/>
                <w:szCs w:val="20"/>
                <w:color w:val="auto"/>
              </w:rPr>
            </w:pPr>
            <w:r>
              <w:rPr>
                <w:rFonts w:ascii="Arial" w:cs="Arial" w:eastAsia="Arial" w:hAnsi="Arial"/>
                <w:sz w:val="18"/>
                <w:szCs w:val="18"/>
                <w:color w:val="auto"/>
              </w:rPr>
              <w:t>BGG</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Lydall,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LDL</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Triumph Group,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TGI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780" w:type="dxa"/>
            <w:vAlign w:val="bottom"/>
          </w:tcPr>
          <w:p>
            <w:pPr>
              <w:ind w:left="40"/>
              <w:spacing w:after="0"/>
              <w:rPr>
                <w:sz w:val="20"/>
                <w:szCs w:val="20"/>
                <w:color w:val="auto"/>
              </w:rPr>
            </w:pPr>
            <w:r>
              <w:rPr>
                <w:rFonts w:ascii="Arial" w:cs="Arial" w:eastAsia="Arial" w:hAnsi="Arial"/>
                <w:sz w:val="18"/>
                <w:szCs w:val="18"/>
                <w:color w:val="auto"/>
              </w:rPr>
              <w:t>GTLS</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Marten Transport, Ltd.</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MRTN</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TBI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International, Inc.</w:t>
            </w:r>
          </w:p>
        </w:tc>
        <w:tc>
          <w:tcPr>
            <w:tcW w:w="780" w:type="dxa"/>
            <w:vAlign w:val="bottom"/>
          </w:tcPr>
          <w:p>
            <w:pPr>
              <w:ind w:left="40"/>
              <w:spacing w:after="0"/>
              <w:rPr>
                <w:sz w:val="20"/>
                <w:szCs w:val="20"/>
                <w:color w:val="auto"/>
              </w:rPr>
            </w:pPr>
            <w:r>
              <w:rPr>
                <w:rFonts w:ascii="Arial" w:cs="Arial" w:eastAsia="Arial" w:hAnsi="Arial"/>
                <w:sz w:val="18"/>
                <w:szCs w:val="18"/>
                <w:color w:val="auto"/>
              </w:rPr>
              <w:t>CIR</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Matson,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MATX</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UniFirst Corporation.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UNF</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780" w:type="dxa"/>
            <w:vAlign w:val="bottom"/>
          </w:tcPr>
          <w:p>
            <w:pPr>
              <w:ind w:left="40"/>
              <w:spacing w:after="0"/>
              <w:rPr>
                <w:sz w:val="20"/>
                <w:szCs w:val="20"/>
                <w:color w:val="auto"/>
              </w:rPr>
            </w:pPr>
            <w:r>
              <w:rPr>
                <w:rFonts w:ascii="Arial" w:cs="Arial" w:eastAsia="Arial" w:hAnsi="Arial"/>
                <w:sz w:val="18"/>
                <w:szCs w:val="18"/>
                <w:color w:val="auto"/>
              </w:rPr>
              <w:t>FIX</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Matthews International.</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MATW</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Universal Forest Products,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UFPI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Corporation.</w:t>
            </w:r>
          </w:p>
        </w:tc>
        <w:tc>
          <w:tcPr>
            <w:tcW w:w="780" w:type="dxa"/>
            <w:vAlign w:val="bottom"/>
          </w:tcPr>
          <w:p>
            <w:pPr>
              <w:ind w:left="40"/>
              <w:spacing w:after="0"/>
              <w:rPr>
                <w:sz w:val="20"/>
                <w:szCs w:val="20"/>
                <w:color w:val="auto"/>
              </w:rPr>
            </w:pPr>
            <w:r>
              <w:rPr>
                <w:rFonts w:ascii="Arial" w:cs="Arial" w:eastAsia="Arial" w:hAnsi="Arial"/>
                <w:sz w:val="18"/>
                <w:szCs w:val="18"/>
                <w:color w:val="auto"/>
              </w:rPr>
              <w:t>CUB</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Mercury Systems,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MRCY</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ECOL</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780" w:type="dxa"/>
            <w:vAlign w:val="bottom"/>
          </w:tcPr>
          <w:p>
            <w:pPr>
              <w:ind w:left="40"/>
              <w:spacing w:after="0"/>
              <w:rPr>
                <w:sz w:val="20"/>
                <w:szCs w:val="20"/>
                <w:color w:val="auto"/>
              </w:rPr>
            </w:pPr>
            <w:r>
              <w:rPr>
                <w:rFonts w:ascii="Arial" w:cs="Arial" w:eastAsia="Arial" w:hAnsi="Arial"/>
                <w:sz w:val="18"/>
                <w:szCs w:val="18"/>
                <w:color w:val="auto"/>
              </w:rPr>
              <w:t>DXPE</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Mobile Mini,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Veritiv Corporation.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VRTV</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780" w:type="dxa"/>
            <w:vAlign w:val="bottom"/>
          </w:tcPr>
          <w:p>
            <w:pPr>
              <w:ind w:left="40"/>
              <w:spacing w:after="0"/>
              <w:rPr>
                <w:sz w:val="20"/>
                <w:szCs w:val="20"/>
                <w:color w:val="auto"/>
              </w:rPr>
            </w:pPr>
            <w:r>
              <w:rPr>
                <w:rFonts w:ascii="Arial" w:cs="Arial" w:eastAsia="Arial" w:hAnsi="Arial"/>
                <w:sz w:val="18"/>
                <w:szCs w:val="18"/>
                <w:color w:val="auto"/>
              </w:rPr>
              <w:t>ECHO</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Moog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MOG.A</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VVI</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w:t>
            </w:r>
          </w:p>
        </w:tc>
        <w:tc>
          <w:tcPr>
            <w:tcW w:w="780" w:type="dxa"/>
            <w:vAlign w:val="bottom"/>
          </w:tcPr>
          <w:p>
            <w:pPr>
              <w:ind w:left="40"/>
              <w:spacing w:after="0"/>
              <w:rPr>
                <w:sz w:val="20"/>
                <w:szCs w:val="20"/>
                <w:color w:val="auto"/>
              </w:rPr>
            </w:pPr>
            <w:r>
              <w:rPr>
                <w:rFonts w:ascii="Arial" w:cs="Arial" w:eastAsia="Arial" w:hAnsi="Arial"/>
                <w:sz w:val="18"/>
                <w:szCs w:val="18"/>
                <w:color w:val="auto"/>
              </w:rPr>
              <w:t>WIRE</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Mueller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MLI</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Vicor Corporation.</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VICR</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780" w:type="dxa"/>
            <w:vAlign w:val="bottom"/>
          </w:tcPr>
          <w:p>
            <w:pPr>
              <w:ind w:left="40"/>
              <w:spacing w:after="0"/>
              <w:rPr>
                <w:sz w:val="20"/>
                <w:szCs w:val="20"/>
                <w:color w:val="auto"/>
              </w:rPr>
            </w:pPr>
            <w:r>
              <w:rPr>
                <w:rFonts w:ascii="Arial" w:cs="Arial" w:eastAsia="Arial" w:hAnsi="Arial"/>
                <w:sz w:val="18"/>
                <w:szCs w:val="18"/>
                <w:color w:val="auto"/>
              </w:rPr>
              <w:t>NPO</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Multi-Color Color.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LABL</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Wabash National.</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WNC</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ESCO Technologies Inc.</w:t>
            </w:r>
          </w:p>
        </w:tc>
        <w:tc>
          <w:tcPr>
            <w:tcW w:w="780" w:type="dxa"/>
            <w:vAlign w:val="bottom"/>
          </w:tcPr>
          <w:p>
            <w:pPr>
              <w:ind w:left="40"/>
              <w:spacing w:after="0"/>
              <w:rPr>
                <w:sz w:val="20"/>
                <w:szCs w:val="20"/>
                <w:color w:val="auto"/>
              </w:rPr>
            </w:pPr>
            <w:r>
              <w:rPr>
                <w:rFonts w:ascii="Arial" w:cs="Arial" w:eastAsia="Arial" w:hAnsi="Arial"/>
                <w:sz w:val="18"/>
                <w:szCs w:val="18"/>
                <w:color w:val="auto"/>
              </w:rPr>
              <w:t>ESE</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MYR Group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MYRG</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WageWorks,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Essendant Inc.</w:t>
            </w:r>
          </w:p>
        </w:tc>
        <w:tc>
          <w:tcPr>
            <w:tcW w:w="780" w:type="dxa"/>
            <w:vAlign w:val="bottom"/>
          </w:tcPr>
          <w:p>
            <w:pPr>
              <w:ind w:left="40"/>
              <w:spacing w:after="0"/>
              <w:rPr>
                <w:sz w:val="20"/>
                <w:szCs w:val="20"/>
                <w:color w:val="auto"/>
              </w:rPr>
            </w:pPr>
            <w:r>
              <w:rPr>
                <w:rFonts w:ascii="Arial" w:cs="Arial" w:eastAsia="Arial" w:hAnsi="Arial"/>
                <w:sz w:val="18"/>
                <w:szCs w:val="18"/>
                <w:color w:val="auto"/>
              </w:rPr>
              <w:t>ESND</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National Presto Industries,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NPK</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Watts Water Technologies, Inc.</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WTS</w:t>
            </w: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Exponent, Inc.</w:t>
            </w:r>
          </w:p>
        </w:tc>
        <w:tc>
          <w:tcPr>
            <w:tcW w:w="780" w:type="dxa"/>
            <w:vAlign w:val="bottom"/>
          </w:tcPr>
          <w:p>
            <w:pPr>
              <w:ind w:left="40"/>
              <w:spacing w:after="0"/>
              <w:rPr>
                <w:sz w:val="20"/>
                <w:szCs w:val="20"/>
                <w:color w:val="auto"/>
              </w:rPr>
            </w:pPr>
            <w:r>
              <w:rPr>
                <w:rFonts w:ascii="Arial" w:cs="Arial" w:eastAsia="Arial" w:hAnsi="Arial"/>
                <w:sz w:val="18"/>
                <w:szCs w:val="18"/>
                <w:color w:val="auto"/>
              </w:rPr>
              <w:t>EXPO</w:t>
            </w:r>
          </w:p>
        </w:tc>
        <w:tc>
          <w:tcPr>
            <w:tcW w:w="26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Navigant Consulting, Inc.</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NCI</w:t>
            </w:r>
          </w:p>
        </w:tc>
        <w:tc>
          <w:tcPr>
            <w:tcW w:w="28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-6439535</wp:posOffset>
            </wp:positionV>
            <wp:extent cx="2714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14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40"/>
          </w:cols>
          <w:pgMar w:left="240" w:top="855"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214" w:lineRule="exact"/>
        <w:rPr>
          <w:sz w:val="20"/>
          <w:szCs w:val="20"/>
          <w:color w:val="auto"/>
        </w:rPr>
      </w:pPr>
    </w:p>
    <w:p>
      <w:pPr>
        <w:ind w:left="1300" w:right="20" w:hanging="644"/>
        <w:spacing w:after="0" w:line="263"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1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2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855" w:right="239" w:bottom="1440" w:gutter="0" w:footer="0" w:header="0"/>
        </w:sectPr>
      </w:pPr>
    </w:p>
    <w:bookmarkStart w:id="59" w:name="page60"/>
    <w:bookmarkEnd w:id="59"/>
    <w:p>
      <w:pPr>
        <w:ind w:left="660" w:right="20"/>
        <w:spacing w:after="0" w:line="263" w:lineRule="auto"/>
        <w:rPr>
          <w:sz w:val="20"/>
          <w:szCs w:val="20"/>
          <w:color w:val="auto"/>
        </w:rPr>
      </w:pPr>
      <w:r>
        <w:rPr>
          <w:rFonts w:ascii="Arial" w:cs="Arial" w:eastAsia="Arial" w:hAnsi="Arial"/>
          <w:sz w:val="22"/>
          <w:szCs w:val="22"/>
          <w:color w:val="auto"/>
        </w:rPr>
        <w:t>to submit to any medical examination properly requested by the Committee or the Company, then in any such event Grantee shall be deemed to have recovered from such Disability.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(a)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2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54"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20"/>
          </w:cols>
          <w:pgMar w:left="240" w:top="86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APPENDIX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right="60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performance-based Restricted Stock Units (“</w:t>
      </w:r>
      <w:r>
        <w:rPr>
          <w:rFonts w:ascii="Arial" w:cs="Arial" w:eastAsia="Arial" w:hAnsi="Arial"/>
          <w:sz w:val="21"/>
          <w:szCs w:val="21"/>
          <w:u w:val="single" w:color="auto"/>
          <w:color w:val="auto"/>
        </w:rPr>
        <w:t>PSUs</w:t>
      </w:r>
      <w:r>
        <w:rPr>
          <w:rFonts w:ascii="Arial" w:cs="Arial" w:eastAsia="Arial" w:hAnsi="Arial"/>
          <w:sz w:val="21"/>
          <w:szCs w:val="21"/>
          <w:color w:val="auto"/>
        </w:rPr>
        <w:t>”) granted to you under the TriMas Corporation 2017 Equity and Incentive Compensation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the United Kingdom.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FSMA</w:t>
      </w:r>
      <w:r>
        <w:rPr>
          <w:rFonts w:ascii="Arial" w:cs="Arial" w:eastAsia="Arial" w:hAnsi="Arial"/>
          <w:sz w:val="22"/>
          <w:szCs w:val="22"/>
          <w:color w:val="auto"/>
        </w:rPr>
        <w:t>. This Addendum amends those provisions of the Plan, pursuant to Section 14 of the Plan, which are required to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for awards made under the Plan, and communications concerning those awards, to be exempt from provisions of the United Kingdom Financial Services and Markets Act 2000 (the “</w:t>
      </w:r>
      <w:r>
        <w:rPr>
          <w:rFonts w:ascii="Arial" w:cs="Arial" w:eastAsia="Arial" w:hAnsi="Arial"/>
          <w:sz w:val="22"/>
          <w:szCs w:val="22"/>
          <w:u w:val="single" w:color="auto"/>
          <w:color w:val="auto"/>
        </w:rPr>
        <w:t>FSMA</w:t>
      </w:r>
      <w:r>
        <w:rPr>
          <w:rFonts w:ascii="Arial" w:cs="Arial" w:eastAsia="Arial" w:hAnsi="Arial"/>
          <w:sz w:val="22"/>
          <w:szCs w:val="22"/>
          <w:color w:val="auto"/>
        </w:rPr>
        <w:t>”) as a sub-plan of the Plan. Any PSUs to which this Addendum applies shall apply solely to Service Providers who are key employees of the Company, or a Subsidiary that is a member of the same group as the Company, who are residents of, and provide services in, the United Kingdom. For purposes of this Addendum, the term “group” in relation to the Company shall bear the meaning given to such term in section 421 of the FSMA.</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For purposes of the Agreement, the definition of “Disability” in Appendix B hereto shall be qualified by the inclusion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phrase after the word “means”: “, subject to and in compliance with the requirements of laws of the United Kingdom,”.</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B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reasonably determined by the Committee to constitute retirement.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20"/>
          </w:cols>
          <w:pgMar w:left="240" w:top="855" w:right="239" w:bottom="1440" w:gutter="0" w:footer="0" w:header="0"/>
        </w:sectPr>
      </w:pPr>
    </w:p>
    <w:bookmarkStart w:id="61" w:name="page62"/>
    <w:bookmarkEnd w:id="61"/>
    <w:p>
      <w:pPr>
        <w:jc w:val="both"/>
        <w:ind w:left="660"/>
        <w:spacing w:after="0" w:line="292" w:lineRule="auto"/>
        <w:rPr>
          <w:sz w:val="20"/>
          <w:szCs w:val="20"/>
          <w:color w:val="auto"/>
        </w:rPr>
      </w:pPr>
      <w:r>
        <w:rPr>
          <w:rFonts w:ascii="Arial" w:cs="Arial" w:eastAsia="Arial" w:hAnsi="Arial"/>
          <w:sz w:val="19"/>
          <w:szCs w:val="19"/>
          <w:color w:val="auto"/>
        </w:rPr>
        <w:t>(including earning, vesting, payment, and forfeitability) as apply to the PSUs based on which the dividend equivalents were 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“Except as described below, this Award and the PSUs subject to this Award may not be sold, pledged, assigned, hypothecated, transferred, or disposed of in any manner other than by will or by the laws of descent or distribution provided that the persons to whom rights under PSUs may be transferred shall be limited to Grantee’s children and step-children under the age of eighteen, spouses and surviving spouses and civil partners (within the meaning of the United Kingdom Civil Partnerships Act 2004) and surviving civil partners. This Award shall lapse and any unvested PSUs subject to this Award shall be forfeited if a bankruptcy order is made in respect of Grantee.”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420"/>
          </w:cols>
          <w:pgMar w:left="240" w:top="861" w:right="239" w:bottom="1440" w:gutter="0" w:footer="0" w:header="0"/>
        </w:sectPr>
      </w:pPr>
    </w:p>
    <w:bookmarkStart w:id="62" w:name="page63"/>
    <w:bookmarkEnd w:id="62"/>
    <w:p>
      <w:pPr>
        <w:jc w:val="both"/>
        <w:ind w:left="660"/>
        <w:spacing w:after="0" w:line="263" w:lineRule="auto"/>
        <w:rPr>
          <w:sz w:val="20"/>
          <w:szCs w:val="20"/>
          <w:color w:val="auto"/>
        </w:rPr>
      </w:pPr>
      <w:r>
        <w:rPr>
          <w:rFonts w:ascii="Arial" w:cs="Arial" w:eastAsia="Arial" w:hAnsi="Arial"/>
          <w:sz w:val="21"/>
          <w:szCs w:val="21"/>
          <w:color w:val="auto"/>
        </w:rPr>
        <w:t>which after any costs of sale is sufficient to discharge the amount so notified to Grantee and retain such sum or make such other arrangements, by which Grantee hereby agrees to be bound, so as to ensure that the amount notified to Grantee is discharged in full. 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216"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It is a further condition of delivery of any shares of Common Stock pursuant to the vesting of this Award that Grantee will, if required to do so by the Company, enter into a joint election under section 431(1) of the Income Tax (Earnings and Pensions) Act 2003 of the United Kingdom (“</w:t>
      </w:r>
      <w:r>
        <w:rPr>
          <w:rFonts w:ascii="Arial" w:cs="Arial" w:eastAsia="Arial" w:hAnsi="Arial"/>
          <w:sz w:val="19"/>
          <w:szCs w:val="19"/>
          <w:u w:val="single" w:color="auto"/>
          <w:color w:val="auto"/>
        </w:rPr>
        <w:t>ITEPA</w:t>
      </w:r>
      <w:r>
        <w:rPr>
          <w:rFonts w:ascii="Arial" w:cs="Arial" w:eastAsia="Arial" w:hAnsi="Arial"/>
          <w:sz w:val="19"/>
          <w:szCs w:val="19"/>
          <w:color w:val="auto"/>
        </w:rPr>
        <w:t>”), the effect of which is that the Common Stock will be treated as if they were not restricted securities and that sections 425 to 430 of ITEPA will not apply to those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Section II.B.4(c) is hereby amended in its entirety to read as follows:</w:t>
      </w:r>
    </w:p>
    <w:p>
      <w:pPr>
        <w:spacing w:after="0" w:line="260"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Covenants Against Competition and Solicitation.</w:t>
      </w:r>
      <w:r>
        <w:rPr>
          <w:rFonts w:ascii="Arial" w:cs="Arial" w:eastAsia="Arial" w:hAnsi="Arial"/>
          <w:sz w:val="22"/>
          <w:szCs w:val="22"/>
          <w:color w:val="auto"/>
        </w:rPr>
        <w:t xml:space="preserve"> Each of the restrictions set out in this Section II.B.4(c) 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Grantee covenants that Grantee will not for the Restricted Period:</w:t>
      </w:r>
    </w:p>
    <w:p>
      <w:pPr>
        <w:spacing w:after="0" w:line="220" w:lineRule="exact"/>
        <w:rPr>
          <w:sz w:val="20"/>
          <w:szCs w:val="20"/>
          <w:color w:val="auto"/>
        </w:rPr>
      </w:pPr>
    </w:p>
    <w:p>
      <w:pPr>
        <w:ind w:left="1260" w:hanging="644"/>
        <w:spacing w:after="0" w:line="263" w:lineRule="auto"/>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entice or solicit or endeavour to entice or solicit away from the Company or any Group Company any Relevant Employee;</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employ or otherwise engage or otherwise facilitate the employment or engagement of any Relevant Employee;</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solicit or endeavour to supply Restricted Goods or Services to any Relevant Customer;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supply or be involved with the supply of Restricted Goods or Services to any Relevant Customer;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have any business dealings with any Relevant Customer on behalf of a Relevant Business;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carry on or be concerned as a principal or agent in any Relevant Business within the Restricted Area;</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carry on or be concerned as a partner or member in any Relevant Business within the Restricted Area;</w:t>
      </w:r>
    </w:p>
    <w:p>
      <w:pPr>
        <w:spacing w:after="0" w:line="219"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be employed or engaged as a worker in any Relevant Business that operates or seeks to operate within the Restricted Area;</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420"/>
          </w:cols>
          <w:pgMar w:left="240" w:top="861" w:right="239" w:bottom="1440" w:gutter="0" w:footer="0" w:header="0"/>
        </w:sectPr>
      </w:pPr>
    </w:p>
    <w:bookmarkStart w:id="63" w:name="page64"/>
    <w:bookmarkEnd w:id="63"/>
    <w:p>
      <w:pPr>
        <w:ind w:left="1260" w:hanging="644"/>
        <w:spacing w:after="0" w:line="263" w:lineRule="auto"/>
        <w:tabs>
          <w:tab w:leader="none" w:pos="1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be engaged as a consultant (directly or through another entity) or adviser to any Relevant Business within the Restricted Area;</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carry on or be concerned as a director of any Relevant Business within the Restricted Area;</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hold a material financial interest in any Relevant Business within the Restricted Area;</w:t>
      </w:r>
    </w:p>
    <w:p>
      <w:pPr>
        <w:spacing w:after="0" w:line="219" w:lineRule="exact"/>
        <w:rPr>
          <w:rFonts w:ascii="Arial" w:cs="Arial" w:eastAsia="Arial" w:hAnsi="Arial"/>
          <w:sz w:val="22"/>
          <w:szCs w:val="22"/>
          <w:color w:val="auto"/>
        </w:rPr>
      </w:pPr>
    </w:p>
    <w:p>
      <w:pPr>
        <w:jc w:val="both"/>
        <w:ind w:left="1260" w:hanging="644"/>
        <w:spacing w:after="0" w:line="248" w:lineRule="auto"/>
        <w:tabs>
          <w:tab w:leader="none" w:pos="1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92"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be a person with significant control (under part 21A of the United Kingdom Companies Act 2006) in any Relevant Business within the Restricted Area.</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restrictions in above only apply in respect of business activities which compete or seek to compete with the Company and nothing in these provisions seeks to prevent Grantee in connection with activities which do not compete with the Company.</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Section II.B.4(e) is hereby amended in its entirety to read as follows:</w:t>
      </w:r>
    </w:p>
    <w:p>
      <w:pPr>
        <w:spacing w:after="0" w:line="266"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“(1) “</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7" w:lineRule="exact"/>
        <w:rPr>
          <w:sz w:val="20"/>
          <w:szCs w:val="20"/>
          <w:color w:val="auto"/>
        </w:rPr>
      </w:pPr>
    </w:p>
    <w:p>
      <w:pPr>
        <w:jc w:val="both"/>
        <w:ind w:left="1300" w:firstLine="5"/>
        <w:spacing w:after="0" w:line="253" w:lineRule="auto"/>
        <w:tabs>
          <w:tab w:leader="none" w:pos="16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1300" w:firstLine="5"/>
        <w:spacing w:after="0" w:line="312" w:lineRule="auto"/>
        <w:tabs>
          <w:tab w:leader="none" w:pos="1917"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420"/>
          </w:cols>
          <w:pgMar w:left="240" w:top="861" w:right="239" w:bottom="1440" w:gutter="0" w:footer="0" w:header="0"/>
        </w:sectPr>
      </w:pPr>
    </w:p>
    <w:bookmarkStart w:id="64" w:name="page65"/>
    <w:bookmarkEnd w:id="64"/>
    <w:p>
      <w:pPr>
        <w:jc w:val="both"/>
        <w:ind w:left="1300"/>
        <w:spacing w:after="0" w:line="258" w:lineRule="auto"/>
        <w:rPr>
          <w:sz w:val="20"/>
          <w:szCs w:val="20"/>
          <w:color w:val="auto"/>
        </w:rPr>
      </w:pPr>
      <w:r>
        <w:rPr>
          <w:rFonts w:ascii="Arial" w:cs="Arial" w:eastAsia="Arial" w:hAnsi="Arial"/>
          <w:sz w:val="21"/>
          <w:szCs w:val="21"/>
          <w:color w:val="auto"/>
        </w:rPr>
        <w:t>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6" w:lineRule="exact"/>
        <w:rPr>
          <w:sz w:val="20"/>
          <w:szCs w:val="20"/>
          <w:color w:val="auto"/>
        </w:rPr>
      </w:pPr>
    </w:p>
    <w:p>
      <w:pPr>
        <w:jc w:val="both"/>
        <w:ind w:left="1300" w:firstLine="5"/>
        <w:spacing w:after="0" w:line="253" w:lineRule="auto"/>
        <w:tabs>
          <w:tab w:leader="none" w:pos="1781"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Area</w:t>
      </w:r>
      <w:r>
        <w:rPr>
          <w:rFonts w:ascii="Arial" w:cs="Arial" w:eastAsia="Arial" w:hAnsi="Arial"/>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85" w:lineRule="exact"/>
        <w:rPr>
          <w:rFonts w:ascii="Arial" w:cs="Arial" w:eastAsia="Arial" w:hAnsi="Arial"/>
          <w:sz w:val="22"/>
          <w:szCs w:val="22"/>
          <w:color w:val="auto"/>
        </w:rPr>
      </w:pPr>
    </w:p>
    <w:p>
      <w:pPr>
        <w:ind w:left="1300" w:firstLine="5"/>
        <w:spacing w:after="0" w:line="263" w:lineRule="auto"/>
        <w:tabs>
          <w:tab w:leader="none" w:pos="1863"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Business</w:t>
      </w:r>
      <w:r>
        <w:rPr>
          <w:rFonts w:ascii="Arial" w:cs="Arial" w:eastAsia="Arial" w:hAnsi="Arial"/>
          <w:sz w:val="22"/>
          <w:szCs w:val="22"/>
          <w:color w:val="auto"/>
        </w:rPr>
        <w:t>” means any business or part of a business involving the supply of Restricted Goods or Services.</w:t>
      </w:r>
    </w:p>
    <w:p>
      <w:pPr>
        <w:spacing w:after="0" w:line="174" w:lineRule="exact"/>
        <w:rPr>
          <w:rFonts w:ascii="Arial" w:cs="Arial" w:eastAsia="Arial" w:hAnsi="Arial"/>
          <w:sz w:val="22"/>
          <w:szCs w:val="22"/>
          <w:color w:val="auto"/>
        </w:rPr>
      </w:pPr>
    </w:p>
    <w:p>
      <w:pPr>
        <w:jc w:val="both"/>
        <w:ind w:left="1300" w:firstLine="5"/>
        <w:spacing w:after="0" w:line="250" w:lineRule="auto"/>
        <w:tabs>
          <w:tab w:leader="none" w:pos="1876"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Customer</w:t>
      </w:r>
      <w:r>
        <w:rPr>
          <w:rFonts w:ascii="Arial" w:cs="Arial" w:eastAsia="Arial" w:hAnsi="Arial"/>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88" w:lineRule="exact"/>
        <w:rPr>
          <w:rFonts w:ascii="Arial" w:cs="Arial" w:eastAsia="Arial" w:hAnsi="Arial"/>
          <w:sz w:val="22"/>
          <w:szCs w:val="22"/>
          <w:color w:val="auto"/>
        </w:rPr>
      </w:pPr>
    </w:p>
    <w:p>
      <w:pPr>
        <w:ind w:left="1300" w:right="20" w:firstLine="5"/>
        <w:spacing w:after="0" w:line="287" w:lineRule="auto"/>
        <w:tabs>
          <w:tab w:leader="none" w:pos="1795" w:val="left"/>
        </w:tabs>
        <w:numPr>
          <w:ilvl w:val="0"/>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Relevant Date</w:t>
      </w:r>
      <w:r>
        <w:rPr>
          <w:rFonts w:ascii="Arial" w:cs="Arial" w:eastAsia="Arial" w:hAnsi="Arial"/>
          <w:sz w:val="21"/>
          <w:szCs w:val="21"/>
          <w:color w:val="auto"/>
        </w:rPr>
        <w:t>” means the earlier of (x) the date of termination of Grantee’s employment, and (y) the start of any period of garden leave or exclusion under Grantee’s contract of employment with the Company.</w:t>
      </w:r>
    </w:p>
    <w:p>
      <w:pPr>
        <w:spacing w:after="0" w:line="151" w:lineRule="exact"/>
        <w:rPr>
          <w:rFonts w:ascii="Arial" w:cs="Arial" w:eastAsia="Arial" w:hAnsi="Arial"/>
          <w:sz w:val="21"/>
          <w:szCs w:val="21"/>
          <w:color w:val="auto"/>
        </w:rPr>
      </w:pPr>
    </w:p>
    <w:p>
      <w:pPr>
        <w:jc w:val="both"/>
        <w:ind w:left="1300" w:firstLine="5"/>
        <w:spacing w:after="0" w:line="253" w:lineRule="auto"/>
        <w:tabs>
          <w:tab w:leader="none" w:pos="1822"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Employee</w:t>
      </w:r>
      <w:r>
        <w:rPr>
          <w:rFonts w:ascii="Arial" w:cs="Arial" w:eastAsia="Arial" w:hAnsi="Arial"/>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85" w:lineRule="exact"/>
        <w:rPr>
          <w:rFonts w:ascii="Arial" w:cs="Arial" w:eastAsia="Arial" w:hAnsi="Arial"/>
          <w:sz w:val="22"/>
          <w:szCs w:val="22"/>
          <w:color w:val="auto"/>
        </w:rPr>
      </w:pPr>
    </w:p>
    <w:p>
      <w:pPr>
        <w:ind w:left="1300" w:firstLine="5"/>
        <w:spacing w:after="0" w:line="343" w:lineRule="auto"/>
        <w:tabs>
          <w:tab w:leader="none" w:pos="1795"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Restricted Goods or Services</w:t>
      </w:r>
      <w:r>
        <w:rPr>
          <w:rFonts w:ascii="Arial" w:cs="Arial" w:eastAsia="Arial" w:hAnsi="Arial"/>
          <w:sz w:val="19"/>
          <w:szCs w:val="19"/>
          <w:color w:val="auto"/>
        </w:rPr>
        <w:t>” means products for customers in the consumer products, aerospace, industrial, petrochemical, refinery and oil and gas end markets, and the design, manufacture and marketing thereof.</w:t>
      </w:r>
    </w:p>
    <w:p>
      <w:pPr>
        <w:spacing w:after="0" w:line="104" w:lineRule="exact"/>
        <w:rPr>
          <w:rFonts w:ascii="Arial" w:cs="Arial" w:eastAsia="Arial" w:hAnsi="Arial"/>
          <w:sz w:val="19"/>
          <w:szCs w:val="19"/>
          <w:color w:val="auto"/>
        </w:rPr>
      </w:pPr>
    </w:p>
    <w:p>
      <w:pPr>
        <w:jc w:val="both"/>
        <w:ind w:left="1300" w:firstLine="5"/>
        <w:spacing w:after="0" w:line="250" w:lineRule="auto"/>
        <w:tabs>
          <w:tab w:leader="none" w:pos="2011"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(x) for restrictions set forth in clauses (i) to (v) of Section II.B.4(c), during Grantee’s employment and for a period of twelve months after the Relevant Date; and (y) for restrictions set forth in clauses (vi) to (xiii) of Section II.B.4(c), during Grantee’s employment and for a period of nine months after the Relevant Date.”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II.B.18 is added to the Agreement to read as follows:</w:t>
      </w:r>
    </w:p>
    <w:p>
      <w:pPr>
        <w:spacing w:after="0" w:line="26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Company and Rieke Packaging Systems Limited (the “Grantee’s Employer”), (together the “Relevant TriMas Companies”) will process the Grantee’s personal data in connection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420"/>
          </w:cols>
          <w:pgMar w:left="240" w:top="861" w:right="239" w:bottom="1440" w:gutter="0" w:footer="0" w:header="0"/>
        </w:sectPr>
      </w:pPr>
    </w:p>
    <w:bookmarkStart w:id="65" w:name="page66"/>
    <w:bookmarkEnd w:id="65"/>
    <w:p>
      <w:pPr>
        <w:ind w:left="100"/>
        <w:spacing w:after="0" w:line="263" w:lineRule="auto"/>
        <w:rPr>
          <w:sz w:val="20"/>
          <w:szCs w:val="20"/>
          <w:color w:val="auto"/>
        </w:rPr>
      </w:pPr>
      <w:r>
        <w:rPr>
          <w:rFonts w:ascii="Arial" w:cs="Arial" w:eastAsia="Arial" w:hAnsi="Arial"/>
          <w:sz w:val="22"/>
          <w:szCs w:val="22"/>
          <w:color w:val="auto"/>
        </w:rPr>
        <w:t>with the Plan. For the purposes of data protection legislation, the Relevant TriMas Companies will each act as controller in relation to such personal data.</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355" w:lineRule="exact"/>
        <w:rPr>
          <w:sz w:val="20"/>
          <w:szCs w:val="20"/>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name;</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date of birth;</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job title;</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home address (and, if different, mailing address) and postal code;</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telephone number;</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social insurance, national insurance, US taxpayer and/or foreign tax identification number;</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salary;</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country of citizenship and nationality;</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Common Stock or directorships held in any of the Relevant TriMas Companies;</w:t>
      </w:r>
    </w:p>
    <w:p>
      <w:pPr>
        <w:spacing w:after="0" w:line="273"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228"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reference number (where relevant to link the Grantee’s benefits under the Plan to other documentation issued to or from the US Department of the Treasury Internal Revenue Service).</w:t>
      </w:r>
    </w:p>
    <w:p>
      <w:pPr>
        <w:spacing w:after="0" w:line="94" w:lineRule="exact"/>
        <w:rPr>
          <w:sz w:val="20"/>
          <w:szCs w:val="20"/>
          <w:color w:val="auto"/>
        </w:rPr>
      </w:pPr>
    </w:p>
    <w:p>
      <w:pPr>
        <w:ind w:left="10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355" w:lineRule="exact"/>
        <w:rPr>
          <w:sz w:val="20"/>
          <w:szCs w:val="20"/>
          <w:color w:val="auto"/>
        </w:rPr>
      </w:pPr>
    </w:p>
    <w:p>
      <w:pPr>
        <w:ind w:left="760" w:hanging="331"/>
        <w:spacing w:after="0" w:line="263" w:lineRule="auto"/>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228"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239"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pacing w:after="0" w:line="228"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ectPr>
          <w:pgSz w:w="11900" w:h="16838" w:orient="portrait"/>
          <w:cols w:equalWidth="0" w:num="1">
            <w:col w:w="10220"/>
          </w:cols>
          <w:pgMar w:left="1440" w:top="86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0220"/>
          </w:cols>
          <w:pgMar w:left="1440" w:top="861" w:right="239" w:bottom="1440" w:gutter="0" w:footer="0" w:header="0"/>
          <w:type w:val="continuous"/>
        </w:sectPr>
      </w:pPr>
    </w:p>
    <w:bookmarkStart w:id="66" w:name="page67"/>
    <w:bookmarkEnd w:id="66"/>
    <w:p>
      <w:pPr>
        <w:ind w:left="760" w:hanging="331"/>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obtaining legal and other professional advice; and</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establishing, exercising or defending legal rights.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processing of the Grantee’s personal data:</w:t>
      </w:r>
    </w:p>
    <w:p>
      <w:pPr>
        <w:spacing w:after="0" w:line="355" w:lineRule="exact"/>
        <w:rPr>
          <w:sz w:val="20"/>
          <w:szCs w:val="20"/>
          <w:color w:val="auto"/>
        </w:rPr>
      </w:pPr>
    </w:p>
    <w:p>
      <w:pPr>
        <w:jc w:val="both"/>
        <w:ind w:left="760" w:hanging="331"/>
        <w:spacing w:after="0" w:line="271" w:lineRule="auto"/>
        <w:tabs>
          <w:tab w:leader="none" w:pos="7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221" w:lineRule="exact"/>
        <w:rPr>
          <w:rFonts w:ascii="Arial" w:cs="Arial" w:eastAsia="Arial" w:hAnsi="Arial"/>
          <w:sz w:val="21"/>
          <w:szCs w:val="21"/>
          <w:color w:val="auto"/>
        </w:rPr>
      </w:pPr>
    </w:p>
    <w:p>
      <w:pPr>
        <w:jc w:val="both"/>
        <w:ind w:left="760" w:hanging="331"/>
        <w:spacing w:after="0" w:line="250" w:lineRule="auto"/>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242" w:lineRule="exact"/>
        <w:rPr>
          <w:rFonts w:ascii="Arial" w:cs="Arial" w:eastAsia="Arial" w:hAnsi="Arial"/>
          <w:sz w:val="22"/>
          <w:szCs w:val="22"/>
          <w:color w:val="auto"/>
        </w:rPr>
      </w:pPr>
    </w:p>
    <w:p>
      <w:pPr>
        <w:ind w:left="760" w:right="20" w:hanging="331"/>
        <w:spacing w:after="0" w:line="263" w:lineRule="auto"/>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respect of all other personal data set out above, is necessary for the performance of the Performance Stock Units Agreement between the Grantee and TriMas Corporation.</w:t>
      </w:r>
    </w:p>
    <w:p>
      <w:pPr>
        <w:spacing w:after="0" w:line="94"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5"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0" w:lineRule="exact"/>
        <w:rPr>
          <w:sz w:val="20"/>
          <w:szCs w:val="20"/>
          <w:color w:val="auto"/>
        </w:rPr>
      </w:pPr>
    </w:p>
    <w:p>
      <w:pPr>
        <w:jc w:val="both"/>
        <w:ind w:left="100"/>
        <w:spacing w:after="0" w:line="290" w:lineRule="auto"/>
        <w:rPr>
          <w:sz w:val="20"/>
          <w:szCs w:val="20"/>
          <w:color w:val="auto"/>
        </w:rPr>
      </w:pPr>
      <w:r>
        <w:rPr>
          <w:rFonts w:ascii="Arial" w:cs="Arial" w:eastAsia="Arial" w:hAnsi="Arial"/>
          <w:sz w:val="19"/>
          <w:szCs w:val="19"/>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Arial" w:cs="Arial" w:eastAsia="Arial" w:hAnsi="Arial"/>
          <w:sz w:val="19"/>
          <w:szCs w:val="19"/>
          <w:u w:val="single" w:color="auto"/>
          <w:color w:val="0000FF"/>
        </w:rPr>
        <w:t>www.netbenefits.fidelity.com</w:t>
      </w:r>
      <w:r>
        <w:rPr>
          <w:rFonts w:ascii="Arial" w:cs="Arial" w:eastAsia="Arial" w:hAnsi="Arial"/>
          <w:sz w:val="19"/>
          <w:szCs w:val="19"/>
          <w:color w:val="auto"/>
        </w:rPr>
        <w:t xml:space="preserve"> and visiting the Plan &amp; Grant Documents section of the Grantee’s account.</w:t>
      </w:r>
    </w:p>
    <w:p>
      <w:pPr>
        <w:spacing w:after="0" w:line="157"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In the event that the Relevant TriMas Companies sell any part(s) of their business and/or assets, they will also disclose the Grantee’s personal data to actual or potential purchasers of</w:t>
      </w:r>
    </w:p>
    <w:p>
      <w:pPr>
        <w:spacing w:after="0" w:line="200" w:lineRule="exact"/>
        <w:rPr>
          <w:sz w:val="20"/>
          <w:szCs w:val="20"/>
          <w:color w:val="auto"/>
        </w:rPr>
      </w:pPr>
    </w:p>
    <w:p>
      <w:pPr>
        <w:spacing w:after="0" w:line="34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0220"/>
          </w:cols>
          <w:pgMar w:left="1440" w:top="996" w:right="239" w:bottom="1440" w:gutter="0" w:footer="0" w:header="0"/>
        </w:sectPr>
      </w:pPr>
    </w:p>
    <w:bookmarkStart w:id="67" w:name="page68"/>
    <w:bookmarkEnd w:id="67"/>
    <w:p>
      <w:pPr>
        <w:ind w:left="100"/>
        <w:spacing w:after="0" w:line="263" w:lineRule="auto"/>
        <w:rPr>
          <w:sz w:val="20"/>
          <w:szCs w:val="20"/>
          <w:color w:val="auto"/>
        </w:rPr>
      </w:pPr>
      <w:r>
        <w:rPr>
          <w:rFonts w:ascii="Arial" w:cs="Arial" w:eastAsia="Arial" w:hAnsi="Arial"/>
          <w:sz w:val="22"/>
          <w:szCs w:val="22"/>
          <w:color w:val="auto"/>
        </w:rPr>
        <w:t>parts of its business or assets, and their respective advisers and insurers for the potential purchaser’s legitimate interests of:</w:t>
      </w:r>
    </w:p>
    <w:p>
      <w:pPr>
        <w:spacing w:after="0" w:line="310" w:lineRule="exact"/>
        <w:rPr>
          <w:sz w:val="20"/>
          <w:szCs w:val="20"/>
          <w:color w:val="auto"/>
        </w:rPr>
      </w:pPr>
    </w:p>
    <w:p>
      <w:pPr>
        <w:ind w:left="760" w:hanging="331"/>
        <w:spacing w:after="0"/>
        <w:tabs>
          <w:tab w:leader="none" w:pos="7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enabling potential purchasers to complete due diligence on, and value, the business and/or assets;</w:t>
      </w:r>
    </w:p>
    <w:p>
      <w:pPr>
        <w:spacing w:after="0" w:line="285" w:lineRule="exact"/>
        <w:rPr>
          <w:rFonts w:ascii="Arial" w:cs="Arial" w:eastAsia="Arial" w:hAnsi="Arial"/>
          <w:sz w:val="21"/>
          <w:szCs w:val="21"/>
          <w:color w:val="auto"/>
        </w:rPr>
      </w:pPr>
    </w:p>
    <w:p>
      <w:pPr>
        <w:ind w:left="760" w:hanging="331"/>
        <w:spacing w:after="0" w:line="263" w:lineRule="auto"/>
        <w:tabs>
          <w:tab w:leader="none" w:pos="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228" w:lineRule="exact"/>
        <w:rPr>
          <w:rFonts w:ascii="Arial" w:cs="Arial" w:eastAsia="Arial" w:hAnsi="Arial"/>
          <w:sz w:val="22"/>
          <w:szCs w:val="22"/>
          <w:color w:val="auto"/>
        </w:rPr>
      </w:pPr>
    </w:p>
    <w:p>
      <w:pPr>
        <w:ind w:left="760" w:hanging="331"/>
        <w:spacing w:after="0"/>
        <w:tabs>
          <w:tab w:leader="none" w:pos="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use of such personal data by a purchaser for the operation of its business.</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355" w:lineRule="exact"/>
        <w:rPr>
          <w:sz w:val="20"/>
          <w:szCs w:val="20"/>
          <w:color w:val="auto"/>
        </w:rPr>
      </w:pPr>
    </w:p>
    <w:p>
      <w:pPr>
        <w:ind w:left="760" w:hanging="331"/>
        <w:spacing w:after="0"/>
        <w:tabs>
          <w:tab w:leader="none" w:pos="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its professional advisors, auditors, service providers;</w:t>
      </w:r>
    </w:p>
    <w:p>
      <w:pPr>
        <w:spacing w:after="0" w:line="273"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239" w:lineRule="exact"/>
        <w:rPr>
          <w:rFonts w:ascii="Arial" w:cs="Arial" w:eastAsia="Arial" w:hAnsi="Arial"/>
          <w:sz w:val="22"/>
          <w:szCs w:val="22"/>
          <w:color w:val="auto"/>
        </w:rPr>
      </w:pPr>
    </w:p>
    <w:p>
      <w:pPr>
        <w:jc w:val="both"/>
        <w:ind w:left="760" w:hanging="331"/>
        <w:spacing w:after="0" w:line="312" w:lineRule="auto"/>
        <w:tabs>
          <w:tab w:leader="none" w:pos="7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389" w:lineRule="exact"/>
        <w:rPr>
          <w:sz w:val="20"/>
          <w:szCs w:val="20"/>
          <w:color w:val="auto"/>
        </w:rPr>
      </w:pPr>
    </w:p>
    <w:p>
      <w:pPr>
        <w:ind w:left="760" w:hanging="331"/>
        <w:spacing w:after="0" w:line="263" w:lineRule="auto"/>
        <w:tabs>
          <w:tab w:leader="none" w:pos="7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228" w:lineRule="exact"/>
        <w:rPr>
          <w:rFonts w:ascii="Arial" w:cs="Arial" w:eastAsia="Arial" w:hAnsi="Arial"/>
          <w:sz w:val="22"/>
          <w:szCs w:val="22"/>
          <w:color w:val="auto"/>
        </w:rPr>
      </w:pPr>
    </w:p>
    <w:p>
      <w:pPr>
        <w:jc w:val="both"/>
        <w:ind w:left="760" w:hanging="331"/>
        <w:spacing w:after="0" w:line="263" w:lineRule="auto"/>
        <w:tabs>
          <w:tab w:leader="none" w:pos="7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229" w:lineRule="exact"/>
        <w:rPr>
          <w:rFonts w:ascii="Arial" w:cs="Arial" w:eastAsia="Arial" w:hAnsi="Arial"/>
          <w:sz w:val="21"/>
          <w:szCs w:val="21"/>
          <w:color w:val="auto"/>
        </w:rPr>
      </w:pPr>
    </w:p>
    <w:p>
      <w:pPr>
        <w:jc w:val="both"/>
        <w:ind w:left="760" w:right="20" w:hanging="331"/>
        <w:spacing w:after="0" w:line="253" w:lineRule="auto"/>
        <w:tabs>
          <w:tab w:leader="none" w:pos="7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w:t>
      </w:r>
    </w:p>
    <w:p>
      <w:pPr>
        <w:sectPr>
          <w:pgSz w:w="11900" w:h="16838" w:orient="portrait"/>
          <w:cols w:equalWidth="0" w:num="1">
            <w:col w:w="10220"/>
          </w:cols>
          <w:pgMar w:left="1440" w:top="86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xv</w:t>
      </w:r>
    </w:p>
    <w:p>
      <w:pPr>
        <w:sectPr>
          <w:pgSz w:w="11900" w:h="16838" w:orient="portrait"/>
          <w:cols w:equalWidth="0" w:num="1">
            <w:col w:w="10220"/>
          </w:cols>
          <w:pgMar w:left="1440" w:top="861" w:right="239" w:bottom="1440" w:gutter="0" w:footer="0" w:header="0"/>
          <w:type w:val="continuous"/>
        </w:sectPr>
      </w:pPr>
    </w:p>
    <w:bookmarkStart w:id="68" w:name="page69"/>
    <w:bookmarkEnd w:id="68"/>
    <w:p>
      <w:pPr>
        <w:ind w:left="1960"/>
        <w:spacing w:after="0" w:line="263" w:lineRule="auto"/>
        <w:rPr>
          <w:sz w:val="20"/>
          <w:szCs w:val="20"/>
          <w:color w:val="auto"/>
        </w:rPr>
      </w:pPr>
      <w:r>
        <w:rPr>
          <w:rFonts w:ascii="Arial" w:cs="Arial" w:eastAsia="Arial" w:hAnsi="Arial"/>
          <w:sz w:val="22"/>
          <w:szCs w:val="22"/>
          <w:color w:val="auto"/>
        </w:rPr>
        <w:t>such personal data. The Grantee can exercise this right by contacting their local human resources representative;</w:t>
      </w:r>
    </w:p>
    <w:p>
      <w:pPr>
        <w:spacing w:after="0" w:line="229" w:lineRule="exact"/>
        <w:rPr>
          <w:sz w:val="20"/>
          <w:szCs w:val="20"/>
          <w:color w:val="auto"/>
        </w:rPr>
      </w:pPr>
    </w:p>
    <w:p>
      <w:pPr>
        <w:jc w:val="both"/>
        <w:ind w:left="1960" w:hanging="331"/>
        <w:spacing w:after="0" w:line="248" w:lineRule="auto"/>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46" w:lineRule="exact"/>
        <w:rPr>
          <w:rFonts w:ascii="Arial" w:cs="Arial" w:eastAsia="Arial" w:hAnsi="Arial"/>
          <w:sz w:val="22"/>
          <w:szCs w:val="22"/>
          <w:color w:val="auto"/>
        </w:rPr>
      </w:pPr>
    </w:p>
    <w:p>
      <w:pPr>
        <w:jc w:val="both"/>
        <w:ind w:left="1960" w:hanging="331"/>
        <w:spacing w:after="0" w:line="250" w:lineRule="auto"/>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07"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21"/>
          <w:szCs w:val="21"/>
          <w:u w:val="single" w:color="auto"/>
          <w:color w:val="0000FF"/>
        </w:rPr>
        <w:t>https://ico.org.uk/concerns/</w:t>
      </w:r>
      <w:r>
        <w:rPr>
          <w:rFonts w:ascii="Arial" w:cs="Arial" w:eastAsia="Arial" w:hAnsi="Arial"/>
          <w:sz w:val="21"/>
          <w:szCs w:val="2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II.B.19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ectPr>
          <w:pgSz w:w="11900" w:h="16838" w:orient="portrait"/>
          <w:cols w:equalWidth="0" w:num="1">
            <w:col w:w="11420"/>
          </w:cols>
          <w:pgMar w:left="240" w:top="99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meanings as defined in the Plan.</w:t>
      </w:r>
    </w:p>
    <w:p>
      <w:pPr>
        <w:spacing w:after="0" w:line="169"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AWARD</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6000" w:space="720"/>
            <w:col w:w="47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6000" w:space="720"/>
            <w:col w:w="47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[grant date]</w:t>
      </w:r>
    </w:p>
    <w:p>
      <w:pPr>
        <w:spacing w:after="0" w:line="73" w:lineRule="exact"/>
        <w:rPr>
          <w:sz w:val="20"/>
          <w:szCs w:val="20"/>
          <w:color w:val="auto"/>
        </w:rPr>
      </w:pPr>
    </w:p>
    <w:p>
      <w:pPr>
        <w:sectPr>
          <w:pgSz w:w="11900" w:h="16838" w:orient="portrait"/>
          <w:cols w:equalWidth="0" w:num="2">
            <w:col w:w="6000" w:space="720"/>
            <w:col w:w="47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6000" w:space="720"/>
            <w:col w:w="4700"/>
          </w:cols>
          <w:pgMar w:left="240" w:top="369" w:right="239" w:bottom="1440" w:gutter="0" w:footer="0" w:header="0"/>
          <w:type w:val="continuous"/>
        </w:sectPr>
      </w:pPr>
    </w:p>
    <w:p>
      <w:pPr>
        <w:spacing w:after="0" w:line="251"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264" w:lineRule="auto"/>
        <w:rPr>
          <w:rFonts w:ascii="Arial" w:cs="Arial" w:eastAsia="Arial" w:hAnsi="Arial"/>
          <w:sz w:val="22"/>
          <w:szCs w:val="22"/>
          <w:b w:val="1"/>
          <w:bCs w:val="1"/>
          <w:color w:val="auto"/>
        </w:rPr>
      </w:pPr>
      <w:r>
        <w:rPr>
          <w:rFonts w:ascii="Arial" w:cs="Arial" w:eastAsia="Arial" w:hAnsi="Arial"/>
          <w:sz w:val="21"/>
          <w:szCs w:val="21"/>
          <w:b w:val="1"/>
          <w:bCs w:val="1"/>
          <w:color w:val="auto"/>
        </w:rPr>
        <w:t xml:space="preserve">A. </w:t>
      </w: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granted to Grantee (who, pursuant to this Award is a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in 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70" w:lineRule="exact"/>
        <w:rPr>
          <w:rFonts w:ascii="Arial" w:cs="Arial" w:eastAsia="Arial" w:hAnsi="Arial"/>
          <w:sz w:val="22"/>
          <w:szCs w:val="22"/>
          <w:b w:val="1"/>
          <w:bCs w:val="1"/>
          <w:color w:val="auto"/>
        </w:rPr>
      </w:pPr>
    </w:p>
    <w:p>
      <w:pPr>
        <w:ind w:left="1680" w:hanging="375"/>
        <w:spacing w:after="0"/>
        <w:tabs>
          <w:tab w:leader="none" w:pos="1680" w:val="left"/>
        </w:tabs>
        <w:numPr>
          <w:ilvl w:val="2"/>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355" w:lineRule="exact"/>
        <w:rPr>
          <w:sz w:val="20"/>
          <w:szCs w:val="20"/>
          <w:color w:val="auto"/>
        </w:rPr>
      </w:pPr>
    </w:p>
    <w:p>
      <w:pPr>
        <w:jc w:val="both"/>
        <w:ind w:left="660" w:firstLine="645"/>
        <w:spacing w:after="0" w:line="256" w:lineRule="auto"/>
        <w:tabs>
          <w:tab w:leader="none" w:pos="2196"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substantially equal</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installments on the first three anniversaries of the Date of Grant (each, a “Vesting Date”), subject generally to Grantee’s continued status as a Service Provider through each such Vesting Date.</w:t>
      </w:r>
    </w:p>
    <w:p>
      <w:pPr>
        <w:spacing w:after="0" w:line="230" w:lineRule="exact"/>
        <w:rPr>
          <w:rFonts w:ascii="Arial" w:cs="Arial" w:eastAsia="Arial" w:hAnsi="Arial"/>
          <w:sz w:val="22"/>
          <w:szCs w:val="22"/>
          <w:color w:val="auto"/>
        </w:rPr>
      </w:pPr>
    </w:p>
    <w:p>
      <w:pPr>
        <w:ind w:left="2200" w:hanging="895"/>
        <w:spacing w:after="0"/>
        <w:tabs>
          <w:tab w:leader="none" w:pos="2200" w:val="left"/>
        </w:tabs>
        <w:numPr>
          <w:ilvl w:val="0"/>
          <w:numId w:val="61"/>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ectPr>
          <w:pgSz w:w="11900" w:h="16838" w:orient="portrait"/>
          <w:cols w:equalWidth="0" w:num="1">
            <w:col w:w="11420"/>
          </w:cols>
          <w:pgMar w:left="240" w:top="369" w:right="239" w:bottom="1440" w:gutter="0" w:footer="0" w:header="0"/>
          <w:type w:val="continuous"/>
        </w:sectPr>
      </w:pPr>
    </w:p>
    <w:bookmarkStart w:id="70" w:name="page71"/>
    <w:bookmarkEnd w:id="70"/>
    <w:p>
      <w:pPr>
        <w:jc w:val="both"/>
        <w:ind w:left="100" w:firstLine="653"/>
        <w:spacing w:after="0" w:line="285" w:lineRule="auto"/>
        <w:tabs>
          <w:tab w:leader="none" w:pos="1344" w:val="left"/>
        </w:tabs>
        <w:numPr>
          <w:ilvl w:val="1"/>
          <w:numId w:val="62"/>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 Breach of Other Obligations</w:t>
      </w:r>
      <w:r>
        <w:rPr>
          <w:rFonts w:ascii="Arial" w:cs="Arial" w:eastAsia="Arial" w:hAnsi="Arial"/>
          <w:sz w:val="19"/>
          <w:szCs w:val="19"/>
          <w:color w:val="auto"/>
        </w:rPr>
        <w:t>. Any unvested</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subject to this Award will be canceled and forfeited if Grantee voluntarily terminates as a Service Provider (other than for Good Reason as provided below), if Grantee’s status as a Service Provider is involuntarily terminated by the Company or a Subsidiary for Cause, or if Grantee violates the provisions of Section II.B.4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w:t>
      </w:r>
    </w:p>
    <w:p>
      <w:pPr>
        <w:spacing w:after="0" w:line="3" w:lineRule="exact"/>
        <w:rPr>
          <w:rFonts w:ascii="Arial" w:cs="Arial" w:eastAsia="Arial" w:hAnsi="Arial"/>
          <w:sz w:val="19"/>
          <w:szCs w:val="19"/>
          <w:color w:val="auto"/>
        </w:rPr>
      </w:pPr>
    </w:p>
    <w:p>
      <w:pPr>
        <w:ind w:left="420" w:hanging="315"/>
        <w:spacing w:after="0"/>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Grantee fails to cure such occurrence or event within 30 days after receipt of such notice from the Company and</w:t>
      </w:r>
    </w:p>
    <w:p>
      <w:pPr>
        <w:spacing w:after="0" w:line="38" w:lineRule="exact"/>
        <w:rPr>
          <w:rFonts w:ascii="Arial" w:cs="Arial" w:eastAsia="Arial" w:hAnsi="Arial"/>
          <w:sz w:val="19"/>
          <w:szCs w:val="19"/>
          <w:color w:val="auto"/>
        </w:rPr>
      </w:pPr>
    </w:p>
    <w:p>
      <w:pPr>
        <w:ind w:left="100" w:firstLine="5"/>
        <w:spacing w:after="0" w:line="246" w:lineRule="auto"/>
        <w:tabs>
          <w:tab w:leader="none" w:pos="41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terminates Grantee’s employment within 45 days after the expiration of Grantee’s cure period in subsection (y).</w:t>
      </w:r>
    </w:p>
    <w:p>
      <w:pPr>
        <w:spacing w:after="0" w:line="186" w:lineRule="exact"/>
        <w:rPr>
          <w:rFonts w:ascii="Arial" w:cs="Arial" w:eastAsia="Arial" w:hAnsi="Arial"/>
          <w:sz w:val="22"/>
          <w:szCs w:val="22"/>
          <w:color w:val="auto"/>
        </w:rPr>
      </w:pPr>
    </w:p>
    <w:p>
      <w:pPr>
        <w:jc w:val="both"/>
        <w:ind w:left="100" w:firstLine="653"/>
        <w:spacing w:after="0" w:line="252" w:lineRule="auto"/>
        <w:tabs>
          <w:tab w:leader="none" w:pos="1282"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80" w:lineRule="exact"/>
        <w:rPr>
          <w:sz w:val="20"/>
          <w:szCs w:val="20"/>
          <w:color w:val="auto"/>
        </w:rPr>
      </w:pPr>
    </w:p>
    <w:p>
      <w:pPr>
        <w:jc w:val="both"/>
        <w:ind w:left="100" w:firstLine="653"/>
        <w:spacing w:after="0" w:line="261" w:lineRule="auto"/>
        <w:tabs>
          <w:tab w:leader="none" w:pos="1302" w:val="left"/>
        </w:tabs>
        <w:numPr>
          <w:ilvl w:val="0"/>
          <w:numId w:val="64"/>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in Control</w:t>
      </w:r>
      <w:r>
        <w:rPr>
          <w:rFonts w:ascii="Arial" w:cs="Arial" w:eastAsia="Arial" w:hAnsi="Arial"/>
          <w:sz w:val="21"/>
          <w:szCs w:val="21"/>
          <w:color w:val="auto"/>
        </w:rPr>
        <w:t>. If Grantee has a Qualifying Termination that</w:t>
      </w:r>
      <w:r>
        <w:rPr>
          <w:rFonts w:ascii="Arial" w:cs="Arial" w:eastAsia="Arial" w:hAnsi="Arial"/>
          <w:sz w:val="21"/>
          <w:szCs w:val="21"/>
          <w:b w:val="1"/>
          <w:bCs w:val="1"/>
          <w:color w:val="auto"/>
        </w:rPr>
        <w:t xml:space="preserve"> </w:t>
      </w:r>
      <w:r>
        <w:rPr>
          <w:rFonts w:ascii="Arial" w:cs="Arial" w:eastAsia="Arial" w:hAnsi="Arial"/>
          <w:sz w:val="21"/>
          <w:szCs w:val="21"/>
          <w:color w:val="auto"/>
        </w:rPr>
        <w:t>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74" w:lineRule="exact"/>
        <w:rPr>
          <w:rFonts w:ascii="Arial" w:cs="Arial" w:eastAsia="Arial" w:hAnsi="Arial"/>
          <w:sz w:val="21"/>
          <w:szCs w:val="21"/>
          <w:color w:val="auto"/>
        </w:rPr>
      </w:pPr>
    </w:p>
    <w:p>
      <w:pPr>
        <w:jc w:val="both"/>
        <w:ind w:left="100" w:firstLine="653"/>
        <w:spacing w:after="0" w:line="256" w:lineRule="auto"/>
        <w:tabs>
          <w:tab w:leader="none" w:pos="1425"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portion of the Restricted Stock Units, with the pro-rata portion determined in accordance with Section II.A.1(b)(iii).</w:t>
      </w:r>
    </w:p>
    <w:p>
      <w:pPr>
        <w:spacing w:after="0" w:line="176" w:lineRule="exact"/>
        <w:rPr>
          <w:rFonts w:ascii="Arial" w:cs="Arial" w:eastAsia="Arial" w:hAnsi="Arial"/>
          <w:sz w:val="22"/>
          <w:szCs w:val="22"/>
          <w:color w:val="auto"/>
        </w:rPr>
      </w:pPr>
    </w:p>
    <w:p>
      <w:pPr>
        <w:jc w:val="both"/>
        <w:ind w:left="100" w:firstLine="653"/>
        <w:spacing w:after="0" w:line="256" w:lineRule="auto"/>
        <w:tabs>
          <w:tab w:leader="none" w:pos="1243"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vesting of any portion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Restricted Stock Units subject to this Award, such unvested Restricted Stock Units shall vest in accordance with this Section II.A.1(b)(v).</w:t>
      </w:r>
    </w:p>
    <w:p>
      <w:pPr>
        <w:spacing w:after="0" w:line="182" w:lineRule="exact"/>
        <w:rPr>
          <w:rFonts w:ascii="Arial" w:cs="Arial" w:eastAsia="Arial" w:hAnsi="Arial"/>
          <w:sz w:val="22"/>
          <w:szCs w:val="22"/>
          <w:color w:val="auto"/>
        </w:rPr>
      </w:pPr>
    </w:p>
    <w:p>
      <w:pPr>
        <w:jc w:val="both"/>
        <w:ind w:left="980" w:firstLine="651"/>
        <w:spacing w:after="0" w:line="294" w:lineRule="auto"/>
        <w:tabs>
          <w:tab w:leader="none" w:pos="2338" w:val="left"/>
        </w:tabs>
        <w:numPr>
          <w:ilvl w:val="1"/>
          <w:numId w:val="64"/>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49" w:lineRule="exact"/>
        <w:rPr>
          <w:rFonts w:ascii="Arial" w:cs="Arial" w:eastAsia="Arial" w:hAnsi="Arial"/>
          <w:sz w:val="19"/>
          <w:szCs w:val="19"/>
          <w:color w:val="auto"/>
        </w:rPr>
      </w:pPr>
    </w:p>
    <w:p>
      <w:pPr>
        <w:jc w:val="both"/>
        <w:ind w:left="980" w:firstLine="651"/>
        <w:spacing w:after="0" w:line="302" w:lineRule="auto"/>
        <w:tabs>
          <w:tab w:leader="none" w:pos="2207" w:val="left"/>
        </w:tabs>
        <w:numPr>
          <w:ilvl w:val="1"/>
          <w:numId w:val="64"/>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369" w:right="239" w:bottom="1440" w:gutter="0" w:footer="0" w:header="0"/>
        </w:sectPr>
      </w:pPr>
    </w:p>
    <w:bookmarkStart w:id="71" w:name="page72"/>
    <w:bookmarkEnd w:id="71"/>
    <w:p>
      <w:pPr>
        <w:jc w:val="both"/>
        <w:ind w:left="1520"/>
        <w:spacing w:after="0" w:line="288" w:lineRule="auto"/>
        <w:rPr>
          <w:sz w:val="20"/>
          <w:szCs w:val="20"/>
          <w:color w:val="auto"/>
        </w:rPr>
      </w:pPr>
      <w:r>
        <w:rPr>
          <w:rFonts w:ascii="Arial" w:cs="Arial" w:eastAsia="Arial" w:hAnsi="Arial"/>
          <w:sz w:val="19"/>
          <w:szCs w:val="19"/>
          <w:color w:val="auto"/>
        </w:rPr>
        <w:t>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55" w:lineRule="exact"/>
        <w:rPr>
          <w:sz w:val="20"/>
          <w:szCs w:val="20"/>
          <w:color w:val="auto"/>
        </w:rPr>
      </w:pPr>
    </w:p>
    <w:p>
      <w:pPr>
        <w:jc w:val="both"/>
        <w:ind w:left="1520" w:firstLine="651"/>
        <w:spacing w:after="0" w:line="297" w:lineRule="auto"/>
        <w:tabs>
          <w:tab w:leader="none" w:pos="2690"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w:t>
      </w:r>
    </w:p>
    <w:p>
      <w:pPr>
        <w:spacing w:after="0" w:line="147" w:lineRule="exact"/>
        <w:rPr>
          <w:rFonts w:ascii="Arial" w:cs="Arial" w:eastAsia="Arial" w:hAnsi="Arial"/>
          <w:sz w:val="19"/>
          <w:szCs w:val="19"/>
          <w:color w:val="auto"/>
        </w:rPr>
      </w:pPr>
    </w:p>
    <w:p>
      <w:pPr>
        <w:jc w:val="both"/>
        <w:ind w:left="1520" w:firstLine="651"/>
        <w:spacing w:after="0" w:line="302" w:lineRule="auto"/>
        <w:tabs>
          <w:tab w:leader="none" w:pos="28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80" w:lineRule="exact"/>
        <w:rPr>
          <w:sz w:val="20"/>
          <w:szCs w:val="20"/>
          <w:color w:val="auto"/>
        </w:rPr>
      </w:pPr>
    </w:p>
    <w:p>
      <w:pPr>
        <w:ind w:left="1020" w:hanging="375"/>
        <w:spacing w:after="0"/>
        <w:tabs>
          <w:tab w:leader="none" w:pos="10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firstLine="645"/>
        <w:spacing w:after="0" w:line="315" w:lineRule="auto"/>
        <w:tabs>
          <w:tab w:leader="none" w:pos="1104"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Section II.A.2(b) below, and as soon as administratively practicable following (but no later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25" w:lineRule="exact"/>
        <w:rPr>
          <w:rFonts w:ascii="Arial" w:cs="Arial" w:eastAsia="Arial" w:hAnsi="Arial"/>
          <w:sz w:val="19"/>
          <w:szCs w:val="19"/>
          <w:color w:val="auto"/>
        </w:rPr>
      </w:pPr>
    </w:p>
    <w:p>
      <w:pPr>
        <w:ind w:firstLine="645"/>
        <w:spacing w:after="0" w:line="293" w:lineRule="auto"/>
        <w:tabs>
          <w:tab w:leader="none" w:pos="1170" w:val="left"/>
        </w:tabs>
        <w:numPr>
          <w:ilvl w:val="0"/>
          <w:numId w:val="67"/>
        </w:numPr>
        <w:rPr>
          <w:rFonts w:ascii="Arial" w:cs="Arial" w:eastAsia="Arial" w:hAnsi="Arial"/>
          <w:sz w:val="21"/>
          <w:szCs w:val="21"/>
          <w:color w:val="auto"/>
        </w:rPr>
      </w:pPr>
      <w:r>
        <w:rPr>
          <w:rFonts w:ascii="Arial" w:cs="Arial" w:eastAsia="Arial" w:hAnsi="Arial"/>
          <w:sz w:val="21"/>
          <w:szCs w:val="21"/>
          <w:b w:val="1"/>
          <w:bCs w:val="1"/>
          <w:color w:val="auto"/>
        </w:rPr>
        <w:t>Other Payment Events</w:t>
      </w:r>
      <w:r>
        <w:rPr>
          <w:rFonts w:ascii="Arial" w:cs="Arial" w:eastAsia="Arial" w:hAnsi="Arial"/>
          <w:sz w:val="21"/>
          <w:szCs w:val="21"/>
          <w:color w:val="auto"/>
        </w:rPr>
        <w:t>. Notwithstanding Section II.A.2(a), to the extent that the Restricted Stock Units are</w:t>
      </w:r>
      <w:r>
        <w:rPr>
          <w:rFonts w:ascii="Arial" w:cs="Arial" w:eastAsia="Arial" w:hAnsi="Arial"/>
          <w:sz w:val="21"/>
          <w:szCs w:val="21"/>
          <w:b w:val="1"/>
          <w:bCs w:val="1"/>
          <w:color w:val="auto"/>
        </w:rPr>
        <w:t xml:space="preserve"> </w:t>
      </w:r>
      <w:r>
        <w:rPr>
          <w:rFonts w:ascii="Arial" w:cs="Arial" w:eastAsia="Arial" w:hAnsi="Arial"/>
          <w:sz w:val="21"/>
          <w:szCs w:val="21"/>
          <w:color w:val="auto"/>
        </w:rPr>
        <w:t>vested on the dates set forth below, payment with respect to the Restricted Stock Units will be made as follows:</w:t>
      </w:r>
    </w:p>
    <w:p>
      <w:pPr>
        <w:spacing w:after="0" w:line="145" w:lineRule="exact"/>
        <w:rPr>
          <w:rFonts w:ascii="Arial" w:cs="Arial" w:eastAsia="Arial" w:hAnsi="Arial"/>
          <w:sz w:val="21"/>
          <w:szCs w:val="21"/>
          <w:color w:val="auto"/>
        </w:rPr>
      </w:pPr>
    </w:p>
    <w:p>
      <w:pPr>
        <w:jc w:val="both"/>
        <w:ind w:left="640" w:firstLine="558"/>
        <w:spacing w:after="0" w:line="250" w:lineRule="auto"/>
        <w:tabs>
          <w:tab w:leader="none" w:pos="1829" w:val="left"/>
        </w:tabs>
        <w:numPr>
          <w:ilvl w:val="1"/>
          <w:numId w:val="67"/>
        </w:numPr>
        <w:rPr>
          <w:rFonts w:ascii="Arial" w:cs="Arial" w:eastAsia="Arial" w:hAnsi="Arial"/>
          <w:sz w:val="22"/>
          <w:szCs w:val="22"/>
          <w:color w:val="auto"/>
        </w:rPr>
      </w:pPr>
      <w:r>
        <w:rPr>
          <w:rFonts w:ascii="Arial" w:cs="Arial" w:eastAsia="Arial" w:hAnsi="Arial"/>
          <w:sz w:val="22"/>
          <w:szCs w:val="22"/>
          <w:color w:val="auto"/>
        </w:rPr>
        <w:t>to the extent the Restricted Stock Units are vested as a result of Section II.A.1(b) (and have not previously been settled) on the date of Grantee’s separation from service (within the meaning of Section 409A(a)(2) (A)(i) of the Code), the Company shall issue Grantee one share of Common Stock for each vested Restricted Stock Unit as soon as</w:t>
      </w:r>
    </w:p>
    <w:p>
      <w:pPr>
        <w:spacing w:after="0" w:line="200" w:lineRule="exact"/>
        <w:rPr>
          <w:sz w:val="20"/>
          <w:szCs w:val="20"/>
          <w:color w:val="auto"/>
        </w:rPr>
      </w:pPr>
    </w:p>
    <w:p>
      <w:pPr>
        <w:spacing w:after="0" w:line="36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375" w:right="239" w:bottom="1440" w:gutter="0" w:footer="0" w:header="0"/>
        </w:sectPr>
      </w:pPr>
    </w:p>
    <w:bookmarkStart w:id="72" w:name="page73"/>
    <w:bookmarkEnd w:id="72"/>
    <w:p>
      <w:pPr>
        <w:ind w:left="1300"/>
        <w:spacing w:after="0"/>
        <w:rPr>
          <w:sz w:val="20"/>
          <w:szCs w:val="20"/>
          <w:color w:val="auto"/>
        </w:rPr>
      </w:pPr>
      <w:r>
        <w:rPr>
          <w:rFonts w:ascii="Arial" w:cs="Arial" w:eastAsia="Arial" w:hAnsi="Arial"/>
          <w:sz w:val="19"/>
          <w:szCs w:val="19"/>
          <w:color w:val="auto"/>
        </w:rPr>
        <w:t>practicable following (but no later than thirty (30) days following) the date of such separation from service; and</w:t>
      </w:r>
    </w:p>
    <w:p>
      <w:pPr>
        <w:spacing w:after="0" w:line="254" w:lineRule="exact"/>
        <w:rPr>
          <w:sz w:val="20"/>
          <w:szCs w:val="20"/>
          <w:color w:val="auto"/>
        </w:rPr>
      </w:pPr>
    </w:p>
    <w:p>
      <w:pPr>
        <w:jc w:val="both"/>
        <w:ind w:left="1300" w:firstLine="558"/>
        <w:spacing w:after="0" w:line="259" w:lineRule="auto"/>
        <w:tabs>
          <w:tab w:leader="none" w:pos="2489" w:val="left"/>
        </w:tabs>
        <w:numPr>
          <w:ilvl w:val="2"/>
          <w:numId w:val="68"/>
        </w:numPr>
        <w:rPr>
          <w:rFonts w:ascii="Arial" w:cs="Arial" w:eastAsia="Arial" w:hAnsi="Arial"/>
          <w:sz w:val="21"/>
          <w:szCs w:val="21"/>
          <w:color w:val="auto"/>
        </w:rPr>
      </w:pPr>
      <w:r>
        <w:rPr>
          <w:rFonts w:ascii="Arial" w:cs="Arial" w:eastAsia="Arial" w:hAnsi="Arial"/>
          <w:sz w:val="21"/>
          <w:szCs w:val="21"/>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II.A.2(a) or II.A.2(b)(1) as though such Change in Control had not occurred.</w:t>
      </w:r>
    </w:p>
    <w:p>
      <w:pPr>
        <w:spacing w:after="0" w:line="178" w:lineRule="exact"/>
        <w:rPr>
          <w:rFonts w:ascii="Arial" w:cs="Arial" w:eastAsia="Arial" w:hAnsi="Arial"/>
          <w:sz w:val="21"/>
          <w:szCs w:val="21"/>
          <w:color w:val="auto"/>
        </w:rPr>
      </w:pPr>
    </w:p>
    <w:p>
      <w:pPr>
        <w:jc w:val="both"/>
        <w:ind w:firstLine="1305"/>
        <w:spacing w:after="0" w:line="259" w:lineRule="auto"/>
        <w:tabs>
          <w:tab w:leader="none" w:pos="1675" w:val="left"/>
        </w:tabs>
        <w:numPr>
          <w:ilvl w:val="1"/>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Restricted Stock Unit equal to the amount</w:t>
      </w:r>
      <w:r>
        <w:rPr>
          <w:rFonts w:ascii="Arial" w:cs="Arial" w:eastAsia="Arial" w:hAnsi="Arial"/>
          <w:sz w:val="21"/>
          <w:szCs w:val="21"/>
          <w:b w:val="1"/>
          <w:bCs w:val="1"/>
          <w:color w:val="auto"/>
        </w:rPr>
        <w:t xml:space="preserve"> </w:t>
      </w:r>
      <w:r>
        <w:rPr>
          <w:rFonts w:ascii="Arial" w:cs="Arial" w:eastAsia="Arial" w:hAnsi="Arial"/>
          <w:sz w:val="21"/>
          <w:szCs w:val="21"/>
          <w:color w:val="auto"/>
        </w:rPr>
        <w:t>of 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0" w:lineRule="exact"/>
        <w:rPr>
          <w:rFonts w:ascii="Arial" w:cs="Arial" w:eastAsia="Arial" w:hAnsi="Arial"/>
          <w:sz w:val="21"/>
          <w:szCs w:val="21"/>
          <w:b w:val="1"/>
          <w:bCs w:val="1"/>
          <w:color w:val="auto"/>
        </w:rPr>
      </w:pPr>
    </w:p>
    <w:p>
      <w:pPr>
        <w:ind w:firstLine="1305"/>
        <w:spacing w:after="0" w:line="350" w:lineRule="auto"/>
        <w:tabs>
          <w:tab w:leader="none" w:pos="1769" w:val="left"/>
        </w:tabs>
        <w:numPr>
          <w:ilvl w:val="1"/>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firstLine="1305"/>
        <w:spacing w:after="0" w:line="269" w:lineRule="auto"/>
        <w:tabs>
          <w:tab w:leader="none" w:pos="1729"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 of the Plan.</w:t>
      </w:r>
    </w:p>
    <w:p>
      <w:pPr>
        <w:spacing w:after="0" w:line="162" w:lineRule="exact"/>
        <w:rPr>
          <w:rFonts w:ascii="Arial" w:cs="Arial" w:eastAsia="Arial" w:hAnsi="Arial"/>
          <w:sz w:val="22"/>
          <w:szCs w:val="22"/>
          <w:b w:val="1"/>
          <w:bCs w:val="1"/>
          <w:color w:val="auto"/>
        </w:rPr>
      </w:pPr>
    </w:p>
    <w:p>
      <w:pPr>
        <w:ind w:left="1080" w:hanging="424"/>
        <w:spacing w:after="0"/>
        <w:tabs>
          <w:tab w:leader="none" w:pos="10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15" w:val="left"/>
        </w:tabs>
        <w:numPr>
          <w:ilvl w:val="1"/>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firstLine="1305"/>
        <w:spacing w:after="0" w:line="259" w:lineRule="auto"/>
        <w:tabs>
          <w:tab w:leader="none" w:pos="1742"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that the Company is required to withhold federal, state, local or foreign taxes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may elect that (1) the Company will withhold shares of Common Stock having a value equal to the amount required to be withheld or (2) Grantee will pay to the Company an amount in cash equal to the amount required to be withheld, and (b) if Grantee is not subject to Section 16 of the Exchange Act, Grantee may elect that all or any part of such withholding requirement be satisfied by the retention by the Company a portion of the Common Stock to be delivered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73" w:name="page74"/>
    <w:bookmarkEnd w:id="73"/>
    <w:p>
      <w:pPr>
        <w:jc w:val="both"/>
        <w:spacing w:after="0" w:line="294" w:lineRule="auto"/>
        <w:rPr>
          <w:sz w:val="20"/>
          <w:szCs w:val="20"/>
          <w:color w:val="auto"/>
        </w:rPr>
      </w:pPr>
      <w:r>
        <w:rPr>
          <w:rFonts w:ascii="Arial" w:cs="Arial" w:eastAsia="Arial" w:hAnsi="Arial"/>
          <w:sz w:val="19"/>
          <w:szCs w:val="19"/>
          <w:color w:val="auto"/>
        </w:rPr>
        <w:t>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44" w:lineRule="exact"/>
        <w:rPr>
          <w:sz w:val="20"/>
          <w:szCs w:val="20"/>
          <w:color w:val="auto"/>
        </w:rPr>
      </w:pPr>
    </w:p>
    <w:p>
      <w:pPr>
        <w:jc w:val="both"/>
        <w:ind w:firstLine="1305"/>
        <w:spacing w:after="0" w:line="267" w:lineRule="auto"/>
        <w:tabs>
          <w:tab w:leader="none" w:pos="1783"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86"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64" w:lineRule="auto"/>
        <w:tabs>
          <w:tab w:leader="none" w:pos="1803" w:val="left"/>
        </w:tabs>
        <w:numPr>
          <w:ilvl w:val="0"/>
          <w:numId w:val="72"/>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0" w:lineRule="exact"/>
        <w:rPr>
          <w:rFonts w:ascii="Arial" w:cs="Arial" w:eastAsia="Arial" w:hAnsi="Arial"/>
          <w:sz w:val="21"/>
          <w:szCs w:val="21"/>
          <w:color w:val="auto"/>
        </w:rPr>
      </w:pPr>
    </w:p>
    <w:p>
      <w:pPr>
        <w:jc w:val="both"/>
        <w:ind w:left="1300" w:firstLine="653"/>
        <w:spacing w:after="0" w:line="247" w:lineRule="auto"/>
        <w:tabs>
          <w:tab w:leader="none" w:pos="2470"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2" w:lineRule="auto"/>
        <w:tabs>
          <w:tab w:leader="none" w:pos="2470" w:val="left"/>
        </w:tabs>
        <w:numPr>
          <w:ilvl w:val="1"/>
          <w:numId w:val="72"/>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74" w:name="page75"/>
    <w:bookmarkEnd w:id="74"/>
    <w:p>
      <w:pPr>
        <w:ind w:left="1300" w:firstLine="653"/>
        <w:spacing w:after="0" w:line="350" w:lineRule="auto"/>
        <w:tabs>
          <w:tab w:leader="none" w:pos="2551"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left="1680" w:hanging="375"/>
        <w:spacing w:after="0"/>
        <w:tabs>
          <w:tab w:leader="none" w:pos="16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0" w:lineRule="exact"/>
        <w:rPr>
          <w:sz w:val="20"/>
          <w:szCs w:val="20"/>
          <w:color w:val="auto"/>
        </w:rPr>
      </w:pPr>
    </w:p>
    <w:p>
      <w:pPr>
        <w:jc w:val="both"/>
        <w:ind w:left="660" w:firstLine="645"/>
        <w:spacing w:after="0" w:line="291" w:lineRule="auto"/>
        <w:tabs>
          <w:tab w:leader="none" w:pos="1764"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Generally</w:t>
      </w:r>
      <w:r>
        <w:rPr>
          <w:rFonts w:ascii="Arial" w:cs="Arial" w:eastAsia="Arial" w:hAnsi="Arial"/>
          <w:sz w:val="19"/>
          <w:szCs w:val="19"/>
          <w:color w:val="auto"/>
        </w:rPr>
        <w:t>. The Company would not be providing Restricted Stock Units or Common Stock to Grantee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149" w:lineRule="exact"/>
        <w:rPr>
          <w:rFonts w:ascii="Arial" w:cs="Arial" w:eastAsia="Arial" w:hAnsi="Arial"/>
          <w:sz w:val="19"/>
          <w:szCs w:val="19"/>
          <w:color w:val="auto"/>
        </w:rPr>
      </w:pPr>
    </w:p>
    <w:p>
      <w:pPr>
        <w:jc w:val="both"/>
        <w:ind w:left="660" w:firstLine="645"/>
        <w:spacing w:after="0" w:line="286" w:lineRule="auto"/>
        <w:tabs>
          <w:tab w:leader="none" w:pos="1857"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55" w:lineRule="exact"/>
        <w:rPr>
          <w:rFonts w:ascii="Arial" w:cs="Arial" w:eastAsia="Arial" w:hAnsi="Arial"/>
          <w:sz w:val="19"/>
          <w:szCs w:val="19"/>
          <w:color w:val="auto"/>
        </w:rPr>
      </w:pPr>
    </w:p>
    <w:p>
      <w:pPr>
        <w:jc w:val="both"/>
        <w:ind w:left="660" w:firstLine="645"/>
        <w:spacing w:after="0" w:line="252" w:lineRule="auto"/>
        <w:tabs>
          <w:tab w:leader="none" w:pos="1859"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Covenants Against Competition and Solicitation</w:t>
      </w:r>
      <w:r>
        <w:rPr>
          <w:rFonts w:ascii="Arial" w:cs="Arial" w:eastAsia="Arial" w:hAnsi="Arial"/>
          <w:sz w:val="22"/>
          <w:szCs w:val="22"/>
          <w:color w:val="auto"/>
        </w:rPr>
        <w:t>. Grantee agrees that, while Grantee is employed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9" w:right="239" w:bottom="1440" w:gutter="0" w:footer="0" w:header="0"/>
        </w:sectPr>
      </w:pPr>
    </w:p>
    <w:bookmarkStart w:id="75" w:name="page76"/>
    <w:bookmarkEnd w:id="75"/>
    <w:p>
      <w:pPr>
        <w:jc w:val="both"/>
        <w:spacing w:after="0" w:line="294" w:lineRule="auto"/>
        <w:rPr>
          <w:sz w:val="20"/>
          <w:szCs w:val="20"/>
          <w:color w:val="auto"/>
        </w:rPr>
      </w:pPr>
      <w:r>
        <w:rPr>
          <w:rFonts w:ascii="Arial" w:cs="Arial" w:eastAsia="Arial" w:hAnsi="Arial"/>
          <w:sz w:val="19"/>
          <w:szCs w:val="19"/>
          <w:color w:val="auto"/>
        </w:rPr>
        <w:t>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active employee of the Company who is employed primarily in connection with the Business,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0" w:lineRule="exact"/>
        <w:rPr>
          <w:sz w:val="20"/>
          <w:szCs w:val="20"/>
          <w:color w:val="auto"/>
        </w:rPr>
      </w:pPr>
    </w:p>
    <w:p>
      <w:pPr>
        <w:jc w:val="both"/>
        <w:ind w:firstLine="645"/>
        <w:spacing w:after="0" w:line="252" w:lineRule="auto"/>
        <w:tabs>
          <w:tab w:leader="none" w:pos="1238"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180" w:lineRule="exact"/>
        <w:rPr>
          <w:rFonts w:ascii="Arial" w:cs="Arial" w:eastAsia="Arial" w:hAnsi="Arial"/>
          <w:sz w:val="22"/>
          <w:szCs w:val="22"/>
          <w:color w:val="auto"/>
        </w:rPr>
      </w:pPr>
    </w:p>
    <w:p>
      <w:pPr>
        <w:ind w:left="1100" w:hanging="455"/>
        <w:spacing w:after="0"/>
        <w:tabs>
          <w:tab w:leader="none" w:pos="1100"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The following definitions shall apply solely with respect to this Section II.B.4:</w:t>
      </w:r>
    </w:p>
    <w:p>
      <w:pPr>
        <w:spacing w:after="0" w:line="225" w:lineRule="exact"/>
        <w:rPr>
          <w:rFonts w:ascii="Arial" w:cs="Arial" w:eastAsia="Arial" w:hAnsi="Arial"/>
          <w:sz w:val="22"/>
          <w:szCs w:val="22"/>
          <w:color w:val="auto"/>
        </w:rPr>
      </w:pPr>
    </w:p>
    <w:p>
      <w:pPr>
        <w:jc w:val="both"/>
        <w:ind w:left="640" w:firstLine="612"/>
        <w:spacing w:after="0" w:line="246" w:lineRule="auto"/>
        <w:tabs>
          <w:tab w:leader="none" w:pos="1729" w:val="left"/>
        </w:tabs>
        <w:numPr>
          <w:ilvl w:val="1"/>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7" w:lineRule="exact"/>
        <w:rPr>
          <w:rFonts w:ascii="Arial" w:cs="Arial" w:eastAsia="Arial" w:hAnsi="Arial"/>
          <w:sz w:val="22"/>
          <w:szCs w:val="22"/>
          <w:color w:val="auto"/>
        </w:rPr>
      </w:pPr>
    </w:p>
    <w:p>
      <w:pPr>
        <w:jc w:val="both"/>
        <w:ind w:left="640" w:right="20" w:firstLine="612"/>
        <w:spacing w:after="0" w:line="253" w:lineRule="auto"/>
        <w:tabs>
          <w:tab w:leader="none" w:pos="1864" w:val="left"/>
        </w:tabs>
        <w:numPr>
          <w:ilvl w:val="1"/>
          <w:numId w:val="7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640" w:firstLine="612"/>
        <w:spacing w:after="0" w:line="294" w:lineRule="auto"/>
        <w:tabs>
          <w:tab w:leader="none" w:pos="1716" w:val="left"/>
        </w:tabs>
        <w:numPr>
          <w:ilvl w:val="1"/>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w:t>
      </w:r>
    </w:p>
    <w:p>
      <w:pPr>
        <w:spacing w:after="0" w:line="200" w:lineRule="exact"/>
        <w:rPr>
          <w:sz w:val="20"/>
          <w:szCs w:val="20"/>
          <w:color w:val="auto"/>
        </w:rPr>
      </w:pPr>
    </w:p>
    <w:p>
      <w:pPr>
        <w:spacing w:after="0" w:line="3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0"/>
          </w:cols>
          <w:pgMar w:left="900" w:top="375" w:right="239" w:bottom="1440" w:gutter="0" w:footer="0" w:header="0"/>
        </w:sectPr>
      </w:pPr>
    </w:p>
    <w:bookmarkStart w:id="76" w:name="page77"/>
    <w:bookmarkEnd w:id="76"/>
    <w:p>
      <w:pPr>
        <w:jc w:val="both"/>
        <w:ind w:left="1300"/>
        <w:spacing w:after="0" w:line="292" w:lineRule="auto"/>
        <w:rPr>
          <w:sz w:val="20"/>
          <w:szCs w:val="20"/>
          <w:color w:val="auto"/>
        </w:rPr>
      </w:pPr>
      <w:r>
        <w:rPr>
          <w:rFonts w:ascii="Arial" w:cs="Arial" w:eastAsia="Arial" w:hAnsi="Arial"/>
          <w:sz w:val="19"/>
          <w:szCs w:val="19"/>
          <w:color w:val="auto"/>
        </w:rPr>
        <w:t>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5" w:lineRule="exact"/>
        <w:rPr>
          <w:sz w:val="20"/>
          <w:szCs w:val="20"/>
          <w:color w:val="auto"/>
        </w:rPr>
      </w:pPr>
    </w:p>
    <w:p>
      <w:pPr>
        <w:ind w:left="1700" w:hanging="449"/>
        <w:spacing w:after="0"/>
        <w:tabs>
          <w:tab w:leader="none" w:pos="1700"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Separate Covenants</w:t>
      </w:r>
      <w:r>
        <w:rPr>
          <w:rFonts w:ascii="Arial" w:cs="Arial" w:eastAsia="Arial" w:hAnsi="Arial"/>
          <w:sz w:val="19"/>
          <w:szCs w:val="19"/>
          <w:color w:val="auto"/>
        </w:rPr>
        <w:t>. Each of the covenants contained in this Section II.B.4 are separate and distinct covenants</w:t>
      </w:r>
    </w:p>
    <w:p>
      <w:pPr>
        <w:spacing w:after="0" w:line="6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of Grantee.</w:t>
      </w:r>
    </w:p>
    <w:p>
      <w:pPr>
        <w:spacing w:after="0" w:line="195" w:lineRule="exact"/>
        <w:rPr>
          <w:rFonts w:ascii="Arial" w:cs="Arial" w:eastAsia="Arial" w:hAnsi="Arial"/>
          <w:sz w:val="19"/>
          <w:szCs w:val="19"/>
          <w:color w:val="auto"/>
        </w:rPr>
      </w:pPr>
    </w:p>
    <w:p>
      <w:pPr>
        <w:jc w:val="both"/>
        <w:ind w:firstLine="1305"/>
        <w:spacing w:after="0" w:line="248" w:lineRule="auto"/>
        <w:tabs>
          <w:tab w:leader="none" w:pos="1675"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it is intended that this Agreement and the Plan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87" w:lineRule="exact"/>
        <w:rPr>
          <w:rFonts w:ascii="Arial" w:cs="Arial" w:eastAsia="Arial" w:hAnsi="Arial"/>
          <w:sz w:val="22"/>
          <w:szCs w:val="22"/>
          <w:b w:val="1"/>
          <w:bCs w:val="1"/>
          <w:color w:val="auto"/>
        </w:rPr>
      </w:pPr>
    </w:p>
    <w:p>
      <w:pPr>
        <w:jc w:val="both"/>
        <w:ind w:firstLine="1305"/>
        <w:spacing w:after="0" w:line="249" w:lineRule="auto"/>
        <w:tabs>
          <w:tab w:leader="none" w:pos="1742"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42"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6" w:lineRule="auto"/>
        <w:tabs>
          <w:tab w:leader="none" w:pos="1864"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If Grantee is or was employed by a subsidiary of the Company, then such</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is intended to be a third-party beneficiary of this Agreement and shall have the right to enforce this Agreement, including, but not limited to, the provisions of Section II.B.4.</w:t>
      </w:r>
    </w:p>
    <w:p>
      <w:pPr>
        <w:spacing w:after="0" w:line="176"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64" w:lineRule="auto"/>
        <w:tabs>
          <w:tab w:leader="none" w:pos="1796" w:val="left"/>
        </w:tabs>
        <w:numPr>
          <w:ilvl w:val="1"/>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4" w:right="239" w:bottom="1440" w:gutter="0" w:footer="0" w:header="0"/>
        </w:sectPr>
      </w:pPr>
    </w:p>
    <w:bookmarkStart w:id="77" w:name="page78"/>
    <w:bookmarkEnd w:id="77"/>
    <w:p>
      <w:pPr>
        <w:ind w:left="1780" w:hanging="475"/>
        <w:spacing w:after="0"/>
        <w:tabs>
          <w:tab w:leader="none" w:pos="17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26" w:lineRule="exact"/>
        <w:rPr>
          <w:sz w:val="20"/>
          <w:szCs w:val="20"/>
          <w:color w:val="auto"/>
        </w:rPr>
      </w:pPr>
    </w:p>
    <w:p>
      <w:pPr>
        <w:ind w:left="660" w:firstLine="645"/>
        <w:spacing w:after="0" w:line="343" w:lineRule="auto"/>
        <w:tabs>
          <w:tab w:leader="none" w:pos="1903"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80" w:hanging="575"/>
        <w:spacing w:after="0"/>
        <w:tabs>
          <w:tab w:leader="none" w:pos="18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 grants, if any, will be at the sole discretion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79"/>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1" w:lineRule="auto"/>
        <w:tabs>
          <w:tab w:leader="none" w:pos="1741" w:val="left"/>
        </w:tabs>
        <w:numPr>
          <w:ilvl w:val="0"/>
          <w:numId w:val="79"/>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0" w:lineRule="exact"/>
        <w:rPr>
          <w:rFonts w:ascii="Arial" w:cs="Arial" w:eastAsia="Arial" w:hAnsi="Arial"/>
          <w:sz w:val="21"/>
          <w:szCs w:val="21"/>
          <w:color w:val="auto"/>
        </w:rPr>
      </w:pPr>
    </w:p>
    <w:p>
      <w:pPr>
        <w:jc w:val="both"/>
        <w:ind w:left="660" w:firstLine="645"/>
        <w:spacing w:after="0" w:line="297" w:lineRule="auto"/>
        <w:tabs>
          <w:tab w:leader="none" w:pos="1782"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firstLine="1305"/>
        <w:spacing w:after="0" w:line="249" w:lineRule="auto"/>
        <w:tabs>
          <w:tab w:leader="none" w:pos="1877"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Non-U.S. Addendum</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provisions in this Agreement, the Restricted Stock Units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9" w:right="23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22"/>
          <w:szCs w:val="22"/>
          <w:color w:val="auto"/>
        </w:rPr>
        <w:t>are necessary or advisable in order to comply with local law or facilitate the administration of the Plan. The Non-U.S. Addendum attached hereto as Appendix B constitutes part of this Agreement.</w:t>
      </w:r>
    </w:p>
    <w:p>
      <w:pPr>
        <w:spacing w:after="0" w:line="169" w:lineRule="exact"/>
        <w:rPr>
          <w:sz w:val="20"/>
          <w:szCs w:val="20"/>
          <w:color w:val="auto"/>
        </w:rPr>
      </w:pPr>
    </w:p>
    <w:p>
      <w:pPr>
        <w:jc w:val="both"/>
        <w:ind w:firstLine="1305"/>
        <w:spacing w:after="0" w:line="249" w:lineRule="auto"/>
        <w:tabs>
          <w:tab w:leader="none" w:pos="1864"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891"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80" w:lineRule="exact"/>
        <w:rPr>
          <w:rFonts w:ascii="Arial" w:cs="Arial" w:eastAsia="Arial" w:hAnsi="Arial"/>
          <w:sz w:val="22"/>
          <w:szCs w:val="22"/>
          <w:b w:val="1"/>
          <w:bCs w:val="1"/>
          <w:color w:val="auto"/>
        </w:rPr>
      </w:pPr>
    </w:p>
    <w:p>
      <w:pPr>
        <w:ind w:right="20" w:firstLine="1305"/>
        <w:spacing w:after="0" w:line="269" w:lineRule="auto"/>
        <w:tabs>
          <w:tab w:leader="none" w:pos="1850"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62" w:lineRule="exact"/>
        <w:rPr>
          <w:rFonts w:ascii="Arial" w:cs="Arial" w:eastAsia="Arial" w:hAnsi="Arial"/>
          <w:sz w:val="22"/>
          <w:szCs w:val="22"/>
          <w:b w:val="1"/>
          <w:bCs w:val="1"/>
          <w:color w:val="auto"/>
        </w:rPr>
      </w:pPr>
    </w:p>
    <w:p>
      <w:pPr>
        <w:ind w:left="1800" w:hanging="495"/>
        <w:spacing w:after="0"/>
        <w:tabs>
          <w:tab w:leader="none" w:pos="1800" w:val="left"/>
        </w:tabs>
        <w:numPr>
          <w:ilvl w:val="1"/>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left="620" w:firstLine="631"/>
        <w:spacing w:after="0" w:line="258" w:lineRule="auto"/>
        <w:tabs>
          <w:tab w:leader="none" w:pos="1796" w:val="left"/>
        </w:tabs>
        <w:numPr>
          <w:ilvl w:val="0"/>
          <w:numId w:val="82"/>
        </w:numPr>
        <w:rPr>
          <w:rFonts w:ascii="Arial" w:cs="Arial" w:eastAsia="Arial" w:hAnsi="Arial"/>
          <w:sz w:val="21"/>
          <w:szCs w:val="21"/>
          <w:color w:val="auto"/>
        </w:rPr>
      </w:pPr>
      <w:r>
        <w:rPr>
          <w:rFonts w:ascii="Arial" w:cs="Arial" w:eastAsia="Arial" w:hAnsi="Arial"/>
          <w:sz w:val="21"/>
          <w:szCs w:val="21"/>
          <w:color w:val="auto"/>
        </w:rPr>
        <w:t>Any shares of Common Stock issued to Grantee in settlement of the Restricted Stock Units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186" w:lineRule="exact"/>
        <w:rPr>
          <w:rFonts w:ascii="Arial" w:cs="Arial" w:eastAsia="Arial" w:hAnsi="Arial"/>
          <w:sz w:val="21"/>
          <w:szCs w:val="21"/>
          <w:color w:val="auto"/>
        </w:rPr>
      </w:pPr>
    </w:p>
    <w:p>
      <w:pPr>
        <w:jc w:val="both"/>
        <w:ind w:left="620" w:firstLine="631"/>
        <w:spacing w:after="0" w:line="250" w:lineRule="auto"/>
        <w:tabs>
          <w:tab w:leader="none" w:pos="1718" w:val="left"/>
        </w:tabs>
        <w:numPr>
          <w:ilvl w:val="0"/>
          <w:numId w:val="82"/>
        </w:numPr>
        <w:rPr>
          <w:rFonts w:ascii="Arial" w:cs="Arial" w:eastAsia="Arial" w:hAnsi="Arial"/>
          <w:sz w:val="22"/>
          <w:szCs w:val="22"/>
          <w:color w:val="auto"/>
        </w:rPr>
      </w:pPr>
      <w:r>
        <w:rPr>
          <w:rFonts w:ascii="Arial" w:cs="Arial" w:eastAsia="Arial" w:hAnsi="Arial"/>
          <w:sz w:val="22"/>
          <w:szCs w:val="22"/>
          <w:color w:val="auto"/>
        </w:rPr>
        <w:t>Without limiting the foregoing, violation of Section II.B.4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79" w:name="page80"/>
    <w:bookmarkEnd w:id="79"/>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880" w:type="dxa"/>
            <w:vAlign w:val="bottom"/>
          </w:tcPr>
          <w:p>
            <w:pPr>
              <w:spacing w:after="0"/>
              <w:rPr>
                <w:sz w:val="24"/>
                <w:szCs w:val="24"/>
                <w:color w:val="auto"/>
              </w:rPr>
            </w:pPr>
          </w:p>
        </w:tc>
        <w:tc>
          <w:tcPr>
            <w:tcW w:w="6020" w:type="dxa"/>
            <w:vAlign w:val="bottom"/>
            <w:gridSpan w:val="3"/>
          </w:tcPr>
          <w:p>
            <w:pPr>
              <w:ind w:left="780"/>
              <w:spacing w:after="0"/>
              <w:rPr>
                <w:sz w:val="20"/>
                <w:szCs w:val="20"/>
                <w:color w:val="auto"/>
              </w:rPr>
            </w:pPr>
            <w:r>
              <w:rPr>
                <w:rFonts w:ascii="Arial" w:cs="Arial" w:eastAsia="Arial" w:hAnsi="Arial"/>
                <w:sz w:val="22"/>
                <w:szCs w:val="22"/>
                <w:b w:val="1"/>
                <w:bCs w:val="1"/>
                <w:color w:val="auto"/>
              </w:rPr>
              <w:t>TRIMAS CORPORATION</w:t>
            </w:r>
          </w:p>
        </w:tc>
      </w:tr>
      <w:tr>
        <w:trPr>
          <w:trHeight w:val="706"/>
        </w:trPr>
        <w:tc>
          <w:tcPr>
            <w:tcW w:w="2880" w:type="dxa"/>
            <w:vAlign w:val="bottom"/>
          </w:tcPr>
          <w:p>
            <w:pPr>
              <w:spacing w:after="0"/>
              <w:rPr>
                <w:sz w:val="20"/>
                <w:szCs w:val="20"/>
                <w:color w:val="auto"/>
              </w:rPr>
            </w:pPr>
            <w:r>
              <w:rPr>
                <w:rFonts w:ascii="Arial" w:cs="Arial" w:eastAsia="Arial" w:hAnsi="Arial"/>
                <w:sz w:val="22"/>
                <w:szCs w:val="22"/>
                <w:color w:val="auto"/>
              </w:rPr>
              <w:t>Dated as of: [grant date]</w:t>
            </w:r>
          </w:p>
        </w:tc>
        <w:tc>
          <w:tcPr>
            <w:tcW w:w="6020" w:type="dxa"/>
            <w:vAlign w:val="bottom"/>
            <w:gridSpan w:val="3"/>
          </w:tcPr>
          <w:p>
            <w:pPr>
              <w:ind w:left="1760"/>
              <w:spacing w:after="0"/>
              <w:rPr>
                <w:sz w:val="20"/>
                <w:szCs w:val="20"/>
                <w:color w:val="auto"/>
              </w:rPr>
            </w:pPr>
            <w:r>
              <w:rPr>
                <w:rFonts w:ascii="Arial" w:cs="Arial" w:eastAsia="Arial" w:hAnsi="Arial"/>
                <w:sz w:val="22"/>
                <w:szCs w:val="22"/>
                <w:color w:val="auto"/>
              </w:rPr>
              <w:t>By:  /s/ Joshua A. Sherbin</w:t>
            </w:r>
          </w:p>
        </w:tc>
      </w:tr>
      <w:tr>
        <w:trPr>
          <w:trHeight w:val="20"/>
        </w:trPr>
        <w:tc>
          <w:tcPr>
            <w:tcW w:w="2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2"/>
        </w:trPr>
        <w:tc>
          <w:tcPr>
            <w:tcW w:w="2880" w:type="dxa"/>
            <w:vAlign w:val="bottom"/>
          </w:tcPr>
          <w:p>
            <w:pPr>
              <w:spacing w:after="0"/>
              <w:rPr>
                <w:sz w:val="21"/>
                <w:szCs w:val="21"/>
                <w:color w:val="auto"/>
              </w:rPr>
            </w:pPr>
          </w:p>
        </w:tc>
        <w:tc>
          <w:tcPr>
            <w:tcW w:w="6020" w:type="dxa"/>
            <w:vAlign w:val="bottom"/>
            <w:gridSpan w:val="3"/>
          </w:tcPr>
          <w:p>
            <w:pPr>
              <w:ind w:left="176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880" w:type="dxa"/>
            <w:vAlign w:val="bottom"/>
          </w:tcPr>
          <w:p>
            <w:pPr>
              <w:spacing w:after="0"/>
              <w:rPr>
                <w:sz w:val="23"/>
                <w:szCs w:val="23"/>
                <w:color w:val="auto"/>
              </w:rPr>
            </w:pPr>
          </w:p>
        </w:tc>
        <w:tc>
          <w:tcPr>
            <w:tcW w:w="6020" w:type="dxa"/>
            <w:vAlign w:val="bottom"/>
            <w:gridSpan w:val="3"/>
          </w:tcPr>
          <w:p>
            <w:pPr>
              <w:ind w:left="176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214" w:lineRule="exact"/>
        <w:rPr>
          <w:sz w:val="20"/>
          <w:szCs w:val="20"/>
          <w:color w:val="auto"/>
        </w:rPr>
      </w:pPr>
    </w:p>
    <w:p>
      <w:pPr>
        <w:ind w:left="1300" w:right="20" w:hanging="644"/>
        <w:spacing w:after="0" w:line="263" w:lineRule="auto"/>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15"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26"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111" w:right="239" w:bottom="1440" w:gutter="0" w:footer="0" w:header="0"/>
        </w:sectPr>
      </w:pPr>
    </w:p>
    <w:bookmarkStart w:id="81" w:name="page82"/>
    <w:bookmarkEnd w:id="81"/>
    <w:p>
      <w:pPr>
        <w:jc w:val="both"/>
        <w:ind w:left="660"/>
        <w:spacing w:after="0" w:line="253" w:lineRule="auto"/>
        <w:rPr>
          <w:sz w:val="20"/>
          <w:szCs w:val="20"/>
          <w:color w:val="auto"/>
        </w:rPr>
      </w:pPr>
      <w:r>
        <w:rPr>
          <w:rFonts w:ascii="Arial" w:cs="Arial" w:eastAsia="Arial" w:hAnsi="Arial"/>
          <w:sz w:val="22"/>
          <w:szCs w:val="22"/>
          <w:color w:val="auto"/>
        </w:rPr>
        <w:t>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95"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210"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140" w:hanging="484"/>
        <w:spacing w:after="0"/>
        <w:tabs>
          <w:tab w:leader="none" w:pos="11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19" w:lineRule="exact"/>
        <w:rPr>
          <w:rFonts w:ascii="Arial" w:cs="Arial" w:eastAsia="Arial" w:hAnsi="Arial"/>
          <w:sz w:val="22"/>
          <w:szCs w:val="22"/>
          <w:color w:val="auto"/>
        </w:rPr>
      </w:pPr>
    </w:p>
    <w:p>
      <w:pPr>
        <w:ind w:left="1260" w:hanging="604"/>
        <w:spacing w:after="0"/>
        <w:tabs>
          <w:tab w:leader="none" w:pos="12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00" w:lineRule="exact"/>
        <w:rPr>
          <w:sz w:val="20"/>
          <w:szCs w:val="20"/>
          <w:color w:val="auto"/>
        </w:rPr>
      </w:pPr>
    </w:p>
    <w:p>
      <w:pPr>
        <w:spacing w:after="0" w:line="270"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individual actively providing services to the Company or a Subsidiary.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86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right="60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includes additional terms and conditions that govern the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granted to you under the TriMas Corporation 2017 Equity and Incentive Compensation Plan (referred to as the “</w:t>
      </w:r>
      <w:r>
        <w:rPr>
          <w:rFonts w:ascii="Arial" w:cs="Arial" w:eastAsia="Arial" w:hAnsi="Arial"/>
          <w:sz w:val="22"/>
          <w:szCs w:val="22"/>
          <w:u w:val="single" w:color="auto"/>
          <w:color w:val="auto"/>
        </w:rPr>
        <w:t>Plan</w:t>
      </w:r>
      <w:r>
        <w:rPr>
          <w:rFonts w:ascii="Arial" w:cs="Arial" w:eastAsia="Arial" w:hAnsi="Arial"/>
          <w:sz w:val="22"/>
          <w:szCs w:val="22"/>
          <w:color w:val="auto"/>
        </w:rPr>
        <w:t>”) if you reside in the United Kingdom. Certain capitalized terms used but not defined in this Addendum have the meanings set forth in the Plan and/or your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b w:val="1"/>
          <w:bCs w:val="1"/>
          <w:color w:val="auto"/>
        </w:rPr>
        <w:t>FSMA</w:t>
      </w:r>
      <w:r>
        <w:rPr>
          <w:rFonts w:ascii="Arial" w:cs="Arial" w:eastAsia="Arial" w:hAnsi="Arial"/>
          <w:sz w:val="22"/>
          <w:szCs w:val="22"/>
          <w:color w:val="auto"/>
        </w:rPr>
        <w:t>. This Addendum amends those provisions of the Plan, pursuant to Section 14 of the Plan, which are required to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in order for awards made under the Plan, and communications concerning those awards, to be exempt from provisions of the United Kingdom Financial Services and Markets Act 2000 (the “</w:t>
      </w:r>
      <w:r>
        <w:rPr>
          <w:rFonts w:ascii="Arial" w:cs="Arial" w:eastAsia="Arial" w:hAnsi="Arial"/>
          <w:sz w:val="22"/>
          <w:szCs w:val="22"/>
          <w:u w:val="single" w:color="auto"/>
          <w:color w:val="auto"/>
        </w:rPr>
        <w:t>FSMA</w:t>
      </w:r>
      <w:r>
        <w:rPr>
          <w:rFonts w:ascii="Arial" w:cs="Arial" w:eastAsia="Arial" w:hAnsi="Arial"/>
          <w:sz w:val="22"/>
          <w:szCs w:val="22"/>
          <w:color w:val="auto"/>
        </w:rPr>
        <w:t>”) as a sub-plan of the Plan. Any RSUs to which this Addendum applies shall apply solely to Service Providers who are key employees of the Company, or a Subsidiary that is a member of the same group as the Company, who are residents of, and provide services in, the United Kingdom. For purposes of this Addendum, the term “group” in relation to the Company shall bear the meaning given to such term in section 421 of the FSMA.</w:t>
      </w:r>
    </w:p>
    <w:p>
      <w:pPr>
        <w:spacing w:after="0" w:line="230"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For purposes of the Agreement, the definition of “Disability” in Appendix A hereto shall be qualified by the inclusion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phrase after the word “means”: “, subject to and in compliance with the requirements of laws of the United Kingdom,”.</w:t>
      </w:r>
    </w:p>
    <w:p>
      <w:pPr>
        <w:spacing w:after="0" w:line="217" w:lineRule="exact"/>
        <w:rPr>
          <w:sz w:val="20"/>
          <w:szCs w:val="20"/>
          <w:color w:val="auto"/>
        </w:rPr>
      </w:pPr>
    </w:p>
    <w:p>
      <w:pPr>
        <w:ind w:right="540"/>
        <w:spacing w:after="0" w:line="256"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A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reasonably determined by the Committee to constitute retirement.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“Grantee shall be notionally credited with cash per Restricted Stock Unit equal to the amount of each cash dividend paid by the Company (if any) to holders of Common Stock generally with a record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327" w:right="239" w:bottom="1440" w:gutter="0" w:footer="0" w:header="0"/>
        </w:sectPr>
      </w:pPr>
    </w:p>
    <w:bookmarkStart w:id="83" w:name="page84"/>
    <w:bookmarkEnd w:id="83"/>
    <w:p>
      <w:pPr>
        <w:jc w:val="both"/>
        <w:ind w:left="660"/>
        <w:spacing w:after="0" w:line="288" w:lineRule="auto"/>
        <w:rPr>
          <w:sz w:val="20"/>
          <w:szCs w:val="20"/>
          <w:color w:val="auto"/>
        </w:rPr>
      </w:pPr>
      <w:r>
        <w:rPr>
          <w:rFonts w:ascii="Arial" w:cs="Arial" w:eastAsia="Arial" w:hAnsi="Arial"/>
          <w:sz w:val="19"/>
          <w:szCs w:val="19"/>
          <w:color w:val="auto"/>
        </w:rPr>
        <w:t>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“Except as described below, this Award and the Restricted Stock Units subject to this Award may not be sold, pledged, assigned, hypothecated, transferred, or disposed of in any manner other than by will or by the laws of descent or distribution provided that the persons to whom rights under RSUs may be transferred shall be limited to Grantee’s children and step-children under the age of eighteen, spouses and surviving spouses and civil partners (within the meaning of the United Kingdom Civil Partnerships Act 2004) and surviving civil partners. This Award shall lapse and any unvested Restricted Stock Units subject to this Award shall be forfeited if a bankruptcy order is made in respect of Grantee.”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861" w:right="239" w:bottom="1440" w:gutter="0" w:footer="0" w:header="0"/>
        </w:sectPr>
      </w:pPr>
    </w:p>
    <w:bookmarkStart w:id="84" w:name="page85"/>
    <w:bookmarkEnd w:id="84"/>
    <w:p>
      <w:pPr>
        <w:jc w:val="both"/>
        <w:ind w:left="660"/>
        <w:spacing w:after="0" w:line="290" w:lineRule="auto"/>
        <w:rPr>
          <w:sz w:val="20"/>
          <w:szCs w:val="20"/>
          <w:color w:val="auto"/>
        </w:rPr>
      </w:pPr>
      <w:r>
        <w:rPr>
          <w:rFonts w:ascii="Arial" w:cs="Arial" w:eastAsia="Arial" w:hAnsi="Arial"/>
          <w:sz w:val="19"/>
          <w:szCs w:val="19"/>
          <w:color w:val="auto"/>
        </w:rPr>
        <w:t>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7"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color w:val="auto"/>
        </w:rPr>
        <w:t>It is a further condition of delivery of any shares of Common Stock pursuant to the vesting of this Award that Grantee will, if required to do so by the Company, enter into a joint election under section 431(1) of the Income Tax (Earnings and Pensions) Act 2003 of the United Kingdom (“</w:t>
      </w:r>
      <w:r>
        <w:rPr>
          <w:rFonts w:ascii="Arial" w:cs="Arial" w:eastAsia="Arial" w:hAnsi="Arial"/>
          <w:sz w:val="19"/>
          <w:szCs w:val="19"/>
          <w:u w:val="single" w:color="auto"/>
          <w:color w:val="auto"/>
        </w:rPr>
        <w:t>ITEPA</w:t>
      </w:r>
      <w:r>
        <w:rPr>
          <w:rFonts w:ascii="Arial" w:cs="Arial" w:eastAsia="Arial" w:hAnsi="Arial"/>
          <w:sz w:val="19"/>
          <w:szCs w:val="19"/>
          <w:color w:val="auto"/>
        </w:rPr>
        <w:t>”), the effect of which is that the Common Stock will be treated as if they were not restricted securities and that sections 425 to 430 of ITEPA will not apply to those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Section II.B.4(c) is hereby amended in its entirety to read as follows:</w:t>
      </w:r>
    </w:p>
    <w:p>
      <w:pPr>
        <w:spacing w:after="0" w:line="260"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b w:val="1"/>
          <w:bCs w:val="1"/>
          <w:color w:val="auto"/>
        </w:rPr>
        <w:t>Covenants Against Competition and Solicitation.</w:t>
      </w:r>
      <w:r>
        <w:rPr>
          <w:rFonts w:ascii="Arial" w:cs="Arial" w:eastAsia="Arial" w:hAnsi="Arial"/>
          <w:sz w:val="22"/>
          <w:szCs w:val="22"/>
          <w:color w:val="auto"/>
        </w:rPr>
        <w:t xml:space="preserve"> Each of the restrictions set out in this Section II.B.4(c) 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22"/>
          <w:szCs w:val="22"/>
          <w:color w:val="auto"/>
        </w:rPr>
        <w:t>Grantee covenants that Grantee will not for the Restricted Period:</w:t>
      </w:r>
    </w:p>
    <w:p>
      <w:pPr>
        <w:spacing w:after="0" w:line="220" w:lineRule="exact"/>
        <w:rPr>
          <w:sz w:val="20"/>
          <w:szCs w:val="20"/>
          <w:color w:val="auto"/>
        </w:rPr>
      </w:pPr>
    </w:p>
    <w:p>
      <w:pPr>
        <w:ind w:left="1260" w:hanging="644"/>
        <w:spacing w:after="0" w:line="263" w:lineRule="auto"/>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entice or solicit or endeavour to entice or solicit away from the Company or any Group Company any Relevant Employee;</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employ or otherwise engage or otherwise facilitate the employment or engagement of any Relevant Employee;</w:t>
      </w:r>
    </w:p>
    <w:p>
      <w:pPr>
        <w:spacing w:after="0" w:line="254" w:lineRule="exact"/>
        <w:rPr>
          <w:rFonts w:ascii="Arial" w:cs="Arial" w:eastAsia="Arial" w:hAnsi="Arial"/>
          <w:sz w:val="19"/>
          <w:szCs w:val="19"/>
          <w:color w:val="auto"/>
        </w:rPr>
      </w:pPr>
    </w:p>
    <w:p>
      <w:pPr>
        <w:ind w:left="1260" w:hanging="644"/>
        <w:spacing w:after="0"/>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solicit or endeavour to supply Restricted Goods or Services to any Relevant Customer;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supply or be involved with the supply of Restricted Goods or Services to any Relevant Customer;</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have any business dealings with any Relevant Customer on behalf of a Relevant Business;</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carry on or be concerned as a principal or agent in any Relevant Business within the Restricted Area;</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carry on or be concerned as a partner or member in any Relevant Business within the Restricted Area;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861" w:right="239" w:bottom="1440" w:gutter="0" w:footer="0" w:header="0"/>
        </w:sectPr>
      </w:pPr>
    </w:p>
    <w:bookmarkStart w:id="85" w:name="page86"/>
    <w:bookmarkEnd w:id="85"/>
    <w:p>
      <w:pPr>
        <w:ind w:left="1260" w:hanging="644"/>
        <w:spacing w:after="0" w:line="263"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be employed or engaged as a worker in any Relevant Business that operates or seeks to operate within the Restricted Area;</w:t>
      </w:r>
    </w:p>
    <w:p>
      <w:pPr>
        <w:spacing w:after="0" w:line="174" w:lineRule="exact"/>
        <w:rPr>
          <w:rFonts w:ascii="Arial" w:cs="Arial" w:eastAsia="Arial" w:hAnsi="Arial"/>
          <w:sz w:val="22"/>
          <w:szCs w:val="22"/>
          <w:color w:val="auto"/>
        </w:rPr>
      </w:pPr>
    </w:p>
    <w:p>
      <w:pPr>
        <w:ind w:left="1260" w:hanging="644"/>
        <w:spacing w:after="0" w:line="263"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be engaged as a consultant (directly or through another entity) or adviser to any Relevant Business within the Restricted Area;</w:t>
      </w:r>
    </w:p>
    <w:p>
      <w:pPr>
        <w:spacing w:after="0" w:line="174" w:lineRule="exact"/>
        <w:rPr>
          <w:rFonts w:ascii="Arial" w:cs="Arial" w:eastAsia="Arial" w:hAnsi="Arial"/>
          <w:sz w:val="22"/>
          <w:szCs w:val="22"/>
          <w:color w:val="auto"/>
        </w:rPr>
      </w:pPr>
    </w:p>
    <w:p>
      <w:pPr>
        <w:ind w:left="1260" w:hanging="644"/>
        <w:spacing w:after="0"/>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carry on or be concerned as a director of any Relevant Business within the Restricted Area;</w:t>
      </w:r>
    </w:p>
    <w:p>
      <w:pPr>
        <w:spacing w:after="0" w:line="219" w:lineRule="exact"/>
        <w:rPr>
          <w:rFonts w:ascii="Arial" w:cs="Arial" w:eastAsia="Arial" w:hAnsi="Arial"/>
          <w:sz w:val="22"/>
          <w:szCs w:val="22"/>
          <w:color w:val="auto"/>
        </w:rPr>
      </w:pPr>
    </w:p>
    <w:p>
      <w:pPr>
        <w:ind w:left="1260" w:hanging="644"/>
        <w:spacing w:after="0"/>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hold a material financial interest in any Relevant Business within the Restricted Area;</w:t>
      </w:r>
    </w:p>
    <w:p>
      <w:pPr>
        <w:spacing w:after="0" w:line="219" w:lineRule="exact"/>
        <w:rPr>
          <w:rFonts w:ascii="Arial" w:cs="Arial" w:eastAsia="Arial" w:hAnsi="Arial"/>
          <w:sz w:val="22"/>
          <w:szCs w:val="22"/>
          <w:color w:val="auto"/>
        </w:rPr>
      </w:pPr>
    </w:p>
    <w:p>
      <w:pPr>
        <w:jc w:val="both"/>
        <w:ind w:left="1260" w:hanging="644"/>
        <w:spacing w:after="0" w:line="248"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92" w:lineRule="exact"/>
        <w:rPr>
          <w:rFonts w:ascii="Arial" w:cs="Arial" w:eastAsia="Arial" w:hAnsi="Arial"/>
          <w:sz w:val="22"/>
          <w:szCs w:val="22"/>
          <w:color w:val="auto"/>
        </w:rPr>
      </w:pPr>
    </w:p>
    <w:p>
      <w:pPr>
        <w:ind w:left="1260" w:right="20" w:hanging="644"/>
        <w:spacing w:after="0" w:line="263" w:lineRule="auto"/>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be a person with significant control (under part 21A of the United Kingdom Companies Act 2006) in any Relevant Business within the Restricted Area.</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restrictions in above only apply in respect of business activities which compete or seek to compete with the Company and nothing in these provisions seeks to prevent Grantee in connection with activities which do not compete with the Company.</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Section II.B.4(e) is hereby amended in its entirety to read as follows:</w:t>
      </w:r>
    </w:p>
    <w:p>
      <w:pPr>
        <w:spacing w:after="0" w:line="266"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“(1) “</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38" w:lineRule="exact"/>
        <w:rPr>
          <w:sz w:val="20"/>
          <w:szCs w:val="20"/>
          <w:color w:val="auto"/>
        </w:rPr>
      </w:pPr>
    </w:p>
    <w:p>
      <w:pPr>
        <w:jc w:val="both"/>
        <w:ind w:left="1300" w:firstLine="5"/>
        <w:spacing w:after="0" w:line="253" w:lineRule="auto"/>
        <w:tabs>
          <w:tab w:leader="none" w:pos="1768" w:val="left"/>
        </w:tabs>
        <w:numPr>
          <w:ilvl w:val="0"/>
          <w:numId w:val="8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861" w:right="239" w:bottom="1440" w:gutter="0" w:footer="0" w:header="0"/>
        </w:sectPr>
      </w:pPr>
    </w:p>
    <w:bookmarkStart w:id="86" w:name="page87"/>
    <w:bookmarkEnd w:id="86"/>
    <w:p>
      <w:pPr>
        <w:jc w:val="both"/>
        <w:ind w:left="100" w:firstLine="5"/>
        <w:spacing w:after="0" w:line="287" w:lineRule="auto"/>
        <w:tabs>
          <w:tab w:leader="none" w:pos="717"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100" w:firstLine="5"/>
        <w:spacing w:after="0" w:line="253" w:lineRule="auto"/>
        <w:tabs>
          <w:tab w:leader="none" w:pos="581"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Area</w:t>
      </w:r>
      <w:r>
        <w:rPr>
          <w:rFonts w:ascii="Arial" w:cs="Arial" w:eastAsia="Arial" w:hAnsi="Arial"/>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85" w:lineRule="exact"/>
        <w:rPr>
          <w:rFonts w:ascii="Arial" w:cs="Arial" w:eastAsia="Arial" w:hAnsi="Arial"/>
          <w:sz w:val="22"/>
          <w:szCs w:val="22"/>
          <w:color w:val="auto"/>
        </w:rPr>
      </w:pPr>
    </w:p>
    <w:p>
      <w:pPr>
        <w:ind w:left="100" w:firstLine="5"/>
        <w:spacing w:after="0" w:line="263" w:lineRule="auto"/>
        <w:tabs>
          <w:tab w:leader="none" w:pos="663"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Business</w:t>
      </w:r>
      <w:r>
        <w:rPr>
          <w:rFonts w:ascii="Arial" w:cs="Arial" w:eastAsia="Arial" w:hAnsi="Arial"/>
          <w:sz w:val="22"/>
          <w:szCs w:val="22"/>
          <w:color w:val="auto"/>
        </w:rPr>
        <w:t>” means any business or part of a business involving the supply of Restricted Goods or Services.</w:t>
      </w:r>
    </w:p>
    <w:p>
      <w:pPr>
        <w:spacing w:after="0" w:line="174" w:lineRule="exact"/>
        <w:rPr>
          <w:rFonts w:ascii="Arial" w:cs="Arial" w:eastAsia="Arial" w:hAnsi="Arial"/>
          <w:sz w:val="22"/>
          <w:szCs w:val="22"/>
          <w:color w:val="auto"/>
        </w:rPr>
      </w:pPr>
    </w:p>
    <w:p>
      <w:pPr>
        <w:jc w:val="both"/>
        <w:ind w:left="100" w:firstLine="5"/>
        <w:spacing w:after="0" w:line="250" w:lineRule="auto"/>
        <w:tabs>
          <w:tab w:leader="none" w:pos="67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Customer</w:t>
      </w:r>
      <w:r>
        <w:rPr>
          <w:rFonts w:ascii="Arial" w:cs="Arial" w:eastAsia="Arial" w:hAnsi="Arial"/>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88" w:lineRule="exact"/>
        <w:rPr>
          <w:rFonts w:ascii="Arial" w:cs="Arial" w:eastAsia="Arial" w:hAnsi="Arial"/>
          <w:sz w:val="22"/>
          <w:szCs w:val="22"/>
          <w:color w:val="auto"/>
        </w:rPr>
      </w:pPr>
    </w:p>
    <w:p>
      <w:pPr>
        <w:ind w:left="100" w:right="20" w:firstLine="5"/>
        <w:spacing w:after="0" w:line="287" w:lineRule="auto"/>
        <w:tabs>
          <w:tab w:leader="none" w:pos="595" w:val="left"/>
        </w:tabs>
        <w:numPr>
          <w:ilvl w:val="0"/>
          <w:numId w:val="9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Relevant Date</w:t>
      </w:r>
      <w:r>
        <w:rPr>
          <w:rFonts w:ascii="Arial" w:cs="Arial" w:eastAsia="Arial" w:hAnsi="Arial"/>
          <w:sz w:val="21"/>
          <w:szCs w:val="21"/>
          <w:color w:val="auto"/>
        </w:rPr>
        <w:t>” means the earlier of (x) the date of termination of Grantee’s employment, and (y) the start of any period of garden leave or exclusion under Grantee’s contract of employment with the Company.</w:t>
      </w:r>
    </w:p>
    <w:p>
      <w:pPr>
        <w:spacing w:after="0" w:line="151" w:lineRule="exact"/>
        <w:rPr>
          <w:rFonts w:ascii="Arial" w:cs="Arial" w:eastAsia="Arial" w:hAnsi="Arial"/>
          <w:sz w:val="21"/>
          <w:szCs w:val="21"/>
          <w:color w:val="auto"/>
        </w:rPr>
      </w:pPr>
    </w:p>
    <w:p>
      <w:pPr>
        <w:jc w:val="both"/>
        <w:ind w:left="100" w:firstLine="5"/>
        <w:spacing w:after="0" w:line="253" w:lineRule="auto"/>
        <w:tabs>
          <w:tab w:leader="none" w:pos="622"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Employee</w:t>
      </w:r>
      <w:r>
        <w:rPr>
          <w:rFonts w:ascii="Arial" w:cs="Arial" w:eastAsia="Arial" w:hAnsi="Arial"/>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85" w:lineRule="exact"/>
        <w:rPr>
          <w:rFonts w:ascii="Arial" w:cs="Arial" w:eastAsia="Arial" w:hAnsi="Arial"/>
          <w:sz w:val="22"/>
          <w:szCs w:val="22"/>
          <w:color w:val="auto"/>
        </w:rPr>
      </w:pPr>
    </w:p>
    <w:p>
      <w:pPr>
        <w:ind w:left="100" w:firstLine="5"/>
        <w:spacing w:after="0" w:line="343" w:lineRule="auto"/>
        <w:tabs>
          <w:tab w:leader="none" w:pos="595" w:val="left"/>
        </w:tabs>
        <w:numPr>
          <w:ilvl w:val="0"/>
          <w:numId w:val="9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Restricted Goods or Services</w:t>
      </w:r>
      <w:r>
        <w:rPr>
          <w:rFonts w:ascii="Arial" w:cs="Arial" w:eastAsia="Arial" w:hAnsi="Arial"/>
          <w:sz w:val="19"/>
          <w:szCs w:val="19"/>
          <w:color w:val="auto"/>
        </w:rPr>
        <w:t>” means products for customers in the consumer products, aerospace, industrial, petrochemical, refinery and oil and gas end markets, and the design, manufacture and marketing thereof.</w:t>
      </w:r>
    </w:p>
    <w:p>
      <w:pPr>
        <w:spacing w:after="0" w:line="104" w:lineRule="exact"/>
        <w:rPr>
          <w:rFonts w:ascii="Arial" w:cs="Arial" w:eastAsia="Arial" w:hAnsi="Arial"/>
          <w:sz w:val="19"/>
          <w:szCs w:val="19"/>
          <w:color w:val="auto"/>
        </w:rPr>
      </w:pPr>
    </w:p>
    <w:p>
      <w:pPr>
        <w:jc w:val="both"/>
        <w:ind w:left="100" w:firstLine="5"/>
        <w:spacing w:after="0" w:line="250" w:lineRule="auto"/>
        <w:tabs>
          <w:tab w:leader="none" w:pos="811"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(x) for restrictions set forth in clauses (i) to (v) of Section II.B.4(c), during Grantee’s employment and for a period of twelve months after the Relevant Date; and (y) for restrictions set forth in clauses (vi) to (xiii) of Section II.B.4(c), during Grantee’s employment and for a period of nine months after the Relevant Date.”</w:t>
      </w:r>
    </w:p>
    <w:p>
      <w:pPr>
        <w:spacing w:after="0" w:line="200" w:lineRule="exact"/>
        <w:rPr>
          <w:sz w:val="20"/>
          <w:szCs w:val="20"/>
          <w:color w:val="auto"/>
        </w:rPr>
      </w:pP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20"/>
          </w:cols>
          <w:pgMar w:left="1440" w:top="861"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II.B.17 is added to the Agreement to read as follows:</w:t>
      </w:r>
    </w:p>
    <w:p>
      <w:pPr>
        <w:spacing w:after="0" w:line="266" w:lineRule="exact"/>
        <w:rPr>
          <w:sz w:val="20"/>
          <w:szCs w:val="20"/>
          <w:color w:val="auto"/>
        </w:rPr>
      </w:pPr>
    </w:p>
    <w:p>
      <w:pPr>
        <w:jc w:val="both"/>
        <w:ind w:left="1300"/>
        <w:spacing w:after="0" w:line="312" w:lineRule="auto"/>
        <w:rPr>
          <w:sz w:val="20"/>
          <w:szCs w:val="20"/>
          <w:color w:val="auto"/>
        </w:rPr>
      </w:pPr>
      <w:r>
        <w:rPr>
          <w:rFonts w:ascii="Arial" w:cs="Arial" w:eastAsia="Arial" w:hAnsi="Arial"/>
          <w:sz w:val="19"/>
          <w:szCs w:val="19"/>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controller in relation to such personal data.</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355" w:lineRule="exact"/>
        <w:rPr>
          <w:sz w:val="20"/>
          <w:szCs w:val="20"/>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name;</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date of birth;</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job title;</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home address (and, if different, mailing address) and postal code;</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telephone number;</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social insurance, national insurance, US taxpayer and/or foreign tax identification number;</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salary;</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country of citizenship and nationality;</w:t>
      </w:r>
    </w:p>
    <w:p>
      <w:pPr>
        <w:spacing w:after="0" w:line="273" w:lineRule="exact"/>
        <w:rPr>
          <w:rFonts w:ascii="Arial" w:cs="Arial" w:eastAsia="Arial" w:hAnsi="Arial"/>
          <w:sz w:val="22"/>
          <w:szCs w:val="22"/>
          <w:color w:val="auto"/>
        </w:rPr>
      </w:pPr>
    </w:p>
    <w:p>
      <w:pPr>
        <w:ind w:left="1960" w:hanging="331"/>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Common Stock or directorships held in any of the Relevant TriMas Companies;</w:t>
      </w:r>
    </w:p>
    <w:p>
      <w:pPr>
        <w:spacing w:after="0" w:line="273" w:lineRule="exact"/>
        <w:rPr>
          <w:rFonts w:ascii="Arial" w:cs="Arial" w:eastAsia="Arial" w:hAnsi="Arial"/>
          <w:sz w:val="22"/>
          <w:szCs w:val="22"/>
          <w:color w:val="auto"/>
        </w:rPr>
      </w:pPr>
    </w:p>
    <w:p>
      <w:pPr>
        <w:ind w:left="1960" w:hanging="331"/>
        <w:spacing w:after="0" w:line="263" w:lineRule="auto"/>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228" w:lineRule="exact"/>
        <w:rPr>
          <w:rFonts w:ascii="Arial" w:cs="Arial" w:eastAsia="Arial" w:hAnsi="Arial"/>
          <w:sz w:val="22"/>
          <w:szCs w:val="22"/>
          <w:color w:val="auto"/>
        </w:rPr>
      </w:pPr>
    </w:p>
    <w:p>
      <w:pPr>
        <w:ind w:left="1960" w:hanging="331"/>
        <w:spacing w:after="0" w:line="263" w:lineRule="auto"/>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reference number (where relevant to link the Grantee’s benefits under the Plan to other documentation issued to or from the US Department of the Treasury Internal Revenue Service).</w:t>
      </w:r>
    </w:p>
    <w:p>
      <w:pPr>
        <w:spacing w:after="0" w:line="94"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355" w:lineRule="exact"/>
        <w:rPr>
          <w:sz w:val="20"/>
          <w:szCs w:val="20"/>
          <w:color w:val="auto"/>
        </w:rPr>
      </w:pPr>
    </w:p>
    <w:p>
      <w:pPr>
        <w:ind w:left="1960" w:hanging="331"/>
        <w:spacing w:after="0" w:line="263" w:lineRule="auto"/>
        <w:tabs>
          <w:tab w:leader="none" w:pos="19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228" w:lineRule="exact"/>
        <w:rPr>
          <w:rFonts w:ascii="Arial" w:cs="Arial" w:eastAsia="Arial" w:hAnsi="Arial"/>
          <w:sz w:val="22"/>
          <w:szCs w:val="22"/>
          <w:color w:val="auto"/>
        </w:rPr>
      </w:pPr>
    </w:p>
    <w:p>
      <w:pPr>
        <w:jc w:val="both"/>
        <w:ind w:left="1960" w:hanging="331"/>
        <w:spacing w:after="0" w:line="253" w:lineRule="auto"/>
        <w:tabs>
          <w:tab w:leader="none" w:pos="19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239" w:lineRule="exact"/>
        <w:rPr>
          <w:rFonts w:ascii="Arial" w:cs="Arial" w:eastAsia="Arial" w:hAnsi="Arial"/>
          <w:sz w:val="22"/>
          <w:szCs w:val="22"/>
          <w:color w:val="auto"/>
        </w:rPr>
      </w:pPr>
    </w:p>
    <w:p>
      <w:pPr>
        <w:ind w:left="1960" w:hanging="331"/>
        <w:spacing w:after="0" w:line="263" w:lineRule="auto"/>
        <w:tabs>
          <w:tab w:leader="none" w:pos="19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ectPr>
          <w:pgSz w:w="11900" w:h="16838" w:orient="portrait"/>
          <w:cols w:equalWidth="0" w:num="1">
            <w:col w:w="11420"/>
          </w:cols>
          <w:pgMar w:left="240" w:top="855"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20"/>
          </w:cols>
          <w:pgMar w:left="240" w:top="855" w:right="239" w:bottom="1440" w:gutter="0" w:footer="0" w:header="0"/>
          <w:type w:val="continuous"/>
        </w:sectPr>
      </w:pPr>
    </w:p>
    <w:bookmarkStart w:id="88" w:name="page89"/>
    <w:bookmarkEnd w:id="88"/>
    <w:p>
      <w:pPr>
        <w:jc w:val="both"/>
        <w:ind w:left="760" w:hanging="331"/>
        <w:spacing w:after="0" w:line="253" w:lineRule="auto"/>
        <w:tabs>
          <w:tab w:leader="none" w:pos="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239" w:lineRule="exact"/>
        <w:rPr>
          <w:rFonts w:ascii="Arial" w:cs="Arial" w:eastAsia="Arial" w:hAnsi="Arial"/>
          <w:sz w:val="22"/>
          <w:szCs w:val="22"/>
          <w:color w:val="auto"/>
        </w:rPr>
      </w:pPr>
    </w:p>
    <w:p>
      <w:pPr>
        <w:ind w:left="760" w:hanging="331"/>
        <w:spacing w:after="0"/>
        <w:tabs>
          <w:tab w:leader="none" w:pos="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obtaining legal and other professional advice; and</w:t>
      </w:r>
    </w:p>
    <w:p>
      <w:pPr>
        <w:spacing w:after="0" w:line="273" w:lineRule="exact"/>
        <w:rPr>
          <w:rFonts w:ascii="Arial" w:cs="Arial" w:eastAsia="Arial" w:hAnsi="Arial"/>
          <w:sz w:val="22"/>
          <w:szCs w:val="22"/>
          <w:color w:val="auto"/>
        </w:rPr>
      </w:pPr>
    </w:p>
    <w:p>
      <w:pPr>
        <w:ind w:left="760" w:hanging="331"/>
        <w:spacing w:after="0"/>
        <w:tabs>
          <w:tab w:leader="none" w:pos="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establishing, exercising or defending legal rights.</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processing of the Grantee’s personal data:</w:t>
      </w:r>
    </w:p>
    <w:p>
      <w:pPr>
        <w:spacing w:after="0" w:line="355" w:lineRule="exact"/>
        <w:rPr>
          <w:sz w:val="20"/>
          <w:szCs w:val="20"/>
          <w:color w:val="auto"/>
        </w:rPr>
      </w:pPr>
    </w:p>
    <w:p>
      <w:pPr>
        <w:jc w:val="both"/>
        <w:ind w:left="760" w:hanging="331"/>
        <w:spacing w:after="0" w:line="271" w:lineRule="auto"/>
        <w:tabs>
          <w:tab w:leader="none" w:pos="7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221" w:lineRule="exact"/>
        <w:rPr>
          <w:rFonts w:ascii="Arial" w:cs="Arial" w:eastAsia="Arial" w:hAnsi="Arial"/>
          <w:sz w:val="21"/>
          <w:szCs w:val="21"/>
          <w:color w:val="auto"/>
        </w:rPr>
      </w:pPr>
    </w:p>
    <w:p>
      <w:pPr>
        <w:jc w:val="both"/>
        <w:ind w:left="760" w:hanging="331"/>
        <w:spacing w:after="0" w:line="250" w:lineRule="auto"/>
        <w:tabs>
          <w:tab w:leader="none" w:pos="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242" w:lineRule="exact"/>
        <w:rPr>
          <w:rFonts w:ascii="Arial" w:cs="Arial" w:eastAsia="Arial" w:hAnsi="Arial"/>
          <w:sz w:val="22"/>
          <w:szCs w:val="22"/>
          <w:color w:val="auto"/>
        </w:rPr>
      </w:pPr>
    </w:p>
    <w:p>
      <w:pPr>
        <w:ind w:left="760" w:hanging="331"/>
        <w:spacing w:after="0" w:line="263" w:lineRule="auto"/>
        <w:tabs>
          <w:tab w:leader="none" w:pos="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respect of all other personal data set out above, is necessary for the performance of the Restricted Stock Units Agreement between the Grantee and TriMas Corporation.</w:t>
      </w:r>
    </w:p>
    <w:p>
      <w:pPr>
        <w:spacing w:after="0" w:line="94"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jc w:val="both"/>
        <w:ind w:left="10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5" w:lineRule="exact"/>
        <w:rPr>
          <w:sz w:val="20"/>
          <w:szCs w:val="20"/>
          <w:color w:val="auto"/>
        </w:rPr>
      </w:pPr>
    </w:p>
    <w:p>
      <w:pPr>
        <w:jc w:val="both"/>
        <w:ind w:left="10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80" w:lineRule="exact"/>
        <w:rPr>
          <w:sz w:val="20"/>
          <w:szCs w:val="20"/>
          <w:color w:val="auto"/>
        </w:rPr>
      </w:pPr>
    </w:p>
    <w:p>
      <w:pPr>
        <w:jc w:val="both"/>
        <w:ind w:left="100"/>
        <w:spacing w:after="0" w:line="260" w:lineRule="auto"/>
        <w:rPr>
          <w:sz w:val="20"/>
          <w:szCs w:val="20"/>
          <w:color w:val="auto"/>
        </w:rPr>
      </w:pPr>
      <w:r>
        <w:rPr>
          <w:rFonts w:ascii="Arial" w:cs="Arial" w:eastAsia="Arial" w:hAnsi="Arial"/>
          <w:sz w:val="21"/>
          <w:szCs w:val="21"/>
          <w:color w:val="auto"/>
        </w:rPr>
        <w:t>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w:t>
      </w:r>
    </w:p>
    <w:p>
      <w:pPr>
        <w:spacing w:after="0" w:line="200" w:lineRule="exact"/>
        <w:rPr>
          <w:sz w:val="20"/>
          <w:szCs w:val="20"/>
          <w:color w:val="auto"/>
        </w:rPr>
      </w:pPr>
    </w:p>
    <w:p>
      <w:pPr>
        <w:spacing w:after="0" w:line="3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0220"/>
          </w:cols>
          <w:pgMar w:left="1440" w:top="996" w:right="239" w:bottom="1440" w:gutter="0" w:footer="0" w:header="0"/>
        </w:sectPr>
      </w:pPr>
    </w:p>
    <w:bookmarkStart w:id="89" w:name="page90"/>
    <w:bookmarkEnd w:id="89"/>
    <w:p>
      <w:pPr>
        <w:jc w:val="both"/>
        <w:ind w:left="100"/>
        <w:spacing w:after="0" w:line="263" w:lineRule="auto"/>
        <w:rPr>
          <w:sz w:val="20"/>
          <w:szCs w:val="20"/>
          <w:color w:val="auto"/>
        </w:rPr>
      </w:pPr>
      <w:r>
        <w:rPr>
          <w:rFonts w:ascii="Arial" w:cs="Arial" w:eastAsia="Arial" w:hAnsi="Arial"/>
          <w:sz w:val="22"/>
          <w:szCs w:val="22"/>
          <w:color w:val="auto"/>
        </w:rPr>
        <w:t xml:space="preserve">into Grantee’s Fidelity account at </w:t>
      </w:r>
      <w:r>
        <w:rPr>
          <w:rFonts w:ascii="Arial" w:cs="Arial" w:eastAsia="Arial" w:hAnsi="Arial"/>
          <w:sz w:val="22"/>
          <w:szCs w:val="22"/>
          <w:u w:val="single" w:color="auto"/>
          <w:color w:val="0000FF"/>
        </w:rPr>
        <w:t>www.netbenefits.fidelity.com</w:t>
      </w:r>
      <w:r>
        <w:rPr>
          <w:rFonts w:ascii="Arial" w:cs="Arial" w:eastAsia="Arial" w:hAnsi="Arial"/>
          <w:sz w:val="22"/>
          <w:szCs w:val="22"/>
          <w:color w:val="auto"/>
        </w:rPr>
        <w:t xml:space="preserve"> and visiting the Plan &amp; Grant Documents section of the Grantee’s account.</w:t>
      </w:r>
    </w:p>
    <w:p>
      <w:pPr>
        <w:spacing w:after="0" w:line="17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321" w:lineRule="exact"/>
        <w:rPr>
          <w:sz w:val="20"/>
          <w:szCs w:val="20"/>
          <w:color w:val="auto"/>
        </w:rPr>
      </w:pPr>
    </w:p>
    <w:p>
      <w:pPr>
        <w:ind w:left="760" w:hanging="331"/>
        <w:spacing w:after="0"/>
        <w:tabs>
          <w:tab w:leader="none" w:pos="760" w:val="left"/>
        </w:tabs>
        <w:numPr>
          <w:ilvl w:val="0"/>
          <w:numId w:val="95"/>
        </w:numPr>
        <w:rPr>
          <w:rFonts w:ascii="Arial" w:cs="Arial" w:eastAsia="Arial" w:hAnsi="Arial"/>
          <w:sz w:val="21"/>
          <w:szCs w:val="21"/>
          <w:color w:val="auto"/>
        </w:rPr>
      </w:pPr>
      <w:r>
        <w:rPr>
          <w:rFonts w:ascii="Arial" w:cs="Arial" w:eastAsia="Arial" w:hAnsi="Arial"/>
          <w:sz w:val="21"/>
          <w:szCs w:val="21"/>
          <w:color w:val="auto"/>
        </w:rPr>
        <w:t>enabling potential purchasers to complete due diligence on, and value, the business and/or assets;</w:t>
      </w:r>
    </w:p>
    <w:p>
      <w:pPr>
        <w:spacing w:after="0" w:line="285" w:lineRule="exact"/>
        <w:rPr>
          <w:rFonts w:ascii="Arial" w:cs="Arial" w:eastAsia="Arial" w:hAnsi="Arial"/>
          <w:sz w:val="21"/>
          <w:szCs w:val="21"/>
          <w:color w:val="auto"/>
        </w:rPr>
      </w:pPr>
    </w:p>
    <w:p>
      <w:pPr>
        <w:ind w:left="760" w:hanging="331"/>
        <w:spacing w:after="0" w:line="263" w:lineRule="auto"/>
        <w:tabs>
          <w:tab w:leader="none" w:pos="7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228" w:lineRule="exact"/>
        <w:rPr>
          <w:rFonts w:ascii="Arial" w:cs="Arial" w:eastAsia="Arial" w:hAnsi="Arial"/>
          <w:sz w:val="22"/>
          <w:szCs w:val="22"/>
          <w:color w:val="auto"/>
        </w:rPr>
      </w:pPr>
    </w:p>
    <w:p>
      <w:pPr>
        <w:ind w:left="760" w:hanging="331"/>
        <w:spacing w:after="0"/>
        <w:tabs>
          <w:tab w:leader="none" w:pos="7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use of such personal data by a purchaser for the operation of its business.</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355" w:lineRule="exact"/>
        <w:rPr>
          <w:sz w:val="20"/>
          <w:szCs w:val="20"/>
          <w:color w:val="auto"/>
        </w:rPr>
      </w:pPr>
    </w:p>
    <w:p>
      <w:pPr>
        <w:ind w:left="760" w:hanging="331"/>
        <w:spacing w:after="0"/>
        <w:tabs>
          <w:tab w:leader="none" w:pos="7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its professional advisors, auditors, service providers;</w:t>
      </w:r>
    </w:p>
    <w:p>
      <w:pPr>
        <w:spacing w:after="0" w:line="273" w:lineRule="exact"/>
        <w:rPr>
          <w:rFonts w:ascii="Arial" w:cs="Arial" w:eastAsia="Arial" w:hAnsi="Arial"/>
          <w:sz w:val="22"/>
          <w:szCs w:val="22"/>
          <w:color w:val="auto"/>
        </w:rPr>
      </w:pPr>
    </w:p>
    <w:p>
      <w:pPr>
        <w:jc w:val="both"/>
        <w:ind w:left="760" w:hanging="331"/>
        <w:spacing w:after="0" w:line="253" w:lineRule="auto"/>
        <w:tabs>
          <w:tab w:leader="none" w:pos="7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239" w:lineRule="exact"/>
        <w:rPr>
          <w:rFonts w:ascii="Arial" w:cs="Arial" w:eastAsia="Arial" w:hAnsi="Arial"/>
          <w:sz w:val="22"/>
          <w:szCs w:val="22"/>
          <w:color w:val="auto"/>
        </w:rPr>
      </w:pPr>
    </w:p>
    <w:p>
      <w:pPr>
        <w:jc w:val="both"/>
        <w:ind w:left="760" w:hanging="331"/>
        <w:spacing w:after="0" w:line="312" w:lineRule="auto"/>
        <w:tabs>
          <w:tab w:leader="none" w:pos="7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4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0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389" w:lineRule="exact"/>
        <w:rPr>
          <w:sz w:val="20"/>
          <w:szCs w:val="20"/>
          <w:color w:val="auto"/>
        </w:rPr>
      </w:pPr>
    </w:p>
    <w:p>
      <w:pPr>
        <w:ind w:left="760" w:hanging="331"/>
        <w:spacing w:after="0" w:line="263" w:lineRule="auto"/>
        <w:tabs>
          <w:tab w:leader="none" w:pos="7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228" w:lineRule="exact"/>
        <w:rPr>
          <w:rFonts w:ascii="Arial" w:cs="Arial" w:eastAsia="Arial" w:hAnsi="Arial"/>
          <w:sz w:val="22"/>
          <w:szCs w:val="22"/>
          <w:color w:val="auto"/>
        </w:rPr>
      </w:pPr>
    </w:p>
    <w:p>
      <w:pPr>
        <w:jc w:val="both"/>
        <w:ind w:left="760" w:hanging="331"/>
        <w:spacing w:after="0" w:line="250" w:lineRule="auto"/>
        <w:tabs>
          <w:tab w:leader="none" w:pos="7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w:t>
      </w:r>
    </w:p>
    <w:p>
      <w:pPr>
        <w:spacing w:after="0" w:line="200" w:lineRule="exact"/>
        <w:rPr>
          <w:sz w:val="20"/>
          <w:szCs w:val="20"/>
          <w:color w:val="auto"/>
        </w:rPr>
      </w:pPr>
    </w:p>
    <w:p>
      <w:pPr>
        <w:spacing w:after="0" w:line="2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0220"/>
          </w:cols>
          <w:pgMar w:left="1440" w:top="861" w:right="239" w:bottom="1440" w:gutter="0" w:footer="0" w:header="0"/>
        </w:sectPr>
      </w:pPr>
    </w:p>
    <w:bookmarkStart w:id="90" w:name="page91"/>
    <w:bookmarkEnd w:id="90"/>
    <w:p>
      <w:pPr>
        <w:ind w:left="1960"/>
        <w:spacing w:after="0" w:line="263" w:lineRule="auto"/>
        <w:rPr>
          <w:sz w:val="20"/>
          <w:szCs w:val="20"/>
          <w:color w:val="auto"/>
        </w:rPr>
      </w:pPr>
      <w:r>
        <w:rPr>
          <w:rFonts w:ascii="Arial" w:cs="Arial" w:eastAsia="Arial" w:hAnsi="Arial"/>
          <w:sz w:val="22"/>
          <w:szCs w:val="22"/>
          <w:color w:val="auto"/>
        </w:rPr>
        <w:t>information they hold is inaccurate. In certain circumstances, the Grantee may also request that the Relevant TriMas Companies restrict their processing;</w:t>
      </w:r>
    </w:p>
    <w:p>
      <w:pPr>
        <w:spacing w:after="0" w:line="229" w:lineRule="exact"/>
        <w:rPr>
          <w:sz w:val="20"/>
          <w:szCs w:val="20"/>
          <w:color w:val="auto"/>
        </w:rPr>
      </w:pPr>
    </w:p>
    <w:p>
      <w:pPr>
        <w:jc w:val="both"/>
        <w:ind w:left="1960" w:hanging="331"/>
        <w:spacing w:after="0" w:line="250" w:lineRule="auto"/>
        <w:tabs>
          <w:tab w:leader="none" w:pos="1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242" w:lineRule="exact"/>
        <w:rPr>
          <w:rFonts w:ascii="Arial" w:cs="Arial" w:eastAsia="Arial" w:hAnsi="Arial"/>
          <w:sz w:val="22"/>
          <w:szCs w:val="22"/>
          <w:color w:val="auto"/>
        </w:rPr>
      </w:pPr>
    </w:p>
    <w:p>
      <w:pPr>
        <w:jc w:val="both"/>
        <w:ind w:left="1960" w:hanging="331"/>
        <w:spacing w:after="0" w:line="248" w:lineRule="auto"/>
        <w:tabs>
          <w:tab w:leader="none" w:pos="1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46" w:lineRule="exact"/>
        <w:rPr>
          <w:rFonts w:ascii="Arial" w:cs="Arial" w:eastAsia="Arial" w:hAnsi="Arial"/>
          <w:sz w:val="22"/>
          <w:szCs w:val="22"/>
          <w:color w:val="auto"/>
        </w:rPr>
      </w:pPr>
    </w:p>
    <w:p>
      <w:pPr>
        <w:jc w:val="both"/>
        <w:ind w:left="1960" w:hanging="331"/>
        <w:spacing w:after="0" w:line="250" w:lineRule="auto"/>
        <w:tabs>
          <w:tab w:leader="none" w:pos="1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19"/>
          <w:szCs w:val="19"/>
          <w:u w:val="single" w:color="auto"/>
          <w:color w:val="0000FF"/>
        </w:rPr>
        <w:t>https://ico.org.uk/concerns/</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II.B.18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420"/>
          </w:cols>
          <w:pgMar w:left="240" w:top="99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80" w:lineRule="exact"/>
        <w:rPr>
          <w:sz w:val="20"/>
          <w:szCs w:val="20"/>
          <w:color w:val="auto"/>
        </w:rPr>
      </w:pPr>
    </w:p>
    <w:p>
      <w:pPr>
        <w:ind w:left="360" w:hanging="352"/>
        <w:spacing w:after="0"/>
        <w:tabs>
          <w:tab w:leader="none" w:pos="3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AWARD</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[specify Grantee’s name]</w:t>
      </w:r>
    </w:p>
    <w:p>
      <w:pPr>
        <w:spacing w:after="0" w:line="73" w:lineRule="exact"/>
        <w:rPr>
          <w:sz w:val="20"/>
          <w:szCs w:val="20"/>
          <w:color w:val="auto"/>
        </w:rPr>
      </w:pPr>
    </w:p>
    <w:p>
      <w:pPr>
        <w:sectPr>
          <w:pgSz w:w="11900" w:h="16838" w:orient="portrait"/>
          <w:cols w:equalWidth="0" w:num="2">
            <w:col w:w="5700" w:space="720"/>
            <w:col w:w="50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Arial" w:cs="Arial" w:eastAsia="Arial" w:hAnsi="Arial"/>
          <w:sz w:val="19"/>
          <w:szCs w:val="19"/>
          <w:color w:val="auto"/>
        </w:rPr>
        <w:t>As of [enter date]</w:t>
      </w:r>
    </w:p>
    <w:p>
      <w:pPr>
        <w:spacing w:after="0" w:line="73" w:lineRule="exact"/>
        <w:rPr>
          <w:sz w:val="20"/>
          <w:szCs w:val="20"/>
          <w:color w:val="auto"/>
        </w:rPr>
      </w:pPr>
    </w:p>
    <w:p>
      <w:pPr>
        <w:sectPr>
          <w:pgSz w:w="11900" w:h="16838" w:orient="portrait"/>
          <w:cols w:equalWidth="0" w:num="2">
            <w:col w:w="5700" w:space="720"/>
            <w:col w:w="50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Arial" w:cs="Arial" w:eastAsia="Arial" w:hAnsi="Arial"/>
          <w:sz w:val="19"/>
          <w:szCs w:val="19"/>
          <w:color w:val="auto"/>
        </w:rPr>
        <w:t>May 1, 2019</w:t>
      </w:r>
    </w:p>
    <w:p>
      <w:pPr>
        <w:spacing w:after="0" w:line="73" w:lineRule="exact"/>
        <w:rPr>
          <w:sz w:val="20"/>
          <w:szCs w:val="20"/>
          <w:color w:val="auto"/>
        </w:rPr>
      </w:pPr>
    </w:p>
    <w:p>
      <w:pPr>
        <w:sectPr>
          <w:pgSz w:w="11900" w:h="16838" w:orient="portrait"/>
          <w:cols w:equalWidth="0" w:num="2">
            <w:col w:w="5700" w:space="720"/>
            <w:col w:w="5000"/>
          </w:cols>
          <w:pgMar w:left="240" w:top="369" w:right="239" w:bottom="1440" w:gutter="0" w:footer="0" w:header="0"/>
          <w:type w:val="continuous"/>
        </w:sectPr>
      </w:pPr>
    </w:p>
    <w:p>
      <w:pPr>
        <w:ind w:left="88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Restricted Stock Units]</w:t>
      </w:r>
    </w:p>
    <w:p>
      <w:pPr>
        <w:spacing w:after="0" w:line="200" w:lineRule="exact"/>
        <w:rPr>
          <w:sz w:val="20"/>
          <w:szCs w:val="20"/>
          <w:color w:val="auto"/>
        </w:rPr>
      </w:pPr>
    </w:p>
    <w:p>
      <w:pPr>
        <w:sectPr>
          <w:pgSz w:w="11900" w:h="16838" w:orient="portrait"/>
          <w:cols w:equalWidth="0" w:num="2">
            <w:col w:w="5700" w:space="720"/>
            <w:col w:w="5000"/>
          </w:cols>
          <w:pgMar w:left="240" w:top="369" w:right="239" w:bottom="1440" w:gutter="0" w:footer="0" w:header="0"/>
          <w:type w:val="continuous"/>
        </w:sectPr>
      </w:pPr>
    </w:p>
    <w:p>
      <w:pPr>
        <w:spacing w:after="0" w:line="251" w:lineRule="exact"/>
        <w:rPr>
          <w:sz w:val="20"/>
          <w:szCs w:val="20"/>
          <w:color w:val="auto"/>
        </w:rPr>
      </w:pPr>
    </w:p>
    <w:p>
      <w:pPr>
        <w:ind w:left="440" w:hanging="432"/>
        <w:spacing w:after="0"/>
        <w:tabs>
          <w:tab w:leader="none" w:pos="44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8"/>
        <w:spacing w:after="0" w:line="264" w:lineRule="auto"/>
        <w:tabs>
          <w:tab w:leader="none" w:pos="467"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has granted to Grantee (who, pursuant to this Award is a Participant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70" w:lineRule="exact"/>
        <w:rPr>
          <w:rFonts w:ascii="Arial" w:cs="Arial" w:eastAsia="Arial" w:hAnsi="Arial"/>
          <w:sz w:val="21"/>
          <w:szCs w:val="21"/>
          <w:b w:val="1"/>
          <w:bCs w:val="1"/>
          <w:color w:val="auto"/>
        </w:rPr>
      </w:pPr>
    </w:p>
    <w:p>
      <w:pPr>
        <w:ind w:left="1040" w:hanging="384"/>
        <w:spacing w:after="0"/>
        <w:tabs>
          <w:tab w:leader="none" w:pos="1040" w:val="left"/>
        </w:tabs>
        <w:numPr>
          <w:ilvl w:val="1"/>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354" w:lineRule="exact"/>
        <w:rPr>
          <w:rFonts w:ascii="Arial" w:cs="Arial" w:eastAsia="Arial" w:hAnsi="Arial"/>
          <w:sz w:val="22"/>
          <w:szCs w:val="22"/>
          <w:b w:val="1"/>
          <w:bCs w:val="1"/>
          <w:color w:val="auto"/>
        </w:rPr>
      </w:pPr>
    </w:p>
    <w:p>
      <w:pPr>
        <w:jc w:val="both"/>
        <w:ind w:left="660" w:firstLine="645"/>
        <w:spacing w:after="0" w:line="256" w:lineRule="auto"/>
        <w:tabs>
          <w:tab w:leader="none" w:pos="2196" w:val="left"/>
        </w:tabs>
        <w:numPr>
          <w:ilvl w:val="2"/>
          <w:numId w:val="101"/>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full on the first anniversary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of Grant (the “Vesting Date”), subject generally to Grantee’s continued status as a Service Provider through such Vesting Date. In particular, this Award is subject to Section 18(c) of the Plan.</w:t>
      </w:r>
    </w:p>
    <w:p>
      <w:pPr>
        <w:spacing w:after="0" w:line="230" w:lineRule="exact"/>
        <w:rPr>
          <w:rFonts w:ascii="Arial" w:cs="Arial" w:eastAsia="Arial" w:hAnsi="Arial"/>
          <w:sz w:val="22"/>
          <w:szCs w:val="22"/>
          <w:color w:val="auto"/>
        </w:rPr>
      </w:pPr>
    </w:p>
    <w:p>
      <w:pPr>
        <w:jc w:val="both"/>
        <w:ind w:left="660" w:firstLine="645"/>
        <w:spacing w:after="0" w:line="256" w:lineRule="auto"/>
        <w:tabs>
          <w:tab w:leader="none" w:pos="2209" w:val="left"/>
        </w:tabs>
        <w:numPr>
          <w:ilvl w:val="2"/>
          <w:numId w:val="101"/>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Any unvested Restricted Stock Units subject to this Award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canceled and forfeited if Grantee terminates as a Service Provider, or if Grantee’s status as a Service Provider is terminated by the Company, for any reason before the Vesting Date;</w:t>
      </w:r>
    </w:p>
    <w:p>
      <w:pPr>
        <w:sectPr>
          <w:pgSz w:w="11900" w:h="16838" w:orient="portrait"/>
          <w:cols w:equalWidth="0" w:num="1">
            <w:col w:w="11420"/>
          </w:cols>
          <w:pgMar w:left="240" w:top="369" w:right="239" w:bottom="1440" w:gutter="0" w:footer="0" w:header="0"/>
          <w:type w:val="continuous"/>
        </w:sectPr>
      </w:pPr>
    </w:p>
    <w:bookmarkStart w:id="92" w:name="page93"/>
    <w:bookmarkEnd w:id="92"/>
    <w:p>
      <w:pPr>
        <w:jc w:val="both"/>
        <w:ind w:left="4"/>
        <w:spacing w:after="0" w:line="271"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216" w:lineRule="exact"/>
        <w:rPr>
          <w:sz w:val="20"/>
          <w:szCs w:val="20"/>
          <w:color w:val="auto"/>
        </w:rPr>
      </w:pPr>
    </w:p>
    <w:p>
      <w:pPr>
        <w:jc w:val="both"/>
        <w:ind w:left="4" w:firstLine="645"/>
        <w:spacing w:after="0" w:line="264" w:lineRule="auto"/>
        <w:tabs>
          <w:tab w:leader="none" w:pos="1540" w:val="left"/>
        </w:tabs>
        <w:numPr>
          <w:ilvl w:val="0"/>
          <w:numId w:val="102"/>
        </w:numPr>
        <w:rPr>
          <w:rFonts w:ascii="Arial" w:cs="Arial" w:eastAsia="Arial" w:hAnsi="Arial"/>
          <w:sz w:val="21"/>
          <w:szCs w:val="21"/>
          <w:color w:val="auto"/>
        </w:rPr>
      </w:pPr>
      <w:r>
        <w:rPr>
          <w:rFonts w:ascii="Arial" w:cs="Arial" w:eastAsia="Arial" w:hAnsi="Arial"/>
          <w:sz w:val="21"/>
          <w:szCs w:val="21"/>
          <w:b w:val="1"/>
          <w:bCs w:val="1"/>
          <w:color w:val="auto"/>
        </w:rPr>
        <w:t>Disability Definition</w:t>
      </w:r>
      <w:r>
        <w:rPr>
          <w:rFonts w:ascii="Arial" w:cs="Arial" w:eastAsia="Arial" w:hAnsi="Arial"/>
          <w:sz w:val="21"/>
          <w:szCs w:val="21"/>
          <w:color w:val="auto"/>
        </w:rPr>
        <w:t>. For purposes of this Agreement, “Disability” (and similar terms) means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95" w:lineRule="exact"/>
        <w:rPr>
          <w:rFonts w:ascii="Arial" w:cs="Arial" w:eastAsia="Arial" w:hAnsi="Arial"/>
          <w:sz w:val="21"/>
          <w:szCs w:val="21"/>
          <w:color w:val="auto"/>
        </w:rPr>
      </w:pPr>
    </w:p>
    <w:p>
      <w:pPr>
        <w:ind w:left="644" w:firstLine="653"/>
        <w:spacing w:after="0" w:line="263" w:lineRule="auto"/>
        <w:tabs>
          <w:tab w:leader="none" w:pos="1826" w:val="left"/>
        </w:tabs>
        <w:numPr>
          <w:ilvl w:val="1"/>
          <w:numId w:val="102"/>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15" w:lineRule="exact"/>
        <w:rPr>
          <w:rFonts w:ascii="Arial" w:cs="Arial" w:eastAsia="Arial" w:hAnsi="Arial"/>
          <w:sz w:val="22"/>
          <w:szCs w:val="22"/>
          <w:color w:val="auto"/>
        </w:rPr>
      </w:pPr>
    </w:p>
    <w:p>
      <w:pPr>
        <w:ind w:left="644" w:firstLine="653"/>
        <w:spacing w:after="0" w:line="287" w:lineRule="auto"/>
        <w:tabs>
          <w:tab w:leader="none" w:pos="176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resulted from an intentionally self-inflicted injury or an addiction to drugs, alcohol, or substances which are not administered under the direction of a licensed physician as part of a medical treatment plan; or</w:t>
      </w:r>
    </w:p>
    <w:p>
      <w:pPr>
        <w:spacing w:after="0" w:line="192" w:lineRule="exact"/>
        <w:rPr>
          <w:rFonts w:ascii="Arial" w:cs="Arial" w:eastAsia="Arial" w:hAnsi="Arial"/>
          <w:sz w:val="21"/>
          <w:szCs w:val="21"/>
          <w:color w:val="auto"/>
        </w:rPr>
      </w:pPr>
    </w:p>
    <w:p>
      <w:pPr>
        <w:jc w:val="both"/>
        <w:ind w:left="644" w:firstLine="653"/>
        <w:spacing w:after="0" w:line="253" w:lineRule="auto"/>
        <w:tabs>
          <w:tab w:leader="none" w:pos="1909" w:val="left"/>
        </w:tabs>
        <w:numPr>
          <w:ilvl w:val="1"/>
          <w:numId w:val="102"/>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26" w:lineRule="exact"/>
        <w:rPr>
          <w:sz w:val="20"/>
          <w:szCs w:val="20"/>
          <w:color w:val="auto"/>
        </w:rPr>
      </w:pPr>
    </w:p>
    <w:p>
      <w:pPr>
        <w:jc w:val="both"/>
        <w:ind w:left="4"/>
        <w:spacing w:after="0" w:line="287"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330" w:lineRule="exact"/>
        <w:rPr>
          <w:sz w:val="20"/>
          <w:szCs w:val="20"/>
          <w:color w:val="auto"/>
        </w:rPr>
      </w:pPr>
    </w:p>
    <w:p>
      <w:pPr>
        <w:ind w:left="4" w:right="320" w:firstLine="645"/>
        <w:spacing w:after="0" w:line="256" w:lineRule="auto"/>
        <w:tabs>
          <w:tab w:leader="none" w:pos="1552" w:val="left"/>
        </w:tabs>
        <w:numPr>
          <w:ilvl w:val="1"/>
          <w:numId w:val="103"/>
        </w:numPr>
        <w:rPr>
          <w:rFonts w:ascii="Arial" w:cs="Arial" w:eastAsia="Arial" w:hAnsi="Arial"/>
          <w:sz w:val="22"/>
          <w:szCs w:val="22"/>
          <w:color w:val="auto"/>
        </w:rPr>
      </w:pPr>
      <w:r>
        <w:rPr>
          <w:rFonts w:ascii="Arial" w:cs="Arial" w:eastAsia="Arial" w:hAnsi="Arial"/>
          <w:sz w:val="22"/>
          <w:szCs w:val="22"/>
          <w:b w:val="1"/>
          <w:bCs w:val="1"/>
          <w:color w:val="auto"/>
        </w:rPr>
        <w:t>Retirement Definition</w:t>
      </w:r>
      <w:r>
        <w:rPr>
          <w:rFonts w:ascii="Arial" w:cs="Arial" w:eastAsia="Arial" w:hAnsi="Arial"/>
          <w:sz w:val="22"/>
          <w:szCs w:val="22"/>
          <w:color w:val="auto"/>
        </w:rPr>
        <w:t>. For purposes of this Agreement, “Retirement” means termination of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status as a Service Provider with the consent of the Committee after attaining age 55 and five years of service with the Company and its Subsidiaries.</w:t>
      </w:r>
    </w:p>
    <w:p>
      <w:pPr>
        <w:spacing w:after="0" w:line="95" w:lineRule="exact"/>
        <w:rPr>
          <w:rFonts w:ascii="Arial" w:cs="Arial" w:eastAsia="Arial" w:hAnsi="Arial"/>
          <w:sz w:val="22"/>
          <w:szCs w:val="22"/>
          <w:color w:val="auto"/>
        </w:rPr>
      </w:pPr>
    </w:p>
    <w:p>
      <w:pPr>
        <w:ind w:left="384" w:hanging="384"/>
        <w:spacing w:after="0"/>
        <w:tabs>
          <w:tab w:leader="none" w:pos="384"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354" w:lineRule="exact"/>
        <w:rPr>
          <w:rFonts w:ascii="Arial" w:cs="Arial" w:eastAsia="Arial" w:hAnsi="Arial"/>
          <w:sz w:val="22"/>
          <w:szCs w:val="22"/>
          <w:b w:val="1"/>
          <w:bCs w:val="1"/>
          <w:color w:val="auto"/>
        </w:rPr>
      </w:pPr>
    </w:p>
    <w:p>
      <w:pPr>
        <w:jc w:val="both"/>
        <w:ind w:left="4" w:firstLine="645"/>
        <w:spacing w:after="0" w:line="256" w:lineRule="auto"/>
        <w:tabs>
          <w:tab w:leader="none" w:pos="1540" w:val="left"/>
        </w:tabs>
        <w:numPr>
          <w:ilvl w:val="1"/>
          <w:numId w:val="104"/>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thirty (30) days following) the Vesting Date, the Company shall issue Grantee one share of Common Stock for each vested Restricted Stock Unit.</w:t>
      </w:r>
    </w:p>
    <w:p>
      <w:pPr>
        <w:spacing w:after="0" w:line="200" w:lineRule="exact"/>
        <w:rPr>
          <w:sz w:val="20"/>
          <w:szCs w:val="20"/>
          <w:color w:val="auto"/>
        </w:rPr>
      </w:pPr>
    </w:p>
    <w:p>
      <w:pPr>
        <w:spacing w:after="0" w:line="273"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10" w:right="239" w:bottom="1440" w:gutter="0" w:footer="0" w:header="0"/>
        </w:sectPr>
      </w:pPr>
    </w:p>
    <w:bookmarkStart w:id="93" w:name="page94"/>
    <w:bookmarkEnd w:id="93"/>
    <w:p>
      <w:pPr>
        <w:jc w:val="both"/>
        <w:ind w:left="660" w:firstLine="645"/>
        <w:spacing w:after="0" w:line="249" w:lineRule="auto"/>
        <w:tabs>
          <w:tab w:leader="none" w:pos="2172" w:val="left"/>
        </w:tabs>
        <w:numPr>
          <w:ilvl w:val="4"/>
          <w:numId w:val="105"/>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are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05" w:lineRule="exact"/>
        <w:rPr>
          <w:rFonts w:ascii="Arial" w:cs="Arial" w:eastAsia="Arial" w:hAnsi="Arial"/>
          <w:sz w:val="22"/>
          <w:szCs w:val="22"/>
          <w:color w:val="auto"/>
        </w:rPr>
      </w:pPr>
    </w:p>
    <w:p>
      <w:pPr>
        <w:jc w:val="both"/>
        <w:ind w:left="80" w:firstLine="644"/>
        <w:spacing w:after="0" w:line="259" w:lineRule="auto"/>
        <w:tabs>
          <w:tab w:leader="none" w:pos="1174" w:val="left"/>
        </w:tabs>
        <w:numPr>
          <w:ilvl w:val="2"/>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Restricted Stock Unit equal to the amount of</w:t>
      </w:r>
      <w:r>
        <w:rPr>
          <w:rFonts w:ascii="Arial" w:cs="Arial" w:eastAsia="Arial" w:hAnsi="Arial"/>
          <w:sz w:val="21"/>
          <w:szCs w:val="21"/>
          <w:b w:val="1"/>
          <w:bCs w:val="1"/>
          <w:color w:val="auto"/>
        </w:rPr>
        <w:t xml:space="preserve"> </w:t>
      </w:r>
      <w:r>
        <w:rPr>
          <w:rFonts w:ascii="Arial" w:cs="Arial" w:eastAsia="Arial" w:hAnsi="Arial"/>
          <w:sz w:val="21"/>
          <w:szCs w:val="21"/>
          <w:color w:val="auto"/>
        </w:rPr>
        <w:t>each 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80" w:lineRule="exact"/>
        <w:rPr>
          <w:rFonts w:ascii="Arial" w:cs="Arial" w:eastAsia="Arial" w:hAnsi="Arial"/>
          <w:sz w:val="21"/>
          <w:szCs w:val="21"/>
          <w:b w:val="1"/>
          <w:bCs w:val="1"/>
          <w:color w:val="auto"/>
        </w:rPr>
      </w:pPr>
    </w:p>
    <w:p>
      <w:pPr>
        <w:ind w:left="80" w:firstLine="644"/>
        <w:spacing w:after="0" w:line="293" w:lineRule="auto"/>
        <w:tabs>
          <w:tab w:leader="none" w:pos="1106" w:val="left"/>
        </w:tabs>
        <w:numPr>
          <w:ilvl w:val="2"/>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139" w:lineRule="exact"/>
        <w:rPr>
          <w:rFonts w:ascii="Arial" w:cs="Arial" w:eastAsia="Arial" w:hAnsi="Arial"/>
          <w:sz w:val="21"/>
          <w:szCs w:val="21"/>
          <w:b w:val="1"/>
          <w:bCs w:val="1"/>
          <w:color w:val="auto"/>
        </w:rPr>
      </w:pPr>
    </w:p>
    <w:p>
      <w:pPr>
        <w:ind w:firstLine="656"/>
        <w:spacing w:after="0" w:line="269" w:lineRule="auto"/>
        <w:tabs>
          <w:tab w:leader="none" w:pos="1067" w:val="left"/>
        </w:tabs>
        <w:numPr>
          <w:ilvl w:val="1"/>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11 of the Plan.</w:t>
      </w:r>
    </w:p>
    <w:p>
      <w:pPr>
        <w:spacing w:after="0" w:line="162" w:lineRule="exact"/>
        <w:rPr>
          <w:rFonts w:ascii="Arial" w:cs="Arial" w:eastAsia="Arial" w:hAnsi="Arial"/>
          <w:sz w:val="22"/>
          <w:szCs w:val="22"/>
          <w:b w:val="1"/>
          <w:bCs w:val="1"/>
          <w:color w:val="auto"/>
        </w:rPr>
      </w:pPr>
    </w:p>
    <w:p>
      <w:pPr>
        <w:ind w:left="420" w:hanging="412"/>
        <w:spacing w:after="0"/>
        <w:tabs>
          <w:tab w:leader="none" w:pos="42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656"/>
        <w:spacing w:after="0" w:line="252" w:lineRule="auto"/>
        <w:tabs>
          <w:tab w:leader="none" w:pos="1067" w:val="left"/>
        </w:tabs>
        <w:numPr>
          <w:ilvl w:val="1"/>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firstLine="656"/>
        <w:spacing w:after="0" w:line="256" w:lineRule="auto"/>
        <w:tabs>
          <w:tab w:leader="none" w:pos="1040" w:val="left"/>
        </w:tabs>
        <w:numPr>
          <w:ilvl w:val="1"/>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responsible for the payment of any and all taxes that arise with respect to this Award. Grantee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tender sufficient funds to satisfy any applicable taxes arising in connection with the vesting of the Restricted Stock Units (or other applicable events) under this Award.</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053" w:val="left"/>
        </w:tabs>
        <w:numPr>
          <w:ilvl w:val="1"/>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Company agree that any disagreement, dispute, controversy, or claim arising out</w:t>
      </w:r>
      <w:r>
        <w:rPr>
          <w:rFonts w:ascii="Arial" w:cs="Arial" w:eastAsia="Arial" w:hAnsi="Arial"/>
          <w:sz w:val="22"/>
          <w:szCs w:val="22"/>
          <w:b w:val="1"/>
          <w:bCs w:val="1"/>
          <w:color w:val="auto"/>
        </w:rPr>
        <w:t xml:space="preserve"> </w:t>
      </w:r>
      <w:r>
        <w:rPr>
          <w:rFonts w:ascii="Arial" w:cs="Arial" w:eastAsia="Arial" w:hAnsi="Arial"/>
          <w:sz w:val="22"/>
          <w:szCs w:val="22"/>
          <w:color w:val="auto"/>
        </w:rPr>
        <w:t>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315" w:lineRule="exact"/>
        <w:rPr>
          <w:rFonts w:ascii="Arial" w:cs="Arial" w:eastAsia="Arial" w:hAnsi="Arial"/>
          <w:sz w:val="22"/>
          <w:szCs w:val="22"/>
          <w:b w:val="1"/>
          <w:bCs w:val="1"/>
          <w:color w:val="auto"/>
        </w:rPr>
      </w:pPr>
    </w:p>
    <w:p>
      <w:pPr>
        <w:jc w:val="both"/>
        <w:ind w:left="560" w:firstLine="650"/>
        <w:spacing w:after="0" w:line="256" w:lineRule="auto"/>
        <w:tabs>
          <w:tab w:leader="none" w:pos="2177" w:val="left"/>
        </w:tabs>
        <w:numPr>
          <w:ilvl w:val="3"/>
          <w:numId w:val="108"/>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230" w:lineRule="exact"/>
        <w:rPr>
          <w:rFonts w:ascii="Arial" w:cs="Arial" w:eastAsia="Arial" w:hAnsi="Arial"/>
          <w:sz w:val="22"/>
          <w:szCs w:val="22"/>
          <w:color w:val="auto"/>
        </w:rPr>
      </w:pPr>
    </w:p>
    <w:p>
      <w:pPr>
        <w:jc w:val="both"/>
        <w:ind w:left="560" w:firstLine="650"/>
        <w:spacing w:after="0" w:line="256" w:lineRule="auto"/>
        <w:tabs>
          <w:tab w:leader="none" w:pos="2189" w:val="left"/>
        </w:tabs>
        <w:numPr>
          <w:ilvl w:val="3"/>
          <w:numId w:val="108"/>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Company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Company or the Company to Grantee, all disputes, claims, questions,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04" w:right="239" w:bottom="1440" w:gutter="0" w:footer="0" w:header="0"/>
        </w:sectPr>
      </w:pPr>
    </w:p>
    <w:bookmarkStart w:id="94" w:name="page95"/>
    <w:bookmarkEnd w:id="94"/>
    <w:p>
      <w:pPr>
        <w:jc w:val="both"/>
        <w:ind w:left="560"/>
        <w:spacing w:after="0" w:line="253" w:lineRule="auto"/>
        <w:rPr>
          <w:sz w:val="20"/>
          <w:szCs w:val="20"/>
          <w:color w:val="auto"/>
        </w:rPr>
      </w:pPr>
      <w:r>
        <w:rPr>
          <w:rFonts w:ascii="Arial" w:cs="Arial" w:eastAsia="Arial" w:hAnsi="Arial"/>
          <w:sz w:val="22"/>
          <w:szCs w:val="22"/>
          <w:color w:val="auto"/>
        </w:rPr>
        <w:t>controversies, or differences will be submitted to arbitration administered by the American Arbitration Association (the “AAA”) in accordance with the provisions of its Employment Arbitration Rules and Mediation Procedures (the “Arbitration Rules”).</w:t>
      </w:r>
    </w:p>
    <w:p>
      <w:pPr>
        <w:spacing w:after="0" w:line="99" w:lineRule="exact"/>
        <w:rPr>
          <w:sz w:val="20"/>
          <w:szCs w:val="20"/>
          <w:color w:val="auto"/>
        </w:rPr>
      </w:pPr>
    </w:p>
    <w:p>
      <w:pPr>
        <w:jc w:val="both"/>
        <w:ind w:left="1300" w:firstLine="653"/>
        <w:spacing w:after="0" w:line="247" w:lineRule="auto"/>
        <w:tabs>
          <w:tab w:leader="none" w:pos="247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2" w:lineRule="auto"/>
        <w:tabs>
          <w:tab w:leader="none" w:pos="2470" w:val="left"/>
        </w:tabs>
        <w:numPr>
          <w:ilvl w:val="0"/>
          <w:numId w:val="109"/>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jc w:val="both"/>
        <w:ind w:firstLine="656"/>
        <w:spacing w:after="0" w:line="298" w:lineRule="auto"/>
        <w:tabs>
          <w:tab w:leader="none" w:pos="1040"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 of the Code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applicable, it is intended that this Agreement and the Plan comply with or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42" w:lineRule="exact"/>
        <w:rPr>
          <w:rFonts w:ascii="Arial" w:cs="Arial" w:eastAsia="Arial" w:hAnsi="Arial"/>
          <w:sz w:val="19"/>
          <w:szCs w:val="19"/>
          <w:b w:val="1"/>
          <w:bCs w:val="1"/>
          <w:color w:val="auto"/>
        </w:rPr>
      </w:pPr>
    </w:p>
    <w:p>
      <w:pPr>
        <w:jc w:val="both"/>
        <w:ind w:firstLine="656"/>
        <w:spacing w:after="0" w:line="256" w:lineRule="auto"/>
        <w:tabs>
          <w:tab w:leader="none" w:pos="108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Company or any Subsidiary of the Company, which are hereby expressly reserved.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10" w:right="239" w:bottom="1440" w:gutter="0" w:footer="0" w:header="0"/>
        </w:sectPr>
      </w:pPr>
    </w:p>
    <w:bookmarkStart w:id="95" w:name="page96"/>
    <w:bookmarkEnd w:id="95"/>
    <w:p>
      <w:pPr>
        <w:jc w:val="both"/>
        <w:ind w:left="-20" w:firstLine="656"/>
        <w:spacing w:after="0" w:line="252" w:lineRule="auto"/>
        <w:tabs>
          <w:tab w:leader="none" w:pos="1209"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ind w:left="-20" w:firstLine="656"/>
        <w:spacing w:after="0" w:line="269" w:lineRule="auto"/>
        <w:tabs>
          <w:tab w:leader="none" w:pos="1033"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2" w:lineRule="exact"/>
        <w:rPr>
          <w:rFonts w:ascii="Arial" w:cs="Arial" w:eastAsia="Arial" w:hAnsi="Arial"/>
          <w:sz w:val="22"/>
          <w:szCs w:val="22"/>
          <w:b w:val="1"/>
          <w:bCs w:val="1"/>
          <w:color w:val="auto"/>
        </w:rPr>
      </w:pPr>
    </w:p>
    <w:p>
      <w:pPr>
        <w:jc w:val="both"/>
        <w:ind w:left="-20" w:firstLine="656"/>
        <w:spacing w:after="0" w:line="264" w:lineRule="auto"/>
        <w:tabs>
          <w:tab w:leader="none" w:pos="1060"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0" w:lineRule="exact"/>
        <w:rPr>
          <w:rFonts w:ascii="Arial" w:cs="Arial" w:eastAsia="Arial" w:hAnsi="Arial"/>
          <w:sz w:val="21"/>
          <w:szCs w:val="21"/>
          <w:b w:val="1"/>
          <w:bCs w:val="1"/>
          <w:color w:val="auto"/>
        </w:rPr>
      </w:pPr>
    </w:p>
    <w:p>
      <w:pPr>
        <w:jc w:val="both"/>
        <w:ind w:left="-20" w:firstLine="656"/>
        <w:spacing w:after="0" w:line="249" w:lineRule="auto"/>
        <w:tabs>
          <w:tab w:leader="none" w:pos="1047"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Any amendment to the Plan shall be deemed to be an amendment to this Agreement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left="-20" w:firstLine="656"/>
        <w:spacing w:after="0" w:line="252" w:lineRule="auto"/>
        <w:tabs>
          <w:tab w:leader="none" w:pos="1114"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369" w:right="239" w:bottom="1440" w:gutter="0" w:footer="0" w:header="0"/>
        </w:sectPr>
      </w:pPr>
    </w:p>
    <w:bookmarkStart w:id="96" w:name="page97"/>
    <w:bookmarkEnd w:id="96"/>
    <w:p>
      <w:pPr>
        <w:jc w:val="both"/>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2880" w:type="dxa"/>
            <w:vAlign w:val="bottom"/>
          </w:tcPr>
          <w:p>
            <w:pPr>
              <w:spacing w:after="0"/>
              <w:rPr>
                <w:sz w:val="24"/>
                <w:szCs w:val="24"/>
                <w:color w:val="auto"/>
              </w:rPr>
            </w:pPr>
          </w:p>
        </w:tc>
        <w:tc>
          <w:tcPr>
            <w:tcW w:w="6020" w:type="dxa"/>
            <w:vAlign w:val="bottom"/>
            <w:gridSpan w:val="3"/>
          </w:tcPr>
          <w:p>
            <w:pPr>
              <w:ind w:left="780"/>
              <w:spacing w:after="0"/>
              <w:rPr>
                <w:sz w:val="20"/>
                <w:szCs w:val="20"/>
                <w:color w:val="auto"/>
              </w:rPr>
            </w:pPr>
            <w:r>
              <w:rPr>
                <w:rFonts w:ascii="Arial" w:cs="Arial" w:eastAsia="Arial" w:hAnsi="Arial"/>
                <w:sz w:val="22"/>
                <w:szCs w:val="22"/>
                <w:b w:val="1"/>
                <w:bCs w:val="1"/>
                <w:color w:val="auto"/>
              </w:rPr>
              <w:t>TRIMAS CORPORATION</w:t>
            </w:r>
          </w:p>
        </w:tc>
      </w:tr>
      <w:tr>
        <w:trPr>
          <w:trHeight w:val="706"/>
        </w:trPr>
        <w:tc>
          <w:tcPr>
            <w:tcW w:w="2880" w:type="dxa"/>
            <w:vAlign w:val="bottom"/>
          </w:tcPr>
          <w:p>
            <w:pPr>
              <w:spacing w:after="0"/>
              <w:rPr>
                <w:sz w:val="20"/>
                <w:szCs w:val="20"/>
                <w:color w:val="auto"/>
              </w:rPr>
            </w:pPr>
            <w:r>
              <w:rPr>
                <w:rFonts w:ascii="Arial" w:cs="Arial" w:eastAsia="Arial" w:hAnsi="Arial"/>
                <w:sz w:val="22"/>
                <w:szCs w:val="22"/>
                <w:color w:val="auto"/>
              </w:rPr>
              <w:t>Dated as of: [grant date]</w:t>
            </w:r>
          </w:p>
        </w:tc>
        <w:tc>
          <w:tcPr>
            <w:tcW w:w="6020" w:type="dxa"/>
            <w:vAlign w:val="bottom"/>
            <w:gridSpan w:val="3"/>
          </w:tcPr>
          <w:p>
            <w:pPr>
              <w:ind w:left="1760"/>
              <w:spacing w:after="0"/>
              <w:rPr>
                <w:sz w:val="20"/>
                <w:szCs w:val="20"/>
                <w:color w:val="auto"/>
              </w:rPr>
            </w:pPr>
            <w:r>
              <w:rPr>
                <w:rFonts w:ascii="Arial" w:cs="Arial" w:eastAsia="Arial" w:hAnsi="Arial"/>
                <w:sz w:val="22"/>
                <w:szCs w:val="22"/>
                <w:color w:val="auto"/>
              </w:rPr>
              <w:t>By:  /s/ Joshua A. Sherbin</w:t>
            </w:r>
          </w:p>
        </w:tc>
      </w:tr>
      <w:tr>
        <w:trPr>
          <w:trHeight w:val="20"/>
        </w:trPr>
        <w:tc>
          <w:tcPr>
            <w:tcW w:w="2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2"/>
        </w:trPr>
        <w:tc>
          <w:tcPr>
            <w:tcW w:w="2880" w:type="dxa"/>
            <w:vAlign w:val="bottom"/>
          </w:tcPr>
          <w:p>
            <w:pPr>
              <w:spacing w:after="0"/>
              <w:rPr>
                <w:sz w:val="21"/>
                <w:szCs w:val="21"/>
                <w:color w:val="auto"/>
              </w:rPr>
            </w:pPr>
          </w:p>
        </w:tc>
        <w:tc>
          <w:tcPr>
            <w:tcW w:w="6020" w:type="dxa"/>
            <w:vAlign w:val="bottom"/>
            <w:gridSpan w:val="3"/>
          </w:tcPr>
          <w:p>
            <w:pPr>
              <w:ind w:left="1760"/>
              <w:spacing w:after="0" w:line="242" w:lineRule="exact"/>
              <w:rPr>
                <w:sz w:val="20"/>
                <w:szCs w:val="20"/>
                <w:color w:val="auto"/>
              </w:rPr>
            </w:pPr>
            <w:r>
              <w:rPr>
                <w:rFonts w:ascii="Arial" w:cs="Arial" w:eastAsia="Arial" w:hAnsi="Arial"/>
                <w:sz w:val="22"/>
                <w:szCs w:val="22"/>
                <w:color w:val="auto"/>
              </w:rPr>
              <w:t>Name: Joshua A. Sherbin</w:t>
            </w:r>
          </w:p>
        </w:tc>
      </w:tr>
      <w:tr>
        <w:trPr>
          <w:trHeight w:val="275"/>
        </w:trPr>
        <w:tc>
          <w:tcPr>
            <w:tcW w:w="2880" w:type="dxa"/>
            <w:vAlign w:val="bottom"/>
          </w:tcPr>
          <w:p>
            <w:pPr>
              <w:spacing w:after="0"/>
              <w:rPr>
                <w:sz w:val="23"/>
                <w:szCs w:val="23"/>
                <w:color w:val="auto"/>
              </w:rPr>
            </w:pPr>
          </w:p>
        </w:tc>
        <w:tc>
          <w:tcPr>
            <w:tcW w:w="6020" w:type="dxa"/>
            <w:vAlign w:val="bottom"/>
            <w:gridSpan w:val="3"/>
          </w:tcPr>
          <w:p>
            <w:pPr>
              <w:ind w:left="1760"/>
              <w:spacing w:after="0"/>
              <w:rPr>
                <w:sz w:val="20"/>
                <w:szCs w:val="20"/>
                <w:color w:val="auto"/>
              </w:rPr>
            </w:pPr>
            <w:r>
              <w:rPr>
                <w:rFonts w:ascii="Arial" w:cs="Arial" w:eastAsia="Arial" w:hAnsi="Arial"/>
                <w:sz w:val="22"/>
                <w:szCs w:val="22"/>
                <w:color w:val="auto"/>
                <w:w w:val="88"/>
              </w:rPr>
              <w:t>Title: 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2019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2019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lowerLetter"/>
      <w:start w:val="1"/>
    </w:lvl>
  </w:abstractNum>
  <w:abstractNum w:abstractNumId="3">
    <w:nsid w:val="15B5AF5C"/>
    <w:multiLevelType w:val="hybridMultilevel"/>
    <w:lvl w:ilvl="0">
      <w:lvlJc w:val="left"/>
      <w:lvlText w:val="(%1)"/>
      <w:numFmt w:val="lowerLetter"/>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lowerLetter"/>
      <w:start w:val="1"/>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1)"/>
      <w:numFmt w:val="decimal"/>
      <w:start w:val="1"/>
    </w:lvl>
  </w:abstractNum>
  <w:abstractNum w:abstractNumId="10">
    <w:nsid w:val="77AE35EB"/>
    <w:multiLevelType w:val="hybridMultilevel"/>
    <w:lvl w:ilvl="0">
      <w:lvlJc w:val="left"/>
      <w:lvlText w:val="(%1)"/>
      <w:numFmt w:val="decimal"/>
      <w:start w:val="1"/>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upperLetter"/>
      <w:start w:val="35"/>
    </w:lvl>
    <w:lvl w:ilvl="1">
      <w:lvlJc w:val="left"/>
      <w:lvlText w:val="%2"/>
      <w:numFmt w:val="upperLetter"/>
      <w:start w:val="1"/>
    </w:lvl>
  </w:abstractNum>
  <w:abstractNum w:abstractNumId="13">
    <w:nsid w:val="5FF87E05"/>
    <w:multiLevelType w:val="hybridMultilevel"/>
    <w:lvl w:ilvl="0">
      <w:lvlJc w:val="left"/>
      <w:lvlText w:val="%1."/>
      <w:numFmt w:val="decimal"/>
      <w:start w:val="1"/>
    </w:lvl>
    <w:lvl w:ilvl="1">
      <w:lvlJc w:val="left"/>
      <w:lvlText w:val="(%2)"/>
      <w:numFmt w:val="lowerLetter"/>
      <w:start w:val="1"/>
    </w:lvl>
  </w:abstractNum>
  <w:abstractNum w:abstractNumId="14">
    <w:nsid w:val="2F305DEF"/>
    <w:multiLevelType w:val="hybridMultilevel"/>
    <w:lvl w:ilvl="0">
      <w:lvlJc w:val="left"/>
      <w:lvlText w:val="(%1)"/>
      <w:numFmt w:val="lowerLetter"/>
      <w:start w:val="3"/>
    </w:lvl>
  </w:abstractNum>
  <w:abstractNum w:abstractNumId="15">
    <w:nsid w:val="25A70BF7"/>
    <w:multiLevelType w:val="hybridMultilevel"/>
    <w:lvl w:ilvl="0">
      <w:lvlJc w:val="left"/>
      <w:lvlText w:val="(%1)"/>
      <w:numFmt w:val="decimal"/>
      <w:start w:val="1"/>
    </w:lvl>
  </w:abstractNum>
  <w:abstractNum w:abstractNumId="16">
    <w:nsid w:val="1DBABF00"/>
    <w:multiLevelType w:val="hybridMultilevel"/>
    <w:lvl w:ilvl="0">
      <w:lvlJc w:val="left"/>
      <w:lvlText w:val="(%1)"/>
      <w:numFmt w:val="decimal"/>
      <w:start w:val="3"/>
    </w:lvl>
  </w:abstractNum>
  <w:abstractNum w:abstractNumId="17">
    <w:nsid w:val="4AD084E9"/>
    <w:multiLevelType w:val="hybridMultilevel"/>
    <w:lvl w:ilvl="0">
      <w:lvlJc w:val="left"/>
      <w:lvlText w:val="%1."/>
      <w:numFmt w:val="decimal"/>
      <w:start w:val="7"/>
    </w:lvl>
  </w:abstractNum>
  <w:abstractNum w:abstractNumId="18">
    <w:nsid w:val="1F48EAA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19">
    <w:nsid w:val="1381823A"/>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20">
    <w:nsid w:val="5DB70AE5"/>
    <w:multiLevelType w:val="hybridMultilevel"/>
    <w:lvl w:ilvl="0">
      <w:lvlJc w:val="left"/>
      <w:lvlText w:val="%1."/>
      <w:numFmt w:val="decimal"/>
      <w:start w:val="1"/>
    </w:lvl>
  </w:abstractNum>
  <w:abstractNum w:abstractNumId="21">
    <w:nsid w:val="100F8FCA"/>
    <w:multiLevelType w:val="hybridMultilevel"/>
    <w:lvl w:ilvl="0">
      <w:lvlJc w:val="left"/>
      <w:lvlText w:val="(%1)"/>
      <w:numFmt w:val="lowerLetter"/>
      <w:start w:val="1"/>
    </w:lvl>
    <w:lvl w:ilvl="1">
      <w:lvlJc w:val="left"/>
      <w:lvlText w:val="(%2)"/>
      <w:numFmt w:val="decimal"/>
      <w:start w:val="1"/>
    </w:lvl>
  </w:abstractNum>
  <w:abstractNum w:abstractNumId="22">
    <w:nsid w:val="6590700B"/>
    <w:multiLevelType w:val="hybridMultilevel"/>
    <w:lvl w:ilvl="0">
      <w:lvlJc w:val="left"/>
      <w:lvlText w:val="(%1)"/>
      <w:numFmt w:val="decimal"/>
      <w:start w:val="2"/>
    </w:lvl>
  </w:abstractNum>
  <w:abstractNum w:abstractNumId="23">
    <w:nsid w:val="15014ACB"/>
    <w:multiLevelType w:val="hybridMultilevel"/>
    <w:lvl w:ilvl="0">
      <w:lvlJc w:val="left"/>
      <w:lvlText w:val="%1."/>
      <w:numFmt w:val="decimal"/>
      <w:start w:val="4"/>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Letter"/>
      <w:start w:val="3"/>
    </w:lvl>
  </w:abstractNum>
  <w:abstractNum w:abstractNumId="26">
    <w:nsid w:val="799D0247"/>
    <w:multiLevelType w:val="hybridMultilevel"/>
    <w:lvl w:ilvl="0">
      <w:lvlJc w:val="left"/>
      <w:lvlText w:val="(%1)"/>
      <w:numFmt w:val="lowerLetter"/>
      <w:start w:val="4"/>
    </w:lvl>
    <w:lvl w:ilvl="1">
      <w:lvlJc w:val="left"/>
      <w:lvlText w:val="(%2)"/>
      <w:numFmt w:val="decimal"/>
      <w:start w:val="1"/>
    </w:lvl>
  </w:abstractNum>
  <w:abstractNum w:abstractNumId="27">
    <w:nsid w:val="6B94764"/>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28">
    <w:nsid w:val="42C296BD"/>
    <w:multiLevelType w:val="hybridMultilevel"/>
    <w:lvl w:ilvl="0">
      <w:lvlJc w:val="left"/>
      <w:lvlText w:val="(%1)"/>
      <w:numFmt w:val="lowerLetter"/>
      <w:start w:val="6"/>
    </w:lvl>
    <w:lvl w:ilvl="1">
      <w:lvlJc w:val="left"/>
      <w:lvlText w:val="%2."/>
      <w:numFmt w:val="decimal"/>
      <w:start w:val="5"/>
    </w:lvl>
    <w:lvl w:ilvl="2">
      <w:lvlJc w:val="left"/>
      <w:lvlText w:val="%3"/>
      <w:numFmt w:val="decimal"/>
      <w:start w:val="1"/>
    </w:lvl>
  </w:abstractNum>
  <w:abstractNum w:abstractNumId="29">
    <w:nsid w:val="168E121F"/>
    <w:multiLevelType w:val="hybridMultilevel"/>
    <w:lvl w:ilvl="0">
      <w:lvlJc w:val="left"/>
      <w:lvlText w:val="%1."/>
      <w:numFmt w:val="decimal"/>
      <w:start w:val="8"/>
    </w:lvl>
  </w:abstractNum>
  <w:abstractNum w:abstractNumId="30">
    <w:nsid w:val="1EBA5D23"/>
    <w:multiLevelType w:val="hybridMultilevel"/>
    <w:lvl w:ilvl="0">
      <w:lvlJc w:val="left"/>
      <w:lvlText w:val="(%1)"/>
      <w:numFmt w:val="lowerLetter"/>
      <w:start w:val="1"/>
    </w:lvl>
  </w:abstractNum>
  <w:abstractNum w:abstractNumId="31">
    <w:nsid w:val="661E3F1E"/>
    <w:multiLevelType w:val="hybridMultilevel"/>
    <w:lvl w:ilvl="0">
      <w:lvlJc w:val="left"/>
      <w:lvlText w:val="(%1)"/>
      <w:numFmt w:val="lowerLetter"/>
      <w:start w:val="9"/>
    </w:lvl>
    <w:lvl w:ilvl="1">
      <w:lvlJc w:val="left"/>
      <w:lvlText w:val="%2."/>
      <w:numFmt w:val="decimal"/>
      <w:start w:val="13"/>
    </w:lvl>
  </w:abstractNum>
  <w:abstractNum w:abstractNumId="32">
    <w:nsid w:val="5DC79EA8"/>
    <w:multiLevelType w:val="hybridMultilevel"/>
    <w:lvl w:ilvl="0">
      <w:lvlJc w:val="left"/>
      <w:lvlText w:val="%1"/>
      <w:numFmt w:val="lowerLetter"/>
      <w:start w:val="1"/>
    </w:lvl>
    <w:lvl w:ilvl="1">
      <w:lvlJc w:val="left"/>
      <w:lvlText w:val="%2."/>
      <w:numFmt w:val="decimal"/>
      <w:start w:val="14"/>
    </w:lvl>
  </w:abstractNum>
  <w:abstractNum w:abstractNumId="33">
    <w:nsid w:val="540A471C"/>
    <w:multiLevelType w:val="hybridMultilevel"/>
    <w:lvl w:ilvl="0">
      <w:lvlJc w:val="left"/>
      <w:lvlText w:val="(%1)"/>
      <w:numFmt w:val="lowerLetter"/>
      <w:start w:val="1"/>
    </w:lvl>
    <w:lvl w:ilvl="1">
      <w:lvlJc w:val="left"/>
      <w:lvlText w:val="%2"/>
      <w:numFmt w:val="decimal"/>
      <w:start w:val="1"/>
    </w:lvl>
  </w:abstractNum>
  <w:abstractNum w:abstractNumId="34">
    <w:nsid w:val="7BD3EE7B"/>
    <w:multiLevelType w:val="hybridMultilevel"/>
    <w:lvl w:ilvl="0">
      <w:lvlJc w:val="left"/>
      <w:lvlText w:val="(%1)"/>
      <w:numFmt w:val="lowerLetter"/>
      <w:start w:val="2"/>
    </w:lvl>
  </w:abstractNum>
  <w:abstractNum w:abstractNumId="35">
    <w:nsid w:val="51D9C564"/>
    <w:multiLevelType w:val="hybridMultilevel"/>
    <w:lvl w:ilvl="0">
      <w:lvlJc w:val="left"/>
      <w:lvlText w:val="%1."/>
      <w:numFmt w:val="decimal"/>
      <w:start w:val="1"/>
    </w:lvl>
    <w:lvl w:ilvl="1">
      <w:lvlJc w:val="left"/>
      <w:lvlText w:val="(%2)"/>
      <w:numFmt w:val="upperLetter"/>
      <w:start w:val="1"/>
    </w:lvl>
  </w:abstractNum>
  <w:abstractNum w:abstractNumId="36">
    <w:nsid w:val="613EFDC5"/>
    <w:multiLevelType w:val="hybridMultilevel"/>
    <w:lvl w:ilvl="0">
      <w:lvlJc w:val="left"/>
      <w:lvlText w:val="%1"/>
      <w:numFmt w:val="decimal"/>
      <w:start w:val="1"/>
    </w:lvl>
    <w:lvl w:ilvl="1">
      <w:lvlJc w:val="left"/>
      <w:lvlText w:val="(%2)"/>
      <w:numFmt w:val="upperLetter"/>
      <w:start w:val="4"/>
    </w:lvl>
  </w:abstractNum>
  <w:abstractNum w:abstractNumId="37">
    <w:nsid w:val="BF72B14"/>
    <w:multiLevelType w:val="hybridMultilevel"/>
    <w:lvl w:ilvl="0">
      <w:lvlJc w:val="left"/>
      <w:lvlText w:val="%1."/>
      <w:numFmt w:val="decimal"/>
      <w:start w:val="5"/>
    </w:lvl>
    <w:lvl w:ilvl="1">
      <w:lvlJc w:val="left"/>
      <w:lvlText w:val="%2"/>
      <w:numFmt w:val="upperLetter"/>
      <w:start w:val="1"/>
    </w:lvl>
  </w:abstractNum>
  <w:abstractNum w:abstractNumId="38">
    <w:nsid w:val="11447B73"/>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39">
    <w:nsid w:val="42963E5A"/>
    <w:multiLevelType w:val="hybridMultilevel"/>
    <w:lvl w:ilvl="0">
      <w:lvlJc w:val="left"/>
      <w:lvlText w:val="%1."/>
      <w:numFmt w:val="decimal"/>
      <w:start w:val="7"/>
    </w:lvl>
  </w:abstractNum>
  <w:abstractNum w:abstractNumId="40">
    <w:nsid w:val="A0382C5"/>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41">
    <w:nsid w:val="8F2B15E"/>
    <w:multiLevelType w:val="hybridMultilevel"/>
    <w:lvl w:ilvl="0">
      <w:lvlJc w:val="left"/>
      <w:lvlText w:val="(%1)"/>
      <w:numFmt w:val="upperLetter"/>
      <w:start w:val="7"/>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Roman"/>
      <w:start w:val="1"/>
    </w:lvl>
  </w:abstractNum>
  <w:abstractNum w:abstractNumId="45">
    <w:nsid w:val="4962813B"/>
    <w:multiLevelType w:val="hybridMultilevel"/>
    <w:lvl w:ilvl="0">
      <w:lvlJc w:val="left"/>
      <w:lvlText w:val="(%1)"/>
      <w:numFmt w:val="lowerRoman"/>
      <w:start w:val="1"/>
    </w:lvl>
  </w:abstractNum>
  <w:abstractNum w:abstractNumId="46">
    <w:nsid w:val="60B6DF70"/>
    <w:multiLevelType w:val="hybridMultilevel"/>
    <w:lvl w:ilvl="0">
      <w:lvlJc w:val="left"/>
      <w:lvlText w:val="(%1)"/>
      <w:numFmt w:val="lowerRoman"/>
      <w:start w:val="1"/>
    </w:lvl>
  </w:abstractNum>
  <w:abstractNum w:abstractNumId="47">
    <w:nsid w:val="6A5EE64"/>
    <w:multiLevelType w:val="hybridMultilevel"/>
    <w:lvl w:ilvl="0">
      <w:lvlJc w:val="left"/>
      <w:lvlText w:val="(%1)"/>
      <w:numFmt w:val="lowerRoman"/>
      <w:start w:val="9"/>
    </w:lvl>
  </w:abstractNum>
  <w:abstractNum w:abstractNumId="48">
    <w:nsid w:val="14330624"/>
    <w:multiLevelType w:val="hybridMultilevel"/>
    <w:lvl w:ilvl="0">
      <w:lvlJc w:val="left"/>
      <w:lvlText w:val="(%1)"/>
      <w:numFmt w:val="decimal"/>
      <w:start w:val="2"/>
    </w:lvl>
  </w:abstractNum>
  <w:abstractNum w:abstractNumId="49">
    <w:nsid w:val="7FFFCA11"/>
    <w:multiLevelType w:val="hybridMultilevel"/>
    <w:lvl w:ilvl="0">
      <w:lvlJc w:val="left"/>
      <w:lvlText w:val="(%1)"/>
      <w:numFmt w:val="decimal"/>
      <w:start w:val="4"/>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1."/>
      <w:numFmt w:val="upperLetter"/>
      <w:start w:val="9"/>
    </w:lvl>
  </w:abstractNum>
  <w:abstractNum w:abstractNumId="59">
    <w:nsid w:val="4C04A8AF"/>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1"/>
    </w:lvl>
    <w:lvl w:ilvl="1">
      <w:lvlJc w:val="left"/>
      <w:lvlText w:val="(%2)"/>
      <w:numFmt w:val="lowerLetter"/>
      <w:start w:val="9"/>
    </w:lvl>
  </w:abstractNum>
  <w:abstractNum w:abstractNumId="62">
    <w:nsid w:val="3222E7CD"/>
    <w:multiLevelType w:val="hybridMultilevel"/>
    <w:lvl w:ilvl="0">
      <w:lvlJc w:val="left"/>
      <w:lvlText w:val="(%1)"/>
      <w:numFmt w:val="lowerLetter"/>
      <w:start w:val="25"/>
    </w:lvl>
    <w:lvl w:ilvl="1">
      <w:lvlJc w:val="left"/>
      <w:lvlText w:val="(%2)"/>
      <w:numFmt w:val="lowerLetter"/>
      <w:start w:val="35"/>
    </w:lvl>
  </w:abstractNum>
  <w:abstractNum w:abstractNumId="63">
    <w:nsid w:val="74DE0EE3"/>
    <w:multiLevelType w:val="hybridMultilevel"/>
    <w:lvl w:ilvl="0">
      <w:lvlJc w:val="left"/>
      <w:lvlText w:val="(%1)"/>
      <w:numFmt w:val="lowerRoman"/>
      <w:start w:val="3"/>
    </w:lvl>
    <w:lvl w:ilvl="1">
      <w:lvlJc w:val="left"/>
      <w:lvlText w:val="(%2)"/>
      <w:numFmt w:val="upperLetter"/>
      <w:start w:val="1"/>
    </w:lvl>
  </w:abstractNum>
  <w:abstractNum w:abstractNumId="64">
    <w:nsid w:val="68EBC550"/>
    <w:multiLevelType w:val="hybridMultilevel"/>
    <w:lvl w:ilvl="0">
      <w:lvlJc w:val="left"/>
      <w:lvlText w:val="(%1)"/>
      <w:numFmt w:val="upperLetter"/>
      <w:start w:val="3"/>
    </w:lvl>
  </w:abstractNum>
  <w:abstractNum w:abstractNumId="65">
    <w:nsid w:val="2DF6D648"/>
    <w:multiLevelType w:val="hybridMultilevel"/>
    <w:lvl w:ilvl="0">
      <w:lvlJc w:val="left"/>
      <w:lvlText w:val="%1."/>
      <w:numFmt w:val="decimal"/>
      <w:start w:val="2"/>
    </w:lvl>
  </w:abstractNum>
  <w:abstractNum w:abstractNumId="66">
    <w:nsid w:val="46B7D447"/>
    <w:multiLevelType w:val="hybridMultilevel"/>
    <w:lvl w:ilvl="0">
      <w:lvlJc w:val="left"/>
      <w:lvlText w:val="(%1)"/>
      <w:numFmt w:val="lowerLetter"/>
      <w:start w:val="1"/>
    </w:lvl>
    <w:lvl w:ilvl="1">
      <w:lvlJc w:val="left"/>
      <w:lvlText w:val="(%2)"/>
      <w:numFmt w:val="decimal"/>
      <w:start w:val="1"/>
    </w:lvl>
  </w:abstractNum>
  <w:abstractNum w:abstractNumId="67">
    <w:nsid w:val="4A2AC315"/>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68">
    <w:nsid w:val="39EE015C"/>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abstractNum>
  <w:abstractNum w:abstractNumId="69">
    <w:nsid w:val="57FC4FBB"/>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70">
    <w:nsid w:val="CC1016F"/>
    <w:multiLevelType w:val="hybridMultilevel"/>
    <w:lvl w:ilvl="0">
      <w:lvlJc w:val="left"/>
      <w:lvlText w:val="%1."/>
      <w:numFmt w:val="decimal"/>
      <w:start w:val="3"/>
    </w:lvl>
  </w:abstractNum>
  <w:abstractNum w:abstractNumId="71">
    <w:nsid w:val="43F18422"/>
    <w:multiLevelType w:val="hybridMultilevel"/>
    <w:lvl w:ilvl="0">
      <w:lvlJc w:val="left"/>
      <w:lvlText w:val="(%1)"/>
      <w:numFmt w:val="lowerLetter"/>
      <w:start w:val="1"/>
    </w:lvl>
    <w:lvl w:ilvl="1">
      <w:lvlJc w:val="left"/>
      <w:lvlText w:val="(%2)"/>
      <w:numFmt w:val="decimal"/>
      <w:start w:val="1"/>
    </w:lvl>
  </w:abstractNum>
  <w:abstractNum w:abstractNumId="72">
    <w:nsid w:val="60EF0119"/>
    <w:multiLevelType w:val="hybridMultilevel"/>
    <w:lvl w:ilvl="0">
      <w:lvlJc w:val="left"/>
      <w:lvlText w:val="(%1)"/>
      <w:numFmt w:val="decimal"/>
      <w:start w:val="5"/>
    </w:lvl>
  </w:abstractNum>
  <w:abstractNum w:abstractNumId="73">
    <w:nsid w:val="26F324BA"/>
    <w:multiLevelType w:val="hybridMultilevel"/>
    <w:lvl w:ilvl="0">
      <w:lvlJc w:val="left"/>
      <w:lvlText w:val="%1."/>
      <w:numFmt w:val="decimal"/>
      <w:start w:val="4"/>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4"/>
    </w:lvl>
    <w:lvl w:ilvl="1">
      <w:lvlJc w:val="left"/>
      <w:lvlText w:val="(%2)"/>
      <w:numFmt w:val="decimal"/>
      <w:start w:val="1"/>
    </w:lvl>
  </w:abstractNum>
  <w:abstractNum w:abstractNumId="76">
    <w:nsid w:val="7055A5F5"/>
    <w:multiLevelType w:val="hybridMultilevel"/>
    <w:lvl w:ilvl="0">
      <w:lvlJc w:val="left"/>
      <w:lvlText w:val="(%1)"/>
      <w:numFmt w:val="lowerLetter"/>
      <w:start w:val="6"/>
    </w:lvl>
    <w:lvl w:ilvl="1">
      <w:lvlJc w:val="left"/>
      <w:lvlText w:val="%2."/>
      <w:numFmt w:val="decimal"/>
      <w:start w:val="5"/>
    </w:lvl>
  </w:abstractNum>
  <w:abstractNum w:abstractNumId="77">
    <w:nsid w:val="5FB8370B"/>
    <w:multiLevelType w:val="hybridMultilevel"/>
    <w:lvl w:ilvl="0">
      <w:lvlJc w:val="left"/>
      <w:lvlText w:val="%1."/>
      <w:numFmt w:val="decimal"/>
      <w:start w:val="11"/>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decimal"/>
      <w:start w:val="12"/>
    </w:lvl>
  </w:abstractNum>
  <w:abstractNum w:abstractNumId="80">
    <w:nsid w:val="5FB8011C"/>
    <w:multiLevelType w:val="hybridMultilevel"/>
    <w:lvl w:ilvl="0">
      <w:lvlJc w:val="left"/>
      <w:lvlText w:val="%1"/>
      <w:numFmt w:val="lowerLetter"/>
      <w:start w:val="1"/>
    </w:lvl>
    <w:lvl w:ilvl="1">
      <w:lvlJc w:val="left"/>
      <w:lvlText w:val="%2."/>
      <w:numFmt w:val="decimal"/>
      <w:start w:val="13"/>
    </w:lvl>
  </w:abstractNum>
  <w:abstractNum w:abstractNumId="81">
    <w:nsid w:val="6AA78F7F"/>
    <w:multiLevelType w:val="hybridMultilevel"/>
    <w:lvl w:ilvl="0">
      <w:lvlJc w:val="left"/>
      <w:lvlText w:val="(%1)"/>
      <w:numFmt w:val="lowerLetter"/>
      <w:start w:val="1"/>
    </w:lvl>
    <w:lvl w:ilvl="1">
      <w:lvlJc w:val="left"/>
      <w:lvlText w:val="%2"/>
      <w:numFmt w:val="decimal"/>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Roman"/>
      <w:start w:val="1"/>
    </w:lvl>
  </w:abstractNum>
  <w:abstractNum w:abstractNumId="85">
    <w:nsid w:val="7D5E18F8"/>
    <w:multiLevelType w:val="hybridMultilevel"/>
    <w:lvl w:ilvl="0">
      <w:lvlJc w:val="left"/>
      <w:lvlText w:val="(%1)"/>
      <w:numFmt w:val="lowerRoman"/>
      <w:start w:val="1"/>
    </w:lvl>
  </w:abstractNum>
  <w:abstractNum w:abstractNumId="86">
    <w:nsid w:val="5F3534A4"/>
    <w:multiLevelType w:val="hybridMultilevel"/>
    <w:lvl w:ilvl="0">
      <w:lvlJc w:val="left"/>
      <w:lvlText w:val="(%1)"/>
      <w:numFmt w:val="lowerRoman"/>
      <w:start w:val="1"/>
    </w:lvl>
  </w:abstractNum>
  <w:abstractNum w:abstractNumId="87">
    <w:nsid w:val="73A1821B"/>
    <w:multiLevelType w:val="hybridMultilevel"/>
    <w:lvl w:ilvl="0">
      <w:lvlJc w:val="left"/>
      <w:lvlText w:val="(%1)"/>
      <w:numFmt w:val="lowerRoman"/>
      <w:start w:val="8"/>
    </w:lvl>
  </w:abstractNum>
  <w:abstractNum w:abstractNumId="88">
    <w:nsid w:val="7DE67713"/>
    <w:multiLevelType w:val="hybridMultilevel"/>
    <w:lvl w:ilvl="0">
      <w:lvlJc w:val="left"/>
      <w:lvlText w:val="(%1)"/>
      <w:numFmt w:val="decimal"/>
      <w:start w:val="2"/>
    </w:lvl>
  </w:abstractNum>
  <w:abstractNum w:abstractNumId="89">
    <w:nsid w:val="555C55B5"/>
    <w:multiLevelType w:val="hybridMultilevel"/>
    <w:lvl w:ilvl="0">
      <w:lvlJc w:val="left"/>
      <w:lvlText w:val="(%1)"/>
      <w:numFmt w:val="decimal"/>
      <w:start w:val="3"/>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1."/>
      <w:numFmt w:val="upperLetter"/>
      <w:start w:val="9"/>
    </w:lvl>
  </w:abstractNum>
  <w:abstractNum w:abstractNumId="99">
    <w:nsid w:val="59ADEA3D"/>
    <w:multiLevelType w:val="hybridMultilevel"/>
    <w:lvl w:ilvl="0">
      <w:lvlJc w:val="left"/>
      <w:lvlText w:val="%1."/>
      <w:numFmt w:val="upperLetter"/>
      <w:start w:val="35"/>
    </w:lvl>
  </w:abstractNum>
  <w:abstractNum w:abstractNumId="100">
    <w:nsid w:val="288F1A3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1">
    <w:nsid w:val="2A155DBC"/>
    <w:multiLevelType w:val="hybridMultilevel"/>
    <w:lvl w:ilvl="0">
      <w:lvlJc w:val="left"/>
      <w:lvlText w:val="(%1)"/>
      <w:numFmt w:val="lowerLetter"/>
      <w:start w:val="3"/>
    </w:lvl>
    <w:lvl w:ilvl="1">
      <w:lvlJc w:val="left"/>
      <w:lvlText w:val="(%2)"/>
      <w:numFmt w:val="decimal"/>
      <w:start w:val="1"/>
    </w:lvl>
  </w:abstractNum>
  <w:abstractNum w:abstractNumId="102">
    <w:nsid w:val="1D9F6E5F"/>
    <w:multiLevelType w:val="hybridMultilevel"/>
    <w:lvl w:ilvl="0">
      <w:lvlJc w:val="left"/>
      <w:lvlText w:val="%1"/>
      <w:numFmt w:val="decimal"/>
      <w:start w:val="1"/>
    </w:lvl>
    <w:lvl w:ilvl="1">
      <w:lvlJc w:val="left"/>
      <w:lvlText w:val="(%2)"/>
      <w:numFmt w:val="lowerLetter"/>
      <w:start w:val="4"/>
    </w:lvl>
  </w:abstractNum>
  <w:abstractNum w:abstractNumId="103">
    <w:nsid w:val="97E1B4E"/>
    <w:multiLevelType w:val="hybridMultilevel"/>
    <w:lvl w:ilvl="0">
      <w:lvlJc w:val="left"/>
      <w:lvlText w:val="%1."/>
      <w:numFmt w:val="decimal"/>
      <w:start w:val="2"/>
    </w:lvl>
    <w:lvl w:ilvl="1">
      <w:lvlJc w:val="left"/>
      <w:lvlText w:val="(%2)"/>
      <w:numFmt w:val="lowerLetter"/>
      <w:start w:val="5"/>
    </w:lvl>
  </w:abstractNum>
  <w:abstractNum w:abstractNumId="104">
    <w:nsid w:val="51088277"/>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6"/>
    </w:lvl>
  </w:abstractNum>
  <w:abstractNum w:abstractNumId="105">
    <w:nsid w:val="1CA0C5FA"/>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lvl w:ilvl="3">
      <w:lvlJc w:val="left"/>
      <w:lvlText w:val="%4"/>
      <w:numFmt w:val="lowerLetter"/>
      <w:start w:val="1"/>
    </w:lvl>
    <w:lvl w:ilvl="4">
      <w:lvlJc w:val="left"/>
      <w:lvlText w:val="%5"/>
      <w:numFmt w:val="lowerLetter"/>
      <w:start w:val="1"/>
    </w:lvl>
  </w:abstractNum>
  <w:abstractNum w:abstractNumId="106">
    <w:nsid w:val="53584BCB"/>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07">
    <w:nsid w:val="415E286C"/>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08">
    <w:nsid w:val="7C58FD05"/>
    <w:multiLevelType w:val="hybridMultilevel"/>
    <w:lvl w:ilvl="0">
      <w:lvlJc w:val="left"/>
      <w:lvlText w:val="(%1)"/>
      <w:numFmt w:val="decimal"/>
      <w:start w:val="1"/>
    </w:lvl>
  </w:abstractNum>
  <w:abstractNum w:abstractNumId="109">
    <w:nsid w:val="23D86AAC"/>
    <w:multiLevelType w:val="hybridMultilevel"/>
    <w:lvl w:ilvl="0">
      <w:lvlJc w:val="left"/>
      <w:lvlText w:val="%1."/>
      <w:numFmt w:val="decimal"/>
      <w:start w:val="4"/>
    </w:lvl>
  </w:abstractNum>
  <w:abstractNum w:abstractNumId="110">
    <w:nsid w:val="45E6D486"/>
    <w:multiLevelType w:val="hybridMultilevel"/>
    <w:lvl w:ilvl="0">
      <w:lvlJc w:val="left"/>
      <w:lvlText w:val="%1."/>
      <w:numFmt w:val="decimal"/>
      <w:start w:val="6"/>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Archives/edgar/data/842633/000110465907058776/a07-19157_1ex3d1.htm" TargetMode="External"/><Relationship Id="rId13"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2019-12-28T09:49:52Z</dcterms:created>
  <dcterms:modified xsi:type="dcterms:W3CDTF">2019-12-28T09:49:52Z</dcterms:modified>
</cp:coreProperties>
</file>