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(Mark One)</w:t>
      </w:r>
    </w:p>
    <w:p>
      <w:pPr>
        <w:ind w:left="1820" w:hanging="995"/>
        <w:spacing w:after="0" w:line="225"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2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7"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Or</w:t>
      </w:r>
    </w:p>
    <w:p>
      <w:pPr>
        <w:ind w:left="1820" w:hanging="995"/>
        <w:spacing w:after="0" w:line="223"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120" w:lineRule="exact"/>
        <w:rPr>
          <w:sz w:val="24"/>
          <w:szCs w:val="24"/>
          <w:color w:val="auto"/>
        </w:rPr>
      </w:pPr>
    </w:p>
    <w:p>
      <w:pPr>
        <w:ind w:left="3520"/>
        <w:spacing w:after="0"/>
        <w:tabs>
          <w:tab w:leader="none" w:pos="6700" w:val="left"/>
          <w:tab w:leader="none" w:pos="7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-20320</wp:posOffset>
            </wp:positionV>
            <wp:extent cx="1123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001-10716</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TRIMAS CORPORATION</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3100" w:type="dxa"/>
        <w:tblCellMar>
          <w:top w:w="0" w:type="dxa"/>
          <w:left w:w="0" w:type="dxa"/>
          <w:bottom w:w="0" w:type="dxa"/>
          <w:right w:w="0" w:type="dxa"/>
        </w:tblCellMar>
      </w:tblPr>
      <w:tr>
        <w:trPr>
          <w:trHeight w:val="233"/>
        </w:trPr>
        <w:tc>
          <w:tcPr>
            <w:tcW w:w="27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Delaware</w:t>
            </w:r>
          </w:p>
        </w:tc>
        <w:tc>
          <w:tcPr>
            <w:tcW w:w="190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38-2687639</w:t>
            </w:r>
          </w:p>
        </w:tc>
      </w:tr>
      <w:tr>
        <w:trPr>
          <w:trHeight w:val="176"/>
        </w:trPr>
        <w:tc>
          <w:tcPr>
            <w:tcW w:w="2720" w:type="dxa"/>
            <w:vAlign w:val="bottom"/>
          </w:tcPr>
          <w:p>
            <w:pPr>
              <w:jc w:val="center"/>
              <w:ind w:right="450"/>
              <w:spacing w:after="0" w:line="176" w:lineRule="exact"/>
              <w:rPr>
                <w:sz w:val="20"/>
                <w:szCs w:val="20"/>
                <w:color w:val="auto"/>
              </w:rPr>
            </w:pPr>
            <w:r>
              <w:rPr>
                <w:rFonts w:ascii="Arial" w:cs="Arial" w:eastAsia="Arial" w:hAnsi="Arial"/>
                <w:sz w:val="18"/>
                <w:szCs w:val="18"/>
                <w:color w:val="auto"/>
                <w:w w:val="93"/>
              </w:rPr>
              <w:t>(State or other jurisdiction of</w:t>
            </w:r>
          </w:p>
        </w:tc>
        <w:tc>
          <w:tcPr>
            <w:tcW w:w="1900" w:type="dxa"/>
            <w:vAlign w:val="bottom"/>
          </w:tcPr>
          <w:p>
            <w:pPr>
              <w:jc w:val="center"/>
              <w:ind w:left="47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720" w:type="dxa"/>
            <w:vAlign w:val="bottom"/>
          </w:tcPr>
          <w:p>
            <w:pPr>
              <w:jc w:val="center"/>
              <w:ind w:right="470"/>
              <w:spacing w:after="0"/>
              <w:rPr>
                <w:sz w:val="20"/>
                <w:szCs w:val="20"/>
                <w:color w:val="auto"/>
              </w:rPr>
            </w:pPr>
            <w:r>
              <w:rPr>
                <w:rFonts w:ascii="Arial" w:cs="Arial" w:eastAsia="Arial" w:hAnsi="Arial"/>
                <w:sz w:val="18"/>
                <w:szCs w:val="18"/>
                <w:color w:val="auto"/>
                <w:w w:val="92"/>
              </w:rPr>
              <w:t>incorporation or organization)</w:t>
            </w:r>
          </w:p>
        </w:tc>
        <w:tc>
          <w:tcPr>
            <w:tcW w:w="1900" w:type="dxa"/>
            <w:vAlign w:val="bottom"/>
          </w:tcPr>
          <w:p>
            <w:pPr>
              <w:jc w:val="center"/>
              <w:ind w:left="470"/>
              <w:spacing w:after="0"/>
              <w:rPr>
                <w:sz w:val="20"/>
                <w:szCs w:val="20"/>
                <w:color w:val="auto"/>
              </w:rPr>
            </w:pPr>
            <w:r>
              <w:rPr>
                <w:rFonts w:ascii="Arial" w:cs="Arial" w:eastAsia="Arial" w:hAnsi="Arial"/>
                <w:sz w:val="18"/>
                <w:szCs w:val="18"/>
                <w:color w:val="auto"/>
                <w:w w:val="95"/>
              </w:rPr>
              <w:t>Identification No.)</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Arial" w:cs="Arial" w:eastAsia="Arial" w:hAnsi="Arial"/>
                <w:sz w:val="18"/>
                <w:szCs w:val="18"/>
                <w:color w:val="auto"/>
                <w:w w:val="90"/>
              </w:rPr>
              <w:t>Common stock, $0.01 par value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jc w:val="both"/>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37" w:lineRule="exact"/>
        <w:rPr>
          <w:sz w:val="24"/>
          <w:szCs w:val="24"/>
          <w:color w:val="auto"/>
        </w:rPr>
      </w:pPr>
    </w:p>
    <w:p>
      <w:pPr>
        <w:jc w:val="both"/>
        <w:spacing w:after="0" w:line="26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3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8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5"/>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right="1640"/>
        <w:spacing w:after="0" w:line="30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October 19, 2023, the number of outstanding shares of the Registrant's common stock, $0.01 par value, was 41,414,420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3"/>
          </w:tcPr>
          <w:p>
            <w:pPr>
              <w:jc w:val="center"/>
              <w:ind w:right="3060"/>
              <w:spacing w:after="0"/>
              <w:rPr>
                <w:sz w:val="20"/>
                <w:szCs w:val="20"/>
                <w:color w:val="auto"/>
              </w:rPr>
            </w:pPr>
            <w:r>
              <w:rPr>
                <w:rFonts w:ascii="Arial" w:cs="Arial" w:eastAsia="Arial" w:hAnsi="Arial"/>
                <w:sz w:val="18"/>
                <w:szCs w:val="18"/>
                <w:b w:val="1"/>
                <w:bCs w:val="1"/>
                <w:color w:val="auto"/>
                <w:w w:val="93"/>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1"/>
          </w:tcPr>
          <w:p>
            <w:pPr>
              <w:jc w:val="center"/>
              <w:ind w:right="386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b w:val="1"/>
                <w:bCs w:val="1"/>
                <w:color w:val="0000FF"/>
              </w:rPr>
              <w:t>Part I.</w:t>
            </w:r>
          </w:p>
        </w:tc>
        <w:tc>
          <w:tcPr>
            <w:tcW w:w="7700" w:type="dxa"/>
            <w:vAlign w:val="bottom"/>
            <w:gridSpan w:val="23"/>
          </w:tcPr>
          <w:p>
            <w:pPr>
              <w:spacing w:after="0"/>
              <w:rPr>
                <w:sz w:val="20"/>
                <w:szCs w:val="20"/>
                <w:color w:val="auto"/>
              </w:rPr>
            </w:pPr>
            <w:r>
              <w:rPr>
                <w:rFonts w:ascii="Arial" w:cs="Arial" w:eastAsia="Arial" w:hAnsi="Arial"/>
                <w:sz w:val="18"/>
                <w:szCs w:val="18"/>
                <w:b w:val="1"/>
                <w:bCs w:val="1"/>
                <w:color w:val="0000FF"/>
              </w:rPr>
              <w:t>Financial Information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8"/>
          </w:tcPr>
          <w:p>
            <w:pPr>
              <w:spacing w:after="0"/>
              <w:rPr>
                <w:sz w:val="20"/>
                <w:szCs w:val="20"/>
                <w:color w:val="auto"/>
              </w:rPr>
            </w:pPr>
            <w:r>
              <w:rPr>
                <w:rFonts w:ascii="Arial" w:cs="Arial" w:eastAsia="Arial" w:hAnsi="Arial"/>
                <w:sz w:val="18"/>
                <w:szCs w:val="18"/>
                <w:color w:val="0000FF"/>
                <w:w w:val="89"/>
              </w:rPr>
              <w:t>Forward-Looking Statements</w:t>
            </w:r>
          </w:p>
        </w:tc>
        <w:tc>
          <w:tcPr>
            <w:tcW w:w="4540" w:type="dxa"/>
            <w:vAlign w:val="bottom"/>
            <w:gridSpan w:val="11"/>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6640" w:type="dxa"/>
            <w:vAlign w:val="bottom"/>
            <w:gridSpan w:val="19"/>
          </w:tcPr>
          <w:p>
            <w:pPr>
              <w:spacing w:after="0"/>
              <w:rPr>
                <w:sz w:val="20"/>
                <w:szCs w:val="20"/>
                <w:color w:val="auto"/>
              </w:rPr>
            </w:pPr>
            <w:r>
              <w:rPr>
                <w:rFonts w:ascii="Arial" w:cs="Arial" w:eastAsia="Arial" w:hAnsi="Arial"/>
                <w:sz w:val="18"/>
                <w:szCs w:val="18"/>
                <w:color w:val="0000FF"/>
              </w:rPr>
              <w:t>Consolidated Financial Statements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rPr>
              <w:t>Consolidated Balance Sheet as of September 30, 2023 and December 31, 2022</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w w:val="93"/>
              </w:rPr>
              <w:t>Consolidated Statement of Income for the Three and Nine Months Ended September 30,</w:t>
            </w: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86"/>
              </w:rPr>
              <w:t>2023 and 2022</w:t>
            </w:r>
          </w:p>
        </w:tc>
        <w:tc>
          <w:tcPr>
            <w:tcW w:w="5280" w:type="dxa"/>
            <w:vAlign w:val="bottom"/>
            <w:tcBorders>
              <w:top w:val="single" w:sz="8" w:color="0000FF"/>
            </w:tcBorders>
            <w:gridSpan w:val="11"/>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w w:val="92"/>
              </w:rPr>
              <w:t>Consolidated Statement of Comprehensive Income for the Three and Nine Months Ended</w:t>
            </w: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84"/>
              </w:rPr>
              <w:t>September 30, 2023 and 2022</w:t>
            </w:r>
          </w:p>
        </w:tc>
        <w:tc>
          <w:tcPr>
            <w:tcW w:w="4340" w:type="dxa"/>
            <w:vAlign w:val="bottom"/>
            <w:tcBorders>
              <w:top w:val="single" w:sz="8" w:color="0000FF"/>
            </w:tcBorders>
            <w:gridSpan w:val="10"/>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w w:val="94"/>
              </w:rPr>
              <w:t>Consolidated Statement of Cash Flows for the Nine Months Ended September 30, 2023</w:t>
            </w: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8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and 2022</w:t>
            </w:r>
          </w:p>
        </w:tc>
        <w:tc>
          <w:tcPr>
            <w:tcW w:w="140" w:type="dxa"/>
            <w:vAlign w:val="bottom"/>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w w:val="95"/>
              </w:rPr>
              <w:t>Consolidated Statement of Shareholders' Equity for the Nine Months Ended September</w:t>
            </w: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83"/>
              </w:rPr>
              <w:t>30, 2023 and 2022</w:t>
            </w:r>
          </w:p>
        </w:tc>
        <w:tc>
          <w:tcPr>
            <w:tcW w:w="4960" w:type="dxa"/>
            <w:vAlign w:val="bottom"/>
            <w:tcBorders>
              <w:top w:val="single" w:sz="8" w:color="0000FF"/>
            </w:tcBorders>
            <w:gridSpan w:val="8"/>
          </w:tcPr>
          <w:p>
            <w:pPr>
              <w:spacing w:after="0"/>
              <w:rPr>
                <w:sz w:val="14"/>
                <w:szCs w:val="14"/>
                <w:color w:val="auto"/>
              </w:rPr>
            </w:pPr>
          </w:p>
        </w:tc>
        <w:tc>
          <w:tcPr>
            <w:tcW w:w="16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1"/>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3500" w:type="dxa"/>
            <w:vAlign w:val="bottom"/>
            <w:gridSpan w:val="8"/>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w w:val="93"/>
              </w:rPr>
              <w:t>Management's Discussion and Analysis of Financial Condition and Results of Operations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1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664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w:t>
            </w:r>
          </w:p>
        </w:tc>
        <w:tc>
          <w:tcPr>
            <w:tcW w:w="500" w:type="dxa"/>
            <w:vAlign w:val="bottom"/>
          </w:tcPr>
          <w:p>
            <w:pPr>
              <w:spacing w:after="0"/>
              <w:rPr>
                <w:sz w:val="24"/>
                <w:szCs w:val="24"/>
                <w:color w:val="auto"/>
              </w:rPr>
            </w:pPr>
          </w:p>
        </w:tc>
        <w:tc>
          <w:tcPr>
            <w:tcW w:w="1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3"/>
              </w:rPr>
              <w:t>Other Information</w:t>
            </w:r>
          </w:p>
        </w:tc>
        <w:tc>
          <w:tcPr>
            <w:tcW w:w="6260" w:type="dxa"/>
            <w:vAlign w:val="bottom"/>
            <w:gridSpan w:val="18"/>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664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9"/>
              </w:rPr>
              <w:t>Item 1A.</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vMerge w:val="restart"/>
          </w:tcPr>
          <w:p>
            <w:pPr>
              <w:spacing w:after="0"/>
              <w:rPr>
                <w:sz w:val="20"/>
                <w:szCs w:val="20"/>
                <w:color w:val="auto"/>
              </w:rPr>
            </w:pPr>
            <w:r>
              <w:rPr>
                <w:rFonts w:ascii="Arial" w:cs="Arial" w:eastAsia="Arial" w:hAnsi="Arial"/>
                <w:sz w:val="18"/>
                <w:szCs w:val="18"/>
                <w:color w:val="0000FF"/>
              </w:rPr>
              <w:t>Item 2.</w:t>
            </w:r>
          </w:p>
        </w:tc>
        <w:tc>
          <w:tcPr>
            <w:tcW w:w="420" w:type="dxa"/>
            <w:vAlign w:val="bottom"/>
            <w:gridSpan w:val="2"/>
            <w:vMerge w:val="restart"/>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w w:val="92"/>
              </w:rPr>
              <w:t>Unregistered Sales of Equity Securities, Use of Proceeds, and Issuer Purchases of Equity</w:t>
            </w:r>
          </w:p>
        </w:tc>
        <w:tc>
          <w:tcPr>
            <w:tcW w:w="38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42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Securities</w:t>
            </w:r>
          </w:p>
        </w:tc>
        <w:tc>
          <w:tcPr>
            <w:tcW w:w="220" w:type="dxa"/>
            <w:vAlign w:val="bottom"/>
            <w:gridSpan w:val="2"/>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664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420" w:type="dxa"/>
            <w:vAlign w:val="bottom"/>
            <w:gridSpan w:val="2"/>
          </w:tcPr>
          <w:p>
            <w:pPr>
              <w:spacing w:after="0"/>
              <w:rPr>
                <w:sz w:val="24"/>
                <w:szCs w:val="24"/>
                <w:color w:val="auto"/>
              </w:rPr>
            </w:pPr>
          </w:p>
        </w:tc>
        <w:tc>
          <w:tcPr>
            <w:tcW w:w="664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534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664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0000FF"/>
              </w:rPr>
              <w:t>Signature</w:t>
            </w:r>
            <w:r>
              <w:rPr>
                <w:rFonts w:ascii="Arial" w:cs="Arial" w:eastAsia="Arial" w:hAnsi="Arial"/>
                <w:sz w:val="18"/>
                <w:szCs w:val="18"/>
                <w:color w:val="0033CC"/>
              </w:rPr>
              <w: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general economic and currency conditions; the severity and duration of the ongoing coronavirus (“COVID-19”) pandemic;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rising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such as the ongoing coronavirus pandemic;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2022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34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7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r>
      <w:tr>
        <w:trPr>
          <w:trHeight w:val="226"/>
        </w:trPr>
        <w:tc>
          <w:tcPr>
            <w:tcW w:w="778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112,090</w:t>
            </w:r>
          </w:p>
        </w:tc>
      </w:tr>
      <w:tr>
        <w:trPr>
          <w:trHeight w:val="176"/>
        </w:trPr>
        <w:tc>
          <w:tcPr>
            <w:tcW w:w="7780" w:type="dxa"/>
            <w:vAlign w:val="bottom"/>
          </w:tcPr>
          <w:p>
            <w:pPr>
              <w:ind w:left="200"/>
              <w:spacing w:after="0" w:line="176" w:lineRule="exact"/>
              <w:rPr>
                <w:sz w:val="20"/>
                <w:szCs w:val="20"/>
                <w:color w:val="auto"/>
              </w:rPr>
            </w:pPr>
            <w:r>
              <w:rPr>
                <w:rFonts w:ascii="Arial" w:cs="Arial" w:eastAsia="Arial" w:hAnsi="Arial"/>
                <w:sz w:val="18"/>
                <w:szCs w:val="18"/>
                <w:color w:val="auto"/>
              </w:rPr>
              <w:t>Receivables, net of reserves of $2.7 million and $1.7 million as of September 30, 2023 and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December 31, 2022, respectively</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165,820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132,370</w:t>
            </w: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163,360</w:t>
            </w:r>
          </w:p>
        </w:tc>
      </w:tr>
      <w:tr>
        <w:trPr>
          <w:trHeight w:val="229"/>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14,840</w:t>
            </w: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422,660</w:t>
            </w: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316,690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277,750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47,280</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358,780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339,810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188,110</w:t>
            </w: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9,400</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w:t>
            </w: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85,210</w:t>
            </w: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46,660</w:t>
            </w: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liabilities,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w:t>
            </w: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140,150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394,730</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41,010</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20,940</w:t>
            </w: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56,340</w:t>
            </w: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653,170</w:t>
            </w:r>
          </w:p>
        </w:tc>
      </w:tr>
      <w:tr>
        <w:trPr>
          <w:trHeight w:val="155"/>
        </w:trPr>
        <w:tc>
          <w:tcPr>
            <w:tcW w:w="7780" w:type="dxa"/>
            <w:vAlign w:val="bottom"/>
          </w:tcPr>
          <w:p>
            <w:pPr>
              <w:spacing w:after="0" w:line="156" w:lineRule="exact"/>
              <w:rPr>
                <w:sz w:val="20"/>
                <w:szCs w:val="20"/>
                <w:color w:val="auto"/>
              </w:rPr>
            </w:pPr>
            <w:r>
              <w:rPr>
                <w:rFonts w:ascii="Arial" w:cs="Arial" w:eastAsia="Arial" w:hAnsi="Arial"/>
                <w:sz w:val="18"/>
                <w:szCs w:val="18"/>
                <w:color w:val="auto"/>
              </w:rPr>
              <w:t>Preferred stock, $0.01 par: Authorized 100,000,000 shares;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43"/>
        </w:trPr>
        <w:tc>
          <w:tcPr>
            <w:tcW w:w="7780" w:type="dxa"/>
            <w:vAlign w:val="bottom"/>
          </w:tcPr>
          <w:p>
            <w:pPr>
              <w:spacing w:after="0"/>
              <w:rPr>
                <w:sz w:val="20"/>
                <w:szCs w:val="20"/>
                <w:color w:val="auto"/>
              </w:rPr>
            </w:pPr>
            <w:r>
              <w:rPr>
                <w:rFonts w:ascii="Arial" w:cs="Arial" w:eastAsia="Arial" w:hAnsi="Arial"/>
                <w:sz w:val="18"/>
                <w:szCs w:val="18"/>
                <w:color w:val="auto"/>
              </w:rPr>
              <w:t>Issued and outstanding: None</w:t>
            </w:r>
          </w:p>
        </w:tc>
        <w:tc>
          <w:tcPr>
            <w:tcW w:w="2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7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stock, $0.01 par: Authorized 400,000,000 shares;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0"/>
              </w:rPr>
              <w:t>Issued and outstanding: 41,418,417 shares at September 30, 2023 and 41,724,762 shares at December 31,</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684,440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696,160</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w:t>
            </w: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651,830</w:t>
            </w: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1,305,000</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680,520</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(517,800)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(104,410)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(94,480)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dispositions of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72,780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63,120</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tcPr>
          <w:p>
            <w:pPr>
              <w:ind w:left="460"/>
              <w:spacing w:after="0" w:line="203" w:lineRule="exact"/>
              <w:rPr>
                <w:sz w:val="20"/>
                <w:szCs w:val="20"/>
                <w:color w:val="auto"/>
              </w:rPr>
            </w:pPr>
            <w:r>
              <w:rPr>
                <w:rFonts w:ascii="Arial" w:cs="Arial" w:eastAsia="Arial" w:hAnsi="Arial"/>
                <w:sz w:val="18"/>
                <w:szCs w:val="18"/>
                <w:color w:val="auto"/>
              </w:rPr>
              <w:t>Weighted average common shares—basic</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41,425,208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41,995,027</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41,477,095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42,363,919</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46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Weighted average common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41,673,381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42,181,440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41,706,867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42,590,777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09"/>
        </w:trPr>
        <w:tc>
          <w:tcPr>
            <w:tcW w:w="5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47,330</w:t>
            </w: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plans (Note 16)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(32,950)</w:t>
            </w:r>
          </w:p>
        </w:tc>
      </w:tr>
      <w:tr>
        <w:trPr>
          <w:trHeight w:val="23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9)</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18,740</w:t>
            </w:r>
          </w:p>
        </w:tc>
      </w:tr>
      <w:tr>
        <w:trPr>
          <w:trHeight w:val="223"/>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(13,780)</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32,420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47,330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 net of acquisition impact: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Gain on dispositions of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Increase in receivables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(14,830)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(increase) in inventories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in prepaid expenses and other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 accounts payable and accrued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 net of acquisition impact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(77,340)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Cross-currency swap terminations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proceeds from disposition of property and equipment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to purchase common stock</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for the period</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At beginning of period</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140,740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80,340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460"/>
              <w:spacing w:after="0"/>
              <w:rPr>
                <w:sz w:val="20"/>
                <w:szCs w:val="20"/>
                <w:color w:val="auto"/>
              </w:rPr>
            </w:pPr>
            <w:r>
              <w:rPr>
                <w:rFonts w:ascii="Arial" w:cs="Arial" w:eastAsia="Arial" w:hAnsi="Arial"/>
                <w:sz w:val="16"/>
                <w:szCs w:val="16"/>
                <w:color w:val="auto"/>
              </w:rPr>
              <w:t>Cash paid for taxes</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2022</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696,160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March 31,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684,730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648,760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16,490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16,490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September 30, 2023</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684,440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674,990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Income (Loss)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630,850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March 31,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723,540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633,830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630,780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13,300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Balances, September 30,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702,670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(54,970)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634,570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The accompanying consolidated financial statements and notes thereto should be read in conjunction with the Company's 2022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86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Markets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r>
      <w:tr>
        <w:trPr>
          <w:trHeight w:val="226"/>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287,730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332,420</w:t>
            </w:r>
          </w:p>
        </w:tc>
      </w:tr>
      <w:tr>
        <w:trPr>
          <w:trHeight w:val="23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Aerospace &amp; Defense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177,370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137,330</w:t>
            </w:r>
          </w:p>
        </w:tc>
      </w:tr>
      <w:tr>
        <w:trPr>
          <w:trHeight w:val="23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210,770</w:t>
            </w:r>
          </w:p>
        </w:tc>
      </w:tr>
      <w:tr>
        <w:trPr>
          <w:trHeight w:val="223"/>
        </w:trPr>
        <w:tc>
          <w:tcPr>
            <w:tcW w:w="4880" w:type="dxa"/>
            <w:vAlign w:val="bottom"/>
            <w:gridSpan w:val="2"/>
          </w:tcPr>
          <w:p>
            <w:pPr>
              <w:ind w:left="2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680,520</w:t>
            </w: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Realignment Actions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Realignment Actions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During the nine months ended September 30, 2023, the Company incurred realignment charges in its Packaging segment, related to the closure and consolidation of two manufacturing facilities located in China into one new, larger facility in the Haining region, and for costs incurred to close and consolidate its Rohnert Park, California, manufacturing facility operations into other existing U.S. production locations. In connection with these actions, the Company recorded pre-tax realignment charges of $2.7 million and $6.4 million during the three and nine months ended September 30, 2023, respectively, of which $0.8 million and $2.1 million during the three and nine months ended September 30, 2023, respectively, were for employee-related costs, $0.8 million during the three and nine months ended September 30, 2023 was for inventory write-downs, $1.1 million and $1.3 million during the three and nine months ended September 30, 2023, respectively, were for other facility move and consolidation costs, and $2.2 million during the nine months ended September 30, 2023 was related to charges to accelerate the depreciation of certain fixed assets. For the three months ended September 30, 2023, $2.4 million and $0.3 million of these charges were included in cost of sales and selling, general and administrative expenses, respectively, in the accompanying consolidated statement of income. For the nine months ended September 30, 2023, $5.7 million and $0.7 million of these charges were included in cost of sales and selling, general and administrative expenses, respectively, in the accompanying consolidated statement of income.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Realignment Actions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September 30, 2022, the Company incurred realignment charges in its Packaging segment related to adjusting its labor force in facilities with lower demand, finalizing its Indianapolis, Indiana, facility consolidation, costs incurred to reorganize its benefit plans in the United Kingdom, and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$0.6 million and $4.3 million during the three and nine months ended September 30, 2022, respectively, of which $0.4 million and $2.5 million, respectively, were related to facility move and consolidation costs and $0.2 million and $1.8 million, respectively, were for employee-related costs. For the three and nine months ended September 30, 2022, $0.4 million and $2.6 million, respectively, of these charges were included in cost of sales and $0.2 million and $1.7 million, respectively, of these charges were included in selling, general and administrative expenses in the accompanying consolidated statement of income.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Acquisitions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21, 2023, the Company acquired the operating net assets of Weldmac Manufacturing Company (“Weldmac”) for a purchase price of $34.0 million, with additional contingent consideration ranging from zero to $10 million based on achievement of earnings targets, as defined in the purchase agreement. The fair value of assets acquired and liabilities assumed included $23.7 million of property and equipment, $20.3 million of net working capital and $10.0 million of contingent consideration liability, with such estimate representing the Company's best estimate of fair value of contingent consideration based on Level 3 inputs under the fair value hierarchy, as defined. Located in El Cajon, California, and reported in the Company's Aerospace segment, Weldmac is a designer and manufacturer of complex metal fabricated components and assemblies for the aerospace, defense and space launch end markets and historically generated $33 million in annual revenue. On July 10, 2023, the Company made a cash payment of $5.5 million as additional consideration for the purchase of Weldmac based on achievement of earnings targets, as defined in the purchase agreement. The remaining possible contingent consideration ranges from zero to $4.5 million, based on achievement of 2023 earnings targets, as defined in the purchase agreement. At September 30, 2023, the Company believes it is probable the maximum contingent consideration will be earned.</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28, 2022, the Company acquired Intertech Plastics LLC and related companies (collectively, "Intertech") for a purchase price of $64.1 million, net of cash acquired. Intertech is a manufacturer of custom injection molded products used in medical applications, as well as products and assemblies for consumer and industrial applications. The fair value of assets acquired and liabilities assumed included $32.4 million of goodwill, $13.5 million of intangible assets, $12.2 million of property and equipment and $6.0 million of net working capital. Intertech, which is reported in the Company's Packaging segment, has two manufacturing facilities located in the Denver, Colorado, area and historically generated $32 million in annual revenue.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for the nine months ended September 30, 2023 are summarized as follows (dollars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339,810</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20,420</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Balance, September 30, 2023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282,530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69,690</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358,780</w:t>
            </w:r>
          </w:p>
        </w:tc>
      </w:tr>
      <w:tr>
        <w:trPr>
          <w:trHeight w:val="21"/>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660"/>
              <w:spacing w:after="0"/>
              <w:rPr>
                <w:sz w:val="20"/>
                <w:szCs w:val="20"/>
                <w:color w:val="auto"/>
              </w:rPr>
            </w:pPr>
            <w:r>
              <w:rPr>
                <w:rFonts w:ascii="Arial" w:cs="Arial" w:eastAsia="Arial" w:hAnsi="Arial"/>
                <w:sz w:val="16"/>
                <w:szCs w:val="16"/>
                <w:b w:val="1"/>
                <w:bCs w:val="1"/>
                <w:color w:val="auto"/>
              </w:rPr>
              <w:t>As of September 30, 2023</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9"/>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13"/>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139,730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(86,540)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131,660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Arial" w:cs="Arial" w:eastAsia="Arial" w:hAnsi="Arial"/>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269,370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261,310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(154,380)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(79,320)</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431,800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421,810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322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60" w:type="dxa"/>
            <w:vAlign w:val="bottom"/>
            <w:gridSpan w:val="4"/>
          </w:tcPr>
          <w:p>
            <w:pPr>
              <w:jc w:val="right"/>
              <w:ind w:right="27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48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r>
      <w:tr>
        <w:trPr>
          <w:trHeight w:val="22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175"/>
        </w:trPr>
        <w:tc>
          <w:tcPr>
            <w:tcW w:w="4880" w:type="dxa"/>
            <w:vAlign w:val="bottom"/>
          </w:tcPr>
          <w:p>
            <w:pPr>
              <w:ind w:left="20"/>
              <w:spacing w:after="0" w:line="176" w:lineRule="exact"/>
              <w:rPr>
                <w:sz w:val="20"/>
                <w:szCs w:val="20"/>
                <w:color w:val="auto"/>
              </w:rPr>
            </w:pPr>
            <w:r>
              <w:rPr>
                <w:rFonts w:ascii="Arial" w:cs="Arial" w:eastAsia="Arial" w:hAnsi="Arial"/>
                <w:sz w:val="18"/>
                <w:szCs w:val="18"/>
                <w:color w:val="auto"/>
              </w:rPr>
              <w:t>Customer relationships, included in selling, general and</w:t>
            </w: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3,810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12,090</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6"/>
                <w:szCs w:val="16"/>
                <w:color w:val="auto"/>
              </w:rPr>
            </w:pPr>
          </w:p>
        </w:tc>
        <w:tc>
          <w:tcPr>
            <w:tcW w:w="134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38,090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163,360</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6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24"/>
                <w:szCs w:val="24"/>
                <w:color w:val="auto"/>
              </w:rPr>
            </w:pPr>
          </w:p>
        </w:tc>
        <w:tc>
          <w:tcPr>
            <w:tcW w:w="134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2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3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98,760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90,910</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612,120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567,610</w:t>
            </w: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289,860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w w:val="93"/>
              </w:rPr>
              <w:t>Three months ended September 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273"/>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0" w:type="dxa"/>
            <w:vAlign w:val="bottom"/>
            <w:tcBorders>
              <w:right w:val="single" w:sz="8" w:color="CCEEFF"/>
            </w:tcBorders>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included in cost of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60" w:type="dxa"/>
            <w:vAlign w:val="bottom"/>
          </w:tcPr>
          <w:p>
            <w:pPr>
              <w:spacing w:after="0" w:line="176" w:lineRule="exact"/>
              <w:rPr>
                <w:sz w:val="20"/>
                <w:szCs w:val="20"/>
                <w:color w:val="auto"/>
              </w:rPr>
            </w:pPr>
            <w:r>
              <w:rPr>
                <w:rFonts w:ascii="Arial" w:cs="Arial" w:eastAsia="Arial" w:hAnsi="Arial"/>
                <w:sz w:val="18"/>
                <w:szCs w:val="18"/>
                <w:color w:val="auto"/>
              </w:rPr>
              <w:t>Depreciation expense, included in selling, general and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administrative expenses</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25,340</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520" w:type="dxa"/>
            <w:vAlign w:val="bottom"/>
            <w:gridSpan w:val="5"/>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4.125% Senior Notes due April 2029</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395,420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April 15, 2024, the Company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Senior Notes at a redemption price equal to 100% of the principal amount thereof, plus accrued and unpaid interest, if any, to the redemption date, plus a "make whole" premium. On or after April 15, 2024, 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40" w:type="dxa"/>
            <w:vAlign w:val="bottom"/>
          </w:tcPr>
          <w:p>
            <w:pPr>
              <w:jc w:val="right"/>
              <w:ind w:right="612"/>
              <w:spacing w:after="0"/>
              <w:rPr>
                <w:sz w:val="20"/>
                <w:szCs w:val="20"/>
                <w:color w:val="auto"/>
              </w:rPr>
            </w:pPr>
            <w:r>
              <w:rPr>
                <w:rFonts w:ascii="Arial" w:cs="Arial" w:eastAsia="Arial" w:hAnsi="Arial"/>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102.063 %</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3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("SONIA") and Euro borrowings to the Euro InterBank Offered Rate (“EURIBOR”), both plus a spread of 1.75%, and U.S. dollar borrowings subject to the Secured Overnight Financing Rate ("SOFR") plus a spread of 1.85%. The interest rate spread is based upon the leverage ratio, as defined, as of the most recent determination date. The Company's revolving credit facility allows for the issuance of letters of credit, not to exceed $40.0 million in aggregate.</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2023, the Company had no amounts outstanding under its revolving credit facility and had $293.7 million potentially available after giving effect to $6.3 million of letters of credit issued and outstanding. At December 31, 2022, the Company had no amounts outstanding under its revolving credit facility and had $293.9 million potentially available after giving effect to $6.1 million of letters of credit issued and outstanding. After consideration of leverage restrictions contained in the Credit Agreement, as of September 30, 2023, the Company had $277.7 million of borrowing capacity available for general corporate purposes. The Company's borrowing capacity was not reduced by leverage restrictions contained in the Credit Agreement as of December 31, 2022.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2023, the Company was in compliance with its financial covenants contained in the Credit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Revolving Loan Facility</w:t>
      </w:r>
    </w:p>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May 2021, the Company, through one of its non-U.S. subsidiaries, entered into a revolving loan facility with a borrowing capacity of $4 million. The facility is guaranteed by TriMas Corporation. There were no borrowings outstanding on this loan facility as of September 30, 2023 and December 31,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were determined based on Level 2 inputs under the fair value hierarchy, as defined. The carrying amounts and fair values were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80" w:type="dxa"/>
            <w:vAlign w:val="bottom"/>
            <w:gridSpan w:val="5"/>
          </w:tcPr>
          <w:p>
            <w:pPr>
              <w:ind w:left="960"/>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Pr>
          <w:p>
            <w:pPr>
              <w:spacing w:after="0"/>
              <w:rPr>
                <w:sz w:val="18"/>
                <w:szCs w:val="18"/>
                <w:color w:val="auto"/>
              </w:rPr>
            </w:pPr>
          </w:p>
        </w:tc>
        <w:tc>
          <w:tcPr>
            <w:tcW w:w="348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3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4.125% 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July 2022, the Company entered into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The agreements have notional amounts totaling $150.0 million, which decline to $75.0 million over contract periods ending on October 15, 2023 and April 15, 2024. Under the terms of the agreements, the Company is to receive net interest payments at fixed rates of approximately 2.4% to 2.6% of the notional amounts. At inception, the cross-currency swaps were designated as net investment hedges.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2022, immediately prior to entering into the new cross-currency swap agreements, the Company terminated its existing cross-currency swap agreements, de-designating the swaps as net investment hedges and receiving $26.2 million of cash. The cross-currency swap agreements had notional amounts totaling $250.0 million, which declined to $25.0 million over various contract periods ending between October 15, 2023 and October 15, 2027. Under the terms of the agreements, the Company was to receive net interest payments at fixed rates ranging from approximately 0.8% to 2.9% of the notional amounts.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December 31, 2022, the fair value carrying amount of the Company's derivatives designated as hedging instruments are recorded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158"/>
        </w:trPr>
        <w:tc>
          <w:tcPr>
            <w:tcW w:w="44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Balance Sheet Caption</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3"/>
                <w:szCs w:val="13"/>
                <w:color w:val="auto"/>
              </w:rPr>
            </w:pPr>
          </w:p>
        </w:tc>
        <w:tc>
          <w:tcPr>
            <w:tcW w:w="1180" w:type="dxa"/>
            <w:vAlign w:val="bottom"/>
          </w:tcPr>
          <w:p>
            <w:pPr>
              <w:jc w:val="center"/>
              <w:ind w:right="75"/>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September 30, 2023 and December 31, 2022, and the amounts reclassified from AOCI into earnings for the three and nine months ended September 30, 2023 and 2022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left="660"/>
        <w:spacing w:after="0"/>
        <w:rPr>
          <w:sz w:val="20"/>
          <w:szCs w:val="20"/>
          <w:color w:val="auto"/>
        </w:rPr>
      </w:pPr>
      <w:r>
        <w:rPr>
          <w:rFonts w:ascii="Arial" w:cs="Arial" w:eastAsia="Arial" w:hAnsi="Arial"/>
          <w:sz w:val="14"/>
          <w:szCs w:val="14"/>
          <w:b w:val="1"/>
          <w:bCs w:val="1"/>
          <w:color w:val="auto"/>
        </w:rPr>
        <w:t>Amount of Income Recognized</w:t>
      </w:r>
    </w:p>
    <w:p>
      <w:pPr>
        <w:jc w:val="center"/>
        <w:ind w:left="700"/>
        <w:spacing w:after="0" w:line="236" w:lineRule="auto"/>
        <w:rPr>
          <w:sz w:val="20"/>
          <w:szCs w:val="20"/>
          <w:color w:val="auto"/>
        </w:rPr>
      </w:pPr>
      <w:r>
        <w:rPr>
          <w:rFonts w:ascii="Arial" w:cs="Arial" w:eastAsia="Arial" w:hAnsi="Arial"/>
          <w:sz w:val="16"/>
          <w:szCs w:val="16"/>
          <w:b w:val="1"/>
          <w:bCs w:val="1"/>
          <w:color w:val="auto"/>
        </w:rPr>
        <w:t>in AOCI on Derivatives</w:t>
      </w:r>
    </w:p>
    <w:p>
      <w:pPr>
        <w:jc w:val="center"/>
        <w:ind w:left="700"/>
        <w:spacing w:after="0"/>
        <w:rPr>
          <w:sz w:val="20"/>
          <w:szCs w:val="20"/>
          <w:color w:val="auto"/>
        </w:rPr>
      </w:pPr>
      <w:r>
        <w:rPr>
          <w:rFonts w:ascii="Arial" w:cs="Arial" w:eastAsia="Arial" w:hAnsi="Arial"/>
          <w:sz w:val="15"/>
          <w:szCs w:val="15"/>
          <w:b w:val="1"/>
          <w:bCs w:val="1"/>
          <w:color w:val="auto"/>
        </w:rPr>
        <w:t>(Effective Portion, net of tax)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Amount of Income (Loss) Reclassified</w:t>
      </w:r>
    </w:p>
    <w:p>
      <w:pPr>
        <w:jc w:val="center"/>
        <w:ind w:right="240"/>
        <w:spacing w:after="0"/>
        <w:rPr>
          <w:sz w:val="20"/>
          <w:szCs w:val="20"/>
          <w:color w:val="auto"/>
        </w:rPr>
      </w:pPr>
      <w:r>
        <w:rPr>
          <w:rFonts w:ascii="Arial" w:cs="Arial" w:eastAsia="Arial" w:hAnsi="Arial"/>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8890</wp:posOffset>
            </wp:positionV>
            <wp:extent cx="25031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1"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Nine months ended</w:t>
      </w:r>
    </w:p>
    <w:p>
      <w:pPr>
        <w:ind w:left="220"/>
        <w:spacing w:after="0"/>
        <w:tabs>
          <w:tab w:leader="none" w:pos="2220" w:val="left"/>
        </w:tabs>
        <w:rPr>
          <w:sz w:val="20"/>
          <w:szCs w:val="20"/>
          <w:color w:val="auto"/>
        </w:rPr>
      </w:pPr>
      <w:r>
        <w:rPr>
          <w:rFonts w:ascii="Arial" w:cs="Arial" w:eastAsia="Arial" w:hAnsi="Arial"/>
          <w:sz w:val="16"/>
          <w:szCs w:val="16"/>
          <w:b w:val="1"/>
          <w:bCs w:val="1"/>
          <w:color w:val="auto"/>
        </w:rPr>
        <w:t>September 30,</w:t>
      </w:r>
      <w:r>
        <w:rPr>
          <w:sz w:val="20"/>
          <w:szCs w:val="20"/>
          <w:color w:val="auto"/>
        </w:rPr>
        <w:tab/>
      </w:r>
      <w:r>
        <w:rPr>
          <w:rFonts w:ascii="Arial" w:cs="Arial" w:eastAsia="Arial" w:hAnsi="Arial"/>
          <w:sz w:val="14"/>
          <w:szCs w:val="14"/>
          <w:b w:val="1"/>
          <w:bCs w:val="1"/>
          <w:color w:val="auto"/>
        </w:rPr>
        <w:t>September 30,</w:t>
      </w:r>
    </w:p>
    <w:p>
      <w:pPr>
        <w:spacing w:after="0" w:line="8" w:lineRule="exact"/>
        <w:rPr>
          <w:sz w:val="20"/>
          <w:szCs w:val="20"/>
          <w:color w:val="auto"/>
        </w:rPr>
      </w:pPr>
    </w:p>
    <w:p>
      <w:pPr>
        <w:sectPr>
          <w:pgSz w:w="11900" w:h="16838" w:orient="portrait"/>
          <w:cols w:equalWidth="0" w:num="2">
            <w:col w:w="6820" w:space="720"/>
            <w:col w:w="37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As of</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center"/>
              <w:ind w:right="57"/>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vMerge w:val="restart"/>
          </w:tcPr>
          <w:p>
            <w:pPr>
              <w:spacing w:after="0"/>
              <w:rPr>
                <w:sz w:val="12"/>
                <w:szCs w:val="12"/>
                <w:color w:val="auto"/>
              </w:rPr>
            </w:pPr>
          </w:p>
        </w:tc>
        <w:tc>
          <w:tcPr>
            <w:tcW w:w="206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1"/>
              </w:rPr>
              <w:t>Location of Income</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6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Reclassified from AOCI</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0"/>
              </w:rPr>
              <w:t>December 31,</w:t>
            </w:r>
          </w:p>
        </w:tc>
        <w:tc>
          <w:tcPr>
            <w:tcW w:w="226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into Earnings (Effective</w:t>
            </w:r>
          </w:p>
        </w:tc>
        <w:tc>
          <w:tcPr>
            <w:tcW w:w="70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7"/>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2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Portion)</w:t>
            </w: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Cross-currency swaps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tcPr>
          <w:p>
            <w:pPr>
              <w:spacing w:after="0"/>
              <w:rPr>
                <w:sz w:val="20"/>
                <w:szCs w:val="20"/>
                <w:color w:val="auto"/>
              </w:rPr>
            </w:pPr>
          </w:p>
        </w:tc>
        <w:tc>
          <w:tcPr>
            <w:tcW w:w="2260" w:type="dxa"/>
            <w:vAlign w:val="bottom"/>
            <w:gridSpan w:val="3"/>
          </w:tcPr>
          <w:p>
            <w:pPr>
              <w:ind w:left="20"/>
              <w:spacing w:after="0"/>
              <w:rPr>
                <w:sz w:val="20"/>
                <w:szCs w:val="20"/>
                <w:color w:val="auto"/>
              </w:rPr>
            </w:pPr>
            <w:r>
              <w:rPr>
                <w:rFonts w:ascii="Arial" w:cs="Arial" w:eastAsia="Arial" w:hAnsi="Arial"/>
                <w:sz w:val="16"/>
                <w:szCs w:val="16"/>
                <w:color w:val="auto"/>
                <w:w w:val="98"/>
              </w:rPr>
              <w:t xml:space="preserve">Other income (expense), net   </w:t>
            </w:r>
            <w:r>
              <w:rPr>
                <w:rFonts w:ascii="Arial" w:cs="Arial" w:eastAsia="Arial" w:hAnsi="Arial"/>
                <w:sz w:val="17"/>
                <w:szCs w:val="17"/>
                <w:color w:val="auto"/>
                <w:w w:val="98"/>
              </w:rPr>
              <w:t>$</w:t>
            </w: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6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2023, the Company was party to foreign currency exchange forward contracts to economically hedge changes in foreign currency rates with notional amounts of $183.3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December 31, 2023. These contracts are not designated as hedge instruments; therefore, gains and losses on these contracts are recognized each period directly into the consolidated statement of income.</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221"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Amount of Income Recognized in</w:t>
      </w:r>
    </w:p>
    <w:p>
      <w:pPr>
        <w:ind w:left="8240"/>
        <w:spacing w:after="0"/>
        <w:rPr>
          <w:sz w:val="20"/>
          <w:szCs w:val="20"/>
          <w:color w:val="auto"/>
        </w:rPr>
      </w:pPr>
      <w:r>
        <w:rPr>
          <w:rFonts w:ascii="Arial" w:cs="Arial" w:eastAsia="Arial" w:hAnsi="Arial"/>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5"/>
          </w:tcPr>
          <w:p>
            <w:pPr>
              <w:jc w:val="right"/>
              <w:ind w:right="460"/>
              <w:spacing w:after="0" w:line="161" w:lineRule="exact"/>
              <w:rPr>
                <w:sz w:val="20"/>
                <w:szCs w:val="20"/>
                <w:color w:val="auto"/>
              </w:rPr>
            </w:pPr>
            <w:r>
              <w:rPr>
                <w:rFonts w:ascii="Arial" w:cs="Arial" w:eastAsia="Arial" w:hAnsi="Arial"/>
                <w:sz w:val="16"/>
                <w:szCs w:val="16"/>
                <w:b w:val="1"/>
                <w:bCs w:val="1"/>
                <w:color w:val="auto"/>
                <w:w w:val="96"/>
              </w:rPr>
              <w:t>Three months ended</w:t>
            </w:r>
          </w:p>
        </w:tc>
        <w:tc>
          <w:tcPr>
            <w:tcW w:w="22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center"/>
              <w:ind w:right="135"/>
              <w:spacing w:after="0" w:line="161" w:lineRule="exact"/>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900" w:type="dxa"/>
            <w:vAlign w:val="bottom"/>
            <w:gridSpan w:val="4"/>
          </w:tcPr>
          <w:p>
            <w:pPr>
              <w:jc w:val="center"/>
              <w:ind w:right="135"/>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292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1"/>
              </w:rPr>
              <w:t>Location of Income</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292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8"/>
              </w:rPr>
              <w:t>Recognized in</w:t>
            </w:r>
          </w:p>
        </w:tc>
        <w:tc>
          <w:tcPr>
            <w:tcW w:w="22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2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Earnings on Derivatives</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6"/>
                <w:szCs w:val="16"/>
                <w:color w:val="auto"/>
              </w:rPr>
              <w:t>Foreign exchange contracts</w:t>
            </w:r>
          </w:p>
        </w:tc>
        <w:tc>
          <w:tcPr>
            <w:tcW w:w="292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September 30, 2023 and December 31, 2022 are shown below (dollars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Quoted Prices in</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3"/>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2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the Company's leases are shown below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26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2023</w:t>
            </w:r>
          </w:p>
        </w:tc>
        <w:tc>
          <w:tcPr>
            <w:tcW w:w="280" w:type="dxa"/>
            <w:vAlign w:val="bottom"/>
          </w:tcPr>
          <w:p>
            <w:pPr>
              <w:spacing w:after="0"/>
              <w:rPr>
                <w:sz w:val="18"/>
                <w:szCs w:val="18"/>
                <w:color w:val="auto"/>
              </w:rPr>
            </w:pPr>
          </w:p>
        </w:tc>
        <w:tc>
          <w:tcPr>
            <w:tcW w:w="1940" w:type="dxa"/>
            <w:vAlign w:val="bottom"/>
          </w:tcPr>
          <w:p>
            <w:pPr>
              <w:jc w:val="right"/>
              <w:ind w:right="371"/>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45,650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47,280</w:t>
            </w: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4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(a)</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Pr>
          <w:p>
            <w:pPr>
              <w:ind w:left="140"/>
              <w:spacing w:after="0"/>
              <w:rPr>
                <w:sz w:val="20"/>
                <w:szCs w:val="20"/>
                <w:color w:val="auto"/>
              </w:rPr>
            </w:pPr>
            <w:r>
              <w:rPr>
                <w:rFonts w:ascii="Arial" w:cs="Arial" w:eastAsia="Arial" w:hAnsi="Arial"/>
                <w:sz w:val="18"/>
                <w:szCs w:val="18"/>
                <w:color w:val="auto"/>
              </w:rPr>
              <w:t>Total lease assets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47,280</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Current:</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current portion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Lease liabilities, current portion</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23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4380" w:type="dxa"/>
            <w:vAlign w:val="bottom"/>
            <w:gridSpan w:val="2"/>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41,010</w:t>
            </w:r>
          </w:p>
        </w:tc>
      </w:tr>
      <w:tr>
        <w:trPr>
          <w:trHeight w:val="230"/>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49,290</w:t>
            </w:r>
          </w:p>
        </w:tc>
      </w:tr>
      <w:tr>
        <w:trPr>
          <w:trHeight w:val="21"/>
        </w:trPr>
        <w:tc>
          <w:tcPr>
            <w:tcW w:w="2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Finance leases were recorded net of accumulated depreciation of $0.1 million as of September 30,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w w:val="92"/>
              </w:rPr>
              <w:t>Three months ended September 30,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Statement of Income Location</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52"/>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86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8"/>
                <w:szCs w:val="18"/>
                <w:color w:val="auto"/>
                <w:w w:val="98"/>
              </w:rPr>
              <w:t>Cost of sales and Selling, general and</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480" w:type="dxa"/>
            <w:vAlign w:val="bottom"/>
            <w:gridSpan w:val="3"/>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Finance lease cost:</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of lease assets</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3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Short-term, variable and other lease</w:t>
            </w:r>
          </w:p>
        </w:tc>
        <w:tc>
          <w:tcPr>
            <w:tcW w:w="3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Cost of sales and Selling, general and</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Total lease cost</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0"/>
        </w:trPr>
        <w:tc>
          <w:tcPr>
            <w:tcW w:w="6020" w:type="dxa"/>
            <w:vAlign w:val="bottom"/>
            <w:gridSpan w:val="4"/>
            <w:vMerge w:val="restart"/>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02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6"/>
                <w:szCs w:val="16"/>
                <w:b w:val="1"/>
                <w:bCs w:val="1"/>
                <w:color w:val="auto"/>
              </w:rPr>
              <w:t>Year ended December 31,</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7"/>
          </w:tcPr>
          <w:p>
            <w:pPr>
              <w:ind w:left="60"/>
              <w:spacing w:after="0"/>
              <w:rPr>
                <w:sz w:val="20"/>
                <w:szCs w:val="20"/>
                <w:color w:val="auto"/>
              </w:rPr>
            </w:pPr>
            <w:r>
              <w:rPr>
                <w:rFonts w:ascii="Arial" w:cs="Arial" w:eastAsia="Arial" w:hAnsi="Arial"/>
                <w:sz w:val="16"/>
                <w:szCs w:val="16"/>
                <w:b w:val="1"/>
                <w:bCs w:val="1"/>
                <w:color w:val="auto"/>
              </w:rPr>
              <w:t>Operating Leases</w:t>
            </w:r>
            <w:r>
              <w:rPr>
                <w:rFonts w:ascii="Arial" w:cs="Arial" w:eastAsia="Arial" w:hAnsi="Arial"/>
                <w:sz w:val="23"/>
                <w:szCs w:val="23"/>
                <w:color w:val="auto"/>
                <w:vertAlign w:val="superscript"/>
              </w:rPr>
              <w:t>(a)</w:t>
            </w:r>
          </w:p>
        </w:tc>
        <w:tc>
          <w:tcPr>
            <w:tcW w:w="208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Finance Leases</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9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2023 (excluding the nine months ended September 30, 2023)</w:t>
            </w:r>
          </w:p>
        </w:tc>
        <w:tc>
          <w:tcPr>
            <w:tcW w:w="2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2,530</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2024</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9,540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8,120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2026</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8,570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7,500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payments</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54,650</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lease liabilities</w:t>
            </w:r>
          </w:p>
        </w:tc>
        <w:tc>
          <w:tcPr>
            <w:tcW w:w="3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47,710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340" w:hanging="332"/>
        <w:spacing w:after="0" w:line="226" w:lineRule="auto"/>
        <w:tabs>
          <w:tab w:leader="none" w:pos="304"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the Company's leases are as follows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0" w:type="dxa"/>
            <w:vAlign w:val="bottom"/>
          </w:tcPr>
          <w:p>
            <w:pPr>
              <w:spacing w:after="0"/>
              <w:rPr>
                <w:sz w:val="18"/>
                <w:szCs w:val="18"/>
                <w:color w:val="auto"/>
              </w:rPr>
            </w:pPr>
          </w:p>
        </w:tc>
        <w:tc>
          <w:tcPr>
            <w:tcW w:w="276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8"/>
                <w:szCs w:val="18"/>
                <w:color w:val="auto"/>
              </w:rPr>
            </w:pPr>
          </w:p>
        </w:tc>
        <w:tc>
          <w:tcPr>
            <w:tcW w:w="256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0"/>
              </w:rPr>
              <w:t>Nine months ended September 30,</w:t>
            </w:r>
          </w:p>
        </w:tc>
      </w:tr>
      <w:tr>
        <w:trPr>
          <w:trHeight w:val="210"/>
        </w:trPr>
        <w:tc>
          <w:tcPr>
            <w:tcW w:w="58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2022</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7,360</w:t>
            </w:r>
          </w:p>
        </w:tc>
      </w:tr>
      <w:tr>
        <w:trPr>
          <w:trHeight w:val="229"/>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5,720</w:t>
            </w: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weighted-average remaining lease term of the Company's operating leases and finance leases as of September 30, 2023 is 6.5 years and 3.75 years, respectively. The weighted-average discount rate for the operating leases and finance leases as of September 30, 2023 is 4.0% and 2.6%, respectively.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the Company was a party to 459 pending cases involving an aggregate of 4,860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Claims</w:t>
            </w:r>
          </w:p>
        </w:tc>
        <w:tc>
          <w:tcPr>
            <w:tcW w:w="12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4"/>
              </w:rPr>
              <w:t>dismissed</w:t>
            </w:r>
          </w:p>
        </w:tc>
        <w:tc>
          <w:tcPr>
            <w:tcW w:w="1260" w:type="dxa"/>
            <w:vAlign w:val="bottom"/>
            <w:gridSpan w:val="2"/>
          </w:tcPr>
          <w:p>
            <w:pPr>
              <w:ind w:left="360"/>
              <w:spacing w:after="0" w:line="162" w:lineRule="exact"/>
              <w:rPr>
                <w:sz w:val="20"/>
                <w:szCs w:val="20"/>
                <w:color w:val="auto"/>
              </w:rPr>
            </w:pPr>
            <w:r>
              <w:rPr>
                <w:rFonts w:ascii="Arial" w:cs="Arial" w:eastAsia="Arial" w:hAnsi="Arial"/>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ind w:left="340"/>
              <w:spacing w:after="0" w:line="162" w:lineRule="exact"/>
              <w:rPr>
                <w:sz w:val="20"/>
                <w:szCs w:val="20"/>
                <w:color w:val="auto"/>
              </w:rPr>
            </w:pPr>
            <w:r>
              <w:rPr>
                <w:rFonts w:ascii="Arial" w:cs="Arial" w:eastAsia="Arial" w:hAnsi="Arial"/>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7"/>
              </w:rPr>
              <w:t>costs during</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158"/>
        </w:trPr>
        <w:tc>
          <w:tcPr>
            <w:tcW w:w="220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rPr>
              <w:t>Nine Months Ended</w:t>
            </w: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1,340,000</w:t>
            </w: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160" w:type="dxa"/>
            <w:vAlign w:val="bottom"/>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4,798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79,869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2,180,000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4,860 claims pending at September 30, 2023, 42 set forth specific amounts of damages (other than those stating the statutory minimum or maximum). At September 30, 2023, of the 42 claims that set forth specific amounts, there were no claims seeking more than $5 million for punitive damages. Below is a breakdown of the compensatory damages sought for those claims seeking specific amounts: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Compensatory</w:t>
            </w:r>
          </w:p>
        </w:tc>
        <w:tc>
          <w:tcPr>
            <w:tcW w:w="1320" w:type="dxa"/>
            <w:vAlign w:val="bottom"/>
            <w:tcBorders>
              <w:bottom w:val="single" w:sz="8" w:color="auto"/>
            </w:tcBorders>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$0.6 to $5.0</w:t>
            </w:r>
          </w:p>
        </w:tc>
        <w:tc>
          <w:tcPr>
            <w:tcW w:w="1320" w:type="dxa"/>
            <w:vAlign w:val="bottom"/>
          </w:tcPr>
          <w:p>
            <w:pPr>
              <w:jc w:val="right"/>
              <w:ind w:right="375"/>
              <w:spacing w:after="0"/>
              <w:rPr>
                <w:sz w:val="20"/>
                <w:szCs w:val="20"/>
                <w:color w:val="auto"/>
              </w:rPr>
            </w:pPr>
            <w:r>
              <w:rPr>
                <w:rFonts w:ascii="Arial" w:cs="Arial" w:eastAsia="Arial" w:hAnsi="Arial"/>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30 years ago, have been $12.9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fourth quarter of 2022, the Company commissioned its actuary to update the study, based on data as of September 30, 2022, which yielded a range of possible future liability of $29.6 million to $39.5 million. The Company did not believe any amount within the range of potential outcomes represented a better estimate than another given the many factors and assumptions inherent in the projections, and therefore recorded a non-cash, pre-tax charge of $5.6 million to increase the liability estimate to $29.6 million, at the low-end of the range. As of September 30, 2023, the Company’s total asbestos-related liability is $27.3 million, and is included in accrued liabilities and other long-term liabilities, respectively, in the accompanying consolidated balance sheet.</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Packaging – </w:t>
      </w:r>
      <w:r>
        <w:rPr>
          <w:rFonts w:ascii="Arial" w:cs="Arial" w:eastAsia="Arial" w:hAnsi="Arial"/>
          <w:sz w:val="16"/>
          <w:szCs w:val="16"/>
          <w:color w:val="auto"/>
        </w:rPr>
        <w:t>TriMas' Packaging segment consists primarily of the Rieke</w:t>
      </w:r>
      <w:r>
        <w:rPr>
          <w:rFonts w:ascii="Arial" w:cs="Arial" w:eastAsia="Arial" w:hAnsi="Arial"/>
          <w:sz w:val="20"/>
          <w:szCs w:val="20"/>
          <w:color w:val="auto"/>
          <w:vertAlign w:val="superscript"/>
        </w:rPr>
        <w:t>®</w:t>
      </w:r>
      <w:r>
        <w:rPr>
          <w:rFonts w:ascii="Arial" w:cs="Arial" w:eastAsia="Arial" w:hAnsi="Arial"/>
          <w:sz w:val="16"/>
          <w:szCs w:val="16"/>
          <w:color w:val="auto"/>
        </w:rPr>
        <w:t>, Affaba &amp; Ferrari</w:t>
      </w:r>
      <w:r>
        <w:rPr>
          <w:rFonts w:ascii="Arial" w:cs="Arial" w:eastAsia="Arial" w:hAnsi="Arial"/>
          <w:sz w:val="20"/>
          <w:szCs w:val="20"/>
          <w:color w:val="auto"/>
          <w:vertAlign w:val="superscript"/>
        </w:rPr>
        <w:t>™</w:t>
      </w:r>
      <w:r>
        <w:rPr>
          <w:rFonts w:ascii="Arial" w:cs="Arial" w:eastAsia="Arial" w:hAnsi="Arial"/>
          <w:sz w:val="16"/>
          <w:szCs w:val="16"/>
          <w:color w:val="auto"/>
        </w:rPr>
        <w:t>, Taplast</w:t>
      </w:r>
      <w:r>
        <w:rPr>
          <w:rFonts w:ascii="Arial" w:cs="Arial" w:eastAsia="Arial" w:hAnsi="Arial"/>
          <w:sz w:val="20"/>
          <w:szCs w:val="20"/>
          <w:color w:val="auto"/>
          <w:vertAlign w:val="superscript"/>
        </w:rPr>
        <w:t>™</w:t>
      </w:r>
      <w:r>
        <w:rPr>
          <w:rFonts w:ascii="Arial" w:cs="Arial" w:eastAsia="Arial" w:hAnsi="Arial"/>
          <w:sz w:val="16"/>
          <w:szCs w:val="16"/>
          <w:color w:val="auto"/>
        </w:rPr>
        <w:t>, Rapak</w:t>
      </w:r>
      <w:r>
        <w:rPr>
          <w:rFonts w:ascii="Arial" w:cs="Arial" w:eastAsia="Arial" w:hAnsi="Arial"/>
          <w:sz w:val="20"/>
          <w:szCs w:val="20"/>
          <w:color w:val="auto"/>
          <w:vertAlign w:val="superscript"/>
        </w:rPr>
        <w:t>®</w:t>
      </w:r>
      <w:r>
        <w:rPr>
          <w:rFonts w:ascii="Arial" w:cs="Arial" w:eastAsia="Arial" w:hAnsi="Arial"/>
          <w:sz w:val="16"/>
          <w:szCs w:val="16"/>
          <w:color w:val="auto"/>
        </w:rPr>
        <w:t>, Plastic Srl, Aarts Packaging, Intertech and</w:t>
      </w:r>
      <w:r>
        <w:rPr>
          <w:rFonts w:ascii="Arial" w:cs="Arial" w:eastAsia="Arial" w:hAnsi="Arial"/>
          <w:sz w:val="16"/>
          <w:szCs w:val="16"/>
          <w:b w:val="1"/>
          <w:bCs w:val="1"/>
          <w:color w:val="auto"/>
        </w:rPr>
        <w:t xml:space="preserve"> </w:t>
      </w:r>
      <w:r>
        <w:rPr>
          <w:rFonts w:ascii="Arial" w:cs="Arial" w:eastAsia="Arial" w:hAnsi="Arial"/>
          <w:sz w:val="16"/>
          <w:szCs w:val="16"/>
          <w:color w:val="auto"/>
        </w:rPr>
        <w:t>Omega brands. TriMas Packaging develops and manufactures a broad array of dispensing products (such as foaming pumps, lotion and hand soaps and sanitizer pumps, beverage dispensers, perfume sprayers, nasal sprayers and trigger sprayers), polymeric and steel caps and closures (such as food lids, flip-top closures, child resistance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TriMas' Aerospace segment, which includes the Monogram Aerospace Fasteners</w:t>
      </w:r>
      <w:r>
        <w:rPr>
          <w:rFonts w:ascii="Arial" w:cs="Arial" w:eastAsia="Arial" w:hAnsi="Arial"/>
          <w:sz w:val="23"/>
          <w:szCs w:val="23"/>
          <w:color w:val="auto"/>
          <w:vertAlign w:val="superscript"/>
        </w:rPr>
        <w:t>™</w:t>
      </w:r>
      <w:r>
        <w:rPr>
          <w:rFonts w:ascii="Arial" w:cs="Arial" w:eastAsia="Arial" w:hAnsi="Arial"/>
          <w:sz w:val="18"/>
          <w:szCs w:val="18"/>
          <w:color w:val="auto"/>
        </w:rPr>
        <w:t>, Allfast Fastening Systems</w:t>
      </w:r>
      <w:r>
        <w:rPr>
          <w:rFonts w:ascii="Arial" w:cs="Arial" w:eastAsia="Arial" w:hAnsi="Arial"/>
          <w:sz w:val="23"/>
          <w:szCs w:val="23"/>
          <w:color w:val="auto"/>
          <w:vertAlign w:val="superscript"/>
        </w:rPr>
        <w:t>®</w:t>
      </w:r>
      <w:r>
        <w:rPr>
          <w:rFonts w:ascii="Arial" w:cs="Arial" w:eastAsia="Arial" w:hAnsi="Arial"/>
          <w:sz w:val="18"/>
          <w:szCs w:val="18"/>
          <w:color w:val="auto"/>
        </w:rPr>
        <w:t>, Mac Fasteners</w:t>
      </w:r>
      <w:r>
        <w:rPr>
          <w:rFonts w:ascii="Arial" w:cs="Arial" w:eastAsia="Arial" w:hAnsi="Arial"/>
          <w:sz w:val="23"/>
          <w:szCs w:val="23"/>
          <w:color w:val="auto"/>
          <w:vertAlign w:val="superscript"/>
        </w:rPr>
        <w:t>™</w:t>
      </w:r>
      <w:r>
        <w:rPr>
          <w:rFonts w:ascii="Arial" w:cs="Arial" w:eastAsia="Arial" w:hAnsi="Arial"/>
          <w:sz w:val="18"/>
          <w:szCs w:val="18"/>
          <w:color w:val="auto"/>
        </w:rPr>
        <w:t>, TFI</w:t>
      </w:r>
      <w:r>
        <w:rPr>
          <w:rFonts w:ascii="Arial" w:cs="Arial" w:eastAsia="Arial" w:hAnsi="Arial"/>
          <w:sz w:val="18"/>
          <w:szCs w:val="18"/>
          <w:b w:val="1"/>
          <w:bCs w:val="1"/>
          <w:color w:val="auto"/>
        </w:rPr>
        <w:t xml:space="preserve"> </w:t>
      </w:r>
      <w:r>
        <w:rPr>
          <w:rFonts w:ascii="Arial" w:cs="Arial" w:eastAsia="Arial" w:hAnsi="Arial"/>
          <w:sz w:val="18"/>
          <w:szCs w:val="18"/>
          <w:color w:val="auto"/>
        </w:rPr>
        <w:t>Aerospace, RSA Engineered Products, Martinic Engineering, and Weldmac Manufacturing brands, develops, qualifies and manufactures highly-engineered, precision fasteners, tubular products and assemblies for fluid conveyance, and machined products and assemblies to serve the aerospace and defense market.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TriMas' Specialty Products segment, which includes the Norris Cylinder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for use within industrial and aerospace markets, natural gas-fired engines for remote power generation applications and compression systems for use within the North American industrial oil and gas markets.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116,500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129,700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350,040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416,540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156,580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126,650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680,520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66,720</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Aerospace </w:t>
            </w:r>
            <w:r>
              <w:rPr>
                <w:rFonts w:ascii="Arial" w:cs="Arial" w:eastAsia="Arial" w:hAnsi="Arial"/>
                <w:sz w:val="23"/>
                <w:szCs w:val="23"/>
                <w:color w:val="auto"/>
                <w:vertAlign w:val="superscript"/>
              </w:rPr>
              <w:t>(a)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72,780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340" w:hanging="332"/>
        <w:spacing w:after="0" w:line="226" w:lineRule="auto"/>
        <w:tabs>
          <w:tab w:leader="none" w:pos="31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 the three and nine months ended September 30, 2022, the Company recognized a $4.8 million pre-tax gain on the sale of vacant land adjacent to the Company's Tolleson, Arizona, manufacturing facility within the Aerospace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nine months ended September 30, 2023:</w:t>
      </w:r>
    </w:p>
    <w:p>
      <w:pPr>
        <w:spacing w:after="0" w:line="158"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Granted 254,478 RSUs to certain employees, which are subject only to a service condition and vest ratably over three years so long as the employee remains with the Company;</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Granted 27,560 RSUs to its non-employee independent directors, which fully vest one year from date of grant so long as the director and/or Company does not terminate the director's service prior to the vesting date; and</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Granted 8,912 RSUs to certain employees, which are subject only to a service condition and fully vest at the end of three years so long as the employee remains with the Company;</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123 RSUs to certain employees related to dividend equivalent rights on existing equity awards; and</w:t>
      </w:r>
    </w:p>
    <w:p>
      <w:pPr>
        <w:spacing w:after="0" w:line="15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2,129 RSUs related to director fee deferrals as certain of the Company's directors elected to defer all or a portion of their director fees and to receive the amount in Company common stock at a future date.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2023, the Company also awarded 95,017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2023 and ending December 31, 2025.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4.36% and annualized volatility of 33.9%. Depending on the performance achieved for these two metrics, the amount of shares earned, if any, can vary for each metric from 0% of the target award to a maximum of 250% of the target.</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the Company awarded performance-based RSUs to certain Company key employees which were earned 50% based upon the Company's achievement of earnings per share compound annual growth rate metric over a period beginning January 1, 2020 and ending December 31, 2022. The remaining 50% of the awards were earned based on the Company's total shareholder return relative to the TSR of the common stock of a pre-defined industry peer-group, measured over the performance period. The Company attained 62.7% of the target on a weighted average basis, resulting in a decrease of 32,430 shares during the nine months ended September 30, 2023.</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the Company awarded performance-based RSUs to certain Company key employees which were earned based upon the Company's stock price performance over the period beginning January 1, 2020 and ending December 31, 2022. The stock price achievement was calculated based on the Company's average closing stock price for each quarter end for the 20 trading days up to and including March 31, June 30, September 30 and December 31, 2022, respectively. The Company did not meet the minimum performance threshold resulting in a decrease of 86,275 shares during the nine months ended September 30,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September 30, 2023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Grant Date Fair</w:t>
            </w:r>
          </w:p>
        </w:tc>
        <w:tc>
          <w:tcPr>
            <w:tcW w:w="17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560" w:type="dxa"/>
            <w:vAlign w:val="bottom"/>
            <w:tcBorders>
              <w:top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719,449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center"/>
              <w:ind w:left="773"/>
              <w:spacing w:after="0"/>
              <w:rPr>
                <w:sz w:val="20"/>
                <w:szCs w:val="20"/>
                <w:color w:val="auto"/>
              </w:rPr>
            </w:pPr>
            <w:r>
              <w:rPr>
                <w:rFonts w:ascii="Arial" w:cs="Arial" w:eastAsia="Arial" w:hAnsi="Arial"/>
                <w:sz w:val="18"/>
                <w:szCs w:val="18"/>
                <w:color w:val="auto"/>
                <w:w w:val="89"/>
              </w:rPr>
              <w:t>388,219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90"/>
              </w:rPr>
              <w:t>(252,054)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90"/>
              </w:rPr>
              <w:t>(175,636)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2023</w:t>
            </w:r>
          </w:p>
        </w:tc>
        <w:tc>
          <w:tcPr>
            <w:tcW w:w="156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679,978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16,836,255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was $5.9 million of unrecognized compensation cost related to unvested RSUs that is expected to be recorded over a weighted average period of 2.0 years.</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recognized stock-based compensation expense related to RSUs of $3.1 million and $2.4 million during the three months ended September 30, 2023 and 2022, respectively, and $9.3 million and $7.7 million during the nine months ended September 30, 2023 and 2022, respectively. The stock-based compensation expense is included in selling, general and administrative expenses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RSUs. The following table summarizes the dilutive effect of RSUs to purchase common stock for the three and nine months ended September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9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0"/>
              </w:rPr>
              <w:t>Three months ended</w:t>
            </w: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556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815"/>
              <w:spacing w:after="0"/>
              <w:rPr>
                <w:sz w:val="20"/>
                <w:szCs w:val="20"/>
                <w:color w:val="auto"/>
              </w:rPr>
            </w:pPr>
            <w:r>
              <w:rPr>
                <w:rFonts w:ascii="Arial" w:cs="Arial" w:eastAsia="Arial" w:hAnsi="Arial"/>
                <w:sz w:val="16"/>
                <w:szCs w:val="16"/>
                <w:b w:val="1"/>
                <w:bCs w:val="1"/>
                <w:color w:val="auto"/>
                <w:w w:val="91"/>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Borders>
              <w:bottom w:val="single" w:sz="8" w:color="auto"/>
            </w:tcBorders>
          </w:tcPr>
          <w:p>
            <w:pPr>
              <w:spacing w:after="0"/>
              <w:rPr>
                <w:sz w:val="18"/>
                <w:szCs w:val="18"/>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41,425,208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41,995,027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41,477,095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42,363,919</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Dilutive effect of restricted stock units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248,173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186,413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226,858</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41,673,381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42,181,440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41,706,867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42,590,777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Company announced its Board of Directors had authorized the Company to increase the purchase of its common stock up to $250 million in the aggregate. This announcement represented the most recent update from the initial authorization, approved in November 2015, of up to $50 million of purchases in the aggregate of its common stock. In the three and nine months ended September 30, 2023, the Company purchased 10,506 and 462,388 shares of its outstanding common stock for $0.3 million and $13.4 million, respectively. During the three and nine months ended September 30, 2022, the Company purchased 76,167 and 1,004,154 shares of its outstanding common stock for $2.1 million and $30.0 million, respectively. As of September 30, 2023, the Company had $92.3 million remaining under the repurchase authorization.</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Holders of common stock are entitled to dividends at the discretion of the Company's Board of Directors. In 2021, the Company's Board of Directors declared the first dividend since the Company's initial public offering in 2007. During the three and nine months ended September 30, 2023, the Company's cash dividends declared were $0.04 per share of common stock and total dividends declared and paid on common shares were $1.7 million and $5.0 million, respectively. In the three and nine months ended September 30, 2022, the Company's cash dividends declared were $0.04 per share of common stock and total dividends declared and paid on common shares were $1.7 million and $5.2 million,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Benefit Plans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(income) are as follows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30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6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costs</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Settlement and curtailment losses</w:t>
            </w:r>
          </w:p>
        </w:tc>
        <w:tc>
          <w:tcPr>
            <w:tcW w:w="8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Net periodic benefit cost (income)</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2023, the Company recognized a one-time, pre-tax settlement charge of $1.0 million related to the purchase of an annuity contract to transfer the Company's Canadian defined benefit obligations to an insurance company.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the Company recorded a non-cash curtailment expense of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contributed $0.3 million and $1.0 million to its defined benefit pension plans during the three and nine months ended September 30, 2023, respectively. The Company expects to contribute $1.2 million to its defined benefit pension plans for the full year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Comprehensive Income (Loss)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Changes in AOCI by component for the nine months ended September 30, 2023 are summarized as follows, net of tax (dollars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Translation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2023</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$0.2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28" w:lineRule="exact"/>
        <w:rPr>
          <w:rFonts w:ascii="Arial" w:cs="Arial" w:eastAsia="Arial" w:hAnsi="Arial"/>
          <w:sz w:val="19"/>
          <w:szCs w:val="19"/>
          <w:color w:val="auto"/>
          <w:vertAlign w:val="superscript"/>
        </w:rPr>
      </w:pPr>
    </w:p>
    <w:p>
      <w:pPr>
        <w:ind w:left="240" w:hanging="232"/>
        <w:spacing w:after="0"/>
        <w:tabs>
          <w:tab w:leader="none" w:pos="240" w:val="left"/>
        </w:tabs>
        <w:numPr>
          <w:ilvl w:val="0"/>
          <w:numId w:val="7"/>
        </w:numPr>
        <w:rPr>
          <w:rFonts w:ascii="Arial" w:cs="Arial" w:eastAsia="Arial" w:hAnsi="Arial"/>
          <w:sz w:val="9"/>
          <w:szCs w:val="9"/>
          <w:color w:val="auto"/>
        </w:rPr>
      </w:pPr>
      <w:r>
        <w:rPr>
          <w:rFonts w:ascii="Arial" w:cs="Arial" w:eastAsia="Arial" w:hAnsi="Arial"/>
          <w:sz w:val="14"/>
          <w:szCs w:val="14"/>
          <w:color w:val="auto"/>
        </w:rPr>
        <w:t>Defined benefit plans, net of income tax of $0.3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Changes in AOCI by component for the nine months ended September 30, 2022 are summarized as follows, net of tax (dollars in thousands):</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Defined Benefit</w:t>
            </w:r>
          </w:p>
        </w:tc>
        <w:tc>
          <w:tcPr>
            <w:tcW w:w="14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9"/>
        </w:trPr>
        <w:tc>
          <w:tcPr>
            <w:tcW w:w="5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2022</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1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$6.3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92" w:lineRule="exact"/>
        <w:rPr>
          <w:rFonts w:ascii="Arial" w:cs="Arial" w:eastAsia="Arial" w:hAnsi="Arial"/>
          <w:sz w:val="19"/>
          <w:szCs w:val="19"/>
          <w:color w:val="auto"/>
          <w:vertAlign w:val="superscript"/>
        </w:rPr>
      </w:pPr>
    </w:p>
    <w:p>
      <w:pPr>
        <w:ind w:left="240" w:hanging="232"/>
        <w:spacing w:after="0"/>
        <w:tabs>
          <w:tab w:leader="none" w:pos="24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Defined benefit plans, net of income tax of $0.1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effective income tax rate for the three months ended September 30, 2023 and 2022 was 16.3% and 27.1%, respectively. We recorded income tax expense of $3.2 million and $4.9 million for the three months ended September 30, 2023 and 2022, respectively. The effective tax rate for the three months ended September 30, 2023 is lower than in the prior year primarily due to the Company recognizing $2.4 million of tax benefit related to foreign tax loss carryforwards.</w:t>
      </w:r>
    </w:p>
    <w:p>
      <w:pPr>
        <w:spacing w:after="0" w:line="1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effective income tax rate for the nine months ended September 30, 2023 and 2022 was 23.1% and 25.0%, respectively. We recorded tax expense of $9.7 million for the nine months ended September 30, 2023 as compared to $15.8 million for the nine months ended September 30, 2022. The effect tax rate for the nine months ended September 30, 2023 is lower than in the prior year primarily due to the Company recognizing $2.4 million of tax benefit related to foreign tax loss carryforwards.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4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October 19, 2023, the Company announced that its Board of Directors had declared a cash dividend of $0.04 per share of TriMas Corporation common stock, which will be payable on November 9, 2023 to shareholders of record as of the close of business on November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results of operations have been materially impacted over the past few years by macro-economic factors, first by the onset and proliferation of the coronavirus ("COVID-19") pandemic, then further from increased energy costs and supply chain disruptions from the Russia-Ukraine conflict, and more recently by cost inflation (raw materials, wage rates and freight) and a lack of material availability.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and for the last several quarters demand abruptly falling as a result of some of our larger customers' choices to rebalance on-hand inventory levels and caution in current purchasing behaviors given the current inflationary macro-economic environment. Sales of certain of our industrial and aerospace-related products were significantly depressed from historical levels following the onset of the pandemic, but demand has significantly increased in recent quarters, to where the industrial demand in our Specialty Products segment has rebounded to pre-pandemic levels, while demand in our Aerospace segment continues to increase (and more quickly than expected) as air travel has picked-up and new aircraft build rates improve. Altogether, this significant level of volatility in demand levels, input and transportation costs, and material and labor availability have pressured our ability to operate efficiently and at historical margin levels in our Packaging and Aerospace segments.</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Overall, our third quarter 2023 net sales increased $16.8 million, or 7.7%, compared to third quarter 2022. We experienced sales growth from acquisitions in our Packaging and Aerospace segments, as well as organic sales increases within our Aerospace and Specialty Products segments as a result of increased demand levels in North America. These increases were partially offset by reduced demand for dispensers and closures used in consumer products and industrial applications within our Packaging segment, which we believe declined due to lower customer order activity given continuing uncertainty around consumer sentiment as a result of the inflationary environment.</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most significant drivers affecting our financial results in third quarter 2023 compared with third quarter 2022, other than as directly impacted by sales changes, were the impact of our recent acquisitions, improved manufacturing throughput in our Aerospace segment, lower material and other input costs in our Packaging segment, realignment actions in our Packaging segment, the year-over-year impact of the sale of vacant land and corresponding pre-tax gain in our Aerospace segment in third quarter 2022, the year-over-year impact of the termination of our existing cross-currency swap agreements in third quarter 2022, and a decrease in our effective tax rate.</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2023, we acquired Aarts Packaging B.V. ("Aarts"), a luxury packaging solutions provider for beauty and lifestyle brands, as well as for customers in the food and life sciences end markets, for a purchase price of $37.8 million, net of cash acquired. Aarts, which is reported in our Packaging segment, is located in Waalwijk, The Netherlands. Aarts contributed $6.1 million of net sales during third quarter 2023.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2023, we acquired the operating net assets of Weldmac Manufacturing Company (“Weldmac”), a designer and manufacturer of complex metal fabricated components and assemblies for the aerospace, defense and space launch end markets for a purchase price of $34.0 million, with additional contingent consideration ranging from zero to $10 million based on achievement of earnings targets. Weldmac, which is reported in our Aerospace segment, is located in El Cajon, California. Weldmac contributed $9.7 million of net sales during third quarter 2023. We recognized a $1.2 million purchase accounting non-cash charge related to the step-up of Weldmac's inventory to fair value and subsequent amortization during third quarter 2023. On July 10, 2023, we made a cash payment of $5.5 million as additional consideration for the purchase of Weldmac based on achievement of earnings targets. The remaining possible contingent consideration ranges from zero to $4.5 million, based on achievement of 2023 earnings targets, as defined in the purchase agreement.</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 the past few years, we have been executing certain realignment actions in response to current and expected future end market demand and rising input costs. We recorded pre-tax realignment charges of $2.7 million in third quarter 2023, primarily related to our actions to close and consolidate two production facilities in China into one new, larger facility in Haining, China, and to close and consolidate our Rohnert Park, California manufacturing facility operations into other existing U.S. production locations. These charges consisted of $0.8 million employee-related costs, $0.8 million for the write down of inventory to fair value, and $1.1 million related to other facility move and consolidation costs. We recorded pre-tax realignment charges of $0.6 million in the third quarter 2022, of which $0.4 million related to facility move and consolidation costs and $0.2 million were for employee related costs.</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third quarter 2022, we completed the sale of vacant land adjacent to our Tolleson, Arizona manufacturing facility and recognized a pre-tax gain of $4.8 million within our Aerospace segment. We received pre-tax net cash proceeds of $5.0 million in October 2022.</w:t>
      </w:r>
    </w:p>
    <w:p>
      <w:pPr>
        <w:spacing w:after="0" w:line="10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third quarter 2022, we terminated our existing cross-currency swap agreements, de-designating the swaps as net investment hedges and received $26.2 million of cash. The cross-currency swap agreements had notional amounts totaling $250.0 million, which declined to $25.0 million over various contract periods ending between October 15, 2023 and October 15, 2027.</w:t>
      </w:r>
    </w:p>
    <w:p>
      <w:pPr>
        <w:spacing w:after="0" w:line="8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effective income tax rate for third quarter 2023 was 16.3% as compared to 27.1% for third quarter 2022. The effective tax rate for third quarter 2023 is lower than in the prior year primarily due to the recognition of $2.4 million of tax benefit related to foreign tax loss carryforwards.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executed significant realignment actions over the past few years, primarily in our Aerospace and Specialty Products segments, and also in certain Packaging product areas where demand has fallen. We will continue to assess further actions if required. However, as a result of the current period of macroeconomic inflation and uncertainty, the impact of the COVID-19 pandemic, and the potential impact of such factors to our future results of operations, as well as if there is an impact to TriMas' market capitalization, we may record additional cash and non-cash charges related to incremental realignment actions, asset impairments, including impairments to our goodwill and intangible assets, as well as for uncollectible customer account balances, excess inventory and idle production equipment.</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sensitive to price movements and availability of our raw materials supply. Our largest raw material purchases are for resins (such as polypropylene and polyethylene), steel, aluminum, superalloys (such as titanium, A286 stainless steel and Inconel) and other oil and metal-based purchased components, the costs for each of which have experienced recent volatility. There has also been some volatility over the past two years as a direct and indirect result of foreign trade policy, where tariffs on certain of our commodity-based products sourced from Asia have been instituted, the conflict in Eastern Europe, creating certain input material shortages, and labor shortages at certain of our raw material suppliers. We will continue to take actions to mitigate such increases, including implementing commercial pricing adjustments, holding extra inventories and resourcing to alternate suppliers and insourcing of previously sourced products.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our ability to recover cost increases on a timely basis is made more difficult by the lag nature of these contracts.</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Oil-based commodity costs are a significant driver of raw materials and purchased components used within our Packaging segment. As such, an increase in crude oil often is a precursor to rising input polymeric raw material costs, for which we may experience a contractual commercial recover lag. Separately, our Arrow Engine business in our Specialty Products segment is sensitive to the demand for natural gas and crude oil in North America. For example, demand for engine, pump jack and compressor products are impacted by active oil and gas rig counts and wellhead investment activities.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third quarter 2023, we purchased 10,506 shares of our outstanding common stock for an aggregate purchase price of $0.3 million. As of September 30, 2023, we had $92.3 million remaining under the repurchase authorization.</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third quarter 2023,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September 30, 2023 and 2022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116,500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49.5 %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129,700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235,340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6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nine months ended September 30, 2023 and 2022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Nine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3"/>
                <w:szCs w:val="13"/>
                <w:color w:val="auto"/>
              </w:rPr>
            </w:pPr>
          </w:p>
        </w:tc>
        <w:tc>
          <w:tcPr>
            <w:tcW w:w="170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350,040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51.2 %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416,540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156,580</w:t>
            </w:r>
          </w:p>
        </w:tc>
        <w:tc>
          <w:tcPr>
            <w:tcW w:w="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22.9 %</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126,650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683,990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680,520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38,980</w:t>
            </w:r>
          </w:p>
        </w:tc>
        <w:tc>
          <w:tcPr>
            <w:tcW w:w="2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23.1 %</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36,640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42,400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104,410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66,720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32,360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72,780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16,690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29,830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4,810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1.4 %</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0.2 %</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factors impacting us during the three months ended September 30, 2023, compared with the three months ended September 30, 2022, were:</w:t>
      </w:r>
    </w:p>
    <w:p>
      <w:pPr>
        <w:spacing w:after="0" w:line="1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demand for products in certain end markets within our Packaging segment;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recent acquisitions, primarily Aarts and Weldmac;</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demand increases in our Aerospace and Specialty Products segments;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Improved manufacturing throughput in our Aerospace segment;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material and other input costs in our Packaging segment;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Realignment expenses in response to changes in end market demand;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third quarter 2022 sale of vacant land in Tolleson, Arizona, and the related pre-tax gain recognized in our Aerospace segment;</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third quarter 2022 termination of our existing cross-currency swaps;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our effective tax rate in third quarter 2023 compared with third quarter 2022.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with Three Months Ended September 30, 2022</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net sales increased $16.8 million, or 7.7%, to $235.3 million for the three months ended September 30, 2023, as compared with $218.5 million in the three months ended September 30, 2022. Acquisition-related sales growth was $15.8 million, comprised of $6.1 million from our February 2023 acquisition of Aarts and $9.7 million from our April 2023 acquisition of Weldmac. Organic sales, excluding a $2.2 million favorable currency exchange impact and acquisitions, decreased $1.2 million, as sales increases in our Specialty Products and Aerospace segments driven by end market demand improvements were more than offset by decreases in the Packaging segment due to lower market demand, as we believe our customers continue to closely manage their order activity given continuing uncertainty around consumer sentiment as a result of the inflationary environment.</w:t>
      </w:r>
    </w:p>
    <w:p>
      <w:pPr>
        <w:spacing w:after="0" w:line="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Gross profit margin (gross profit as a percentage of sales) approximated 23.8% and 22.1% for the three months ended September 30, 2023 and 2022, respectively. Gross profit margin increased primarily due to higher sales and improved throughput and fixed cost absorption in our Aerospace segment, improved fixed cost absorption in our Specialty Products segment, as well as lower material and other input costs in our Packaging segment. These increases were partially offset by lower fixed cost absorption resulting from lower sales levels and increased realignment costs associated with our actions to close and consolidate two production facilities in China into a new, larger facility in Haining, China, and to close and consolidate our Rohnert Park, California, manufacturing facility operations into other existing U.S. production locations within our Packaging segment. Gross profit and related margin also decreased due to a non-cash charge related to the step-up of Weldmac's inventory to fair value and subsequent amortization.</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margin (operating profit as a percentage of sales) approximated 10.1% and 9.6% for the three months ended September 30, 2023 and 2022, respectively. Operating profit increased $2.8 million to $23.8 million in the three months ended September 30, 2023, from $21.0 million for the three months ended September 30, 2022, primarily due to higher sales, improved throughput and fixed cost absorption within our Aerospace segment, improved fixed cost absorption in our Specialty Products segment, and lower material and other input costs in our Packaging segment. These increases were partially offset by lower absorption of fixed costs and higher realignment costs within our Packaging segment, the recognition of a non-cash charge related to Weldmac purchase accounting, and the year-over-year impact of the $4.8 million pre-tax gain on the sale of vacant land adjacent to our Tolleson, Arizona, manufacturing facility recorded in third quarter 2022.</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$0.4 million, to $4.0 million for the three months ended September 30, 2023, compared to $3.6 million for the three months ended September 30, 2022, primarily due to an increase in our weighted average borrowings.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decreased $1.0 million to $0.1 million of expense for the three months ended September 30, 2023, as compared to $0.9 million of income for the three months ended September 30, 2022, primarily due to decreases in foreign currency transaction gains for the three months ended September 30, 2023 as compared to the three months ended September 30, 2022.</w:t>
      </w:r>
    </w:p>
    <w:p>
      <w:pPr>
        <w:spacing w:after="0" w:line="1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effective income tax rate for the three months ended September 30, 2023 and 2022 was 16.3% and 27.1%, respectively. We recorded income tax expense of $3.2 million and $4.9 million for the three months ended September 30, 2023 and 2022, respectively. The effective tax rate for the three months ended September 30, 2023 is lower than in the prior year primarily due to the recognition of approximately $2.4 million of tax benefit related to foreign tax loss carryforwards.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income increased $3.2 million, to $16.5 million for the three months ended September 30, 2023, as compared to $13.3 million for the three months ended September 30, 2022. The increase was primarily the result of a increase in operating profit of $2.8 million and a decrease in income tax expense of $1.7 million, partially offset by an increase in interest expense of $0.4 million, and an increase in other expense of $1.0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decreased $13.2 million, or 10.2%, to $116.5 million in the three months ended September 30, 2023, as compared to $129.7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September 30, 2022. Acquisition-related sales growth from our February 2023 acquisition of Aarts was $6.1 million. Sales of dispensing products used in beauty and personal care, as well as home care, applications decreased by $3.8 million. Sales of products used in food and beverage markets decreased by $12.7 million, primarily due to lower demand for closures. Sales of products used in industrial markets decreased by $5.0 million, primarily as a result of lower demand for drum closure products. We believe that the decrease in sales in each of these categories reflects ongoing actions by many of our customers to closely manage their order activity given continuing uncertainty around consumer sentiment as a result of the inflationary environment. These decreases were partially offset by an increase in net sales of $2.2 million due to currency exchange, as our reported results in U.S. dollars were favorably impacted as a result of the weakening of the U.S. dollar relative to foreign currencies, as compared to third quarter 2022.</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$2.9 million to $28.3 million, or 24.3% of sales, in the three months ended September 30, 2023, as compared to $31.2 million, or 24.1% of sales, in the three months ended September 30, 2022. Gross profit dollars decreased primarily due to lower sales and $2.1 million of higher realignment costs associated with our actions to close and consolidate two production facilities in China into a new, larger facility in Haining, China, and to close and consolidate our Rohnert Park, California, manufacturing facility operations into other existing U.S. production locations. While gross profit dollars decreased, gross profit as a percentage of sales increased as a result of lower material, energy and other input costs, partially offset by lower fixed cost absorption.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$1.6 million to $12.0 million, or 10.3% of sales, in the three months ended September 30, 2023, as compared to $13.6 million, or 10.5% of sales, in the three months ended September 30, 2022, primarily due to lower employee-related costs and overall spending levels in third quarter 2023, consistent with current lower demand levels. These decreases were partially offset by higher ongoing selling, general and administrative costs associated with our acquisition of Aarts.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decreased $1.1 million to $16.5 million, or 14.1% of sales, in the three months ended September 30, 2023, as compared to $17.6 million, or 13.6% of sales, in the three months ended September 30, 2022. Operating profit decreased primarily as a result of lower sales levels and increased realignment costs, while operating profit as a percentage of sales increased as a result of lower material, energy and other input costs and lower spending levels within selling, general and administrative expenses.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September 30, 2023 increased $22.2 million, or 48.8%, to $67.6 million, as compared to $45.4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2022. Acquisition-related sales growth from our April 2023 acquisition of Weldmac was $9.7 million. Sales of our fasteners products increased by $9.3 million due to increased demand for fasteners used in new aircraft builds, in addition to market share gains. Sales of our engineered components products increased by $3.2 million due to higher end market demand.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$6.9 million to $15.0 million, or 22.2% of sales, in the three months ended September 30, 2023, from $8.1 million, or 17.9% of sales, in the three months ended September 30, 2022. Gross profit increased primarily due to higher sales levels, partially offset by a $1.2 million purchase accounting non-cash charge related to the step-up of Weldmac's inventory to fair value and subsequent amortization. Gross profit as a percentage of sales increased primarily due to improved throughput and fixed cost absorption.</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$0.4 million to $7.9 million, or 11.6% of sales, in the three months ended September 30, 2023, as compared to $8.2 million, or 18.1% of sales, in the three months ended September 30, 2022, primarily due to lower employee-related costs, partially offset by higher ongoing selling, general and administrative costs associated with our acquisition of Weldmac.</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increased $2.4 million to $7.1 million, or 10.6% of sales, in the three months ended September 30, 2023, as compared to $4.7 million, or 10.4% of sales, in the three months ended September 30, 2022, primarily due to the impact of higher sales, improved throughput and fixed cost absorption and lower employee-related costs, partially offset by the recognition of the purchase accounting adjustment related to Weldmac's inventory step-up to fair value and subsequent amortization, and the year-over-year impact of the $4.8 million pre-tax gain on the sale of vacant land adjacent to our Tolleson, Arizona, manufacturing facility recorded in third quarter 2022.</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three months ended September 30, 2023 increased $7.9 million, or 18.1%, to $51.3 million, as compared to $43.4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three months ended September 30, 2022. Sales of our cylinder products increased $5.8 million due to higher demand for steel cylinders for packaged gas applications in North America. Sales of engines, compressors and related parts used in stationary power generation and assistance applications for natural gas and crude oil extraction increased by $2.1 million, primarily as a result of higher compression package sales.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$3.6 million to $12.6 million, or 24.6% of sales, in the three months ended September 30, 2023, as compared to $9.0 million, or 20.8% of sales, in the three months ended September 30, 2022. Gross profit increased in the third quarter of 2023 primarily as a result of higher sales levels, while margin also improved due to leveraging the higher sales levels with the existing cost footprint.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$0.1 million to $2.1 million, or 4.1% of sales, in the three months ended September 30, 2023, as compared to $2.2 million, or 5.2% of sales, in the three months ended September 30, 2022, as the business leveraged the higher sales levels without need for incremental spending.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increased $3.8 million to $10.5 million, or 20.5% of sales, in the three months ended September 30, 2023, as compared to $6.8 million, or 15.6% of sales, in the three months ended September 30, 2022, primarily due to higher sales levels.</w:t>
      </w:r>
    </w:p>
    <w:p>
      <w:pPr>
        <w:spacing w:after="0" w:line="1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1"/>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increased $2.3 million to $10.4 million for the three months ended September 30, 2023, from $8.1 million for the three months ended September 30, 2022, primarily due to $0.7 million increase in non-cash stock compensation due to timing and estimated attainment of existing awards, and the addition of $1.7 million of costs now reported as corporate operating expenses related to centralizing certain of our information technology costs in 2023 as we prepare to upgrade certain of our information technologies systems.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with Nine Months Ended September 30, 2022</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Overall, net sales increased $3.5 million, or 0.5%, to $684.0 million for the nine months ended September 30, 2023, as compared with $680.5 million in the nine months ended September 30, 2022. Acquisition-related sales growth was $40.1 million, comprised of $5.3 million resulting from the January through February 2023 sales of our February 2022 acquisition of Intertech Plastics LLC and related companies (collectively, "Intertech"), $17.8 million from our February 2023 acquisition of Aarts, and $17.0 million from our April 2023 acquisition of Weldmac. Organic sales, excluding the impact of currency exchange and acquisitions, decreased $36.2 million, as sales increases in our Specialty Products and Aerospace segments driven by end market demand improvements and market share gains were more than offset by a decrease in the Packaging segment due to lower market demand, primarily as a result of ongoing actions by many of our customers to rebalance their inventory levels and closely manage their order activity given continuing uncertainty around consumer sentiment as a result of the inflationary environment.</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margin (gross profit as a percentage of sales) approximated 23.1% and 23.9% for the nine months ended September 30, 2023 and 2022, respectively. Gross profit margin decreased primarily due to lower sales levels and lower absorption of fixed costs as well as increased realignment costs associated with our actions to close and consolidate two production facilities in China into a new, larger facility in Haining, China, and to close and consolidate our Rohnert Park, California, manufacturing facility operations into other existing U.S. production locations within our Packaging segment. Gross profit also decreased due to a $2.0 million purchase accounting non-cash charge related to the step-up of Weldmac's inventory to fair value and subsequent amortization in our Aerospace segment. These decreases were partially offset by higher sales and improved throughput and fixed cost absorption within our Aerospace segment, improved fixed cost absorption in our Specialty Products segment, and lower material and other input costs, including $4.6 million of lower energy costs, in our Packaging segment.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profit margin (operating profit as a percentage of sales) approximated 7.9% and 10.7% for the nine months ended September 30, 2023 and 2022, respectively. Operating profit decreased $19.0 million, to $53.8 million, for the nine months ended September 30, 2023, compared to $72.8 million for the nine months ended September 30, 2022, primarily due to lower sales levels and lower absorption of fixed costs as well as higher realignment costs within our Packaging segment, and an increase in professional fees. Additionally, operating profit decreased due to the impact of a non-cash charge related to Weldmac purchase accounting and the year-over-year impact of the $4.8 million pre-tax gain on the sale of vacant land adjacent to our Tolleson, Arizona, manufacturing facility recorded in third quarter 2022. These decreases were partially offset by the impact of higher sales levels and related improved fixed cost absorption within our Aerospace and Specialty Products segments, and lower material and other input costs in our Packaging segment.</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increased $1.1 million, to $11.6 million, for the nine months ended September 30, 2023, as compared to $10.5 million for the nine months ended September 30, 2022, due to an increase in our weighted average borrowings and a higher effective interest rate as a result of lower notional amounts of cross-currency swaps.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decreased $0.9 million to a de minimis amount of expense for the nine months ended September 30, 2023, as compared to $0.9 million of income for the nine months ended September 30, 2022, primarily due a non-cash settlement charge for our Canadian defined benefit obligations during the nine months ended September 30, 2023 as well as decreases in foreign currency transaction gains for the nine months ended September 30, 2023.</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effective income tax rate for the nine months ended September 30, 2023 and 2022 was 23.1% and 25.0%, respectively. We recorded tax expense of $9.7 million for the nine months ended September 30, 2023 as compared to $15.8 million for the nine months ended September 30, 2022. The effective tax rate for the nine months ended September 30, 2023 was lower than in the prior year primarily due to the recognition of approximately $2.4 million of tax benefit related to foreign tax loss carryforwards.</w:t>
      </w: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income decreased by $14.9 million, to $32.4 million for the nine months ended September 30, 2023, compared to $47.3 million for the nine months ended September 30, 2022. The decrease was primarily the result of a decrease in operating profit of $19.0 million, an increase in interest expense of $1.1 million, and a decrease in other income of $0.9 million, partially offset by a decrease in income tax expense of $6.1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decreased $66.5 million, or 16.0%, to $350.0 million in the nine months ended September 30, 2023, as compared to $416.5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nine months ended September 30, 2022. Acquisition-related sales growth was $23.1 million, comprised of $5.3 million resulting from the January through February 2023 sales of our February 2022 acquisition of Intertech and $17.8 million from our February 2023 acquisition of Aarts. Sales of dispensing products used primarily in personal care, as well as home care, applications decreased by $30.2 million. Sales of products used in food and beverage markets decreased by $34.0 million, primarily due to lower demand for closures. Sales of products used in industrial markets decreased by $22.5 million, primarily as a result of lower demand for drum closure products. We believe that the decrease in sales in each of these categories reflects ongoing actions by many of our customers to work-down elevated inventory positions and closely manage their order activity given continuing uncertainty around consumer sentiment as a result of the inflationary environment.</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Packaging's gross profit decreased $24.7 million to $84.7 million, or 24.2% of sales, in the nine months ended September 30, 2023, as compared to $109.4 million, or 26.3% of sales, in the nine months ended September 30, 2022, primarily due to lower sales and resulting lower absorption of fixed costs. Gross profit further declined in 2023 due to $3.9 million of higher realignment costs, primarily associated with our actions to close and consolidate two production facilities in China into a new, larger facility in Haining, China, and to close and consolidate our Rohnert Park, California, manufacturing facility operations into other existing U.S. production locations. The decrease in gross profit was partially offset by lower material and other input costs, including $4.6 million of lower energy costs, as compared with the spike in costs in 2022, primarily in our Europe-based operations.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selling, general and administrative expenses decreased $5.8 million to $36.6 million, or 10.5% of sales, in the nine months ended September 30, 2023, as compared to $42.4 million, or 10.2% of sales, in the nine months ended September 30, 2022, primarily due to lower overall spending levels in 2023, consistent with current lower demand levels, as well as $0.9 million of lower costs associated with realignment actions. In addition, we incurred lower intangible asset amortization expense due to certain assets becoming fully amortized. These decreases more than offset higher ongoing selling, general and administrative costs associated with our acquisitions.</w:t>
      </w:r>
    </w:p>
    <w:p>
      <w:pPr>
        <w:spacing w:after="0" w:line="1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Packaging's operating profit decreased $18.6 million to $48.1 million, or 13.8% of sales, in the nine months ended September 30, 2023, as compared to $66.7 million, or 16.0% of sales, in the nine months ended September 30, 2022, as the impact of lower selling, general and administrative expenses and energy costs was more than offset by lower sales levels, lower absorption of fixed costs, and higher realignment costs.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nine months ended September 30, 2023 increased $40.0 million, or 29.2%, to $177.4 million, as compared to $137.3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nine months ended September 30, 2022. Acquisition-related sales growth from our April 2023 acquisition of Weldmac was $17.0 million. Sales of our fasteners products increased by $15.4 million due to increases in demand for fasteners used in new aircraft builds plus market share gains. Sales of our engineered components products increased by $7.6 million due to higher end market demand.</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increased $8.7 million to $34.5 million, or 19.4% of sales, in the nine months ended September 30, 2023, from $25.8 million, or 18.8% of sales, in the nine months ended September 30, 2022. Gross profit increased primarily due to higher sales levels and improved manufacturing throughput and fixed cost absorption, partially offset by increased materials costs and a $2.0 million purchase accounting non-cash charge related to the step-up of Weldmac's inventory to fair value and subsequent amortization.</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increased $2.0 million to $23.3 million, or 13.1% of sales, in the nine months ended September 30, 2023, as compared to $21.3 million, or 15.5% of sales, in the nine months ended September 30, 2022, primarily due to higher ongoing selling, general and administrative costs associated with our acquisition of Weldmac and higher legal costs, partially offset by lower employee-related costs.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within Aerospace increased $1.9 million to $11.2 million, or 6.3% of sales, in the nine months ended September 30, 2023, as compared to $9.3 million, or 6.8% of sales, in the nine months ended September 30, 2022, primarily due to the impact of higher sales levels and lower employee-related costs, partially offset by the recognition of the purchase accounting adjustment related to Weldmac's inventory step-up to fair value and subsequent amortization, and the year-over-year impact of the $4.8 million pre-tax gain on the sale of vacant land adjacent to our Tolleson, Arizona, manufacturing facility recorded in third quarter 2022.</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nine months ended September 30, 2023 increased $29.9 million, or 23.6%, to $156.6 million, as compared to $126.7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nine months ended September 30, 2022. Sales of our cylinder products increased $18.0 million due to higher demand for steel cylinders for packaged gas applications in North America as industrial activity continues to increase from depressed levels as a result of the COVID-19 pandemic. Sales of natural gas fired engines, compressors and related parts used in remote power generation and assistance applications for natural gas and crude oil extraction increased by $11.9 million.</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within Specialty Products increased $11.4 million to $39.0 million, or 24.9% of sales, in the nine months ended September 30, 2023, as compared to $27.6 million, or 21.8% of sales, in the nine months ended September 30, 2022. Gross profit and margin increased due to higher sales leveraged across our existing cost footprint.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within Specialty Products decreased $0.2 million to $6.6 million, or 4.2% of sales, in the nine months ended September 30, 2023, as compared to $6.8 million, or 5.4% of sales, in the nine months ended September 30, 2022, as we leveraged the higher sales levels without need for incremental spending.</w:t>
      </w:r>
    </w:p>
    <w:p>
      <w:pPr>
        <w:spacing w:after="0" w:line="1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profit within Specialty Products increased $11.6 million to $32.4 million, or 20.7% of sales, in the nine months ended September 30, 2023, as compared to $20.8 million, or 16.4% of sales, in the nine months ended September 30, 2022, primarily due to increased sales levels.</w:t>
      </w:r>
    </w:p>
    <w:p>
      <w:pPr>
        <w:spacing w:after="0" w:line="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10"/>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15.9</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9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24.0</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expenses increased $13.9 million to $37.9 million for the nine months ended September 30, 2023, from $24.0 million for the nine months ended September 30, 2022, primarily due to $4.6 million of higher professional fees primarily for business diligence and strategic consulting, the addition of $5.0 million of costs now reported as corporate operating expenses related to centralizing certain of our information technology costs in 2023 as we prepare for upgrades in certain of our information technologies applications, a $1.6 million increase in non-cash stock compensation due to timing and estimated attainment of existing awards, and higher employee-related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flows provided by operating activities were $57.6 million for the nine months ended September 30, 2023, as compared to $46.6 million for the nine months ended September 30, 2022. Significant changes in cash flows provided by operating activities and the reasons for such changes were as follows:</w:t>
      </w:r>
    </w:p>
    <w:p>
      <w:pPr>
        <w:spacing w:after="0" w:line="56" w:lineRule="exact"/>
        <w:rPr>
          <w:sz w:val="20"/>
          <w:szCs w:val="20"/>
          <w:color w:val="auto"/>
        </w:rPr>
      </w:pPr>
    </w:p>
    <w:p>
      <w:pPr>
        <w:jc w:val="both"/>
        <w:ind w:left="980" w:hanging="324"/>
        <w:spacing w:after="0" w:line="25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nine months ended September 30, 2023, the Company generated $89.4 million in cash flows, based on the reported net income of $32.4 million and after considering the effects of non-cash items related to depreciation, amortization, gain on dispositions of assets, changes in deferred income taxes, stock-based compensation and other operating activities. For the nine months ended September 30, 2022, the Company generated $88.5 million in cash flows based on the reported net income of $47.3 million and after considering the effects of similar non-cash items.</w:t>
      </w:r>
    </w:p>
    <w:p>
      <w:pPr>
        <w:spacing w:after="0" w:line="106" w:lineRule="exact"/>
        <w:rPr>
          <w:rFonts w:ascii="Arial" w:cs="Arial" w:eastAsia="Arial" w:hAnsi="Arial"/>
          <w:sz w:val="18"/>
          <w:szCs w:val="18"/>
          <w:color w:val="auto"/>
        </w:rPr>
      </w:pPr>
    </w:p>
    <w:p>
      <w:pPr>
        <w:jc w:val="both"/>
        <w:ind w:left="980" w:hanging="324"/>
        <w:spacing w:after="0" w:line="279"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Increases in accounts receivable resulted in a use of cash of $22.6 million and $14.8 million for the nine months ended September 30, 2023 and 2022, respectively. The increased use of cash for each of the nine month periods is due primarily to the timing of sales and collection of cash related thereto within the periods. Days sales outstanding of receivables increased by five days through the nine months ended September 30, 2023 and increased by four days through the nine months ended September 30, 2022.</w:t>
      </w:r>
    </w:p>
    <w:p>
      <w:pPr>
        <w:spacing w:after="0" w:line="103" w:lineRule="exact"/>
        <w:rPr>
          <w:rFonts w:ascii="Arial" w:cs="Arial" w:eastAsia="Arial" w:hAnsi="Arial"/>
          <w:sz w:val="17"/>
          <w:szCs w:val="17"/>
          <w:color w:val="auto"/>
        </w:rPr>
      </w:pPr>
    </w:p>
    <w:p>
      <w:pPr>
        <w:jc w:val="both"/>
        <w:ind w:left="980" w:hanging="324"/>
        <w:spacing w:after="0" w:line="275"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decreased our investment in inventory by $1.8 million for the nine months ended September 30, 2023, while we increased our investment in inventory by $19.0 million for the nine months ended September 30, 2022. Our days sales in inventory decreased by two days through the nine months ended September 30, 2023, as we continued to moderate inventory levels in line with sales levels. Our days sales in inventory increased by six days through the nine months ended September 30, 2022, primarily a result of proactively investing in certain raw materials and purchased components to protect against supply chain disruptions and potential cost increases.</w:t>
      </w:r>
    </w:p>
    <w:p>
      <w:pPr>
        <w:spacing w:after="0" w:line="108"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prepaid expenses and other assets resulted in a use of cash of $0.7 million and $1.2 million for the nine months ended September 30, 2023 and 2022, respectively. These changes were primarily a result of the timing of payments made for income taxes and certain operating expenses.</w:t>
      </w:r>
    </w:p>
    <w:p>
      <w:pPr>
        <w:spacing w:after="0" w:line="102" w:lineRule="exact"/>
        <w:rPr>
          <w:rFonts w:ascii="Arial" w:cs="Arial" w:eastAsia="Arial" w:hAnsi="Arial"/>
          <w:sz w:val="18"/>
          <w:szCs w:val="18"/>
          <w:color w:val="auto"/>
        </w:rPr>
      </w:pPr>
    </w:p>
    <w:p>
      <w:pPr>
        <w:jc w:val="both"/>
        <w:ind w:left="980" w:hanging="324"/>
        <w:spacing w:after="0" w:line="279"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Decreases in accounts payable and accrued liabilities resulted in a use of cash of $10.4 million and $6.9 million for the nine months ended September 30, 2023 and 2022, respectively. Days accounts payable on hand decreased by eight days through the nine months ended September 30, 2023, while remaining consistent through the nine months ended September 30, 2022. Our days accounts payable on hand fluctuate primarily as a result of the timing of payments made to suppliers and the mix of vendors and related terms.</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for investing activities for the nine months ended September 30, 2023 and 2022 was $111.8 million and $69.5 million, respectively. During the first nine months of 2023, we invested $34.9 million in capital expenditures, as we continued our investment in growth, capacity and productivity-related capital projects, and paid $77.3 million, net of cash acquired, to acquire Aarts and Weldmac, which includes a cash payment of $5.5 million during third quarter 2023 as additional consideration for the purchase of Weldmac based on achievement of earnings targets, as defined in the purchase agreement. During the first nine months of 2022, we invested $31.8 million in capital expenditures, paid $64.1 million, net of cash acquired, to acquire Intertech, and received proceeds of $26.2 million from the termination of our cross-currency swap agreements. While we sold the land adjacent to our Tolleson, Arizona manufacturing facility during third quarter 2022, we did not receive the cash proceeds until October 2022.</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cash used for financing activities for the nine months ended September 30, 2023 and 2022 was $23.2 million and $37.5 million, respectively. During the nine months ended September 30, 2023, we received net proceeds of $1.1 million from borrowings on our revolving credit facilities, purchased $13.4 million of outstanding common stock, used a net cash amount of $2.7 million related to our stock compensation arrangements, paid dividends of $5.0 million and paid $3.2 million related to liabilities assumed in our acquisition of Aarts. Our reported net proceeds from borrowings on our revolving credit facilities considers the impact of foreign currency translation. During the nine months ended September 30, 2022, we purchased $30.0 million of outstanding common stock, used a net cash amount of $2.4 million related to our stock compensation arrangements, and paid dividends of $5.2 million.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accrues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April 15, 2024, we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Senior Notes at a redemption price equal to 100% of the principal amount thereof, plus accrued and unpaid interest, if any, to the redemption date, plus a "make whole" premium.</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2023, our consolidated subsidiaries that do not guarantee the Senior Notes represented 28% of the total of guarantor and non-guarantor net sales, treating each as a consolidated group and excluding intercompany transactions between guarantor and non-guarantor subsidiaries. In addition, our non-guarantor subsidiaries represented 37% and 13% of the total guarantor and non-guarantor assets and liabilities, respectively, as of September 30, 2023, treating the guarantor and non-guarantor subsidiaries each as a consolidated group.</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("SONIA") and Euro borrowings to the Euro InterBank Offered Rate (“EURIBOR”), both plus a spread of 1.75%, and U.S. dollar borrowings subject to the Secured Overnight Financing Rate ("SOFR") plus a spread of 1.85%. The interest rate spread is based upon the leverage ratio, as defined, as of the most recent determination date. Our revolving credit facility allows for the issuance of letters of credit, not to exceed $40.0 million in aggregate.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2023. If we were to complete an acquisition which qualifies for a Covenant Holiday Period, as defined in our Credit Agreement, then our permitted total net leverage ratio cannot exceed 4.50 to 1.00 during that period. Our actual total net leverage ratio was 2.32 to 1.00 at September 30, 2023. Our permitted interest expense coverage ratio under the Credit Agreement is 3.00 to 1.00 as of September 30, 2023. Our actual interest expense coverage ratio was 12.29 to 1.00 at September 30, 2023. At September 30, 2023,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September 30, 2023 (dollars in thousands). We present Consolidated Bank EBITDA to show our performance under our financial covenants.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left="12"/>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32"/>
              <w:spacing w:after="0" w:line="162" w:lineRule="exact"/>
              <w:rPr>
                <w:sz w:val="20"/>
                <w:szCs w:val="20"/>
                <w:color w:val="auto"/>
              </w:rPr>
            </w:pPr>
            <w:r>
              <w:rPr>
                <w:rFonts w:ascii="Arial" w:cs="Arial" w:eastAsia="Arial" w:hAnsi="Arial"/>
                <w:sz w:val="16"/>
                <w:szCs w:val="16"/>
                <w:b w:val="1"/>
                <w:bCs w:val="1"/>
                <w:color w:val="auto"/>
                <w:w w:val="89"/>
              </w:rPr>
              <w:t>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2023</w:t>
            </w:r>
          </w:p>
        </w:tc>
      </w:tr>
      <w:tr>
        <w:trPr>
          <w:trHeight w:val="226"/>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51,260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15,450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56,920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3"/>
                <w:szCs w:val="23"/>
                <w:color w:val="auto"/>
                <w:vertAlign w:val="superscript"/>
              </w:rPr>
              <w:t>(1)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11,480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expenses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3"/>
                <w:szCs w:val="23"/>
                <w:color w:val="auto"/>
                <w:vertAlign w:val="superscript"/>
              </w:rPr>
              <w:t>(2)</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15,970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Extraordinary, non-recurring or unusual gains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Effects of purchase accounting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and asset dispositions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Permitted acquisitions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6,390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gains and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165,190</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89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3"/>
                <w:szCs w:val="23"/>
                <w:color w:val="auto"/>
                <w:vertAlign w:val="superscript"/>
              </w:rPr>
              <w:t>(3)</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383,060</w:t>
            </w: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165,190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x</w:t>
            </w:r>
          </w:p>
        </w:tc>
      </w:tr>
      <w:tr>
        <w:trPr>
          <w:trHeight w:val="21"/>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12"/>
              <w:spacing w:after="0" w:line="162" w:lineRule="exact"/>
              <w:rPr>
                <w:sz w:val="20"/>
                <w:szCs w:val="20"/>
                <w:color w:val="auto"/>
              </w:rPr>
            </w:pPr>
            <w:r>
              <w:rPr>
                <w:rFonts w:ascii="Arial" w:cs="Arial" w:eastAsia="Arial" w:hAnsi="Arial"/>
                <w:sz w:val="16"/>
                <w:szCs w:val="16"/>
                <w:b w:val="1"/>
                <w:bCs w:val="1"/>
                <w:color w:val="auto"/>
                <w:w w:val="93"/>
              </w:rPr>
              <w:t>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September 30, 2023</w:t>
            </w:r>
          </w:p>
        </w:tc>
      </w:tr>
      <w:tr>
        <w:trPr>
          <w:trHeight w:val="226"/>
        </w:trPr>
        <w:tc>
          <w:tcPr>
            <w:tcW w:w="20" w:type="dxa"/>
            <w:vAlign w:val="bottom"/>
          </w:tcPr>
          <w:p>
            <w:pPr>
              <w:spacing w:after="0"/>
              <w:rPr>
                <w:sz w:val="19"/>
                <w:szCs w:val="19"/>
                <w:color w:val="auto"/>
              </w:rPr>
            </w:pPr>
          </w:p>
        </w:tc>
        <w:tc>
          <w:tcPr>
            <w:tcW w:w="8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13,440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896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September 30, 2023</w:t>
            </w:r>
          </w:p>
        </w:tc>
        <w:tc>
          <w:tcPr>
            <w:tcW w:w="20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165,190</w:t>
            </w: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13,440</w:t>
            </w: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Non-cash compensation expenses resulting from the grant of equity awards.</w:t>
      </w:r>
    </w:p>
    <w:p>
      <w:pPr>
        <w:spacing w:after="0" w:line="128"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2"/>
        </w:numPr>
        <w:rPr>
          <w:rFonts w:ascii="Arial" w:cs="Arial" w:eastAsia="Arial" w:hAnsi="Arial"/>
          <w:sz w:val="9"/>
          <w:szCs w:val="9"/>
          <w:color w:val="auto"/>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26" w:lineRule="exact"/>
        <w:rPr>
          <w:rFonts w:ascii="Arial" w:cs="Arial" w:eastAsia="Arial" w:hAnsi="Arial"/>
          <w:sz w:val="9"/>
          <w:szCs w:val="9"/>
          <w:color w:val="auto"/>
        </w:rPr>
      </w:pPr>
    </w:p>
    <w:p>
      <w:pPr>
        <w:ind w:left="260" w:hanging="252"/>
        <w:spacing w:after="0"/>
        <w:tabs>
          <w:tab w:leader="none" w:pos="2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Includes $4.5 million of acquisition-related contingent consideration, $1.0 million of derivative liabilities and $2.2 million of finance leases as of September 30,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September 30, 2023, we had no amounts outstanding under our revolving credit facility and had $293.7 million potentially available after giving effect to $6.3 million of letters of credit issued and outstanding. At December 31, 2022, we had no amounts outstanding under our revolving credit facility and had $293.9 million potentially available after giving effect to $6.1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September 30, 2023, we had $277.7 million of borrowing capacity available for general corporate purposes. Our borrowing capacity was not reduced by leverage restrictions contained in the Credit Agreement as of December 31, 2022.</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weighted average borrowings during the first nine months of 2023 approximated $420.5 million, compared to $400.1 million during the first nine months of 2022, primarily due to borrowings made on our revolving credit facility.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2021, we, through one of our non-U.S. subsidiaries, entered into a revolving loan facility with a borrowing capacity of $4.0 million. The facility is guaranteed by TriMas Corporation. There were no borrowings on this loan facility as of September 30, 2023.</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majority of our cash on hand as of September 30, 2023 is located outside of the U.S., given available funding under our revolving credit facility of $277.7 million at September 30, 2023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variable interest rates on our revolving credit facility, which is subject to a benchmark interest rate determined based on the currency denomination of borrowings. At September 30, 2023, we had no amounts outstanding on our revolving credit facility and, therefore, no variable rate-based borrowings outstanding.</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The majority of our lease transactions are accounted for as operating leases, and annual rent expense for continuing operations related thereto approximated $13.9 million in 2022. We expect leasing will continue to be an available financing option to fund future capital expenditure requirements.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first quarter 2023 acquisition of Aarts, we assumed a $2.9 million liability to a bank related to the advance funding of certain accounts receivable invoices. We terminated this arrangement, and repaid the outstanding balance, in March 2023.</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we announced our Board of Directors had authorized us to increase the purchase of our common stock up to $250 million in the aggregate, an increase of $100 million from the prior authorization. In the three and nine months ended September 30, 2023, we purchased 10,506 and 462,388 shares of our outstanding common stock for an aggregate purchase price of $0.3 million and $13.4 million, respectively. Since the initial authorization through September 30, 2023, we have purchased 5,577,291 shares of our outstanding common stock for an aggregate purchase price of $157.7 million. We will continue to evaluate opportunities to return capital to shareholders through the purchase of our common stock and the payment of dividends, depending on market conditions, including the potential impact of the COVID-19 pandemic,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September 30, 2023, we were party to foreign exchange forward and swap contracts to hedge changes in foreign currency exchange rates with notional amounts of $183.3 million. We also use cross-currency swap agreements to mitigate currency risks associated with the net investment in certain of our foreign subsidiaries. See Note 9,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interest risk as it relates to our long-term debt.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within this quarterly report on Form 10-Q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 Our stock trades under the symbol "TRS."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March 31, 2023, Moody's affirmed a Ba3 rating to our Senior Notes. See Note 8,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affirmed a Ba2 Corporate Family Rating and maintained its outlook as stable. On May 22, 2023, Standard &amp; 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expect the current macro-economic and global market uncertainties will persist through the remainder of 2023 and into 2024, making it a challenging environment to effectively and efficiently transact business in the end markets we serve. We continue to experience volatility in our customers' order patterns, inflationary pressures for certain input costs (raw materials and wage rates in particular), with supply chain disruptions limiting material availability for certain products, and with labor availability remaining at lower levels than prior to the pandemic.</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our Aerospace segment continues to experience strong order intake, we will continue to increase capacity and address challenges to manufacturing throughput in order to support market demand. The macro-economic impacts are more challenging in our Packaging segment, as we now expect a longer and more gradual recovery due to continued uncertainty regarding future consumer sentiment in the current inflationary environment, which has reduced customer demand levels. While our Specialty Products segment has continued to operate at a high sales level through third quarter 2023, we expect a more moderated customer sales level given the macro-economic and global market uncertainties.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spacing w:after="0" w:line="1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leverage the tenets of our TriMas Business Model to manage our multi-industry businesses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new accounting pronouncements issued or effective as of September 30, 2023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2023,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and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 information.</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2023,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2023, the Company's disclosure controls and procedures are effective to provide reasonable assurance that they would meet their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2022 Annual Report on Form 10-K, which could materially affect our business, financial condition or future results. There have been no significant changes in our risk factors as disclosed in our 2022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Use of Proceeds, and Issuer Purchases of Equity Securities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September 30,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6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3360" w:type="dxa"/>
            <w:vAlign w:val="bottom"/>
          </w:tcPr>
          <w:p>
            <w:pPr>
              <w:jc w:val="center"/>
              <w:ind w:left="1639"/>
              <w:spacing w:after="0"/>
              <w:rPr>
                <w:sz w:val="20"/>
                <w:szCs w:val="20"/>
                <w:color w:val="auto"/>
              </w:rPr>
            </w:pPr>
            <w:r>
              <w:rPr>
                <w:rFonts w:ascii="Arial" w:cs="Arial" w:eastAsia="Arial" w:hAnsi="Arial"/>
                <w:sz w:val="16"/>
                <w:szCs w:val="16"/>
                <w:b w:val="1"/>
                <w:bCs w:val="1"/>
                <w:color w:val="auto"/>
                <w:w w:val="90"/>
              </w:rPr>
              <w:t>Total Number of Shares</w:t>
            </w:r>
          </w:p>
        </w:tc>
        <w:tc>
          <w:tcPr>
            <w:tcW w:w="0" w:type="dxa"/>
            <w:vAlign w:val="bottom"/>
          </w:tcPr>
          <w:p>
            <w:pPr>
              <w:spacing w:after="0"/>
              <w:rPr>
                <w:sz w:val="1"/>
                <w:szCs w:val="1"/>
                <w:color w:val="auto"/>
              </w:rPr>
            </w:pPr>
          </w:p>
        </w:tc>
      </w:tr>
      <w:tr>
        <w:trPr>
          <w:trHeight w:val="210"/>
        </w:trPr>
        <w:tc>
          <w:tcPr>
            <w:tcW w:w="2160" w:type="dxa"/>
            <w:vAlign w:val="bottom"/>
            <w:vMerge w:val="continue"/>
          </w:tcPr>
          <w:p>
            <w:pPr>
              <w:spacing w:after="0"/>
              <w:rPr>
                <w:sz w:val="18"/>
                <w:szCs w:val="18"/>
                <w:color w:val="auto"/>
              </w:rPr>
            </w:pPr>
          </w:p>
        </w:tc>
        <w:tc>
          <w:tcPr>
            <w:tcW w:w="3360" w:type="dxa"/>
            <w:vAlign w:val="bottom"/>
          </w:tcPr>
          <w:p>
            <w:pPr>
              <w:jc w:val="center"/>
              <w:ind w:left="1639"/>
              <w:spacing w:after="0"/>
              <w:rPr>
                <w:sz w:val="20"/>
                <w:szCs w:val="20"/>
                <w:color w:val="auto"/>
              </w:rPr>
            </w:pPr>
            <w:r>
              <w:rPr>
                <w:rFonts w:ascii="Arial" w:cs="Arial" w:eastAsia="Arial" w:hAnsi="Arial"/>
                <w:sz w:val="16"/>
                <w:szCs w:val="16"/>
                <w:b w:val="1"/>
                <w:bCs w:val="1"/>
                <w:color w:val="auto"/>
                <w:w w:val="87"/>
              </w:rPr>
              <w:t>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840" w:type="dxa"/>
            <w:vAlign w:val="bottom"/>
          </w:tcPr>
          <w:p>
            <w:pPr>
              <w:jc w:val="center"/>
              <w:ind w:left="25"/>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840" w:type="dxa"/>
            <w:vAlign w:val="bottom"/>
            <w:vMerge w:val="restart"/>
          </w:tcPr>
          <w:p>
            <w:pPr>
              <w:jc w:val="center"/>
              <w:ind w:left="25"/>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184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840" w:type="dxa"/>
            <w:vAlign w:val="bottom"/>
            <w:vMerge w:val="restart"/>
          </w:tcPr>
          <w:p>
            <w:pPr>
              <w:jc w:val="center"/>
              <w:ind w:left="25"/>
              <w:spacing w:after="0" w:line="162" w:lineRule="exact"/>
              <w:rPr>
                <w:sz w:val="20"/>
                <w:szCs w:val="20"/>
                <w:color w:val="auto"/>
              </w:rPr>
            </w:pPr>
            <w:r>
              <w:rPr>
                <w:rFonts w:ascii="Arial" w:cs="Arial" w:eastAsia="Arial" w:hAnsi="Arial"/>
                <w:sz w:val="16"/>
                <w:szCs w:val="16"/>
                <w:b w:val="1"/>
                <w:bCs w:val="1"/>
                <w:color w:val="auto"/>
                <w:w w:val="91"/>
              </w:rPr>
              <w:t>Yet Be Purchased Under</w:t>
            </w:r>
          </w:p>
        </w:tc>
        <w:tc>
          <w:tcPr>
            <w:tcW w:w="0" w:type="dxa"/>
            <w:vAlign w:val="bottom"/>
          </w:tcPr>
          <w:p>
            <w:pPr>
              <w:spacing w:after="0"/>
              <w:rPr>
                <w:sz w:val="1"/>
                <w:szCs w:val="1"/>
                <w:color w:val="auto"/>
              </w:rPr>
            </w:pPr>
          </w:p>
        </w:tc>
      </w:tr>
      <w:tr>
        <w:trPr>
          <w:trHeight w:val="54"/>
        </w:trPr>
        <w:tc>
          <w:tcPr>
            <w:tcW w:w="17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1"/>
              </w:rPr>
              <w:t>Average Price Paid per</w:t>
            </w:r>
          </w:p>
        </w:tc>
        <w:tc>
          <w:tcPr>
            <w:tcW w:w="1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840" w:type="dxa"/>
            <w:vAlign w:val="bottom"/>
          </w:tcPr>
          <w:p>
            <w:pPr>
              <w:jc w:val="center"/>
              <w:ind w:left="25"/>
              <w:spacing w:after="0" w:line="162" w:lineRule="exact"/>
              <w:rPr>
                <w:sz w:val="20"/>
                <w:szCs w:val="20"/>
                <w:color w:val="auto"/>
              </w:rPr>
            </w:pPr>
            <w:r>
              <w:rPr>
                <w:rFonts w:ascii="Arial" w:cs="Arial" w:eastAsia="Arial" w:hAnsi="Arial"/>
                <w:sz w:val="16"/>
                <w:szCs w:val="16"/>
                <w:b w:val="1"/>
                <w:bCs w:val="1"/>
                <w:color w:val="auto"/>
                <w:w w:val="92"/>
              </w:rPr>
              <w:t>the Program (in millions)</w:t>
            </w:r>
          </w:p>
        </w:tc>
        <w:tc>
          <w:tcPr>
            <w:tcW w:w="0" w:type="dxa"/>
            <w:vAlign w:val="bottom"/>
          </w:tcPr>
          <w:p>
            <w:pPr>
              <w:spacing w:after="0"/>
              <w:rPr>
                <w:sz w:val="1"/>
                <w:szCs w:val="1"/>
                <w:color w:val="auto"/>
              </w:rPr>
            </w:pPr>
          </w:p>
        </w:tc>
      </w:tr>
      <w:tr>
        <w:trPr>
          <w:trHeight w:val="162"/>
        </w:trPr>
        <w:tc>
          <w:tcPr>
            <w:tcW w:w="17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9"/>
              </w:rPr>
              <w:t>Share</w:t>
            </w:r>
          </w:p>
        </w:tc>
        <w:tc>
          <w:tcPr>
            <w:tcW w:w="184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(1)</w:t>
            </w:r>
          </w:p>
        </w:tc>
        <w:tc>
          <w:tcPr>
            <w:tcW w:w="1840" w:type="dxa"/>
            <w:vAlign w:val="bottom"/>
          </w:tcPr>
          <w:p>
            <w:pPr>
              <w:jc w:val="center"/>
              <w:ind w:left="5"/>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80" w:space="200"/>
            <w:col w:w="5460"/>
          </w:cols>
          <w:pgMar w:left="320" w:top="125" w:right="33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2023 to July 31, 2023</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August 1, 2023 to August 31, 2023</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2023 to September 30, 2023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7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8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w:t>
            </w: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jc w:val="both"/>
        <w:ind w:left="340" w:hanging="332"/>
        <w:spacing w:after="0" w:line="243" w:lineRule="auto"/>
        <w:tabs>
          <w:tab w:leader="none" w:pos="309"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September 30, 2023, the Company repurchased 10,506 shares of its common stock at a cost of $0.3 million. The share repurchase program is effective and has no expiration date.</w:t>
      </w:r>
    </w:p>
    <w:p>
      <w:pPr>
        <w:spacing w:after="0" w:line="1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2023,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180" w:type="dxa"/>
            <w:vAlign w:val="bottom"/>
            <w:gridSpan w:val="8"/>
          </w:tcPr>
          <w:p>
            <w:pPr>
              <w:spacing w:after="0"/>
              <w:rPr>
                <w:sz w:val="20"/>
                <w:szCs w:val="20"/>
                <w:color w:val="auto"/>
              </w:rPr>
            </w:pPr>
            <w:r>
              <w:rPr>
                <w:rFonts w:ascii="Arial" w:cs="Arial" w:eastAsia="Arial" w:hAnsi="Arial"/>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18"/>
                <w:szCs w:val="18"/>
                <w:color w:val="auto"/>
              </w:rPr>
            </w:pPr>
          </w:p>
        </w:tc>
        <w:tc>
          <w:tcPr>
            <w:tcW w:w="9500" w:type="dxa"/>
            <w:vAlign w:val="bottom"/>
            <w:gridSpan w:val="6"/>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with TriMas Corporation's Quarterly Report on Form 10-Q filed on August 3, 2007 (File No. 001-10716)).</w:t>
              </w:r>
            </w:hyperlink>
          </w:p>
        </w:tc>
        <w:tc>
          <w:tcPr>
            <w:tcW w:w="1640" w:type="dxa"/>
            <w:vAlign w:val="bottom"/>
            <w:tcBorders>
              <w:top w:val="single" w:sz="8" w:color="0000FF"/>
            </w:tcBorders>
            <w:gridSpan w:val="3"/>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9500" w:type="dxa"/>
            <w:vAlign w:val="bottom"/>
            <w:gridSpan w:val="6"/>
          </w:tcPr>
          <w:p>
            <w:pPr>
              <w:spacing w:after="0"/>
              <w:rPr>
                <w:rFonts w:ascii="Arial" w:cs="Arial" w:eastAsia="Arial" w:hAnsi="Arial"/>
                <w:sz w:val="18"/>
                <w:szCs w:val="18"/>
                <w:color w:val="0000FF"/>
                <w:w w:val="99"/>
              </w:rPr>
            </w:pPr>
            <w:hyperlink r:id="rId54">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54">
              <w:r>
                <w:rPr>
                  <w:rFonts w:ascii="Arial" w:cs="Arial" w:eastAsia="Arial" w:hAnsi="Arial"/>
                  <w:sz w:val="18"/>
                  <w:szCs w:val="18"/>
                  <w:color w:val="0000FF"/>
                </w:rPr>
                <w:t>Corporation's Current Report on Form 8-K filed on December 18, 2015 (File No. 001-10716)).</w:t>
              </w:r>
            </w:hyperlink>
          </w:p>
        </w:tc>
        <w:tc>
          <w:tcPr>
            <w:tcW w:w="700" w:type="dxa"/>
            <w:vAlign w:val="bottom"/>
            <w:gridSpan w:val="2"/>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sz w:val="20"/>
                <w:szCs w:val="20"/>
                <w:color w:val="auto"/>
              </w:rPr>
            </w:pPr>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sz w:val="20"/>
                <w:szCs w:val="20"/>
                <w:color w:val="auto"/>
              </w:rPr>
            </w:pPr>
            <w:r>
              <w:rPr>
                <w:rFonts w:ascii="Arial" w:cs="Arial" w:eastAsia="Arial" w:hAnsi="Arial"/>
                <w:sz w:val="18"/>
                <w:szCs w:val="18"/>
                <w:color w:val="0000FF"/>
                <w:w w:val="98"/>
              </w:rPr>
              <w:t>Certification pursuant to 18 U.S.C. Section 1350, as adopted pursuant to Section 302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sz w:val="20"/>
                <w:szCs w:val="20"/>
                <w:color w:val="auto"/>
              </w:rPr>
            </w:pPr>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18"/>
                <w:szCs w:val="18"/>
                <w:color w:val="auto"/>
              </w:rPr>
            </w:pPr>
          </w:p>
        </w:tc>
        <w:tc>
          <w:tcPr>
            <w:tcW w:w="9500" w:type="dxa"/>
            <w:vAlign w:val="bottom"/>
            <w:gridSpan w:val="6"/>
          </w:tcPr>
          <w:p>
            <w:pPr>
              <w:spacing w:after="0" w:line="207" w:lineRule="exact"/>
              <w:rPr>
                <w:sz w:val="20"/>
                <w:szCs w:val="20"/>
                <w:color w:val="auto"/>
              </w:rPr>
            </w:pPr>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18"/>
                <w:szCs w:val="18"/>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w w:val="95"/>
              </w:rPr>
              <w:t>The following materials from TriMas Corporation's Quarterly Report on Form 10-Q for the quarter ended September 30, 2023,</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6"/>
          </w:tcPr>
          <w:p>
            <w:pPr>
              <w:spacing w:after="0" w:line="176" w:lineRule="exact"/>
              <w:rPr>
                <w:sz w:val="20"/>
                <w:szCs w:val="20"/>
                <w:color w:val="auto"/>
              </w:rPr>
            </w:pPr>
            <w:r>
              <w:rPr>
                <w:rFonts w:ascii="Arial" w:cs="Arial" w:eastAsia="Arial" w:hAnsi="Arial"/>
                <w:sz w:val="18"/>
                <w:szCs w:val="18"/>
                <w:color w:val="auto"/>
                <w:w w:val="94"/>
              </w:rPr>
              <w:t>formatted in Inline XBRL (eXtensible Business Reporting Language): (i) the Consolidated Balance Sheet, (ii) the Consolidated</w:t>
            </w:r>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500" w:type="dxa"/>
            <w:vAlign w:val="bottom"/>
            <w:gridSpan w:val="6"/>
          </w:tcPr>
          <w:p>
            <w:pPr>
              <w:spacing w:after="0" w:line="191" w:lineRule="exact"/>
              <w:rPr>
                <w:sz w:val="20"/>
                <w:szCs w:val="20"/>
                <w:color w:val="auto"/>
              </w:rPr>
            </w:pPr>
            <w:r>
              <w:rPr>
                <w:rFonts w:ascii="Arial" w:cs="Arial" w:eastAsia="Arial" w:hAnsi="Arial"/>
                <w:sz w:val="18"/>
                <w:szCs w:val="18"/>
                <w:color w:val="auto"/>
                <w:w w:val="92"/>
              </w:rPr>
              <w:t>Statement of Income, (iii) the Consolidated Statement of Comprehensive Income, (iv) the Consolidated Statement of Cash Flows,</w:t>
            </w:r>
          </w:p>
        </w:tc>
      </w:tr>
    </w:tbl>
    <w:p>
      <w:pPr>
        <w:ind w:left="1680" w:hanging="7"/>
        <w:spacing w:after="0" w:line="233" w:lineRule="auto"/>
        <w:tabs>
          <w:tab w:leader="none" w:pos="19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Consolidated Statement of Shareholders' Equity, (vi) Notes to Consolidated Financial Statements, and (vii) document and entity information.</w:t>
      </w:r>
    </w:p>
    <w:p>
      <w:pPr>
        <w:spacing w:after="0" w:line="1"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4040" w:type="dxa"/>
            <w:vAlign w:val="bottom"/>
            <w:gridSpan w:val="2"/>
          </w:tcPr>
          <w:p>
            <w:pPr>
              <w:ind w:left="860"/>
              <w:spacing w:after="0"/>
              <w:rPr>
                <w:sz w:val="20"/>
                <w:szCs w:val="20"/>
                <w:color w:val="auto"/>
              </w:rPr>
            </w:pPr>
            <w:r>
              <w:rPr>
                <w:rFonts w:ascii="Arial" w:cs="Arial" w:eastAsia="Arial" w:hAnsi="Arial"/>
                <w:sz w:val="18"/>
                <w:szCs w:val="18"/>
                <w:b w:val="1"/>
                <w:bCs w:val="1"/>
                <w:color w:val="auto"/>
              </w:rPr>
              <w:t>TRIMAS CORPORATION (Registrant)</w:t>
            </w:r>
          </w:p>
        </w:tc>
        <w:tc>
          <w:tcPr>
            <w:tcW w:w="4440" w:type="dxa"/>
            <w:vAlign w:val="bottom"/>
          </w:tcPr>
          <w:p>
            <w:pPr>
              <w:spacing w:after="0"/>
              <w:rPr>
                <w:sz w:val="20"/>
                <w:szCs w:val="20"/>
                <w:color w:val="auto"/>
              </w:rPr>
            </w:pPr>
          </w:p>
        </w:tc>
      </w:tr>
      <w:tr>
        <w:trPr>
          <w:trHeight w:val="486"/>
        </w:trPr>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40" w:type="dxa"/>
            <w:vAlign w:val="bottom"/>
          </w:tcPr>
          <w:p>
            <w:pPr>
              <w:jc w:val="center"/>
              <w:ind w:right="2490"/>
              <w:spacing w:after="0"/>
              <w:rPr>
                <w:sz w:val="20"/>
                <w:szCs w:val="20"/>
                <w:color w:val="auto"/>
              </w:rPr>
            </w:pPr>
            <w:r>
              <w:rPr>
                <w:rFonts w:ascii="Arial" w:cs="Arial" w:eastAsia="Arial" w:hAnsi="Arial"/>
                <w:sz w:val="18"/>
                <w:szCs w:val="18"/>
                <w:color w:val="auto"/>
                <w:w w:val="96"/>
              </w:rPr>
              <w:t>/s/ SCOTT A. MELL</w:t>
            </w:r>
          </w:p>
        </w:tc>
      </w:tr>
      <w:tr>
        <w:trPr>
          <w:trHeight w:val="54"/>
        </w:trPr>
        <w:tc>
          <w:tcPr>
            <w:tcW w:w="2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r>
      <w:tr>
        <w:trPr>
          <w:trHeight w:val="182"/>
        </w:trPr>
        <w:tc>
          <w:tcPr>
            <w:tcW w:w="2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40" w:type="dxa"/>
            <w:vAlign w:val="bottom"/>
          </w:tcPr>
          <w:p>
            <w:pPr>
              <w:jc w:val="center"/>
              <w:ind w:right="2490"/>
              <w:spacing w:after="0" w:line="182" w:lineRule="exact"/>
              <w:rPr>
                <w:sz w:val="20"/>
                <w:szCs w:val="20"/>
                <w:color w:val="auto"/>
              </w:rPr>
            </w:pPr>
            <w:r>
              <w:rPr>
                <w:rFonts w:ascii="Arial" w:cs="Arial" w:eastAsia="Arial" w:hAnsi="Arial"/>
                <w:sz w:val="18"/>
                <w:szCs w:val="18"/>
                <w:color w:val="auto"/>
                <w:w w:val="96"/>
              </w:rPr>
              <w:t>Scott A. Mell</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Date:  October 26, 2023</w:t>
            </w:r>
          </w:p>
        </w:tc>
        <w:tc>
          <w:tcPr>
            <w:tcW w:w="404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444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1116"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 w:hanging="324"/>
        <w:spacing w:after="0" w:line="308" w:lineRule="auto"/>
        <w:tabs>
          <w:tab w:leader="none" w:pos="111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September 30, 2023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2023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Roman"/>
      <w:start w:val="5"/>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3" Type="http://schemas.openxmlformats.org/officeDocument/2006/relationships/hyperlink" Target="http://www.sec.gov/Archives/edgar/data/842633/000110465907058776/a07-19157_1ex3d1.htm" TargetMode="External"/><Relationship Id="rId54"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2023-10-26T13:04:25Z</dcterms:created>
  <dcterms:modified xsi:type="dcterms:W3CDTF">2023-10-26T13:04:25Z</dcterms:modified>
</cp:coreProperties>
</file>