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20, 2026</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TRIMAS CORPORATION</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10" w:right="339" w:bottom="1440" w:gutter="0" w:footer="0" w:header="0"/>
        </w:sectPr>
      </w:pPr>
    </w:p>
    <w:p>
      <w:pPr>
        <w:spacing w:after="0" w:line="336"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34"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001-10716</w:t>
      </w:r>
    </w:p>
    <w:p>
      <w:pPr>
        <w:spacing w:after="0" w:line="31"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color w:val="auto"/>
        </w:rPr>
        <w:t>(Commission</w:t>
      </w:r>
    </w:p>
    <w:p>
      <w:pPr>
        <w:spacing w:after="0" w:line="23"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38-2687639</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(IRS Employer</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340" w:space="720"/>
            <w:col w:w="3020" w:space="720"/>
            <w:col w:w="2440"/>
          </w:cols>
          <w:pgMar w:left="320" w:top="1110" w:right="339" w:bottom="1440" w:gutter="0" w:footer="0" w:header="0"/>
          <w:type w:val="continuous"/>
        </w:sectPr>
      </w:pPr>
    </w:p>
    <w:p>
      <w:pPr>
        <w:spacing w:after="0" w:line="232" w:lineRule="exact"/>
        <w:rPr>
          <w:sz w:val="24"/>
          <w:szCs w:val="24"/>
          <w:color w:val="auto"/>
        </w:rPr>
      </w:pPr>
    </w:p>
    <w:p>
      <w:pPr>
        <w:ind w:left="360"/>
        <w:spacing w:after="0"/>
        <w:tabs>
          <w:tab w:leader="none" w:pos="2860" w:val="left"/>
          <w:tab w:leader="none" w:pos="3960" w:val="left"/>
        </w:tabs>
        <w:rPr>
          <w:sz w:val="20"/>
          <w:szCs w:val="20"/>
          <w:color w:val="auto"/>
        </w:rPr>
      </w:pPr>
      <w:r>
        <w:rPr>
          <w:rFonts w:ascii="Times New Roman" w:cs="Times New Roman" w:eastAsia="Times New Roman" w:hAnsi="Times New Roman"/>
          <w:sz w:val="18"/>
          <w:szCs w:val="18"/>
          <w:b w:val="1"/>
          <w:bCs w:val="1"/>
          <w:color w:val="auto"/>
        </w:rPr>
        <w:t>38505 Woodward Avenue,</w:t>
      </w:r>
      <w:r>
        <w:rPr>
          <w:sz w:val="20"/>
          <w:szCs w:val="20"/>
          <w:color w:val="auto"/>
        </w:rPr>
        <w:tab/>
      </w:r>
      <w:r>
        <w:rPr>
          <w:rFonts w:ascii="Times New Roman" w:cs="Times New Roman" w:eastAsia="Times New Roman" w:hAnsi="Times New Roman"/>
          <w:sz w:val="18"/>
          <w:szCs w:val="18"/>
          <w:b w:val="1"/>
          <w:bCs w:val="1"/>
          <w:color w:val="auto"/>
        </w:rPr>
        <w:t>Suite 200,</w:t>
      </w:r>
      <w:r>
        <w:rPr>
          <w:sz w:val="20"/>
          <w:szCs w:val="20"/>
          <w:color w:val="auto"/>
        </w:rPr>
        <w:tab/>
      </w:r>
      <w:r>
        <w:rPr>
          <w:rFonts w:ascii="Times New Roman" w:cs="Times New Roman" w:eastAsia="Times New Roman" w:hAnsi="Times New Roman"/>
          <w:sz w:val="17"/>
          <w:szCs w:val="17"/>
          <w:b w:val="1"/>
          <w:bCs w:val="1"/>
          <w:color w:val="auto"/>
        </w:rPr>
        <w:t>Bloomfield Hills,</w:t>
      </w:r>
    </w:p>
    <w:p>
      <w:pPr>
        <w:spacing w:after="0" w:line="31"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23"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48304</w:t>
      </w:r>
    </w:p>
    <w:p>
      <w:pPr>
        <w:spacing w:after="0" w:line="256"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color w:val="auto"/>
        </w:rPr>
        <w:t>(Zip Code)</w:t>
      </w:r>
    </w:p>
    <w:p>
      <w:pPr>
        <w:spacing w:after="0" w:line="204" w:lineRule="exact"/>
        <w:rPr>
          <w:sz w:val="24"/>
          <w:szCs w:val="24"/>
          <w:color w:val="auto"/>
        </w:rPr>
      </w:pPr>
    </w:p>
    <w:p>
      <w:pPr>
        <w:sectPr>
          <w:pgSz w:w="11900" w:h="16838" w:orient="portrait"/>
          <w:cols w:equalWidth="0" w:num="2">
            <w:col w:w="7420" w:space="720"/>
            <w:col w:w="3100"/>
          </w:cols>
          <w:pgMar w:left="320" w:top="1110" w:right="339" w:bottom="1440" w:gutter="0" w:footer="0" w:header="0"/>
          <w:type w:val="continuous"/>
        </w:sectPr>
      </w:pP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(248) 631-5450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8"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4"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8"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10"/>
        </w:trPr>
        <w:tc>
          <w:tcPr>
            <w:tcW w:w="1580" w:type="dxa"/>
            <w:vAlign w:val="bottom"/>
          </w:tcPr>
          <w:p>
            <w:pPr>
              <w:spacing w:after="0"/>
              <w:rPr>
                <w:sz w:val="24"/>
                <w:szCs w:val="24"/>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1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45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400" w:type="dxa"/>
            <w:vAlign w:val="bottom"/>
          </w:tcPr>
          <w:p>
            <w:pPr>
              <w:spacing w:after="0"/>
              <w:rPr>
                <w:sz w:val="21"/>
                <w:szCs w:val="21"/>
                <w:color w:val="auto"/>
              </w:rPr>
            </w:pPr>
          </w:p>
        </w:tc>
        <w:tc>
          <w:tcPr>
            <w:tcW w:w="260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rPr>
              <w:t>TRS</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1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0" w:lineRule="exact"/>
        <w:rPr>
          <w:sz w:val="24"/>
          <w:szCs w:val="24"/>
          <w:color w:val="auto"/>
        </w:rPr>
      </w:pPr>
    </w:p>
    <w:p>
      <w:pPr>
        <w:ind w:left="7180"/>
        <w:spacing w:after="0" w:line="207" w:lineRule="exact"/>
        <w:tabs>
          <w:tab w:leader="none" w:pos="98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44"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Corporation (the "Company") held its 2026 Annual Meeting of Shareholders on May 20, 2026 (the "Annual Meeting").</w:t>
      </w:r>
    </w:p>
    <w:p>
      <w:pPr>
        <w:spacing w:after="0" w:line="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There were a total of 36,685,359 shares of the Company’s common stock outstanding and entitled to vote at the Annual Meeting, and there were 30,071,708 shares of common stock represented in person or by proxy at the Annual Meeting, which constituted a quorum to conduct business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voted upon at the Annual Meeting and the results of the vote on each proposal were as follows: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 Election of directors for a three-year term:</w:t>
      </w:r>
    </w:p>
    <w:p>
      <w:pPr>
        <w:spacing w:after="0" w:line="216"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206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w w:val="96"/>
              </w:rPr>
              <w:t>WITHHELD</w:t>
            </w:r>
          </w:p>
        </w:tc>
        <w:tc>
          <w:tcPr>
            <w:tcW w:w="31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0"/>
        </w:trPr>
        <w:tc>
          <w:tcPr>
            <w:tcW w:w="2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r>
        <w:trPr>
          <w:trHeight w:val="245"/>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Holly M. Boehne</w:t>
            </w:r>
          </w:p>
        </w:tc>
        <w:tc>
          <w:tcPr>
            <w:tcW w:w="380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8"/>
              </w:rPr>
              <w:t>25,466,170</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2,825,985</w:t>
            </w:r>
          </w:p>
        </w:tc>
        <w:tc>
          <w:tcPr>
            <w:tcW w:w="31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w w:val="99"/>
              </w:rPr>
              <w:t>1,779,553</w:t>
            </w: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Herbert K. Parker</w:t>
            </w:r>
          </w:p>
        </w:tc>
        <w:tc>
          <w:tcPr>
            <w:tcW w:w="380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8"/>
              </w:rPr>
              <w:t>27,625,447</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666,708</w:t>
            </w:r>
          </w:p>
        </w:tc>
        <w:tc>
          <w:tcPr>
            <w:tcW w:w="316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w w:val="99"/>
              </w:rPr>
              <w:t>1,779,553</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Ratification of the appointment of Deloitte &amp; Touche LLP as the Company’s independent registered public accounting firm for the year ending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w:t>
      </w:r>
    </w:p>
    <w:p>
      <w:pPr>
        <w:spacing w:after="0" w:line="207" w:lineRule="exact"/>
        <w:rPr>
          <w:sz w:val="20"/>
          <w:szCs w:val="20"/>
          <w:color w:val="auto"/>
        </w:rPr>
      </w:pPr>
    </w:p>
    <w:tbl>
      <w:tblPr>
        <w:tblLayout w:type="fixed"/>
        <w:tblInd w:w="384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2500" w:type="dxa"/>
            <w:vAlign w:val="bottom"/>
            <w:gridSpan w:val="2"/>
          </w:tcPr>
          <w:p>
            <w:pPr>
              <w:jc w:val="center"/>
              <w:ind w:right="2160"/>
              <w:spacing w:after="0"/>
              <w:rPr>
                <w:sz w:val="20"/>
                <w:szCs w:val="20"/>
                <w:color w:val="auto"/>
              </w:rPr>
            </w:pPr>
            <w:r>
              <w:rPr>
                <w:rFonts w:ascii="Times New Roman" w:cs="Times New Roman" w:eastAsia="Times New Roman" w:hAnsi="Times New Roman"/>
                <w:sz w:val="18"/>
                <w:szCs w:val="18"/>
                <w:color w:val="auto"/>
                <w:w w:val="96"/>
              </w:rPr>
              <w:t>FOR</w:t>
            </w:r>
          </w:p>
        </w:tc>
        <w:tc>
          <w:tcPr>
            <w:tcW w:w="17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AGAINST</w:t>
            </w:r>
          </w:p>
        </w:tc>
        <w:tc>
          <w:tcPr>
            <w:tcW w:w="17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0"/>
        </w:trPr>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50"/>
        </w:trPr>
        <w:tc>
          <w:tcPr>
            <w:tcW w:w="2740" w:type="dxa"/>
            <w:vAlign w:val="bottom"/>
            <w:gridSpan w:val="3"/>
          </w:tcPr>
          <w:p>
            <w:pPr>
              <w:jc w:val="right"/>
              <w:ind w:right="1920"/>
              <w:spacing w:after="0"/>
              <w:rPr>
                <w:sz w:val="20"/>
                <w:szCs w:val="20"/>
                <w:color w:val="auto"/>
              </w:rPr>
            </w:pPr>
            <w:r>
              <w:rPr>
                <w:rFonts w:ascii="Times New Roman" w:cs="Times New Roman" w:eastAsia="Times New Roman" w:hAnsi="Times New Roman"/>
                <w:sz w:val="18"/>
                <w:szCs w:val="18"/>
                <w:color w:val="auto"/>
                <w:w w:val="98"/>
              </w:rPr>
              <w:t>29,966,034</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104,188</w:t>
            </w:r>
          </w:p>
        </w:tc>
        <w:tc>
          <w:tcPr>
            <w:tcW w:w="980" w:type="dxa"/>
            <w:vAlign w:val="bottom"/>
          </w:tcPr>
          <w:p>
            <w:pPr>
              <w:spacing w:after="0"/>
              <w:rPr>
                <w:sz w:val="21"/>
                <w:szCs w:val="21"/>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1,486</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w:t>
      </w:r>
      <w:r>
        <w:rPr>
          <w:rFonts w:ascii="Times New Roman" w:cs="Times New Roman" w:eastAsia="Times New Roman" w:hAnsi="Times New Roman"/>
          <w:sz w:val="18"/>
          <w:szCs w:val="18"/>
          <w:color w:val="auto"/>
        </w:rPr>
        <w:t>. Approval, on a non-binding advisory basis, of the compensation paid to the Company’s Named Executive Officers: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52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w w:val="96"/>
              </w:rPr>
              <w:t>FOR</w:t>
            </w:r>
          </w:p>
        </w:tc>
        <w:tc>
          <w:tcPr>
            <w:tcW w:w="2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AGAINST</w:t>
            </w:r>
          </w:p>
        </w:tc>
        <w:tc>
          <w:tcPr>
            <w:tcW w:w="31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ABSTAIN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BROKER NON-VOTES</w:t>
            </w:r>
          </w:p>
        </w:tc>
      </w:tr>
      <w:tr>
        <w:trPr>
          <w:trHeight w:val="20"/>
        </w:trPr>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r>
        <w:trPr>
          <w:trHeight w:val="250"/>
        </w:trPr>
        <w:tc>
          <w:tcPr>
            <w:tcW w:w="176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w w:val="98"/>
              </w:rPr>
              <w:t>23,049,659</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5,199,440</w:t>
            </w:r>
          </w:p>
        </w:tc>
        <w:tc>
          <w:tcPr>
            <w:tcW w:w="980" w:type="dxa"/>
            <w:vAlign w:val="bottom"/>
          </w:tcPr>
          <w:p>
            <w:pPr>
              <w:spacing w:after="0"/>
              <w:rPr>
                <w:sz w:val="21"/>
                <w:szCs w:val="21"/>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43,056</w:t>
            </w:r>
          </w:p>
        </w:tc>
        <w:tc>
          <w:tcPr>
            <w:tcW w:w="1440" w:type="dxa"/>
            <w:vAlign w:val="bottom"/>
          </w:tcPr>
          <w:p>
            <w:pPr>
              <w:spacing w:after="0"/>
              <w:rPr>
                <w:sz w:val="21"/>
                <w:szCs w:val="21"/>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1,779,553</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votes set forth above, each of the nominees for director were elected as directors and proposals 2 and 3 were approved by the shareholders of the Company.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TRIMAS CORPORATION</w:t>
            </w:r>
          </w:p>
        </w:tc>
      </w:tr>
      <w:tr>
        <w:trPr>
          <w:trHeight w:val="50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w w:val="99"/>
              </w:rPr>
              <w:t>May 21, 2026</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Jodi Robin</w:t>
            </w:r>
          </w:p>
        </w:tc>
      </w:tr>
      <w:tr>
        <w:trPr>
          <w:trHeight w:val="218"/>
        </w:trPr>
        <w:tc>
          <w:tcPr>
            <w:tcW w:w="1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Jodi Robin</w:t>
            </w:r>
          </w:p>
        </w:tc>
      </w:tr>
      <w:tr>
        <w:trPr>
          <w:trHeight w:val="234"/>
        </w:trPr>
        <w:tc>
          <w:tcPr>
            <w:tcW w:w="1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240"/>
      </w:cols>
      <w:pgMar w:left="320" w:top="13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2026-05-21T12:14:11Z</dcterms:created>
  <dcterms:modified xsi:type="dcterms:W3CDTF">2026-05-21T12:14:11Z</dcterms:modified>
</cp:coreProperties>
</file>