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(Mark One)</w:t>
      </w:r>
    </w:p>
    <w:p>
      <w:pPr>
        <w:ind w:left="1820" w:hanging="995"/>
        <w:spacing w:after="0" w:line="227" w:lineRule="auto"/>
        <w:tabs>
          <w:tab w:leader="none" w:pos="1820" w:val="left"/>
        </w:tabs>
        <w:numPr>
          <w:ilvl w:val="0"/>
          <w:numId w:val="1"/>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7"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Or</w:t>
      </w:r>
    </w:p>
    <w:p>
      <w:pPr>
        <w:ind w:left="1820" w:hanging="995"/>
        <w:spacing w:after="0" w:line="224" w:lineRule="auto"/>
        <w:tabs>
          <w:tab w:leader="none" w:pos="1820" w:val="left"/>
        </w:tabs>
        <w:numPr>
          <w:ilvl w:val="0"/>
          <w:numId w:val="2"/>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84" w:lineRule="exact"/>
        <w:rPr>
          <w:sz w:val="24"/>
          <w:szCs w:val="24"/>
          <w:color w:val="auto"/>
        </w:rPr>
      </w:pPr>
    </w:p>
    <w:tbl>
      <w:tblPr>
        <w:tblLayout w:type="fixed"/>
        <w:tblInd w:w="3100" w:type="dxa"/>
        <w:tblCellMar>
          <w:top w:w="0" w:type="dxa"/>
          <w:left w:w="0" w:type="dxa"/>
          <w:bottom w:w="0" w:type="dxa"/>
          <w:right w:w="0" w:type="dxa"/>
        </w:tblCellMar>
      </w:tblPr>
      <w:tr>
        <w:trPr>
          <w:trHeight w:val="207"/>
        </w:trPr>
        <w:tc>
          <w:tcPr>
            <w:tcW w:w="28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8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0"/>
        </w:trPr>
        <w:tc>
          <w:tcPr>
            <w:tcW w:w="2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4580" w:type="dxa"/>
            <w:vAlign w:val="bottom"/>
            <w:gridSpan w:val="4"/>
          </w:tcPr>
          <w:p>
            <w:pPr>
              <w:jc w:val="center"/>
              <w:ind w:left="362"/>
              <w:spacing w:after="0"/>
              <w:rPr>
                <w:sz w:val="20"/>
                <w:szCs w:val="20"/>
                <w:color w:val="auto"/>
              </w:rPr>
            </w:pPr>
            <w:r>
              <w:rPr>
                <w:rFonts w:ascii="Times New Roman" w:cs="Times New Roman" w:eastAsia="Times New Roman" w:hAnsi="Times New Roman"/>
                <w:sz w:val="18"/>
                <w:szCs w:val="18"/>
                <w:b w:val="1"/>
                <w:bCs w:val="1"/>
                <w:color w:val="auto"/>
              </w:rPr>
              <w:t>Commission file number 001-10716</w:t>
            </w:r>
          </w:p>
        </w:tc>
        <w:tc>
          <w:tcPr>
            <w:tcW w:w="40" w:type="dxa"/>
            <w:vAlign w:val="bottom"/>
          </w:tcPr>
          <w:p>
            <w:pPr>
              <w:spacing w:after="0"/>
              <w:rPr>
                <w:sz w:val="24"/>
                <w:szCs w:val="24"/>
                <w:color w:val="auto"/>
              </w:rPr>
            </w:pPr>
          </w:p>
        </w:tc>
      </w:tr>
      <w:tr>
        <w:trPr>
          <w:trHeight w:val="439"/>
        </w:trPr>
        <w:tc>
          <w:tcPr>
            <w:tcW w:w="4580" w:type="dxa"/>
            <w:vAlign w:val="bottom"/>
            <w:gridSpan w:val="4"/>
          </w:tcPr>
          <w:p>
            <w:pPr>
              <w:jc w:val="center"/>
              <w:ind w:left="362"/>
              <w:spacing w:after="0"/>
              <w:rPr>
                <w:sz w:val="20"/>
                <w:szCs w:val="20"/>
                <w:color w:val="auto"/>
              </w:rPr>
            </w:pPr>
            <w:r>
              <w:rPr>
                <w:rFonts w:ascii="Times New Roman" w:cs="Times New Roman" w:eastAsia="Times New Roman" w:hAnsi="Times New Roman"/>
                <w:sz w:val="29"/>
                <w:szCs w:val="29"/>
                <w:b w:val="1"/>
                <w:bCs w:val="1"/>
                <w:color w:val="auto"/>
                <w:w w:val="98"/>
              </w:rPr>
              <w:t>TRIMAS CORPORATION</w:t>
            </w:r>
          </w:p>
        </w:tc>
        <w:tc>
          <w:tcPr>
            <w:tcW w:w="40" w:type="dxa"/>
            <w:vAlign w:val="bottom"/>
          </w:tcPr>
          <w:p>
            <w:pPr>
              <w:spacing w:after="0"/>
              <w:rPr>
                <w:sz w:val="24"/>
                <w:szCs w:val="24"/>
                <w:color w:val="auto"/>
              </w:rPr>
            </w:pPr>
          </w:p>
        </w:tc>
      </w:tr>
      <w:tr>
        <w:trPr>
          <w:trHeight w:val="303"/>
        </w:trPr>
        <w:tc>
          <w:tcPr>
            <w:tcW w:w="4580" w:type="dxa"/>
            <w:vAlign w:val="bottom"/>
            <w:gridSpan w:val="4"/>
          </w:tcPr>
          <w:p>
            <w:pPr>
              <w:jc w:val="center"/>
              <w:ind w:left="362"/>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40" w:type="dxa"/>
            <w:vAlign w:val="bottom"/>
          </w:tcPr>
          <w:p>
            <w:pPr>
              <w:spacing w:after="0"/>
              <w:rPr>
                <w:sz w:val="24"/>
                <w:szCs w:val="24"/>
                <w:color w:val="auto"/>
              </w:rPr>
            </w:pPr>
          </w:p>
        </w:tc>
      </w:tr>
      <w:tr>
        <w:trPr>
          <w:trHeight w:val="346"/>
        </w:trPr>
        <w:tc>
          <w:tcPr>
            <w:tcW w:w="2800" w:type="dxa"/>
            <w:vAlign w:val="bottom"/>
          </w:tcPr>
          <w:p>
            <w:pPr>
              <w:jc w:val="center"/>
              <w:ind w:right="5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38-2687639</w:t>
            </w:r>
          </w:p>
        </w:tc>
        <w:tc>
          <w:tcPr>
            <w:tcW w:w="40" w:type="dxa"/>
            <w:vAlign w:val="bottom"/>
          </w:tcPr>
          <w:p>
            <w:pPr>
              <w:spacing w:after="0"/>
              <w:rPr>
                <w:sz w:val="24"/>
                <w:szCs w:val="24"/>
                <w:color w:val="auto"/>
              </w:rPr>
            </w:pPr>
          </w:p>
        </w:tc>
      </w:tr>
      <w:tr>
        <w:trPr>
          <w:trHeight w:val="180"/>
        </w:trPr>
        <w:tc>
          <w:tcPr>
            <w:tcW w:w="2800" w:type="dxa"/>
            <w:vAlign w:val="bottom"/>
          </w:tcPr>
          <w:p>
            <w:pPr>
              <w:jc w:val="center"/>
              <w:ind w:right="522"/>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780" w:type="dxa"/>
            <w:vAlign w:val="bottom"/>
            <w:gridSpan w:val="3"/>
          </w:tcPr>
          <w:p>
            <w:pPr>
              <w:jc w:val="center"/>
              <w:ind w:left="430"/>
              <w:spacing w:after="0" w:line="181" w:lineRule="exact"/>
              <w:rPr>
                <w:sz w:val="20"/>
                <w:szCs w:val="20"/>
                <w:color w:val="auto"/>
              </w:rPr>
            </w:pPr>
            <w:r>
              <w:rPr>
                <w:rFonts w:ascii="Times New Roman" w:cs="Times New Roman" w:eastAsia="Times New Roman" w:hAnsi="Times New Roman"/>
                <w:sz w:val="18"/>
                <w:szCs w:val="18"/>
                <w:color w:val="auto"/>
              </w:rPr>
              <w:t>(IRS Employer</w:t>
            </w:r>
          </w:p>
        </w:tc>
        <w:tc>
          <w:tcPr>
            <w:tcW w:w="40" w:type="dxa"/>
            <w:vAlign w:val="bottom"/>
          </w:tcPr>
          <w:p>
            <w:pPr>
              <w:spacing w:after="0"/>
              <w:rPr>
                <w:sz w:val="15"/>
                <w:szCs w:val="15"/>
                <w:color w:val="auto"/>
              </w:rPr>
            </w:pPr>
          </w:p>
        </w:tc>
      </w:tr>
      <w:tr>
        <w:trPr>
          <w:trHeight w:val="234"/>
        </w:trPr>
        <w:tc>
          <w:tcPr>
            <w:tcW w:w="2800" w:type="dxa"/>
            <w:vAlign w:val="bottom"/>
          </w:tcPr>
          <w:p>
            <w:pPr>
              <w:jc w:val="center"/>
              <w:ind w:right="54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2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38505 Woodward Avenue, Suite 200</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Bloomfield Hills, Michigan 48304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2"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TRS</w:t>
            </w:r>
          </w:p>
        </w:tc>
        <w:tc>
          <w:tcPr>
            <w:tcW w:w="10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1" w:lineRule="exact"/>
        <w:rPr>
          <w:sz w:val="24"/>
          <w:szCs w:val="24"/>
          <w:color w:val="auto"/>
        </w:rPr>
      </w:pPr>
    </w:p>
    <w:p>
      <w:pPr>
        <w:jc w:val="both"/>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29" w:lineRule="exact"/>
        <w:rPr>
          <w:sz w:val="24"/>
          <w:szCs w:val="24"/>
          <w:color w:val="auto"/>
        </w:rPr>
      </w:pPr>
    </w:p>
    <w:p>
      <w:pPr>
        <w:jc w:val="both"/>
        <w:spacing w:after="0" w:line="26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4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1600" w:type="dxa"/>
        <w:tblCellMar>
          <w:top w:w="0" w:type="dxa"/>
          <w:left w:w="0" w:type="dxa"/>
          <w:bottom w:w="0" w:type="dxa"/>
          <w:right w:w="0" w:type="dxa"/>
        </w:tblCellMar>
      </w:tblPr>
      <w:tr>
        <w:trPr>
          <w:trHeight w:val="338"/>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1"/>
        </w:trPr>
        <w:tc>
          <w:tcPr>
            <w:tcW w:w="2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4"/>
          <w:szCs w:val="24"/>
          <w:color w:val="auto"/>
        </w:rPr>
      </w:pPr>
    </w:p>
    <w:p>
      <w:pPr>
        <w:jc w:val="both"/>
        <w:ind w:right="184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April 21, 2022, the number of outstanding shares of the Registrant's common stock, $0.01 par value, was 42,495,065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20" w:type="dxa"/>
            <w:vAlign w:val="bottom"/>
            <w:gridSpan w:val="12"/>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8"/>
              </w:rPr>
              <w:t>TriMas Corporation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gridSpan w:val="10"/>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74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Forward-Looking Statements</w:t>
            </w:r>
          </w:p>
        </w:tc>
        <w:tc>
          <w:tcPr>
            <w:tcW w:w="4320" w:type="dxa"/>
            <w:vAlign w:val="bottom"/>
            <w:gridSpan w:val="10"/>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Balance Sheet as of March 31, 2022 and December 31, 2021</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Consolidated Statement of Income for the Three Months Ended March 31, 2022 and 2021</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 of Comprehensive Income for the Three Months Ended March</w:t>
            </w: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3"/>
              </w:rPr>
              <w:t>31, 2022 and 2021</w:t>
            </w:r>
          </w:p>
        </w:tc>
        <w:tc>
          <w:tcPr>
            <w:tcW w:w="4960" w:type="dxa"/>
            <w:vAlign w:val="bottom"/>
            <w:tcBorders>
              <w:top w:val="single" w:sz="8" w:color="0000FF"/>
            </w:tcBorders>
            <w:gridSpan w:val="9"/>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 of Cash Flows for the Three Months Ended March 31, 2022 and</w:t>
            </w: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top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8"/>
              </w:rPr>
              <w:t>2021</w:t>
            </w:r>
          </w:p>
        </w:tc>
        <w:tc>
          <w:tcPr>
            <w:tcW w:w="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 of Shareholders' Equity for the Three Months Ended March 31,</w:t>
            </w: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7"/>
              </w:rPr>
              <w:t>2022 and 2021</w:t>
            </w:r>
          </w:p>
        </w:tc>
        <w:tc>
          <w:tcPr>
            <w:tcW w:w="4280" w:type="dxa"/>
            <w:vAlign w:val="bottom"/>
            <w:tcBorders>
              <w:top w:val="single" w:sz="8" w:color="0000FF"/>
            </w:tcBorders>
            <w:gridSpan w:val="9"/>
          </w:tcPr>
          <w:p>
            <w:pPr>
              <w:spacing w:after="0"/>
              <w:rPr>
                <w:sz w:val="14"/>
                <w:szCs w:val="14"/>
                <w:color w:val="auto"/>
              </w:rPr>
            </w:pPr>
          </w:p>
        </w:tc>
        <w:tc>
          <w:tcPr>
            <w:tcW w:w="960" w:type="dxa"/>
            <w:vAlign w:val="bottom"/>
            <w:tcBorders>
              <w:top w:val="single" w:sz="8" w:color="0000FF"/>
            </w:tcBorders>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280" w:type="dxa"/>
            <w:vAlign w:val="bottom"/>
            <w:gridSpan w:val="7"/>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20" w:type="dxa"/>
            <w:vAlign w:val="bottom"/>
            <w:gridSpan w:val="2"/>
          </w:tcPr>
          <w:p>
            <w:pPr>
              <w:spacing w:after="0"/>
              <w:rPr>
                <w:sz w:val="24"/>
                <w:szCs w:val="24"/>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20" w:type="dxa"/>
            <w:vAlign w:val="bottom"/>
            <w:gridSpan w:val="2"/>
          </w:tcPr>
          <w:p>
            <w:pPr>
              <w:spacing w:after="0"/>
              <w:rPr>
                <w:sz w:val="24"/>
                <w:szCs w:val="24"/>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500" w:type="dxa"/>
            <w:vAlign w:val="bottom"/>
          </w:tcPr>
          <w:p>
            <w:pPr>
              <w:spacing w:after="0"/>
              <w:rPr>
                <w:sz w:val="24"/>
                <w:szCs w:val="24"/>
                <w:color w:val="auto"/>
              </w:rPr>
            </w:pPr>
          </w:p>
        </w:tc>
        <w:tc>
          <w:tcPr>
            <w:tcW w:w="1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6040" w:type="dxa"/>
            <w:vAlign w:val="bottom"/>
            <w:gridSpan w:val="16"/>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420" w:type="dxa"/>
            <w:vAlign w:val="bottom"/>
            <w:gridSpan w:val="2"/>
          </w:tcPr>
          <w:p>
            <w:pPr>
              <w:spacing w:after="0"/>
              <w:rPr>
                <w:sz w:val="24"/>
                <w:szCs w:val="24"/>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1A.</w:t>
            </w:r>
          </w:p>
        </w:tc>
        <w:tc>
          <w:tcPr>
            <w:tcW w:w="420" w:type="dxa"/>
            <w:vAlign w:val="bottom"/>
            <w:gridSpan w:val="2"/>
          </w:tcPr>
          <w:p>
            <w:pPr>
              <w:spacing w:after="0"/>
              <w:rPr>
                <w:sz w:val="24"/>
                <w:szCs w:val="24"/>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gridSpan w:val="2"/>
          </w:tcPr>
          <w:p>
            <w:pPr>
              <w:spacing w:after="0"/>
              <w:rPr>
                <w:sz w:val="24"/>
                <w:szCs w:val="24"/>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412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20" w:type="dxa"/>
            <w:vAlign w:val="bottom"/>
            <w:gridSpan w:val="2"/>
          </w:tcPr>
          <w:p>
            <w:pPr>
              <w:spacing w:after="0"/>
              <w:rPr>
                <w:sz w:val="24"/>
                <w:szCs w:val="24"/>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660" w:type="dxa"/>
            <w:vAlign w:val="bottom"/>
            <w:gridSpan w:val="11"/>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420" w:type="dxa"/>
            <w:vAlign w:val="bottom"/>
            <w:gridSpan w:val="2"/>
          </w:tcPr>
          <w:p>
            <w:pPr>
              <w:spacing w:after="0"/>
              <w:rPr>
                <w:sz w:val="24"/>
                <w:szCs w:val="24"/>
                <w:color w:val="auto"/>
              </w:rPr>
            </w:pP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5120" w:type="dxa"/>
            <w:vAlign w:val="bottom"/>
            <w:gridSpan w:val="1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6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w:t>
            </w:r>
            <w:r>
              <w:rPr>
                <w:rFonts w:ascii="Times New Roman" w:cs="Times New Roman" w:eastAsia="Times New Roman" w:hAnsi="Times New Roman"/>
                <w:sz w:val="18"/>
                <w:szCs w:val="18"/>
                <w:color w:val="0033CC"/>
              </w:rPr>
              <w: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33C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08" w:right="1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numerous assumptions, risks and uncertainties which could materially affect our business, financial condition or future results including, but not limited to: the severity and duration of the ongoing coronavirus (“COVID-19”) pandemic on our operations, customers and suppliers, as well as related actions taken by governmental authorities and other third parties in response, each of which is uncertain, rapidly changing and difficult to predict; general economic and currency conditions; inflationary pressures on our supply chain, including raw material and energy costs, and customers; interest rate volatility;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including the availability and cost of raw materials; market demand; intellectual property factors; litigation; government and regulatory actions, including, without limitation, climate change legislation and other environmental regulations, as well as the impact of tariffs, quotas and surcharges; our leverage; liabilities imposed by our debt instruments; labor disputes and shortages; changes to fiscal and tax policies; contingent liabilities relating to acquisition activities; the disruption of operations from catastrophic or extraordinary events, including natural disasters, geopolitical conflicts and public health crises; the amount and timing of future dividends and/or share repurchases, which remain subject to Board approval and depend on market and other conditions; our future prospects; and other risks that are discussed in Part I, Item 1A, "Risk Factors," in our Annual Report on Form 10-K for the year ended December 31, 2021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disclose important factors that could cause our actual results to differ materially from our expectations implied by our forward-looking statements under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Consolidated Financial Statements</w:t>
      </w:r>
    </w:p>
    <w:p>
      <w:pPr>
        <w:spacing w:after="0" w:line="10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78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140,740</w:t>
            </w:r>
          </w:p>
        </w:tc>
      </w:tr>
      <w:tr>
        <w:trPr>
          <w:trHeight w:val="176"/>
        </w:trPr>
        <w:tc>
          <w:tcPr>
            <w:tcW w:w="77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Receivables, net of reserves of approximately $1.3 million and $1.6 million as of March 31, 2022 and</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125,630</w:t>
            </w: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152,450</w:t>
            </w:r>
          </w:p>
        </w:tc>
      </w:tr>
      <w:tr>
        <w:trPr>
          <w:trHeight w:val="229"/>
        </w:trPr>
        <w:tc>
          <w:tcPr>
            <w:tcW w:w="7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431,770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265,630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315,490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196,730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1,309,050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1,303,640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24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87,800</w:t>
            </w:r>
          </w:p>
        </w:tc>
      </w:tr>
      <w:tr>
        <w:trPr>
          <w:trHeight w:val="22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58,980</w:t>
            </w: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154,900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393,820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21,260</w:t>
            </w:r>
          </w:p>
        </w:tc>
      </w:tr>
      <w:tr>
        <w:trPr>
          <w:trHeight w:val="229"/>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672,790</w:t>
            </w:r>
          </w:p>
        </w:tc>
      </w:tr>
      <w:tr>
        <w:trPr>
          <w:trHeight w:val="155"/>
        </w:trPr>
        <w:tc>
          <w:tcPr>
            <w:tcW w:w="77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Preferred stock, $0.01 par: Authorized 100,000,000 shares;</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2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$0.01 par: Authorized 400,000,000 shares;</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7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Issued and outstanding: 42,620,656 shares at March 31, 2022 and 42,836,574 shares at December 31,</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732,490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(102,300)</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630,850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1,309,050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1,303,640</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 except for per share amounts)</w:t>
      </w:r>
    </w:p>
    <w:p>
      <w:pPr>
        <w:spacing w:after="0" w:line="12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206,730</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(155,400)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51,330</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21,110</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financing and related expenses</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42,799,206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43,185,007</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43,109,693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43,634,876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2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w:t>
            </w:r>
          </w:p>
        </w:tc>
      </w:tr>
      <w:tr>
        <w:trPr>
          <w:trHeight w:val="21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plans (Note 18)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11)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23"/>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80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 net of acquisition impact: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dispositions of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issue costs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financing and related expenses</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receivables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inventories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prepaid expenses and other 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accounts payable and accrued liabilities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 net of acquisition impact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proceeds from disposition of property and equipment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0" w:type="dxa"/>
            <w:vAlign w:val="bottom"/>
          </w:tcPr>
          <w:p>
            <w:pPr>
              <w:spacing w:after="0"/>
              <w:rPr>
                <w:sz w:val="1"/>
                <w:szCs w:val="1"/>
                <w:color w:val="auto"/>
              </w:rPr>
            </w:pP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senior notes</w:t>
            </w: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financing fees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surrendered upon exercise and vesting of equity awards to cover taxes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340,820</w:t>
            </w:r>
          </w:p>
        </w:tc>
        <w:tc>
          <w:tcPr>
            <w:tcW w:w="0" w:type="dxa"/>
            <w:vAlign w:val="bottom"/>
          </w:tcPr>
          <w:p>
            <w:pPr>
              <w:spacing w:after="0"/>
              <w:rPr>
                <w:sz w:val="1"/>
                <w:szCs w:val="1"/>
                <w:color w:val="auto"/>
              </w:rPr>
            </w:pP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(decrease) for the period</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347,190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At beginning of period</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73,950</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421,140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8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paid for taxes</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630,850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723,540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633,830</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584,250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March 31,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595,970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in the current economic environment due to the ongoing outbreak of the coronavirus and related variants (“COVID-19”) as well as input cost inflation, supply chain disruptions, and shortages in global markets for commodities, logistics and labor. To the extent there are differences between these estimates and actual results, the Company's consolidated financial statements may be materially affected.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of operations for interim periods are not necessarily indicative of results for the full year. The accompanying consolidated financial statements and notes thereto should be read in conjunction with the Company's 2021 Annual Report on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2021, the Financial Accounting Standards Board ("FASB") issued Accounting Standards Update ("ASU") 2021-10, "Government Assistance (Topic 832): Disclosures by Business Entities about Government Assistance" ("ASU 2021-10"), which requires annual disclosures about transactions with a government that are accounted for by applying a grant or contribution accounting model by analogy. ASU 2021-10 is effective for annual filings in fiscal years beginning after December 15, 2021, with early adoption permitted. The Company is in the process of assessing the impact of adoption on its consolidated financial statements.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("ASU 2021-08"), which requires that an acquirer recognize and measure contract assets and contract liabilities acquired in a business combination in accordance with Topic 606, "Revenue from Contracts with Customers." ASU 2021-08 is effective for fiscal years, and interim periods within those years, beginning after December 15, 2022, with early adoption permitted. The Company is in the process of assessing the impact of adoption on its consolidated financial statements.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net sales by primary market served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Customer Markets</w:t>
            </w:r>
          </w:p>
        </w:tc>
        <w:tc>
          <w:tcPr>
            <w:tcW w:w="300" w:type="dxa"/>
            <w:vAlign w:val="bottom"/>
          </w:tcPr>
          <w:p>
            <w:pPr>
              <w:spacing w:after="0"/>
              <w:rPr>
                <w:sz w:val="18"/>
                <w:szCs w:val="18"/>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Products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105,120</w:t>
            </w:r>
          </w:p>
        </w:tc>
      </w:tr>
      <w:tr>
        <w:trPr>
          <w:trHeight w:val="22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44,610</w:t>
            </w: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w:t>
            </w:r>
          </w:p>
        </w:tc>
      </w:tr>
      <w:tr>
        <w:trPr>
          <w:trHeight w:val="223"/>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206,730</w:t>
            </w:r>
          </w:p>
        </w:tc>
      </w:tr>
      <w:tr>
        <w:trPr>
          <w:trHeight w:val="21"/>
        </w:trPr>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Packaging segment earns revenues from the consumer products (comprised of the beauty and personal care, food and beverage, home care, pharmaceutical, nutraceutical and medical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Realignment 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Realignment Actions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2022, the Company incurred realignment charges in its Packaging segment related to adjusting its labor force in facilities with lower demand, finalizing its Indianapolis, Indiana facility consolidation, costs incurred to reorganize its benefit plans in the United Kingdom, and for costs incurred as part of the Company's start-up and relocation to a new larger facility in New Albany, Ohio. The Company also completed the Aerospace segment footprint realignment which began in 2021. In connection with these actions, the Company recorded pre-tax realignment charges of approximately $2.3 million, of which $1.4 million were for employee-related costs and $0.9 million related to facility move and consolidation costs. For the three months ended March 31, 2022, approximately $0.9 million and $1.4 million of these charges were included in cost of sales and selling, general and administrative expenses, respectively, in the accompanying consolidated statement of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Realignment Actions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2021, the Company executed certain realignment actions in response to reductions in current and expected future end market demand. First, the Company closed its Packaging segment's Union City, California manufacturing facility, consolidating the operation into its Indianapolis, Indiana and Woodridge, Illinois facilities. The Company also realigned its Aerospace segment footprint, consolidating certain activities previously in its three leased Stanton, California facilities into its owned Tolleson, Arizona facility. In addition, the Company also reorganized and streamlined its corporate office legal group. The Company recorded pre-tax realignment charges of approximately $4.1 million during the three months ended March 31, 2021. Of these costs, approximately $1.5 million related to facility consolidations and approximately $2.6 million were for employee separation costs. As of March 31, 2021, approximately $0.4 million of the employee separation costs had been paid. For the three months ended March 31, 2021, approximately $1.8 million and $2.3 million of these charges were included in cost of sales and selling, general and administrative expenses, respectively, in the accompanying consolidated statement of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Acquisitions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28, 2022, the Company acquired Intertech Plastics LLC and related companies (collectively, "Intertech") for a purchase price of approximately $64.0 million, net of cash acquired, subject to a customary net working capital adjustment, which is expected to be completed in second quarter 2022. Intertech is a manufacturer of custom injection molded products used in medical applications, as well as products and assemblies for consumer and industrial applications. The fair value of assets acquired and liabilities assumed included approximately $32.2 million of goodwill, $13.5 million of intangible assets, $12.2 million of property and equipment and $6.1 million of net working capital. Intertech, which is reported in the Company's Packaging segment, has two manufacturing facilities located in the Denver, Colorado area and historically generated approximately $32 million in annual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Acquisitions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17, 2021, the Company acquired Omega Plastics ("Omega"), which specializes in manufacturing custom components and devices for drug delivery, diagnostic and orthopedic medical applications, as well as components for industrial applications, for an aggregate amount of approximately $22.5 million, net of cash acquired. Omega, which is reported in the Company's Packaging segment, is located in Clinton Township, Michigan and historically generated approximately $18 million in annual revenue.</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5, 2021, the Company acquired TFI Aerospace ("TFI"), a manufacturer and supplier of specialty fasteners used in a variety of applications, predominately for the aerospace end market, for an aggregate amount of approximately $11.8 million, with additional contingent consideration ranging from zero to approximately $12.0 million to be paid based on 2023 and 2024 earnings per the purchase agreement. The Company recorded $3.7 million as its best estimate of the additional contingent consideration, with such estimate based on Level 3 inputs under the fair value hierarchy, as defined. TFI, which is reported in the Company's Aerospace segment, is located near Toronto, Canada and historically generated approximately $6 million in annual revenue. As of March 31, 2022, the recorded contingent consideration liability was approximately $3.8 million.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and Cash Equivalents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consists of the following components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6"/>
                <w:szCs w:val="16"/>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129,790</w:t>
            </w:r>
          </w:p>
        </w:tc>
      </w:tr>
      <w:tr>
        <w:trPr>
          <w:trHeight w:val="229"/>
        </w:trPr>
        <w:tc>
          <w:tcPr>
            <w:tcW w:w="8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 restricted </w:t>
            </w:r>
            <w:r>
              <w:rPr>
                <w:rFonts w:ascii="Times New Roman" w:cs="Times New Roman" w:eastAsia="Times New Roman" w:hAnsi="Times New Roman"/>
                <w:sz w:val="23"/>
                <w:szCs w:val="23"/>
                <w:color w:val="auto"/>
                <w:vertAlign w:val="superscript"/>
              </w:rPr>
              <w:t>(a)</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w:t>
            </w: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cash placed on deposit with a financial institution to be held as cash collateral for the Company's outstanding letters of credit.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 months ended March 31, 2022 are summarized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Aerospace</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Specialty Products</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315,490</w:t>
            </w: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from acquisitions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32,210</w:t>
            </w: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268,180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70,270</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345,010</w:t>
            </w: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220" w:type="dxa"/>
            <w:vAlign w:val="bottom"/>
          </w:tcPr>
          <w:p>
            <w:pPr>
              <w:spacing w:after="0"/>
              <w:rPr>
                <w:sz w:val="18"/>
                <w:szCs w:val="18"/>
                <w:color w:val="auto"/>
              </w:rPr>
            </w:pPr>
          </w:p>
        </w:tc>
        <w:tc>
          <w:tcPr>
            <w:tcW w:w="330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0" w:type="dxa"/>
            <w:vAlign w:val="bottom"/>
          </w:tcPr>
          <w:p>
            <w:pPr>
              <w:spacing w:after="0"/>
              <w:rPr>
                <w:sz w:val="1"/>
                <w:szCs w:val="1"/>
                <w:color w:val="auto"/>
              </w:rPr>
            </w:pPr>
          </w:p>
        </w:tc>
      </w:tr>
      <w:tr>
        <w:trPr>
          <w:trHeight w:val="159"/>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Category by Useful Life</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4"/>
        </w:trPr>
        <w:tc>
          <w:tcPr>
            <w:tcW w:w="4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25"/>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132,980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124,310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 15 – 25 years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(139,340)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other, 1 – 15 years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(36,140)</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other, 17 – 30 years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(39,920)</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technology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(76,060)</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Trademark/Trade names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424,440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(220,180)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412,130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as included in the accompanying consolidated statement of income is summarized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9"/>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4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other, included in cost of sales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 included in selling, general and administrative expenses</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Inventories</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0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 components (dollars 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9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52,460</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6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158,360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80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components (dollars 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443,130</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556,780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276,940</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279,840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gridSpan w:val="3"/>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Depreciation expense as included in the accompanying consolidated statement of income is as follows (dollars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9"/>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4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cost of sales</w:t>
            </w:r>
          </w:p>
        </w:tc>
        <w:tc>
          <w:tcPr>
            <w:tcW w:w="3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selling, general and administrative expenses</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340" w:type="dxa"/>
            <w:vAlign w:val="bottom"/>
            <w:tcBorders>
              <w:bottom w:val="single" w:sz="8" w:color="auto"/>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(dollars in thousands):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w:t>
            </w: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2029</w:t>
      </w:r>
    </w:p>
    <w:p>
      <w:pPr>
        <w:spacing w:after="0" w:line="1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March 2021, the Company issued $400.0 million aggregate principal amount of 4.125% senior notes due April 15, 2029 ("2029 Senior Notes") at par value in a private placement under Rule 144A of the Securities Act of 1933, as amended ("Securities Act"). The Company used the proceeds from the 2029 Senior Notes offering to pay fees and expenses of approximately $5.1 million related to the offering and pay fees and expenses of $1.0 million related to amending its existing credit agreement. In connection with the issuance, during the second quarter of 2021, the Company completed the redemption of its outstanding $300.0 million principal amount 4.875% senior notes due October 15, 2025 ("2025 Senior Notes"). The remaining cash proceeds from the 2029 Senior Notes were used for general corporate purposes, including repaying all outstanding revolving credit facility borrowings. The $5.1 million of fees and expenses related to the 2029 Senior Notes were capitalized as debt issuance costs.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2029 Senior Notes accrue interest at a rate of 4.125% per annum, payable semi-annually in arrears on April 15 and October 15. The payment of principal and interest is jointly and severally guaranteed, on a senior unsecured basis, by certain subsidiaries of the Company. The 2029 Senior Notes are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all existing and future senior indebtedness and effectively subordinated to all existing and future secured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of the value of the assets securing such indebtedness.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April 15, 2024, the Company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the Company may redeem all or part of the 2029 Senior Notes at a redemption price equal to 100% of the principal amount thereof, plus accrued and unpaid interest, if any, to the redemption date, plus a "make whole" premium. On or after April 15, 2024, the Company may redeem all or part of the 2029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59"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102.063 %</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2025</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2017, the Company issued $300.0 million aggregate principal amount of its 2025 Senior Notes at par value in a private placement under Rule 144A of the Securities Act. During the second quarter of 2021, and in connection with the issuance of the 2029 Senior Notes, the Company redeemed all of the outstanding 2025 Senior Notes, as permitted under the indenture, at a price of 102.438% of the principal amount.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2021, the Company amended its existing credit agreement ("Credit Agreement") in connection with the issuance of the 2029 Senior Notes to extend the maturity date. The Company incurred fees and expenses of approximately $1.0 million related to the amendment, all of which was capitalized as debt issuance costs. The Company also recorded approximately $0.2 million of non-cash expense related to the write-off of previously capitalized deferred financing fees. The Credit Agreement consists of a $300.0 million senior secured revolving credit facility, which permits borrowings denominated in specific foreign currencies, subject to a $125.0 million sub limit, maturing on March 29, 2026.</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2021, the Company amended the Credit Agreement to replace LIBOR with a benchmark interest rate determined based on the currency denomination of borrowings. Effective January 1, 2022, the amendment replaced the reference rate terms for U.S. dollar LIBOR borrowings to the Secured Overnight Financing Rate ("SOFR"), British pound sterling LIBOR borrowings to the Sterling Overnight Index Average ("SONIA") and Euro LIBOR borrowings to the Euro Short Term Rate ("ESTR"), all plus a spread of 1.50%. The interest rate spread is based upon the leverage ratio, as defined, as of the most recent determination date.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revolving credit facility allows for the issuance of letters of credit, not to exceed $40.0 million in aggregate. The Company places cash on deposit with a financial institution to be held as cash collateral for the Company's outstanding letters of credit; therefore, as of March 31, 2022 and December 31, 2021, the Company had no letters of credit issued against its revolving credit facility. See Note 6,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for further information on its cash deposit. At March 31, 2022 and December 31, 2021, the Company had no amounts outstanding under its revolving credit facility and had $300.0 million potentially available. The Company's borrowing capacity was not reduced by leverage restrictions contained in the Credit Agreement as of March 31, 2022 and December 31, 2021.</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March 31, 2022, the Company was in compliance with its financial covenants contained in the Credit Agreement.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Revolving Loan Facility</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2021, the Company, through one of its non-U.S. subsidiaries, entered into a revolving loan facility with a borrowing capacity of $4 million. The facility is guaranteed by TriMas Corporation. There were no borrowings outstanding on this loan facility as of March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095"/>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1"/>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500" w:type="dxa"/>
            <w:vAlign w:val="bottom"/>
          </w:tcPr>
          <w:p>
            <w:pPr>
              <w:spacing w:after="0"/>
              <w:rPr>
                <w:sz w:val="18"/>
                <w:szCs w:val="18"/>
                <w:color w:val="auto"/>
              </w:rPr>
            </w:pPr>
          </w:p>
        </w:tc>
        <w:tc>
          <w:tcPr>
            <w:tcW w:w="128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Pr>
          <w:p>
            <w:pPr>
              <w:spacing w:after="0"/>
              <w:rPr>
                <w:sz w:val="18"/>
                <w:szCs w:val="18"/>
                <w:color w:val="auto"/>
              </w:rPr>
            </w:pPr>
          </w:p>
        </w:tc>
        <w:tc>
          <w:tcPr>
            <w:tcW w:w="146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399,000</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p>
      <w:pPr>
        <w:spacing w:after="0" w:line="1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uses cross-currency swap contracts to hedge its net investment in Euro-denominated assets against future volatility in the exchange rate between the U.S. dollar and the Euro. By doing so, the Company synthetically converts a portion of its U.S. dollar-based long-term debt into Euro-denominated long-term debt. At inception, the Company designates its cross-currency swaps as net investment hedges.</w:t>
      </w:r>
    </w:p>
    <w:p>
      <w:pPr>
        <w:spacing w:after="0" w:line="1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of March 31, 2022, the Company had cross-currency swap agreements at notional amounts totaling $250.0 million, which declines to $25.0 million over various contract periods ending between April 15, 2022 and April 15, 2027. Under the terms of the agreements, the Company is to receive net interest payments at fixed rates ranging from approximately 0.8% to 2.9% of the notional amounts.</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fair value carrying amount of the Company's derivatives designated as hedging instruments are recorded as follows (dollars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c>
          <w:tcPr>
            <w:tcW w:w="0" w:type="dxa"/>
            <w:vAlign w:val="bottom"/>
          </w:tcPr>
          <w:p>
            <w:pPr>
              <w:spacing w:after="0"/>
              <w:rPr>
                <w:sz w:val="1"/>
                <w:szCs w:val="1"/>
                <w:color w:val="auto"/>
              </w:rPr>
            </w:pPr>
          </w:p>
        </w:tc>
      </w:tr>
      <w:tr>
        <w:trPr>
          <w:trHeight w:val="158"/>
        </w:trPr>
        <w:tc>
          <w:tcPr>
            <w:tcW w:w="44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9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20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160" w:type="dxa"/>
            <w:vAlign w:val="bottom"/>
          </w:tcPr>
          <w:p>
            <w:pPr>
              <w:spacing w:after="0"/>
              <w:rPr>
                <w:sz w:val="13"/>
                <w:szCs w:val="13"/>
                <w:color w:val="auto"/>
              </w:rPr>
            </w:pPr>
          </w:p>
        </w:tc>
        <w:tc>
          <w:tcPr>
            <w:tcW w:w="1180" w:type="dxa"/>
            <w:vAlign w:val="bottom"/>
          </w:tcPr>
          <w:p>
            <w:pPr>
              <w:jc w:val="center"/>
              <w:ind w:right="76"/>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460" w:type="dxa"/>
            <w:vAlign w:val="bottom"/>
            <w:gridSpan w:val="2"/>
            <w:vMerge w:val="continue"/>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income recognized in accumulated other comprehensive income (loss) ("AOCI") on derivative contracts designated as hedging instruments as of March 31, 2022 and December 31, 2021, and the amounts reclassified from AOCI into earnings for the three months ended March 31, 2022 and 2021 (dollars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Income (Loss) Reclassified</w:t>
            </w:r>
          </w:p>
        </w:tc>
        <w:tc>
          <w:tcPr>
            <w:tcW w:w="0" w:type="dxa"/>
            <w:vAlign w:val="bottom"/>
          </w:tcPr>
          <w:p>
            <w:pPr>
              <w:spacing w:after="0"/>
              <w:rPr>
                <w:sz w:val="1"/>
                <w:szCs w:val="1"/>
                <w:color w:val="auto"/>
              </w:rPr>
            </w:pPr>
          </w:p>
        </w:tc>
      </w:tr>
      <w:tr>
        <w:trPr>
          <w:trHeight w:val="214"/>
        </w:trPr>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5"/>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Amount of Income Recognized</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Borders>
              <w:bottom w:val="single" w:sz="8" w:color="auto"/>
            </w:tcBorders>
            <w:gridSpan w:val="4"/>
          </w:tcPr>
          <w:p>
            <w:pPr>
              <w:jc w:val="center"/>
              <w:ind w:left="257"/>
              <w:spacing w:after="0"/>
              <w:rPr>
                <w:sz w:val="20"/>
                <w:szCs w:val="20"/>
                <w:color w:val="auto"/>
              </w:rPr>
            </w:pPr>
            <w:r>
              <w:rPr>
                <w:rFonts w:ascii="Times New Roman" w:cs="Times New Roman" w:eastAsia="Times New Roman" w:hAnsi="Times New Roman"/>
                <w:sz w:val="16"/>
                <w:szCs w:val="16"/>
                <w:b w:val="1"/>
                <w:bCs w:val="1"/>
                <w:color w:val="auto"/>
              </w:rPr>
              <w:t>from AOCI into Earnings</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gridSpan w:val="5"/>
            <w:vMerge w:val="continu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gridSpan w:val="4"/>
            <w:vMerge w:val="restart"/>
          </w:tcPr>
          <w:p>
            <w:pPr>
              <w:jc w:val="center"/>
              <w:ind w:left="25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5"/>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in AOCI on Derivatives</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(Effective Portion, net of tax)</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gridSpan w:val="3"/>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360"/>
              <w:spacing w:after="0" w:line="159" w:lineRule="exact"/>
              <w:rPr>
                <w:sz w:val="20"/>
                <w:szCs w:val="20"/>
                <w:color w:val="auto"/>
              </w:rPr>
            </w:pPr>
            <w:r>
              <w:rPr>
                <w:rFonts w:ascii="Times New Roman" w:cs="Times New Roman" w:eastAsia="Times New Roman" w:hAnsi="Times New Roman"/>
                <w:sz w:val="16"/>
                <w:szCs w:val="16"/>
                <w:b w:val="1"/>
                <w:bCs w:val="1"/>
                <w:color w:val="auto"/>
              </w:rPr>
              <w:t>As of</w:t>
            </w: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57"/>
              <w:spacing w:after="0" w:line="159" w:lineRule="exact"/>
              <w:rPr>
                <w:sz w:val="20"/>
                <w:szCs w:val="20"/>
                <w:color w:val="auto"/>
              </w:rPr>
            </w:pPr>
            <w:r>
              <w:rPr>
                <w:rFonts w:ascii="Times New Roman" w:cs="Times New Roman" w:eastAsia="Times New Roman" w:hAnsi="Times New Roman"/>
                <w:sz w:val="16"/>
                <w:szCs w:val="16"/>
                <w:b w:val="1"/>
                <w:bCs w:val="1"/>
                <w:color w:val="auto"/>
              </w:rPr>
              <w:t>As of</w:t>
            </w:r>
          </w:p>
        </w:tc>
        <w:tc>
          <w:tcPr>
            <w:tcW w:w="120" w:type="dxa"/>
            <w:vAlign w:val="bottom"/>
          </w:tcPr>
          <w:p>
            <w:pPr>
              <w:spacing w:after="0"/>
              <w:rPr>
                <w:sz w:val="13"/>
                <w:szCs w:val="13"/>
                <w:color w:val="auto"/>
              </w:rPr>
            </w:pPr>
          </w:p>
        </w:tc>
        <w:tc>
          <w:tcPr>
            <w:tcW w:w="25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rPr>
              <w:t>Location of Income Reclassified</w:t>
            </w:r>
          </w:p>
        </w:tc>
        <w:tc>
          <w:tcPr>
            <w:tcW w:w="9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5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from AOCI into Earnings</w:t>
            </w:r>
          </w:p>
        </w:tc>
        <w:tc>
          <w:tcPr>
            <w:tcW w:w="900" w:type="dxa"/>
            <w:vAlign w:val="bottom"/>
            <w:vMerge w:val="restart"/>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(Effective Portion)</w:t>
            </w:r>
          </w:p>
        </w:tc>
        <w:tc>
          <w:tcPr>
            <w:tcW w:w="900" w:type="dxa"/>
            <w:vAlign w:val="bottom"/>
            <w:vMerge w:val="continue"/>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20" w:type="dxa"/>
            <w:vAlign w:val="bottom"/>
          </w:tcPr>
          <w:p>
            <w:pPr>
              <w:spacing w:after="0"/>
              <w:rPr>
                <w:sz w:val="20"/>
                <w:szCs w:val="20"/>
                <w:color w:val="auto"/>
              </w:rPr>
            </w:pP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0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next 12 months, the Company does not expect to reclassify any pre-tax deferred amounts from AOCI into earnings.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2022, the Company was party to foreign currency exchange forward contracts to economically hedge changes in foreign currency rates with notional amounts of approximately $135.8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have various settlement dates through December 2022. These contracts are not designated as hedge instruments; therefore, gains and losses on these contracts are recognized each period directly into the consolidated statement of income.</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of derivatives not designated as hedging instruments on the Company's consolidated statement of income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Income Recognized in</w:t>
            </w:r>
          </w:p>
        </w:tc>
        <w:tc>
          <w:tcPr>
            <w:tcW w:w="0" w:type="dxa"/>
            <w:vAlign w:val="bottom"/>
          </w:tcPr>
          <w:p>
            <w:pPr>
              <w:spacing w:after="0"/>
              <w:rPr>
                <w:sz w:val="1"/>
                <w:szCs w:val="1"/>
                <w:color w:val="auto"/>
              </w:rPr>
            </w:pPr>
          </w:p>
        </w:tc>
      </w:tr>
      <w:tr>
        <w:trPr>
          <w:trHeight w:val="214"/>
        </w:trPr>
        <w:tc>
          <w:tcPr>
            <w:tcW w:w="5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gridSpan w:val="4"/>
          </w:tcPr>
          <w:p>
            <w:pPr>
              <w:jc w:val="center"/>
              <w:ind w:left="397"/>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6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4"/>
          </w:tcPr>
          <w:p>
            <w:pPr>
              <w:jc w:val="center"/>
              <w:ind w:left="397"/>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12"/>
                <w:szCs w:val="12"/>
                <w:color w:val="auto"/>
              </w:rPr>
            </w:pPr>
          </w:p>
        </w:tc>
        <w:tc>
          <w:tcPr>
            <w:tcW w:w="2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6"/>
                <w:szCs w:val="16"/>
                <w:b w:val="1"/>
                <w:bCs w:val="1"/>
                <w:color w:val="auto"/>
              </w:rPr>
              <w:t>Location of Income</w:t>
            </w: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29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4"/>
        </w:trPr>
        <w:tc>
          <w:tcPr>
            <w:tcW w:w="5660" w:type="dxa"/>
            <w:vAlign w:val="bottom"/>
          </w:tcPr>
          <w:p>
            <w:pPr>
              <w:spacing w:after="0"/>
              <w:rPr>
                <w:sz w:val="18"/>
                <w:szCs w:val="18"/>
                <w:color w:val="auto"/>
              </w:rPr>
            </w:pPr>
          </w:p>
        </w:tc>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8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2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6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20"/>
                <w:szCs w:val="20"/>
                <w:color w:val="auto"/>
              </w:rPr>
            </w:pPr>
          </w:p>
        </w:tc>
        <w:tc>
          <w:tcPr>
            <w:tcW w:w="78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4,020</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March 31, 2022 and December 31, 2021 are shown below (dollars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Frequency</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43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25"/>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3160" w:type="dxa"/>
            <w:vAlign w:val="bottom"/>
            <w:tcBorders>
              <w:bottom w:val="single" w:sz="8" w:color="auto"/>
            </w:tcBorders>
            <w:gridSpan w:val="6"/>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80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variable and other lease costs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 (dollars in thousands):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0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10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23"/>
                <w:szCs w:val="23"/>
                <w:color w:val="auto"/>
                <w:vertAlign w:val="superscript"/>
              </w:rPr>
              <w:t>(a)</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(excluding the three months ended March 31, 2022)</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62,220</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30" w:lineRule="auto"/>
        <w:tabs>
          <w:tab w:leader="none" w:pos="304"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of the Company's operating leases as of March 31, 2022 is approximately 7.2 years. The weighted-average discount rate as of March 31, 2022 is approximately 3.7%.</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approximately $2.3 million and $2.2 million during the three months ended March 31, 2022 and 2021, respectively, and is included in cash flows provided by operating activities in the consolidated statement of cash flows.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Right-of-use assets obtained in exchange for lease liabilities were approximately $4.8 million and $1.9 million during the three months ended March 31, 2022 and 2021,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long-term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 components (dollars in thousands):</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asbestos-related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25,210</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2022, the Company was a party to 407 pending cases involving an aggregate of 4,782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 filed</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Total defense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pending at</w:t>
            </w:r>
          </w:p>
        </w:tc>
        <w:tc>
          <w:tcPr>
            <w:tcW w:w="1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dismissed</w:t>
            </w:r>
          </w:p>
        </w:tc>
        <w:tc>
          <w:tcPr>
            <w:tcW w:w="126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pending at</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amount per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ind w:left="340"/>
              <w:spacing w:after="0" w:line="162" w:lineRule="exact"/>
              <w:rPr>
                <w:sz w:val="20"/>
                <w:szCs w:val="20"/>
                <w:color w:val="auto"/>
              </w:rPr>
            </w:pPr>
            <w:r>
              <w:rPr>
                <w:rFonts w:ascii="Times New Roman" w:cs="Times New Roman" w:eastAsia="Times New Roman" w:hAnsi="Times New Roman"/>
                <w:sz w:val="16"/>
                <w:szCs w:val="16"/>
                <w:b w:val="1"/>
                <w:bCs w:val="1"/>
                <w:color w:val="auto"/>
              </w:rPr>
              <w:t>during</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end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claim during</w:t>
            </w: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costs during</w:t>
            </w: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166"/>
        </w:trPr>
        <w:tc>
          <w:tcPr>
            <w:tcW w:w="220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Three Months Ended March</w:t>
            </w: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430,000</w:t>
            </w: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Fiscal Year Ended</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4,754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4,782 claims pending at March 31, 2022, 35 set forth specific amounts of damages (other than those stating the statutory minimum or maximum). At March 31, 2022, of the 35 claims that set forth specific amounts, there were zero claims seeking more than $5 million for punitive damages. Below is a breakdown of the compensatory damages sought for those claims seeking specific amounts: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Compensatory</w:t>
            </w:r>
          </w:p>
        </w:tc>
        <w:tc>
          <w:tcPr>
            <w:tcW w:w="1320" w:type="dxa"/>
            <w:vAlign w:val="bottom"/>
            <w:tcBorders>
              <w:bottom w:val="single" w:sz="8" w:color="auto"/>
            </w:tcBorders>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damages sought (dollars in millions)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$0.0 to $0.6</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$0.6 to $5.0</w:t>
            </w: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$5.0+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33</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Relatively few claims have reached the discovery stage and even fewer claims have gone past the discovery stage. Total settlement costs (exclusive of defense costs) for all such cases, some of which were filed over 30 years ago, have been approximately $10.6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a liability for asbestos-related claims, which includes both known and unknown claims, based on a study from the Company’s third-party actuary, the Company's review of the study, as well as the Company’s own review of asbestos claims and claim resolution activity.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commissioned its actuary to update the study, based on data as of September 30, 2021, which yielded a range of possible future liability of $28.2 million to $38.6 million. The Company did not believe any amount within the range of potential outcomes represented a better estimate than another given the many factors and assumptions inherent in the projections, and therefore recorded a non-cash, pre-tax charge of $1.5 million to increase the liability estimate to $28.2 million, at the low-end of the range. As of March 31, 2022, the Company’s total asbestos-related liability is $27.2 million, and is included in accrued liabilities and other long-term liabilities, respectively, in the accompanying consolidated balance sheet.</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9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Packaging – </w:t>
      </w:r>
      <w:r>
        <w:rPr>
          <w:rFonts w:ascii="Times New Roman" w:cs="Times New Roman" w:eastAsia="Times New Roman" w:hAnsi="Times New Roman"/>
          <w:sz w:val="18"/>
          <w:szCs w:val="18"/>
          <w:color w:val="auto"/>
        </w:rPr>
        <w:t>TriMas' Packaging segment consists primarily of the Rieke® brand, as well as more recently acquired brands which include the Affaba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Ferrari™, Taplast™, Rapak®, Plastic Srl, Intertech and Omega brands. TriMas Packaging develops and manufactures a broad array of dispensing products (such as foaming pumps, lotion and hand soaps and sanitizer pumps, beverage dispensers, perfume sprayers, nasal sprayers and trigger sprayers), polymeric and steel caps and closures (such as food lids, flip-top closures, child resistance caps, beverage closures,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w:t>
      </w:r>
    </w:p>
    <w:p>
      <w:pPr>
        <w:spacing w:after="0" w:line="12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Aerospace – </w:t>
      </w:r>
      <w:r>
        <w:rPr>
          <w:rFonts w:ascii="Times New Roman" w:cs="Times New Roman" w:eastAsia="Times New Roman" w:hAnsi="Times New Roman"/>
          <w:sz w:val="18"/>
          <w:szCs w:val="18"/>
          <w:color w:val="auto"/>
        </w:rPr>
        <w:t>TriMas' Aerospace segment, which includes the Monogram Aerospace Fasteners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Allfast Fastening Systems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Mac Fasteners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TFI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Aerospace, RSA Engineered Products and Martinic Engineering brands, develops, qualifies and manufactures highly-engineered, precision fasteners, tubular products and assemblies for fluid conveyance, and machined products and assemblies to serve the aerospace and defense market.</w:t>
      </w:r>
    </w:p>
    <w:p>
      <w:pPr>
        <w:spacing w:after="0" w:line="12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Specialty Products – </w:t>
      </w:r>
      <w:r>
        <w:rPr>
          <w:rFonts w:ascii="Times New Roman" w:cs="Times New Roman" w:eastAsia="Times New Roman" w:hAnsi="Times New Roman"/>
          <w:sz w:val="18"/>
          <w:szCs w:val="18"/>
          <w:color w:val="auto"/>
        </w:rPr>
        <w:t>TriMas' Specialty Products segment, which includes the Norris Cylinder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Arrow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 brands, designs, manufactures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distributes highly-engineered steel cylinders, wellhead engines and compression systems for use within industrial markets.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activity is as follows (dollars in thousands):</w:t>
      </w:r>
    </w:p>
    <w:p>
      <w:pPr>
        <w:spacing w:after="0" w:line="280"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0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132,090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44,610</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30,030</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Equity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restricted stock units ("RSUs") during the three months ended March 31, 2022:</w:t>
      </w:r>
    </w:p>
    <w:p>
      <w:pPr>
        <w:spacing w:after="0" w:line="144"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195,398 RSUs to certain employees, which are subject only to a service condition and vest ratably over three years so long as the employee remains with the Company;</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22,554 RSUs to its non-employee independent directors, which fully vest one year from date of grant so long as the director and/or Company does not terminate the director's service prior to the vesting date; and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337 RSUs related to director fee deferrals as certain of the Company's directors elected to defer all or a portion of their directors fees and to receive the amount in Company common stock at a future date.</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58 RSUs to certain employees related to dividend equivalent rights on existing equity awards.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2022, the Company also awarded 85,156 performance-based RSUs to certain Company key employees which vest three years from the grant date as long as the employee remains with the Company. These awards are earned 50% based upon the Company's achievement of an earnings per share compound annual growth rate ("EPS CAGR") metric over a period beginning January 1, 2022 and ending December 31, 2024. The remaining 50% of the awards are earned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1.88% and annualized volatility of 36.5%. Depending on the performance achieved for these two metrics, the amount of shares earned, if any, can vary for each metric from 0% of the target award to a maximum of 200% of the target award. For similar performance-based RSUs awarded in 2019, the Company attained 65.4% of the target on a weighted average basis, resulting in a decrease of 24,975 shares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RSUs at March 31, 2022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Number of Unvested</w:t>
            </w: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7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5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673,732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303,503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(97,258)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(36,607)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5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843,370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27,063,743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2022, there was approximately $13.2 million of unrecognized compensation cost related to unvested RSUs that is expected to be recorded over a weighted average period of 2.0 years.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RSUs of approximately $2.8 million and $2.4 million during the three months ended March 31, 2022 and 2021, respectively. The stock-based compensation expense is included in selling, general and administrative expenses in the accompanying consolidated statement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per Share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is divided by the weighted average number of common shares outstanding during the period to calculate basic earnings per share. Diluted earnings per share is calculated to give effect to stock options and RSUs. The following table summarizes the dilutive effect of RSUs and options to purchase common stock for the three months ended March 31, 2022 and 2021:</w:t>
      </w:r>
    </w:p>
    <w:p>
      <w:pPr>
        <w:spacing w:after="0" w:line="244"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6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42,799,206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43,185,007</w:t>
            </w: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310,487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400,685</w:t>
            </w: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49,184</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43,109,693</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43,634,876</w:t>
            </w:r>
          </w:p>
        </w:tc>
      </w:tr>
      <w:tr>
        <w:trPr>
          <w:trHeight w:val="20"/>
        </w:trPr>
        <w:tc>
          <w:tcPr>
            <w:tcW w:w="8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the Company announced its Board of Directors had authorized the Company to increase the purchase of its common stock up to $250 million in the aggregate. This announcement represented the most recent update from the initial authorization, approved in November 2015, of up to $50 million of purchases in the aggregate of its common stock. In the three months ended March 31, 2022, the Company purchased 282,003 shares of its outstanding common stock for approximately $9.1 million. During the three months ended March 31, 2021, the Company purchased 82,171 shares of its outstanding common stock for approximately $2.6 million. As of March 31, 2022, the Company has approximately $133.6 million remaining under the repurchase authorization.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common stock are entitled to dividends at the discretion of the Company's Board of Directors. In 2021 the Company's Board of Directors declared the first dividend since the Company's initial public offering in 2007. During the three months ended March 31, 2022, the Company's cash dividends declared were $0.04 per share of common stock and total dividends paid on common shares were $1.7 million. No dividends were paid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Defined Benefit Plans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periodic pension benefit costs for the Company's defined benefit pension plans cover certain foreign employees, union hourly employees and salaried employees. The components of net periodic pension cost are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313"/>
              <w:spacing w:after="0"/>
              <w:rPr>
                <w:sz w:val="20"/>
                <w:szCs w:val="20"/>
                <w:color w:val="auto"/>
              </w:rPr>
            </w:pPr>
            <w:r>
              <w:rPr>
                <w:rFonts w:ascii="Times New Roman" w:cs="Times New Roman" w:eastAsia="Times New Roman" w:hAnsi="Times New Roman"/>
                <w:sz w:val="16"/>
                <w:szCs w:val="16"/>
                <w:b w:val="1"/>
                <w:bCs w:val="1"/>
                <w:color w:val="auto"/>
                <w:w w:val="99"/>
              </w:rPr>
              <w:t>Pension Plans</w:t>
            </w:r>
          </w:p>
        </w:tc>
        <w:tc>
          <w:tcPr>
            <w:tcW w:w="460" w:type="dxa"/>
            <w:vAlign w:val="bottom"/>
            <w:tcBorders>
              <w:bottom w:val="single" w:sz="8" w:color="auto"/>
            </w:tcBorders>
          </w:tcPr>
          <w:p>
            <w:pPr>
              <w:spacing w:after="0"/>
              <w:rPr>
                <w:sz w:val="18"/>
                <w:szCs w:val="18"/>
                <w:color w:val="auto"/>
              </w:rPr>
            </w:pPr>
          </w:p>
        </w:tc>
      </w:tr>
      <w:tr>
        <w:trPr>
          <w:trHeight w:val="158"/>
        </w:trPr>
        <w:tc>
          <w:tcPr>
            <w:tcW w:w="8460" w:type="dxa"/>
            <w:vAlign w:val="bottom"/>
          </w:tcPr>
          <w:p>
            <w:pPr>
              <w:spacing w:after="0"/>
              <w:rPr>
                <w:sz w:val="13"/>
                <w:szCs w:val="13"/>
                <w:color w:val="auto"/>
              </w:rPr>
            </w:pPr>
          </w:p>
        </w:tc>
        <w:tc>
          <w:tcPr>
            <w:tcW w:w="2320" w:type="dxa"/>
            <w:vAlign w:val="bottom"/>
            <w:gridSpan w:val="4"/>
          </w:tcPr>
          <w:p>
            <w:pPr>
              <w:jc w:val="center"/>
              <w:ind w:left="375"/>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3"/>
                <w:szCs w:val="13"/>
                <w:color w:val="auto"/>
              </w:rPr>
            </w:pPr>
          </w:p>
        </w:tc>
      </w:tr>
      <w:tr>
        <w:trPr>
          <w:trHeight w:val="214"/>
        </w:trPr>
        <w:tc>
          <w:tcPr>
            <w:tcW w:w="84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313"/>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460" w:type="dxa"/>
            <w:vAlign w:val="bottom"/>
            <w:tcBorders>
              <w:bottom w:val="single" w:sz="8" w:color="auto"/>
            </w:tcBorders>
          </w:tcPr>
          <w:p>
            <w:pPr>
              <w:spacing w:after="0"/>
              <w:rPr>
                <w:sz w:val="18"/>
                <w:szCs w:val="18"/>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costs</w:t>
            </w: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costs</w:t>
            </w:r>
          </w:p>
        </w:tc>
        <w:tc>
          <w:tcPr>
            <w:tcW w:w="8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Settlement/curtailment loss</w:t>
            </w:r>
          </w:p>
        </w:tc>
        <w:tc>
          <w:tcPr>
            <w:tcW w:w="8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140</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310</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0"/>
        </w:trPr>
        <w:tc>
          <w:tcPr>
            <w:tcW w:w="8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recorded a non-cash curtailment expense of approximately $0.2 million, as it transitioned certain active employees previously participating in a defined benefit plan in the United Kingdom to a defined contribution plan, thereby eliminating future service cost accruals for all employees under this defined benefit plan.</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contributed approximately $0.3 million to its defined benefit pension plans during the three months ended March 31, 2022. The Company expects to contribute approximately $1.7 million to its defined benefit pension plans for the full year 2022.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Other Comprehensive Income (Loss)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three months ended March 31, 2022 are summarized as follows, net of tax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0" w:type="dxa"/>
            <w:vAlign w:val="bottom"/>
          </w:tcPr>
          <w:p>
            <w:pPr>
              <w:spacing w:after="0"/>
              <w:rPr>
                <w:sz w:val="16"/>
                <w:szCs w:val="16"/>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tcPr>
          <w:p>
            <w:pPr>
              <w:spacing w:after="0"/>
              <w:rPr>
                <w:sz w:val="14"/>
                <w:szCs w:val="14"/>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Less: Net realized losses reclassified to net income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Derivative instruments, net of income tax of approximately $0.5 million. See Note 11,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105" w:lineRule="exact"/>
        <w:rPr>
          <w:rFonts w:ascii="Times New Roman" w:cs="Times New Roman" w:eastAsia="Times New Roman" w:hAnsi="Times New Roman"/>
          <w:sz w:val="19"/>
          <w:szCs w:val="19"/>
          <w:color w:val="auto"/>
          <w:vertAlign w:val="superscript"/>
        </w:rPr>
      </w:pPr>
    </w:p>
    <w:p>
      <w:pPr>
        <w:ind w:left="240" w:hanging="232"/>
        <w:spacing w:after="0"/>
        <w:tabs>
          <w:tab w:leader="none" w:pos="24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Defined benefit plans, net of income tax of approximately $0.1 million. See Note 18, "</w:t>
      </w:r>
      <w:r>
        <w:rPr>
          <w:rFonts w:ascii="Times New Roman" w:cs="Times New Roman" w:eastAsia="Times New Roman" w:hAnsi="Times New Roman"/>
          <w:sz w:val="14"/>
          <w:szCs w:val="14"/>
          <w:i w:val="1"/>
          <w:iCs w:val="1"/>
          <w:color w:val="auto"/>
        </w:rPr>
        <w:t>Defined Benefit Plans</w:t>
      </w:r>
      <w:r>
        <w:rPr>
          <w:rFonts w:ascii="Times New Roman" w:cs="Times New Roman" w:eastAsia="Times New Roman" w:hAnsi="Times New Roman"/>
          <w:sz w:val="14"/>
          <w:szCs w:val="14"/>
          <w:color w:val="auto"/>
        </w:rPr>
        <w:t>," for further details.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three months ended March 31, 2021 are summarized as follows, net of tax (dollars in thousands):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realized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Derivative instruments, net of income tax of approximately $1.3 million. See Note 11,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21, 2022, the Company announced that its Board of Directors had declared a cash dividend of $0.04 per share of TriMas Corporation common stock, which will be payable on May 12, 2022 to shareholders of record as of the close of business on May 5, 2022.</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19, 2022, the Company entered into an additional cross currency swap agreement to hedge the Company's net investment in Euro-denominated assets against future volatility in the exchange rate between the U.S. dollar and the Euro. This swap agreement has a notional amount of $25.0 million and matures on October 15, 2027. Under the terms of the swap agreement, the Company is to receive net interest payments at a fixed rate of approximately 1.4% of the notional amount.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2021.</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focused markets we serve; innovative product technologies and features; a high-degree of customer approved processes and qualifications;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Affecting Our Reported Results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businesses and results of operations depend upon general economic conditions. We serve customers in industries that are highly competitive, cyclical and that may be significantly impacted by changes in economic or geopolitical conditions.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two years, the coronavirus ("COVID-19") outbreak has significantly affected each of our businesses and how we operate, albeit in different ways and magnitudes. Sales in our Packaging segment for dispensing and closure products used in applications to fight the spread of germs experienced significant increases in demand, while sales of our industrial and aerospace-related products were significantly depressed from historical levels. Our aerospace-related product sales continue to be depressed while industrial product sales have recovered to pre-pandemic levels.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and continue to be, focused on making sure the working environments for our employees are safe so our operations have the ability to deliver the products needed to support efforts to mitigate the COVID-19 pandemic. We implemented new work rules and processes, which promote social distancing and increased hygiene to ensure the safety of our employees, particularly at our production facilities. These measures, while not easily quantifiable, have increased the level of manufacturing inefficiencies due to elevated levels of absenteeism, resulting in less efficient production scheduling and, in certain cases, short-term idling of production. While these increased costs and inefficiencies began in second quarter 2020, they continue to persist into 2022. We expect that we will continue to operate with these protocols in place, and that labor-related availability and inefficiencies will be an ongoing challenge.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actively monitor the spread of certain variants of the virus, and plan for potential future impacts. While conditions related to the pandemic generally have improved in some regions of the world in 2022 compared to 2021, we anticipate conditions will continue to vary by industry as well as geography. Late in first quarter 2022, an increase of COVID-19 related cases in certain parts of China resulted in widespread shut-downs and restrictions (in light of China's zero-covid policy), including the re-institution of stay-at-home and quarantine mandates. While this did not have a significant impact on our first quarter results, it could have a more significant impact in second quarter 2022 and beyond.</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Overall, our first quarter 2022 net sales increased approximately $17.6 million, or 8.5%, compared to first quarter 2021, primarily as a result of increased industrial demand in our Specialty Products segment, the impact of our recent acquisitions in our Packaging and Aerospace segments and increased sales of products used in food and beverage markets and industrial markets within our Packaging segment. These factors more than offset the expected decline in sales of our Packaging segment's dispensing and closure products that are used in applications to fight the spread of germs, which reached record-high levels in 2020 and first quarter 2021 when there was a significant spike in demand following the onset of the COVID-19 pandemic, but now have abated to what we believe is a new, and higher, normalized level.</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drivers affecting our results of operations in first quarter 2022 compared with first quarter 2021, other than as directly impacted by demand level changes as a result of the COVID-19 pandemic, were the impact of our recent acquisitions, our continued realignment actions in response to reduced certain end-market demand following the outbreak of COVID-19, and the impact of higher energy and utility costs.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2022, we acquired Intertech Plastics LLC and related companies (collectively, "Intertech"), a manufacturer of custom injection molded products used in medical applications, as well as products and assemblies for consumer and industrial applications, for an aggregate amount of approximately $64.0 million, net of cash acquired, subject to customary closing conditions. Intertech, which is reported in the Company's Packaging segment, has two manufacturing facilities located in the Denver, Colorado area. Intertech contributed approximately $2.8 million of net sales during first quarter 2022.</w:t>
      </w:r>
    </w:p>
    <w:p>
      <w:pPr>
        <w:spacing w:after="0" w:line="1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December 2021, we completed the acquisition of Omega Plastics ("Omega"), which specializes in manufacturing custom components and devices for drug delivery, diagnostic and orthopedic medical applications, as well as components for industrial applications, for an aggregate amount of approximately</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$22.5 million, net of cash acquired. Omega, which is reported in the Company's Packaging segment, is located in Clinton Township, Michigan. Omega contributed approximately $4.8 million of net sales during first quarter 2022.</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we acquired TFI Aerospace ("TFI"), a manufacturer and supplier of specialty fasteners used in a variety of applications, predominately for the aerospace end market, for an aggregate amount of approximately $11.8 million, with additional contingent consideration ranging from zero to approximately $12.0 million to be paid based on 2023 and 2024 earnings per the purchase agreement. TFI, which is reported in the Company's Aerospace</w:t>
      </w:r>
    </w:p>
    <w:p>
      <w:pPr>
        <w:spacing w:after="0"/>
        <w:rPr>
          <w:sz w:val="20"/>
          <w:szCs w:val="20"/>
          <w:color w:val="auto"/>
        </w:rPr>
      </w:pPr>
      <w:r>
        <w:rPr>
          <w:rFonts w:ascii="Times New Roman" w:cs="Times New Roman" w:eastAsia="Times New Roman" w:hAnsi="Times New Roman"/>
          <w:sz w:val="18"/>
          <w:szCs w:val="18"/>
          <w:color w:val="auto"/>
        </w:rPr>
        <w:t>segment, is located near Toronto, Canada. TFI contributed approximately $1.4 million of net sales during first quarter 2022.</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second quarter 2020, we have been executing certain realignment actions in response to reductions in current and expected future end market demand following the onset of the COVID-19 pandemic. We recorded pre-tax facility move/consolidation and employee-related costs of approximately $0.9 million and $1.4 million, respectively, in the three months ended March 31, 2022. In the three months ended March 31, 2021, we recorded pre-tax facility consolidation and employee separation costs of approximately $1.5 million and $2.6 million, respectively.</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experienced a significant increase in the cost of energy and utilities in first quarter 2022 compared with first quarter 2021, primarily in our Europe-based operations. Energy costs began to rise during late 2021, and have further increased into 2022, which we believe is primarily due to geopolitical tensions associated with the Russia-Ukraine conflict, as well as realized and expected energy supply constraints. We expect there could be additional cost and supply chain pressures going forward in 2022 as a result of the uncertainty surrounding the conflict in Eastern Europe.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Key Risks that May Affect Our Reported Results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executed significant realignment actions since the onset of the COVID-19 pandemic, primarily in our Aerospace and Specialty Products segments, and also in certain Packaging product areas where demand has fallen, to protect against the uncertain end market demand. We will continue to assess further actions if required. However, as a result of the COVID-19 pandemic's impact on global economic activity, and the continued potential impact to our future results of operations, as well if there is an impact to TriMas' market capitalization, we may record additional cash and non-cash charges related to incremental realignment actions, as well as for uncollectible customer account balances, excess inventory and idle production equipment.</w:t>
      </w:r>
    </w:p>
    <w:p>
      <w:pPr>
        <w:spacing w:after="0" w:line="1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Despite the potential for declines in future demand levels and results of operations, at present, we believe our capital structure is in a strong position. We have ample cash and available liquidity under our revolving credit facility to meet our debt service obligations, capital expenditure requirements and other short-term and long-term obligations for the foreseeable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extent of the COVID-19 pandemic's effect on our operational and financial performance will depend in large part on future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developments, which cannot be predicted with confidence at this time. Future developments include the duration, scope and severity of the COVID-19 pandemic, the actions taken to contain or mitigate its impact, timing and acceptance of widespread vaccine availability, and the resumption of normalized global economic activity. Due to the inherent uncertainty of the unprecedented and rapidly evolving situation, we are unable to predict with any confidence the likely impact of the COVID-19 pandemic on our future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Beyond the unique risks presented by the COVID-19 pandemic, other 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chain management, internal sourcing and/or purchasing of materials, selective outsourcing and/or purchasing of support functions, working capital management, and greater leverage of our administrative functions.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sensitive to price movements and availability of our raw materials supply. Our largest raw material purchases are for resins (such as polypropylene and polyethylene), steel, aluminum and other oil and metal-based purchased components. In addition to the factors affecting our 2021 results, there has been some volatility over the past two years as a direct and indirect result of foreign trade policy, where tariffs on certain of our commodity-based products sourced from Asia have been instituted, and certain North American suppliers have opportunistically increased their prices. We will continue to take actions to mitigate such increases, including implementing commercial pricing adjustments, resourcing to alternate suppliers and insourcing of previously sourced products to better leverage our global manufacturing footprint.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1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Although we have escalator/de-escalator clauses in commercial contracts with certain of our customers, or can modify prices based on market conditions to recover higher costs, our price increases generally lag the underlying material cost increase, and we cannot be assured of full cost recovery in the open market. If input costs increase at rapid rates, as they did during 2021, our ability to recover cost increases on a timely basis is made more difficult by the lag nature of these contracts.</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Arrow Engine business in our Specialty Products segment is sensitive to the demand for natural gas and crude oil in North America. For example, demand for engine, pump jack and compressor products are impacted by active oil and gas rig counts and wellhead investment activities. Separately, oil-based commodity costs are a significant driver of raw materials and purchased components used within our Packaging segment.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as a core tenet of the TriMas Business Model,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first quarter 2022, we purchased 282,003 shares of our outstanding common stock for approximately $9.1 million. As of March 31, 2022, we had approximately $133.6 million remaining under the repurchase authorization.</w:t>
      </w: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in first quarter 2022, we declared dividends of $0.04 per share of common stock and we paid dividends of $1.7 million. We will continue to evaluate opportunities to return capital to shareholders through the purchase of our common stock, as well as dividends,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 and Supplemental Analysis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three months ended March 31, 2022 and 2021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3"/>
                <w:szCs w:val="13"/>
                <w:color w:val="auto"/>
              </w:rPr>
            </w:pPr>
          </w:p>
        </w:tc>
        <w:tc>
          <w:tcPr>
            <w:tcW w:w="170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224,310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51,330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0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041"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three months ended March 31, 2022, compared with the three months ended March 31, 2021, were:</w:t>
      </w:r>
    </w:p>
    <w:p>
      <w:pPr>
        <w:spacing w:after="0" w:line="144" w:lineRule="exact"/>
        <w:rPr>
          <w:sz w:val="20"/>
          <w:szCs w:val="20"/>
          <w:color w:val="auto"/>
        </w:rPr>
      </w:pPr>
    </w:p>
    <w:p>
      <w:pPr>
        <w:ind w:left="1140" w:hanging="484"/>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global business activity of the COVID-19 pandemic, as well as the volatility in input costs, supply chain and labor availability;</w:t>
      </w:r>
    </w:p>
    <w:p>
      <w:pPr>
        <w:spacing w:after="0" w:line="9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recent acquisitions, primarily Omega and TFI in December 2021, and Intertech in February 2022;</w:t>
      </w:r>
    </w:p>
    <w:p>
      <w:pPr>
        <w:spacing w:after="0" w:line="15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realignment expenses in response to changes in end market demand; and</w:t>
      </w:r>
    </w:p>
    <w:p>
      <w:pPr>
        <w:spacing w:after="0" w:line="14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higher energy and utility costs.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with Three Months Ended March 31, 2021</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sales increased approximately $17.6 million, or 8.5%, to $224.3 million for the three months ended March 31, 2022, as compared with $206.7 million in the three months ended March 31, 2021, as a result of acquisitions, which added approximately $9.0 million of sales. Organic sales, excluding the impact of currency exchange and acquisitions, increased approximately $11.0 million, as increases in our Specialty Products segment as well as for food and beverage and industrial products in our Packaging segment were partially offset by declines in dispensing products that help fight the spread of germs in our Packaging segment, as demand for these products abated from peak levels in 2020 and first quarter 2021. In addition, net sales decreased by approximately $2.4 million due to currency exchange, as our reported results in U.S. dollars were unfavorably impacted as a result of a strengthening U.S. dollar relative to foreign currencies.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23.9% and 24.8% for the three months ended March 31, 2022 and 2021, respectively. Gross profit margin decreased due to a less favorable sales mix, primarily as a result of lower sales of Aerospace segment customers' stocking orders for highly-engineered fasteners during the three months ended March 31, 2022, as well as due to approximately $2 million of higher energy and utility costs, primarily in our European Packaging segment facilities. Partially offsetting the decline in margin was approximately $0.9 million of lower realignment costs in first quarter 2022 as compared to the first quarter 2021.</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9.8% and 10.2% for the three months ended March 31, 2022 and 2021, respectively. Operating profit increased approximately $0.8 million to approximately $21.9 million in the three months ended March 31, 2022, from approximately $21.1 million for the three months ended March 31, 2021, primarily due to higher sales levels. Although operating profit increased, operating margin declined primarily due to a less favorable product sales mix and higher energy and utility costs, which were partially offset by approximately $1.8 million of lower realignment costs.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decreased approximately $0.1 million to approximately $3.4 million, for the three months ended March 31, 2022 compared to approximately $3.6 million for the three months ended March 31, 2021, as a lower effective interest rate more than offset an increase in our weighted average borrowings.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2021, we incurred approximately $0.2 million of non-cash debt financing and related expenses due to the write-off of previously capitalized deferred financing fees associated with our Credit Agreement.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decreased approximately $0.7 million to approximately $0.3 million for the three months ended March 31, 2022, as compared to approximately $0.9 million for the three months ended March 31, 2021, primarily due to a decrease in losses on transactions denominated in foreign currencies.</w:t>
      </w:r>
    </w:p>
    <w:p>
      <w:pPr>
        <w:spacing w:after="0" w:line="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2022 and 2021 was 22.3% and 20.5%, respectively. We recorded income tax expense of approximately $4.1 million for the three months ended March 31, 2022 as compared to income tax expense of approximately $3.4 million for the three months ended March 31, 2021. The rate for the three months ended March 31, 2022 is higher than in the prior year primarily due to a decrease in favorable tax benefits in addition to mix of jurisdictional earnings.</w:t>
      </w:r>
    </w:p>
    <w:p>
      <w:pPr>
        <w:spacing w:after="0" w:line="1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Net income increased approximately $1.1 million, to $14.2 million for the three months ended March 31, 2022, as compared to $13.1 million for the three months ended March 31, 2021. The increase was primarily the result of an increase in operating profit of approximately $0.8 million, a decrease in other expense of approximately $0.7 million, a decrease in debt financing and related expenses of $0.2 million and a decrease in interest expense of $0.1 million, partially offset by an increase in income tax expense of approximately $0.7 million.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approximately $6.4 million, or 4.8%, to $138.5 million in the three months ended March 31, 2022, as compared to $132.1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three months ended March 31, 2021. Acquisition-related sales growth was approximately $7.6 million, comprised of $4.8 million of sales from our December 2021 acquisition of Omega and $2.8 million from our February 2022 acquisition of Intertech. Net sales decreased by approximately $2.4 million due to currency exchange, as our reported results in U.S. dollars were unfavorably impacted as a result of the strengthening U.S. dollar relative to foreign currencies, as compared to first quarter 2021. Sales of products used in food and beverage markets increased by approximately $11.0 million, primarily due to strong demand for closures, dispensers and flexible packaging as the hospitality sector continues to rebound from prior COVID-19 pandemic-related shutdowns. Sales of products used in industrial markets increased by approximately $4.3 million, primarily as a result of higher demand for closure products, primarily in North America. Sales of dispensing products used in beauty and personal care, as well as home care, applications that help fight the spread of germs decreased largely as anticipated by approximately $14.5 million, as COVID-19-related demand levels have abated for these products from the peak levels in mid-2020 through first quarter 2021.</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increased approximately $2.5 million to $36.4 million, or 26.3% of sales, in the three months ended March 31, 2022, as compared to $33.9 million, or 25.6% of sales, in the three months ended March 31, 2021. During first quarter 2021, we were impacted by approximately $2 million of higher resin costs than we were able to recover via commercial actions, while in first quarter 2022 we were generally able to recover current resin costs. Gross profit margin further improved as a result of lower facility move and consolidation costs of approximately $0.8 million associated with our realignment efforts. The increase in gross profit was partially offset by approximately $2 million higher energy and utility costs, primarily in our European manufacturing facilities, as well as a result of approximately $0.6 million of currency exchange, as our reported results in U.S. dollars were unfavorably impacted as a result of the strengthening U.S. dollar relative to foreign currencies.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approximately $2.5 million to $15.0 million, or 10.9% of sales, in the three months ended March 31, 2022, as compared to $12.6 million, or 9.5% of sales, in the three months ended March 31, 2021, primarily due to higher ongoing selling, general and administrative costs associated with our acquisitions as well as higher employee-related expenses as a result of our first quarter 2022 realignment actions.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remained flat at $21.3 million, or 15.4% of sales, in the three months ended March 31, 2022, as compared to $21.3 million, or 16.1% of sales, in the three months ended March 31, 2021, as the impact of lower material costs was offset by higher energy and utility costs, higher selling, general and administrative expenses and the impact of unfavorable currency exchange.</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three months ended March 31, 2022 decreased approximately $0.1 million, or 0.2%, to $44.5 million, as compared to $44.6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three months ended March 31, 2021. Acquisition-related sales growth from our December 2021 acquisition of TFI was approximately $1.4 million. Sales of our fasteners products decreased by approximately $0.6 million, as market share gains achieved in first quarter 2022 mostly offset the expected loss of sales of customers' stocking orders for highly-engineered fasteners that were predominantly fulfilled throughout 2021. Sales of our engineered components products decreased by approximately $0.9 million, primarily due to lower end market demand.</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decreased approximately $2.9 million to $8.0 million, or 18.0% of sales, in the three months ended March 31, 2022, from $11.0 million, or 24.6% of sales, in the three months ended March 31, 2021, primarily due to a less favorable product sales mix in first quarter 2022 with lower sales of the customers' stocking orders for highly-engineered fasteners.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approximately $0.3 million to $6.2 million, or 13.9% of sales, in the three months ended March 31, 2022, as compared to $6.5 million, or 14.5% of sales, in the three months ended March 31, 2021, primarily due to savings from realignment efforts in response to lower than historical demand resulting from COVID-19.</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Operating profit decreased approximately $2.7 million to approximately $1.8 million, or 4.1% of sales, in the three months ended March 31, 2022, as compared to approximately $4.5 million, or 10.1% of sales, in the three months ended March 31, 2021, primarily due to a less favorable product sales mix, which was partially offset by lower selling, general and administrative expenses.</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three months ended March 31, 2022 increased approximately $11.3 million, or 37.5%, to $41.3 million, as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$30.0 million in the three months ended March 31, 2021. Sales of our cylinder products increased approximately $7.6 million due to higher demand for steel cylinders in North America, as industrial activity continues to increase from depressed levels in 2020 and first quarter 2021 as a result of the COVID-19 pandemic. Sales of engines, compressors and related parts used in stationary power generation and assistance applications for natural gas and crude oil extraction increased by approximately $3.7 million, primarily as a result of higher oil-field activity in North America.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approximately $2.8 million to $9.3 million, or 22.6% of sales, in the three months ended March 31, 2022, as compared to $6.5 million, or 21.6% of sales, in the three months ended March 31, 2021. Gross profit increased in the first quarter of 2022 due to higher sales levels, while margins further improved due to favorable product sales mix and continued leveraging of previous realignment efforts.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approximately $0.1 million to $2.1 million, or 5.0% of sales, in the three months ended March 31, 2022, as compared to $2.0 million, or 6.6% of sales, in the three months ended March 31, 2021, primarily due to higher employment and spending levels in support of the increase in sales levels.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profit increased approximately $2.7 million to $7.2 million, or 17.5% of sales, in the three months ended March 31, 2022, as compared to $4.5 million, or 15.1% of sales, in the three months ended March 31, 2021, primarily due to increased sales levels and a more favorable product sales mix.</w:t>
      </w:r>
    </w:p>
    <w:p>
      <w:pPr>
        <w:spacing w:after="0" w:line="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8"/>
          <w:szCs w:val="18"/>
          <w:color w:val="auto"/>
        </w:rPr>
        <w:t>Corporate expenses consist of the following (dollars in millions):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88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r>
      <w:tr>
        <w:trPr>
          <w:trHeight w:val="211"/>
        </w:trPr>
        <w:tc>
          <w:tcPr>
            <w:tcW w:w="78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12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
        </w:trPr>
        <w:tc>
          <w:tcPr>
            <w:tcW w:w="7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decreased approximately $0.7 million to approximately $8.5 million for the three months ended March 31, 2022, from approximately $9.2 million for the three months ended March 31, 2021, primarily as a result of realignment charges recorded in the first quarter of 2021 relating to streamlining and reorganizing the corporate office legal group.</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were approximately $5.7 million for the three months ended March 31, 2022, as compared to approximately $15.7 million for the three months ended March 31, 2021. Significant changes in cash flows provided by operating activities and the reasons for such changes were as follows:</w:t>
      </w:r>
    </w:p>
    <w:p>
      <w:pPr>
        <w:spacing w:after="0" w:line="108" w:lineRule="exact"/>
        <w:rPr>
          <w:sz w:val="20"/>
          <w:szCs w:val="20"/>
          <w:color w:val="auto"/>
        </w:rPr>
      </w:pPr>
    </w:p>
    <w:p>
      <w:pPr>
        <w:jc w:val="both"/>
        <w:ind w:left="980" w:hanging="324"/>
        <w:spacing w:after="0" w:line="258"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2022, the Company generated approximately $34.8 million in cash flows, based on the reported net income of approximately $14.2 million and after considering the effects of non-cash items related to depreciation, amortization, loss on dispositions of assets, changes in deferred income taxes, stock-based compensation and other operating activities. For the three months ended March 31, 2021, the Company generated approximately $34.6 million in cash flows based on the reported net income of approximately $13.1 million and after considering the effects of similar non-cash items and debt financing and related expenses.</w:t>
      </w:r>
    </w:p>
    <w:p>
      <w:pPr>
        <w:spacing w:after="0" w:line="10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receivable resulted in a use of cash of approximately $22.3 million and $15.6 million for the three months ended March 31, 2022 and 2021, respectively. The increased use of cash for each of the three month periods is due primarily to the timing of sales and collection of cash related thereto within the periods. Days sales outstanding of receivables increased approximately six days through the three months ended March 31, 2022, and remained relatively consistent through the three months ended March 31, 2021.</w:t>
      </w:r>
    </w:p>
    <w:p>
      <w:pPr>
        <w:spacing w:after="0" w:line="11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increased our investment in inventory by approximately $0.9 million and $3.1 million for the three months ended March 31, 2022 and 2021, respectively. Our days sales in inventory decreased by approximately three days through first quarter 2022 and decreased approximately six days during first quarter 2021, as we continue to moderate inventory levels in line with sales levels.</w:t>
      </w:r>
    </w:p>
    <w:p>
      <w:pPr>
        <w:spacing w:after="0" w:line="10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prepaid expenses and other assets resulted in a use of cash of approximately $0.7 million and $2.1 million for the three months ended March 31, 2022 and 2021, respectively. These changes were primarily a result of the timing of payments made for income taxes and certain operating expenses.</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accounts payable and accrued liabilities resulted in a use of cash of approximately $5.2 million for the three months ended March 31, 2022, while an increase in accounts payable and accrued liabilities resulted in a source of cash of approximately $2.0 million for the three months ended March 31, 2021. Days accounts payable on hand remained relatively consistent through first quarter of 2022 compared with a decrease of approximately one day in first quarter 2021. Our days accounts payable on hand fluctuate primarily as a result of the timing of payments made to suppliers and the mix of vendors and related terms.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for the three months ended March 31, 2022 and 2021 was approximately $75.8 million and $9.4 million, respectively. During the first three months of 2022, we invested approximately $11.9 million in capital expenditures, as we continued our investment in growth, capacity and productivity-related capital projects, and paid approximately $64.0 million, net of cash acquired, to acquire Intertech. During the first three months of 2021, we invested approximately $9.4 million in capital expenditures.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for financing activities for the three months ended March 31, 2022 was approximately $11.8 million, while net cash provided by financing activities was approximately $340.8 million for the three months ended March 31, 2021. During the first three months of 2022, we purchased approximately $9.1 million of outstanding common stock, used a net cash amount of approximately $1.0 million related to our stock compensation arrangements and paid dividends of approximately $1.7 million. During the first three months of 2021, we issued $400.0 million principal amount of senior notes and made net repayments of approximately $48.6 million on our revolving credit facilities. In connection with refinancing our long-term debt, we paid approximately $6.2 million of debt financing fees. We also purchased approximately $2.6 million of outstanding common stock and used a net cash amount of approximately $1.8 million related to our stock compensation arrangements.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and Other Commitments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2021, we issued the 2029 Senior Notes in a private placement under Rule 144A of the Securities Act of 1933, as amended. We used the proceeds from the 2029 Senior Notes offering to pay fees and expenses of approximately $5.1 million related to the offering and pay fees and expenses of $1.0 million related to amending our Credit Agreement. In connection with the issuance, during the second quarter of 2021, we completed the redemption of our $300.0 million principal amount 2025 Senior Notes. The remaining cash proceeds from the 2029 Senior Notes were used for general corporate purposes, including repaying all outstanding revolving credit facility borrowings. The $5.1 million of fees and expenses related to the 2029 Senior Notes were capitalized as debt issuance costs.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2029 Senior Notes accrue interest at a rate of 4.125% per annum, payable semi-annually in arrears on April 15 and October 15. The payment of principal and interest is jointly and severally guaranteed, on a senior unsecured basis, by certain subsidiaries of the Company. The 2029 Senior Notes are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all existing and future senior indebtedness and effectively subordinated to all existing and future secured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of the value of the assets securing such indebtedness.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April 15, 2024, we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we may redeem all or part of the 2029 Senior Notes at a redemption price equal to 100% of the principal amount thereof, plus accrued and unpaid interest, if any, to the redemption date, plus a "make whole" premium.</w:t>
      </w:r>
    </w:p>
    <w:p>
      <w:pPr>
        <w:spacing w:after="0" w:line="1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our consolidated subsidiaries that do not guarantee the 2029 Senior Notes represented approximately 26% of the total of guarantor and non-guarantor net sales, treating each as a consolidated group and excluding intercompany transactions between guarantor and non-guarantor subsidiaries. In addition, our non-guarantor subsidiaries represented approximately 37% and 43% of the total guarantor and non-guarantor assets and liabilities, respectively, as of March 31, 2022, treating the guarantor and non-guarantor subsidiaries each as a consolidated group.</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2021, we amended our Credit Agreement in connection with the issuance of the 2029 Senior Notes to extend the maturity date. We incurred fees and expenses of approximately $1.0 million related to the amendment, all of which were capitalized as debt issuance costs. We also recorded approximately $0.2 million of non-cash expense related to the write-off of previously capitalized deferred financing fees. The Credit Agreement consists of a $300.0 million senior secured revolving credit facility, which permits borrowings denominated in specific foreign currencies, subject to a $125.0 million sub limit, maturing on March 29, 2026.</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2021, we amended the Credit Agreement to replace LIBOR with a benchmark interest rate determined based on the currency denomination of borrowings. Effective January 1, 2022, the amendment replaced the reference rate terms for U.S. dollar LIBOR borrowings to the Secured Overnight Financing Rate ("SOFR"), British pound sterling LIBOR borrowings to the Sterling Overnight Index Average ("SONIA") and Euro LIBOR borrowings to the Euro Short Term Rate ("ESTR"), all plus a spread of 1.50%. The interest rate spread is based upon the leverage ratio, as defined, as of the most recent determination date.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March 31, 2022. If we were to complete an acquisition which qualifies for a Covenant Holiday Period, as defined in our Credit Agreement, then our permitted total net leverage ratio cannot exceed 4.50 to 1.00 during that period. Our actual total net leverage ratio was 1.98 to 1.00 at March 31, 2022. Our permitted interest expense coverage ratio under the Credit Agreement is 3.00 to 1.00 as of March 31, 2022. Our actual interest expense coverage ratio was 13.73 to 1.00 at March 31, 2022. At March 31, 2022, we were in compliance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as reported, which is a GAAP measure of our operating results, to Consolidated Bank EBITDA, as defined in our Credit Agreement, for the twelve months ended March 31, 2022 (dollars in thousands). We present Consolidated Bank EBITDA to show our performance under our financial covenants.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Twelve Months</w:t>
            </w:r>
          </w:p>
        </w:tc>
      </w:tr>
      <w:tr>
        <w:trPr>
          <w:trHeight w:val="162"/>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Ended</w:t>
            </w:r>
          </w:p>
        </w:tc>
      </w:tr>
      <w:tr>
        <w:trPr>
          <w:trHeight w:val="214"/>
        </w:trPr>
        <w:tc>
          <w:tcPr>
            <w:tcW w:w="20" w:type="dxa"/>
            <w:vAlign w:val="bottom"/>
            <w:tcBorders>
              <w:bottom w:val="single" w:sz="8" w:color="CCEEFF"/>
            </w:tcBorders>
          </w:tcPr>
          <w:p>
            <w:pPr>
              <w:spacing w:after="0"/>
              <w:rPr>
                <w:sz w:val="18"/>
                <w:szCs w:val="18"/>
                <w:color w:val="auto"/>
              </w:rPr>
            </w:pPr>
          </w:p>
        </w:tc>
        <w:tc>
          <w:tcPr>
            <w:tcW w:w="89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25"/>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3"/>
                <w:szCs w:val="23"/>
                <w:color w:val="auto"/>
                <w:vertAlign w:val="superscript"/>
              </w:rPr>
              <w:t>(1)</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non-cash expenses or losses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Non-recurring expenses or costs</w:t>
            </w:r>
            <w:r>
              <w:rPr>
                <w:rFonts w:ascii="Times New Roman" w:cs="Times New Roman" w:eastAsia="Times New Roman" w:hAnsi="Times New Roman"/>
                <w:sz w:val="23"/>
                <w:szCs w:val="23"/>
                <w:color w:val="auto"/>
                <w:vertAlign w:val="superscript"/>
              </w:rPr>
              <w:t>(2)</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19,360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Extraordinary, non-recurring or unusual gains or losses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Effects of purchase accounting adjustments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 and asset dispositions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losses on early extinguishment of debt</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Permitted acquisitions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Currency gains and losses</w:t>
            </w:r>
          </w:p>
        </w:tc>
        <w:tc>
          <w:tcPr>
            <w:tcW w:w="6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182,140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226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26"/>
        </w:trPr>
        <w:tc>
          <w:tcPr>
            <w:tcW w:w="20" w:type="dxa"/>
            <w:vAlign w:val="bottom"/>
          </w:tcPr>
          <w:p>
            <w:pPr>
              <w:spacing w:after="0"/>
              <w:rPr>
                <w:sz w:val="19"/>
                <w:szCs w:val="19"/>
                <w:color w:val="auto"/>
              </w:rPr>
            </w:pPr>
          </w:p>
        </w:tc>
        <w:tc>
          <w:tcPr>
            <w:tcW w:w="896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Total Indebtedness, as defined</w:t>
            </w:r>
            <w:r>
              <w:rPr>
                <w:rFonts w:ascii="Times New Roman" w:cs="Times New Roman" w:eastAsia="Times New Roman" w:hAnsi="Times New Roman"/>
                <w:sz w:val="23"/>
                <w:szCs w:val="23"/>
                <w:color w:val="auto"/>
                <w:vertAlign w:val="superscript"/>
              </w:rPr>
              <w:t>(3)</w:t>
            </w:r>
          </w:p>
        </w:tc>
        <w:tc>
          <w:tcPr>
            <w:tcW w:w="620" w:type="dxa"/>
            <w:vAlign w:val="bottom"/>
            <w:tcBorders>
              <w:top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360,120</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182,140</w:t>
            </w:r>
          </w:p>
        </w:tc>
        <w:tc>
          <w:tcPr>
            <w:tcW w:w="2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6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x</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Twelve Months</w:t>
            </w:r>
          </w:p>
        </w:tc>
      </w:tr>
      <w:tr>
        <w:trPr>
          <w:trHeight w:val="162"/>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Ended</w:t>
            </w:r>
          </w:p>
        </w:tc>
      </w:tr>
      <w:tr>
        <w:trPr>
          <w:trHeight w:val="214"/>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March 31, 2022</w:t>
            </w:r>
          </w:p>
        </w:tc>
      </w:tr>
      <w:tr>
        <w:trPr>
          <w:trHeight w:val="225"/>
        </w:trPr>
        <w:tc>
          <w:tcPr>
            <w:tcW w:w="20" w:type="dxa"/>
            <w:vAlign w:val="bottom"/>
          </w:tcPr>
          <w:p>
            <w:pPr>
              <w:spacing w:after="0"/>
              <w:rPr>
                <w:sz w:val="19"/>
                <w:szCs w:val="19"/>
                <w:color w:val="auto"/>
              </w:rPr>
            </w:pPr>
          </w:p>
        </w:tc>
        <w:tc>
          <w:tcPr>
            <w:tcW w:w="8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amounts attributable to amortization of financing costs</w:t>
            </w:r>
          </w:p>
        </w:tc>
        <w:tc>
          <w:tcPr>
            <w:tcW w:w="6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9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00" w:type="dxa"/>
            <w:vAlign w:val="bottom"/>
            <w:tcBorders>
              <w:bottom w:val="single" w:sz="8" w:color="CCEEFF"/>
            </w:tcBorders>
          </w:tcPr>
          <w:p>
            <w:pPr>
              <w:spacing w:after="0"/>
              <w:rPr>
                <w:sz w:val="18"/>
                <w:szCs w:val="18"/>
                <w:color w:val="auto"/>
              </w:rPr>
            </w:pPr>
          </w:p>
        </w:tc>
      </w:tr>
      <w:tr>
        <w:trPr>
          <w:trHeight w:val="226"/>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182,140</w:t>
            </w:r>
          </w:p>
        </w:tc>
        <w:tc>
          <w:tcPr>
            <w:tcW w:w="200" w:type="dxa"/>
            <w:vAlign w:val="bottom"/>
            <w:shd w:val="clear" w:color="auto" w:fill="CCEEFF"/>
          </w:tcPr>
          <w:p>
            <w:pPr>
              <w:spacing w:after="0"/>
              <w:rPr>
                <w:sz w:val="19"/>
                <w:szCs w:val="19"/>
                <w:color w:val="auto"/>
              </w:rPr>
            </w:pPr>
          </w:p>
        </w:tc>
      </w:tr>
      <w:tr>
        <w:trPr>
          <w:trHeight w:val="230"/>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200" w:type="dxa"/>
            <w:vAlign w:val="bottom"/>
            <w:tcBorders>
              <w:bottom w:val="single" w:sz="8" w:color="CCEEFF"/>
            </w:tcBorders>
          </w:tcPr>
          <w:p>
            <w:pPr>
              <w:spacing w:after="0"/>
              <w:rPr>
                <w:sz w:val="19"/>
                <w:szCs w:val="19"/>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interest expense coverage ratio</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2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1"/>
        </w:trPr>
        <w:tc>
          <w:tcPr>
            <w:tcW w:w="8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23"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Non-cash compensation expenses resulting from the grant of equity awards.</w:t>
      </w:r>
    </w:p>
    <w:p>
      <w:pPr>
        <w:spacing w:after="0" w:line="92"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Non-recurring costs and expenses relating to diligence and transaction costs, purchase accounting costs, severance, relocation, restructuring and curtailment expenses.</w:t>
      </w:r>
    </w:p>
    <w:p>
      <w:pPr>
        <w:spacing w:after="0" w:line="105" w:lineRule="exact"/>
        <w:rPr>
          <w:rFonts w:ascii="Times New Roman" w:cs="Times New Roman" w:eastAsia="Times New Roman" w:hAnsi="Times New Roman"/>
          <w:sz w:val="19"/>
          <w:szCs w:val="19"/>
          <w:color w:val="auto"/>
          <w:vertAlign w:val="superscript"/>
        </w:rPr>
      </w:pPr>
    </w:p>
    <w:p>
      <w:pPr>
        <w:ind w:left="400" w:hanging="392"/>
        <w:spacing w:after="0"/>
        <w:tabs>
          <w:tab w:leader="none" w:pos="40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approximately $3.8 million of acquisition related contingent consideration as of March 31, 2022.</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revolving credit facility allows for the issuance of letters of credit, not to exceed $40.0 million in aggregate. We placed restricted cash on deposit with a financial institution to be held as cash collateral for our outstanding letters of credit; therefore, as of March 31, 2022 and December 31, 2021, we had no letters of credit issued against our revolving credit facility. At March 31, 2022 and December 31, 2021, we had no amounts outstanding under our revolving credit facility and had approximately $300.0 million available after giving effect to letters of credit issued and outstanding. Our letters of credit, or corresponding restricted cash deposits,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March 31, 2022 and December 31, 2021.</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weighted average borrowings during the first three months of 2022 approximated $400.0 million, compared to approximately $357.5 million during the first three months of 2021, primarily due to a higher aggregate principal balance on our senior notes due to the issuance of the 2029 Senior Notes and the redemption of the 2025 Senior Notes during the first half of 2021.</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we, through one of our non-U.S. subsidiaries, entered into a revolving loan facility with a borrowing capacity of $4 million. The facility is guaranteed by TriMas Corporation. There were no borrowings on this loan facility as of March 31, 2022.</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more than half of our cash on hand as of March 31, 2022 is located outside the U.S., given available funding under our revolving credit facility of $300.0 million at March 31, 2022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 as well as dividends and share repurchases.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variable interest rates on our revolving credit facility, which is subject to a benchmark interest rate determined based on the currency denomination of borrowings. At March 31, 2022, we had no amounts outstanding on our revolving credit facility and, therefore, no variable rate-based borrowings outstanding.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long-term debt, we have other cash commitments related to leases. We account for these lease transactions as operating leases, and annual rent expense for continuing operations related thereto approximated $11.0 million in 2021. We expect leasing will continue to be an available financing option to fund future capital expenditure requirements.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we announced our Board of Directors had authorized us to increase the purchase of our common stock up to $250 million in the aggregate, an increase of $100 million from the prior authorization. In the three months ended March 31, 2022, we purchased 282,003 shares of our outstanding common stock for an aggregate purchase price of approximately $9.1 million. Since the initial authorization through March 31, 2022, we have purchased 4,132,818 shares of our outstanding common stock for an aggregate purchase price of approximately $116.4 million. We will continue to evaluate opportunities to return capital to shareholders through the purchase of our common stock and the payment of dividends, depending on market conditions, including the potential impact of the COVID-19 pandemic, and other factors.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March 31, 2022, we were party to foreign exchange forward and swap contracts to hedge changes in foreign currency exchange rates with notional amounts of approximately $135.8 million. We also use cross-currency swap agreements to mitigate currency risks associated with the net investment in certain of our foreign subsidiaries. See Note 11,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 for additional information.</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We are also subject to interest risk as it relates to our long-term debt.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within this quarterly report on Form 10-Q for additional information.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is listed in the NASDAQ Global Select Market. Our stock trades under the symbol "TRS."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and certain of our outstanding debt obligations are rated by Standard &amp; Poor's and Moody's. On March 29, 2022, Moody's affirmed a Ba3 rating to our 2029 Senior Notes.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xml:space="preserve"> within this quarterly report on Form 10-Q. Moody's also affirmed a Ba2 Corporate Family Rating and maintained its outlook as stable. On March 15, 2021, Standard</w:t>
      </w:r>
    </w:p>
    <w:p>
      <w:pPr>
        <w:spacing w:after="0" w:line="1" w:lineRule="exact"/>
        <w:rPr>
          <w:sz w:val="20"/>
          <w:szCs w:val="20"/>
          <w:color w:val="auto"/>
        </w:rPr>
      </w:pPr>
    </w:p>
    <w:p>
      <w:pPr>
        <w:jc w:val="both"/>
        <w:ind w:firstLine="8"/>
        <w:spacing w:after="0" w:line="255" w:lineRule="auto"/>
        <w:tabs>
          <w:tab w:leader="none" w:pos="1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Poor's assigned a BB- rating to our 2029 Senior Notes. On February 26, 2021, Standard &amp; Poor's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believe our first quarter 2022 financial results continue to demonstrate our ability to effectively leverage our TriMas Business Model, working across our businesses with a high degree of connectivity to respond to changing market conditions, whether they be related to the COVID-19 pandemic, volatile commodity costs or the supply chain and energy cost impacts from the Russia-Ukraine conflict. We have capitalized on opportunities where market demand was high, while also taking swift actions where market demand was sharply reduced. We have continued to take proactive realignment actions to mitigate external pressures as much as practical, while at the same time growing our businesses through organic new products as well as via bolt-on acquisitions.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Looking forward, we believe there will be a continued period of uncertainty related to demand levels for our products, whether it be when production rates for new aircraft builds, which require our fasteners and engineered products, will ramp-up, or whether general industrial activity will continue to its upward trajectory. We expect to continue to mitigate, as much as practical, the impact of low volumes in the most challenged end markets, executing realignment actions as necessary so we are positioned to gain operating leverage when these end markets recover. We believe we remain well positioned to capitalize on the recovery of the aerospace market, just as we have with the improvement in the industrial markets, as well as capture available market growth opportunities.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Following our recent acquisitions, we continue to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foreseeable future, as well as dividends and share repurchases.</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leverage the tenets of our TriMas Business Model to manage our multi-industry businesses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2022, there were no material changes to the items that we disclosed as our critical accounting policies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the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for details about our primary market risks, and the objectives and strategies used to manage these risks. Also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11,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included within this quarterly report on Form 10-Q for additional information.</w:t>
      </w:r>
    </w:p>
    <w:p>
      <w:pPr>
        <w:spacing w:after="0" w:line="1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2022,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March 31, 2022, the Company's disclosure controls and procedures are effective to provide reasonable assurance that they would meet their objectives.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the COVID-19 pandemic, we have required certain employees, some of whom are involved in the operation of our internal controls over financial reporting, to work from home. Despite this change, there have been no changes in the Company's internal control over financial reporting during the quarter ended March 31, 2022 that have materially affected, or are reasonably likely to materially affect, the Company's internal control over financial reporting. We are continually monitoring and assessing the COVID-19 pandemic on our internal controls to minimize any impact it may have on their design and operating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1,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2021 Annual Report on Form 10-K, which could materially affect our business, financial condition or future results. There have been no significant changes in our risk factors as disclosed in our 2021 Annual Report on Form 10-K.</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made by the Company, or on behalf of the Company by an affiliated purchaser, of shares of the Company's common stock during the three months ended March 31, 2022.</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4"/>
                <w:szCs w:val="14"/>
                <w:color w:val="auto"/>
              </w:rPr>
            </w:pPr>
          </w:p>
        </w:tc>
        <w:tc>
          <w:tcPr>
            <w:tcW w:w="1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4"/>
                <w:szCs w:val="14"/>
                <w:color w:val="auto"/>
              </w:rPr>
            </w:pPr>
          </w:p>
        </w:tc>
        <w:tc>
          <w:tcPr>
            <w:tcW w:w="18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216"/>
        </w:trPr>
        <w:tc>
          <w:tcPr>
            <w:tcW w:w="3860" w:type="dxa"/>
            <w:vAlign w:val="bottom"/>
            <w:gridSpan w:val="2"/>
            <w:vMerge w:val="continue"/>
          </w:tcPr>
          <w:p>
            <w:pPr>
              <w:spacing w:after="0"/>
              <w:rPr>
                <w:sz w:val="18"/>
                <w:szCs w:val="18"/>
                <w:color w:val="auto"/>
              </w:rPr>
            </w:pPr>
          </w:p>
        </w:tc>
        <w:tc>
          <w:tcPr>
            <w:tcW w:w="172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7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Plans or Programs </w:t>
            </w:r>
            <w:r>
              <w:rPr>
                <w:rFonts w:ascii="Times New Roman" w:cs="Times New Roman" w:eastAsia="Times New Roman" w:hAnsi="Times New Roman"/>
                <w:sz w:val="21"/>
                <w:szCs w:val="21"/>
                <w:b w:val="1"/>
                <w:bCs w:val="1"/>
                <w:color w:val="auto"/>
                <w:w w:val="98"/>
                <w:vertAlign w:val="superscript"/>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113"/>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the Program </w:t>
            </w:r>
            <w:r>
              <w:rPr>
                <w:rFonts w:ascii="Times New Roman" w:cs="Times New Roman" w:eastAsia="Times New Roman" w:hAnsi="Times New Roman"/>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 to January 31, 2022</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142,615,349</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2022 to February 28, 2022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142,461,009</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2022 to March 31, 2022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277,129</w:t>
            </w:r>
          </w:p>
        </w:tc>
        <w:tc>
          <w:tcPr>
            <w:tcW w:w="4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133,558,897</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282,003</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282,003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133,558,897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jc w:val="both"/>
        <w:ind w:left="340" w:hanging="332"/>
        <w:spacing w:after="0" w:line="245" w:lineRule="auto"/>
        <w:tabs>
          <w:tab w:leader="none" w:pos="309"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March 31, 2022, the Company repurchased 282,003 shares of its common stock at a cost of approximately $9.1 million. The share repurchase program is effective and has no expiration date.</w:t>
      </w:r>
    </w:p>
    <w:p>
      <w:pPr>
        <w:spacing w:after="0" w:line="1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13"/>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11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216"/>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tcPr>
          <w:p>
            <w:pPr>
              <w:spacing w:after="0"/>
              <w:rPr>
                <w:sz w:val="18"/>
                <w:szCs w:val="18"/>
                <w:color w:val="auto"/>
              </w:rPr>
            </w:pPr>
          </w:p>
        </w:tc>
        <w:tc>
          <w:tcPr>
            <w:tcW w:w="9500" w:type="dxa"/>
            <w:vAlign w:val="bottom"/>
            <w:gridSpan w:val="12"/>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Fourth Amended and Restated Certificate of Incorporation of TriMas Corporation (Incorporated by reference to the Exhibits filed</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with TriMas Corporation's Quarterly Report on Form 10-Q filed on August 3, 2007 (File No. 001-10716)).</w:t>
              </w:r>
            </w:hyperlink>
          </w:p>
        </w:tc>
        <w:tc>
          <w:tcPr>
            <w:tcW w:w="1640" w:type="dxa"/>
            <w:vAlign w:val="bottom"/>
            <w:tcBorders>
              <w:top w:val="single" w:sz="8" w:color="0000FF"/>
            </w:tcBorders>
            <w:gridSpan w:val="6"/>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tcPr>
          <w:p>
            <w:pPr>
              <w:spacing w:after="0"/>
              <w:rPr>
                <w:sz w:val="18"/>
                <w:szCs w:val="18"/>
                <w:color w:val="auto"/>
              </w:rPr>
            </w:pPr>
          </w:p>
        </w:tc>
        <w:tc>
          <w:tcPr>
            <w:tcW w:w="9500" w:type="dxa"/>
            <w:vAlign w:val="bottom"/>
            <w:gridSpan w:val="12"/>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Third Amended and Restated By-laws of TriMas Corporation (Incorporated by reference to the Exhibits filed with TriMas</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Corporation's Current Report on Form 8-K filed on December 18, 2015 (File No. 001-10716)).</w:t>
              </w:r>
            </w:hyperlink>
          </w:p>
        </w:tc>
        <w:tc>
          <w:tcPr>
            <w:tcW w:w="30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18"/>
                <w:szCs w:val="18"/>
                <w:color w:val="auto"/>
              </w:rPr>
            </w:pPr>
          </w:p>
        </w:tc>
        <w:tc>
          <w:tcPr>
            <w:tcW w:w="8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Form of Performance Stock Units Agreement - 2022 LTI - under the 2017 Equity and Incentive Compensation Plan.*</w:t>
            </w:r>
          </w:p>
        </w:tc>
        <w:tc>
          <w:tcPr>
            <w:tcW w:w="1040" w:type="dxa"/>
            <w:vAlign w:val="bottom"/>
            <w:gridSpan w:val="7"/>
          </w:tcPr>
          <w:p>
            <w:pPr>
              <w:spacing w:after="0"/>
              <w:rPr>
                <w:sz w:val="18"/>
                <w:szCs w:val="18"/>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tcPr>
          <w:p>
            <w:pPr>
              <w:spacing w:after="0"/>
              <w:rPr>
                <w:sz w:val="18"/>
                <w:szCs w:val="18"/>
                <w:color w:val="auto"/>
              </w:rPr>
            </w:pPr>
          </w:p>
        </w:tc>
        <w:tc>
          <w:tcPr>
            <w:tcW w:w="95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of Restricted Stock Units Agreement (Three-Year Vest) - 2022 LTI - under the 2017 Equity and Incentive Compensation</w:t>
            </w:r>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10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Plan.*</w:t>
            </w:r>
          </w:p>
        </w:tc>
        <w:tc>
          <w:tcPr>
            <w:tcW w:w="3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tcPr>
          <w:p>
            <w:pPr>
              <w:spacing w:after="0"/>
              <w:rPr>
                <w:sz w:val="18"/>
                <w:szCs w:val="18"/>
                <w:color w:val="auto"/>
              </w:rPr>
            </w:pPr>
          </w:p>
        </w:tc>
        <w:tc>
          <w:tcPr>
            <w:tcW w:w="95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Form of Restricted Stock Units Agreement (Board Of Directors) (One-Year Vest) - 2022 LTI - under the 2017 Equity and Incentive</w:t>
            </w:r>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4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Compensation Plan.*</w:t>
            </w:r>
          </w:p>
        </w:tc>
        <w:tc>
          <w:tcPr>
            <w:tcW w:w="60" w:type="dxa"/>
            <w:vAlign w:val="bottom"/>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40" w:type="dxa"/>
            <w:vAlign w:val="bottom"/>
          </w:tcPr>
          <w:p>
            <w:pPr>
              <w:spacing w:after="0"/>
              <w:rPr>
                <w:sz w:val="18"/>
                <w:szCs w:val="18"/>
                <w:color w:val="auto"/>
              </w:rPr>
            </w:pPr>
          </w:p>
        </w:tc>
        <w:tc>
          <w:tcPr>
            <w:tcW w:w="1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Certification pursuant</w:t>
            </w:r>
          </w:p>
        </w:tc>
        <w:tc>
          <w:tcPr>
            <w:tcW w:w="7960" w:type="dxa"/>
            <w:vAlign w:val="bottom"/>
            <w:gridSpan w:val="10"/>
          </w:tcPr>
          <w:p>
            <w:pPr>
              <w:ind w:left="80"/>
              <w:spacing w:after="0" w:line="207" w:lineRule="exact"/>
              <w:rPr>
                <w:sz w:val="20"/>
                <w:szCs w:val="20"/>
                <w:color w:val="auto"/>
              </w:rPr>
            </w:pPr>
            <w:r>
              <w:rPr>
                <w:rFonts w:ascii="Times New Roman" w:cs="Times New Roman" w:eastAsia="Times New Roman" w:hAnsi="Times New Roman"/>
                <w:sz w:val="18"/>
                <w:szCs w:val="18"/>
                <w:color w:val="0000FF"/>
              </w:rPr>
              <w:t>to 18 U.S.C. Section 1350, as adopted pursuant to Section 302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40" w:type="dxa"/>
            <w:vAlign w:val="bottom"/>
          </w:tcPr>
          <w:p>
            <w:pPr>
              <w:spacing w:after="0"/>
              <w:rPr>
                <w:sz w:val="18"/>
                <w:szCs w:val="18"/>
                <w:color w:val="auto"/>
              </w:rPr>
            </w:pPr>
          </w:p>
        </w:tc>
        <w:tc>
          <w:tcPr>
            <w:tcW w:w="8720" w:type="dxa"/>
            <w:vAlign w:val="bottom"/>
            <w:tcBorders>
              <w:top w:val="single" w:sz="8" w:color="0000FF"/>
              <w:bottom w:val="single" w:sz="8" w:color="0000FF"/>
            </w:tcBorders>
            <w:gridSpan w:val="6"/>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FF"/>
            </w:tcBorders>
          </w:tcPr>
          <w:p>
            <w:pPr>
              <w:spacing w:after="0"/>
              <w:rPr>
                <w:sz w:val="18"/>
                <w:szCs w:val="18"/>
                <w:color w:val="auto"/>
              </w:rPr>
            </w:pPr>
          </w:p>
        </w:tc>
        <w:tc>
          <w:tcPr>
            <w:tcW w:w="760" w:type="dxa"/>
            <w:vAlign w:val="bottom"/>
            <w:gridSpan w:val="5"/>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40" w:type="dxa"/>
            <w:vAlign w:val="bottom"/>
          </w:tcPr>
          <w:p>
            <w:pPr>
              <w:spacing w:after="0"/>
              <w:rPr>
                <w:sz w:val="18"/>
                <w:szCs w:val="18"/>
                <w:color w:val="auto"/>
              </w:rPr>
            </w:pPr>
          </w:p>
        </w:tc>
        <w:tc>
          <w:tcPr>
            <w:tcW w:w="8740" w:type="dxa"/>
            <w:vAlign w:val="bottom"/>
            <w:tcBorders>
              <w:bottom w:val="single" w:sz="8" w:color="0000FF"/>
            </w:tcBorders>
            <w:gridSpan w:val="7"/>
          </w:tcPr>
          <w:p>
            <w:pPr>
              <w:spacing w:after="0" w:line="207"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c>
          <w:tcPr>
            <w:tcW w:w="760" w:type="dxa"/>
            <w:vAlign w:val="bottom"/>
            <w:gridSpan w:val="5"/>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40" w:type="dxa"/>
            <w:vAlign w:val="bottom"/>
          </w:tcPr>
          <w:p>
            <w:pPr>
              <w:spacing w:after="0"/>
              <w:rPr>
                <w:sz w:val="18"/>
                <w:szCs w:val="18"/>
                <w:color w:val="auto"/>
              </w:rPr>
            </w:pPr>
          </w:p>
        </w:tc>
        <w:tc>
          <w:tcPr>
            <w:tcW w:w="8720" w:type="dxa"/>
            <w:vAlign w:val="bottom"/>
            <w:tcBorders>
              <w:bottom w:val="single" w:sz="8" w:color="0000FF"/>
            </w:tcBorders>
            <w:gridSpan w:val="6"/>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20" w:type="dxa"/>
            <w:vAlign w:val="bottom"/>
          </w:tcPr>
          <w:p>
            <w:pPr>
              <w:spacing w:after="0"/>
              <w:rPr>
                <w:sz w:val="18"/>
                <w:szCs w:val="18"/>
                <w:color w:val="auto"/>
              </w:rPr>
            </w:pPr>
          </w:p>
        </w:tc>
        <w:tc>
          <w:tcPr>
            <w:tcW w:w="760" w:type="dxa"/>
            <w:vAlign w:val="bottom"/>
            <w:gridSpan w:val="5"/>
          </w:tcPr>
          <w:p>
            <w:pPr>
              <w:spacing w:after="0"/>
              <w:rPr>
                <w:sz w:val="18"/>
                <w:szCs w:val="18"/>
                <w:color w:val="auto"/>
              </w:rPr>
            </w:pPr>
          </w:p>
        </w:tc>
      </w:tr>
      <w:tr>
        <w:trPr>
          <w:trHeight w:val="205"/>
        </w:trPr>
        <w:tc>
          <w:tcPr>
            <w:tcW w:w="6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17"/>
                <w:szCs w:val="17"/>
                <w:color w:val="auto"/>
              </w:rPr>
            </w:pPr>
          </w:p>
        </w:tc>
        <w:tc>
          <w:tcPr>
            <w:tcW w:w="950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auto"/>
              </w:rPr>
              <w:t>The following materials from TriMas Corporation's Quarterly Report on Form 10-Q for the quarter ended March 31, 2022,</w:t>
            </w:r>
          </w:p>
        </w:tc>
      </w:tr>
      <w:tr>
        <w:trPr>
          <w:trHeight w:val="180"/>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12"/>
          </w:tcPr>
          <w:p>
            <w:pPr>
              <w:spacing w:after="0" w:line="181" w:lineRule="exact"/>
              <w:rPr>
                <w:sz w:val="20"/>
                <w:szCs w:val="20"/>
                <w:color w:val="auto"/>
              </w:rPr>
            </w:pPr>
            <w:r>
              <w:rPr>
                <w:rFonts w:ascii="Times New Roman" w:cs="Times New Roman" w:eastAsia="Times New Roman" w:hAnsi="Times New Roman"/>
                <w:sz w:val="18"/>
                <w:szCs w:val="18"/>
                <w:color w:val="auto"/>
              </w:rPr>
              <w:t>formatted in Inline XBRL (eXtensible Business Reporting Language): (i) the Consolidated Balance Sheet, (ii) the Consolidated</w:t>
            </w:r>
          </w:p>
        </w:tc>
      </w:tr>
      <w:tr>
        <w:trPr>
          <w:trHeight w:val="191"/>
        </w:trPr>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500" w:type="dxa"/>
            <w:vAlign w:val="bottom"/>
            <w:gridSpan w:val="12"/>
          </w:tcPr>
          <w:p>
            <w:pPr>
              <w:spacing w:after="0" w:line="191" w:lineRule="exact"/>
              <w:rPr>
                <w:sz w:val="20"/>
                <w:szCs w:val="20"/>
                <w:color w:val="auto"/>
              </w:rPr>
            </w:pPr>
            <w:r>
              <w:rPr>
                <w:rFonts w:ascii="Times New Roman" w:cs="Times New Roman" w:eastAsia="Times New Roman" w:hAnsi="Times New Roman"/>
                <w:sz w:val="18"/>
                <w:szCs w:val="18"/>
                <w:color w:val="auto"/>
              </w:rPr>
              <w:t>Statement of Income, (iii) the Consolidated Statement of Comprehensive Income, (iv) the Consolidated Statement of Cash Flows,</w:t>
            </w:r>
          </w:p>
        </w:tc>
      </w:tr>
    </w:tbl>
    <w:p>
      <w:pPr>
        <w:ind w:left="1680" w:hanging="7"/>
        <w:spacing w:after="0" w:line="233" w:lineRule="auto"/>
        <w:tabs>
          <w:tab w:leader="none" w:pos="19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 of Shareholders' Equity, (vi) Notes to Consolidated Financial Statements, and (vii) document and entity information.</w:t>
      </w:r>
    </w:p>
    <w:p>
      <w:pPr>
        <w:spacing w:after="0" w:line="1"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414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TRIMAS CORPORATION (Registrant)</w:t>
            </w:r>
          </w:p>
        </w:tc>
        <w:tc>
          <w:tcPr>
            <w:tcW w:w="4440" w:type="dxa"/>
            <w:vAlign w:val="bottom"/>
          </w:tcPr>
          <w:p>
            <w:pPr>
              <w:spacing w:after="0"/>
              <w:rPr>
                <w:sz w:val="20"/>
                <w:szCs w:val="20"/>
                <w:color w:val="auto"/>
              </w:rPr>
            </w:pPr>
          </w:p>
        </w:tc>
      </w:tr>
      <w:tr>
        <w:trPr>
          <w:trHeight w:val="486"/>
        </w:trPr>
        <w:tc>
          <w:tcPr>
            <w:tcW w:w="2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4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w w:val="99"/>
              </w:rPr>
              <w:t>/s/ SCOTT A. MELL</w:t>
            </w:r>
          </w:p>
        </w:tc>
      </w:tr>
      <w:tr>
        <w:trPr>
          <w:trHeight w:val="54"/>
        </w:trPr>
        <w:tc>
          <w:tcPr>
            <w:tcW w:w="2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r>
        <w:trPr>
          <w:trHeight w:val="176"/>
        </w:trPr>
        <w:tc>
          <w:tcPr>
            <w:tcW w:w="2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440" w:type="dxa"/>
            <w:vAlign w:val="bottom"/>
          </w:tcPr>
          <w:p>
            <w:pPr>
              <w:jc w:val="center"/>
              <w:ind w:right="2490"/>
              <w:spacing w:after="0" w:line="176" w:lineRule="exact"/>
              <w:rPr>
                <w:sz w:val="20"/>
                <w:szCs w:val="20"/>
                <w:color w:val="auto"/>
              </w:rPr>
            </w:pPr>
            <w:r>
              <w:rPr>
                <w:rFonts w:ascii="Times New Roman" w:cs="Times New Roman" w:eastAsia="Times New Roman" w:hAnsi="Times New Roman"/>
                <w:sz w:val="18"/>
                <w:szCs w:val="18"/>
                <w:color w:val="auto"/>
              </w:rPr>
              <w:t>Scott A. Mell</w:t>
            </w:r>
          </w:p>
        </w:tc>
      </w:tr>
      <w:tr>
        <w:trPr>
          <w:trHeight w:val="23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2022</w:t>
            </w:r>
          </w:p>
        </w:tc>
        <w:tc>
          <w:tcPr>
            <w:tcW w:w="41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jc w:val="center"/>
              <w:ind w:right="249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1/1/22 – 12/31/24 Award</w:t>
      </w:r>
    </w:p>
    <w:p>
      <w:pPr>
        <w:jc w:val="right"/>
        <w:spacing w:after="0"/>
        <w:rPr>
          <w:sz w:val="20"/>
          <w:szCs w:val="20"/>
          <w:color w:val="auto"/>
        </w:rPr>
      </w:pPr>
      <w:r>
        <w:rPr>
          <w:rFonts w:ascii="Times New Roman" w:cs="Times New Roman" w:eastAsia="Times New Roman" w:hAnsi="Times New Roman"/>
          <w:sz w:val="22"/>
          <w:szCs w:val="22"/>
          <w:b w:val="1"/>
          <w:bCs w:val="1"/>
          <w:color w:val="auto"/>
        </w:rPr>
        <w:t>Performance Stock Units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EQUITY AND INCENTIVE COMPENSATION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21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2017 Equity and Incentive Compensation Plan (“Plan”), and as approved by the Committee, has granted to the individual listed below (“Grantee”), the opportunity to earn performance-based Restricted Stock Units (“PSUs”) in the amount designated in this Performance Stock Units Agreement (“Agreement”), subject to the terms and conditions of the Plan and this Agreement.</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Unless otherwise defined in this Agreement or in one or more Appendices to this Agreement, the terms used in this Agreement have the same meanings as defined in the Plan.</w:t>
      </w:r>
    </w:p>
    <w:p>
      <w:pPr>
        <w:spacing w:after="0" w:line="146"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PSU AWARD</w:t>
      </w:r>
    </w:p>
    <w:p>
      <w:pPr>
        <w:spacing w:after="0" w:line="233"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3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66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[specify Grantee’s name]</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Date of Agreement:</w:t>
            </w:r>
          </w:p>
        </w:tc>
        <w:tc>
          <w:tcPr>
            <w:tcW w:w="66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As of [enter date]</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66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[Grant Date]</w:t>
            </w:r>
          </w:p>
        </w:tc>
        <w:tc>
          <w:tcPr>
            <w:tcW w:w="0" w:type="dxa"/>
            <w:vAlign w:val="bottom"/>
          </w:tcPr>
          <w:p>
            <w:pPr>
              <w:spacing w:after="0"/>
              <w:rPr>
                <w:sz w:val="1"/>
                <w:szCs w:val="1"/>
                <w:color w:val="auto"/>
              </w:rPr>
            </w:pPr>
          </w:p>
        </w:tc>
      </w:tr>
      <w:tr>
        <w:trPr>
          <w:trHeight w:val="220"/>
        </w:trPr>
        <w:tc>
          <w:tcPr>
            <w:tcW w:w="3620" w:type="dxa"/>
            <w:vAlign w:val="bottom"/>
          </w:tcPr>
          <w:p>
            <w:pPr>
              <w:spacing w:after="0" w:line="221" w:lineRule="exact"/>
              <w:rPr>
                <w:sz w:val="20"/>
                <w:szCs w:val="20"/>
                <w:color w:val="auto"/>
              </w:rPr>
            </w:pPr>
            <w:r>
              <w:rPr>
                <w:rFonts w:ascii="Times New Roman" w:cs="Times New Roman" w:eastAsia="Times New Roman" w:hAnsi="Times New Roman"/>
                <w:sz w:val="22"/>
                <w:szCs w:val="22"/>
                <w:b w:val="1"/>
                <w:bCs w:val="1"/>
                <w:color w:val="auto"/>
              </w:rPr>
              <w:t>Number of PSUs in Award:</w:t>
            </w:r>
          </w:p>
        </w:tc>
        <w:tc>
          <w:tcPr>
            <w:tcW w:w="6600" w:type="dxa"/>
            <w:vAlign w:val="bottom"/>
          </w:tcPr>
          <w:p>
            <w:pPr>
              <w:ind w:left="1080"/>
              <w:spacing w:after="0" w:line="221" w:lineRule="exact"/>
              <w:rPr>
                <w:sz w:val="20"/>
                <w:szCs w:val="20"/>
                <w:color w:val="auto"/>
              </w:rPr>
            </w:pPr>
            <w:r>
              <w:rPr>
                <w:rFonts w:ascii="Times New Roman" w:cs="Times New Roman" w:eastAsia="Times New Roman" w:hAnsi="Times New Roman"/>
                <w:sz w:val="22"/>
                <w:szCs w:val="22"/>
                <w:color w:val="auto"/>
                <w:w w:val="98"/>
              </w:rPr>
              <w:t>[number of PSUs] (“Target”), subject to addition or subtraction</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6600" w:type="dxa"/>
            <w:vAlign w:val="bottom"/>
          </w:tcPr>
          <w:p>
            <w:pPr>
              <w:ind w:left="1080"/>
              <w:spacing w:after="0" w:line="216" w:lineRule="exact"/>
              <w:rPr>
                <w:sz w:val="20"/>
                <w:szCs w:val="20"/>
                <w:color w:val="auto"/>
              </w:rPr>
            </w:pPr>
            <w:r>
              <w:rPr>
                <w:rFonts w:ascii="Times New Roman" w:cs="Times New Roman" w:eastAsia="Times New Roman" w:hAnsi="Times New Roman"/>
                <w:sz w:val="22"/>
                <w:szCs w:val="22"/>
                <w:color w:val="auto"/>
              </w:rPr>
              <w:t>as set forth on Appendix A depending on achievement of</w:t>
            </w:r>
          </w:p>
        </w:tc>
        <w:tc>
          <w:tcPr>
            <w:tcW w:w="0" w:type="dxa"/>
            <w:vAlign w:val="bottom"/>
          </w:tcPr>
          <w:p>
            <w:pPr>
              <w:spacing w:after="0"/>
              <w:rPr>
                <w:sz w:val="1"/>
                <w:szCs w:val="1"/>
                <w:color w:val="auto"/>
              </w:rPr>
            </w:pPr>
          </w:p>
        </w:tc>
      </w:tr>
      <w:tr>
        <w:trPr>
          <w:trHeight w:val="270"/>
        </w:trPr>
        <w:tc>
          <w:tcPr>
            <w:tcW w:w="36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Performance Period:</w:t>
            </w:r>
          </w:p>
        </w:tc>
        <w:tc>
          <w:tcPr>
            <w:tcW w:w="66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applicable Management Objectives</w:t>
            </w:r>
          </w:p>
        </w:tc>
        <w:tc>
          <w:tcPr>
            <w:tcW w:w="0" w:type="dxa"/>
            <w:vAlign w:val="bottom"/>
          </w:tcPr>
          <w:p>
            <w:pPr>
              <w:spacing w:after="0"/>
              <w:rPr>
                <w:sz w:val="1"/>
                <w:szCs w:val="1"/>
                <w:color w:val="auto"/>
              </w:rPr>
            </w:pPr>
          </w:p>
        </w:tc>
      </w:tr>
      <w:tr>
        <w:trPr>
          <w:trHeight w:val="216"/>
        </w:trPr>
        <w:tc>
          <w:tcPr>
            <w:tcW w:w="3620" w:type="dxa"/>
            <w:vAlign w:val="bottom"/>
            <w:vMerge w:val="continue"/>
          </w:tcPr>
          <w:p>
            <w:pPr>
              <w:spacing w:after="0"/>
              <w:rPr>
                <w:sz w:val="18"/>
                <w:szCs w:val="18"/>
                <w:color w:val="auto"/>
              </w:rPr>
            </w:pPr>
          </w:p>
        </w:tc>
        <w:tc>
          <w:tcPr>
            <w:tcW w:w="6600" w:type="dxa"/>
            <w:vAlign w:val="bottom"/>
          </w:tcPr>
          <w:p>
            <w:pPr>
              <w:ind w:left="1080"/>
              <w:spacing w:after="0" w:line="217" w:lineRule="exact"/>
              <w:rPr>
                <w:sz w:val="20"/>
                <w:szCs w:val="20"/>
                <w:color w:val="auto"/>
              </w:rPr>
            </w:pPr>
            <w:r>
              <w:rPr>
                <w:rFonts w:ascii="Times New Roman" w:cs="Times New Roman" w:eastAsia="Times New Roman" w:hAnsi="Times New Roman"/>
                <w:sz w:val="22"/>
                <w:szCs w:val="22"/>
                <w:color w:val="auto"/>
              </w:rPr>
              <w:t>Beginning on January 1, 2022, and continuing through</w:t>
            </w:r>
          </w:p>
        </w:tc>
        <w:tc>
          <w:tcPr>
            <w:tcW w:w="0" w:type="dxa"/>
            <w:vAlign w:val="bottom"/>
          </w:tcPr>
          <w:p>
            <w:pPr>
              <w:spacing w:after="0"/>
              <w:rPr>
                <w:sz w:val="1"/>
                <w:szCs w:val="1"/>
                <w:color w:val="auto"/>
              </w:rPr>
            </w:pPr>
          </w:p>
        </w:tc>
      </w:tr>
      <w:tr>
        <w:trPr>
          <w:trHeight w:val="270"/>
        </w:trPr>
        <w:tc>
          <w:tcPr>
            <w:tcW w:w="36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Settlement Date</w:t>
            </w:r>
          </w:p>
        </w:tc>
        <w:tc>
          <w:tcPr>
            <w:tcW w:w="66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December 31, 2024</w:t>
            </w:r>
          </w:p>
        </w:tc>
        <w:tc>
          <w:tcPr>
            <w:tcW w:w="0" w:type="dxa"/>
            <w:vAlign w:val="bottom"/>
          </w:tcPr>
          <w:p>
            <w:pPr>
              <w:spacing w:after="0"/>
              <w:rPr>
                <w:sz w:val="1"/>
                <w:szCs w:val="1"/>
                <w:color w:val="auto"/>
              </w:rPr>
            </w:pPr>
          </w:p>
        </w:tc>
      </w:tr>
      <w:tr>
        <w:trPr>
          <w:trHeight w:val="266"/>
        </w:trPr>
        <w:tc>
          <w:tcPr>
            <w:tcW w:w="3620" w:type="dxa"/>
            <w:vAlign w:val="bottom"/>
            <w:vMerge w:val="continue"/>
          </w:tcPr>
          <w:p>
            <w:pPr>
              <w:spacing w:after="0"/>
              <w:rPr>
                <w:sz w:val="23"/>
                <w:szCs w:val="23"/>
                <w:color w:val="auto"/>
              </w:rPr>
            </w:pPr>
          </w:p>
        </w:tc>
        <w:tc>
          <w:tcPr>
            <w:tcW w:w="66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March 11, 2025</w:t>
            </w:r>
          </w:p>
        </w:tc>
        <w:tc>
          <w:tcPr>
            <w:tcW w:w="0" w:type="dxa"/>
            <w:vAlign w:val="bottom"/>
          </w:tcPr>
          <w:p>
            <w:pPr>
              <w:spacing w:after="0"/>
              <w:rPr>
                <w:sz w:val="1"/>
                <w:szCs w:val="1"/>
                <w:color w:val="auto"/>
              </w:rPr>
            </w:pPr>
          </w:p>
        </w:tc>
      </w:tr>
      <w:tr>
        <w:trPr>
          <w:trHeight w:val="220"/>
        </w:trPr>
        <w:tc>
          <w:tcPr>
            <w:tcW w:w="3620" w:type="dxa"/>
            <w:vAlign w:val="bottom"/>
          </w:tcPr>
          <w:p>
            <w:pPr>
              <w:spacing w:after="0" w:line="221" w:lineRule="exact"/>
              <w:rPr>
                <w:sz w:val="20"/>
                <w:szCs w:val="20"/>
                <w:color w:val="auto"/>
              </w:rPr>
            </w:pPr>
            <w:r>
              <w:rPr>
                <w:rFonts w:ascii="Times New Roman" w:cs="Times New Roman" w:eastAsia="Times New Roman" w:hAnsi="Times New Roman"/>
                <w:sz w:val="22"/>
                <w:szCs w:val="22"/>
                <w:b w:val="1"/>
                <w:bCs w:val="1"/>
                <w:color w:val="auto"/>
              </w:rPr>
              <w:t>Settlement Method:</w:t>
            </w:r>
          </w:p>
        </w:tc>
        <w:tc>
          <w:tcPr>
            <w:tcW w:w="6600" w:type="dxa"/>
            <w:vAlign w:val="bottom"/>
          </w:tcPr>
          <w:p>
            <w:pPr>
              <w:ind w:left="1080"/>
              <w:spacing w:after="0" w:line="221" w:lineRule="exact"/>
              <w:rPr>
                <w:sz w:val="20"/>
                <w:szCs w:val="20"/>
                <w:color w:val="auto"/>
              </w:rPr>
            </w:pPr>
            <w:r>
              <w:rPr>
                <w:rFonts w:ascii="Times New Roman" w:cs="Times New Roman" w:eastAsia="Times New Roman" w:hAnsi="Times New Roman"/>
                <w:sz w:val="22"/>
                <w:szCs w:val="22"/>
                <w:color w:val="auto"/>
                <w:w w:val="97"/>
              </w:rPr>
              <w:t>Earned and vested PSUs will be settled by delivery of one share</w:t>
            </w:r>
          </w:p>
        </w:tc>
        <w:tc>
          <w:tcPr>
            <w:tcW w:w="0" w:type="dxa"/>
            <w:vAlign w:val="bottom"/>
          </w:tcPr>
          <w:p>
            <w:pPr>
              <w:spacing w:after="0"/>
              <w:rPr>
                <w:sz w:val="1"/>
                <w:szCs w:val="1"/>
                <w:color w:val="auto"/>
              </w:rPr>
            </w:pPr>
          </w:p>
        </w:tc>
      </w:tr>
      <w:tr>
        <w:trPr>
          <w:trHeight w:val="282"/>
        </w:trPr>
        <w:tc>
          <w:tcPr>
            <w:tcW w:w="3620" w:type="dxa"/>
            <w:vAlign w:val="bottom"/>
          </w:tcPr>
          <w:p>
            <w:pPr>
              <w:spacing w:after="0"/>
              <w:rPr>
                <w:sz w:val="24"/>
                <w:szCs w:val="24"/>
                <w:color w:val="auto"/>
              </w:rPr>
            </w:pPr>
          </w:p>
        </w:tc>
        <w:tc>
          <w:tcPr>
            <w:tcW w:w="660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of Common Stock for each PSU being settled</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p>
    <w:p>
      <w:pPr>
        <w:spacing w:after="0" w:line="192" w:lineRule="exact"/>
        <w:rPr>
          <w:rFonts w:ascii="Times New Roman" w:cs="Times New Roman" w:eastAsia="Times New Roman" w:hAnsi="Times New Roman"/>
          <w:sz w:val="22"/>
          <w:szCs w:val="22"/>
          <w:color w:val="auto"/>
        </w:rPr>
      </w:pPr>
    </w:p>
    <w:p>
      <w:pPr>
        <w:jc w:val="both"/>
        <w:ind w:firstLine="299"/>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PSUs.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to earn the number of PSUs described above, subject to the terms of this Agreement (this “Award”). The PSUs evidenced by this Agreement</w:t>
      </w:r>
    </w:p>
    <w:p>
      <w:pPr>
        <w:sectPr>
          <w:pgSz w:w="11900" w:h="16838" w:orient="portrait"/>
          <w:cols w:equalWidth="0" w:num="1">
            <w:col w:w="11240"/>
          </w:cols>
          <w:pgMar w:left="320" w:top="1418" w:right="339" w:bottom="1440" w:gutter="0" w:footer="0" w:header="0"/>
        </w:sectPr>
      </w:pPr>
    </w:p>
    <w:bookmarkStart w:id="41" w:name="page42"/>
    <w:bookmarkEnd w:id="41"/>
    <w:p>
      <w:pPr>
        <w:jc w:val="both"/>
        <w:spacing w:after="0" w:line="250" w:lineRule="auto"/>
        <w:rPr>
          <w:sz w:val="20"/>
          <w:szCs w:val="20"/>
          <w:color w:val="auto"/>
        </w:rPr>
      </w:pPr>
      <w:r>
        <w:rPr>
          <w:rFonts w:ascii="Times New Roman" w:cs="Times New Roman" w:eastAsia="Times New Roman" w:hAnsi="Times New Roman"/>
          <w:sz w:val="22"/>
          <w:szCs w:val="22"/>
          <w:color w:val="auto"/>
        </w:rPr>
        <w:t>are payable only in shares of Common Stock as described in this Agreement. Notwithstanding anything to the contrary anywhere else in this Agreement, the PSUs subject to this Award are subject to the terms and provisions of the Plan, which are incorporated by reference into this Agreement.</w:t>
      </w:r>
    </w:p>
    <w:p>
      <w:pPr>
        <w:spacing w:after="0" w:line="150" w:lineRule="exact"/>
        <w:rPr>
          <w:sz w:val="20"/>
          <w:szCs w:val="20"/>
          <w:color w:val="auto"/>
        </w:rPr>
      </w:pPr>
    </w:p>
    <w:p>
      <w:pPr>
        <w:jc w:val="both"/>
        <w:ind w:firstLine="476"/>
        <w:spacing w:after="0" w:line="232" w:lineRule="auto"/>
        <w:tabs>
          <w:tab w:leader="none" w:pos="864" w:val="left"/>
        </w:tabs>
        <w:numPr>
          <w:ilvl w:val="1"/>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 Except as otherwise designated in this Agreement, Grantee must be a Service Provider on the Settlement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such term is defined in Section II.A.7 below) to be eligible to earn and receive payment for any PSUs, and any PSUs subject to this Award will be canceled and forfeited if Grantee terminates as a Service Provider prior to the Settlement Date. Any PSUs that remain unearned after the “Determination Date” (as such term is defined in Appendix A) will be cancelled and forfeited.</w:t>
      </w:r>
    </w:p>
    <w:p>
      <w:pPr>
        <w:spacing w:after="0" w:line="146" w:lineRule="exact"/>
        <w:rPr>
          <w:rFonts w:ascii="Times New Roman" w:cs="Times New Roman" w:eastAsia="Times New Roman" w:hAnsi="Times New Roman"/>
          <w:sz w:val="21"/>
          <w:szCs w:val="21"/>
          <w:b w:val="1"/>
          <w:bCs w:val="1"/>
          <w:color w:val="auto"/>
        </w:rPr>
      </w:pPr>
    </w:p>
    <w:p>
      <w:pPr>
        <w:jc w:val="both"/>
        <w:ind w:firstLine="440"/>
        <w:spacing w:after="0" w:line="227" w:lineRule="auto"/>
        <w:tabs>
          <w:tab w:leader="none" w:pos="81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Performance Goals to Earn PSUs</w:t>
      </w:r>
      <w:r>
        <w:rPr>
          <w:rFonts w:ascii="Times New Roman" w:cs="Times New Roman" w:eastAsia="Times New Roman" w:hAnsi="Times New Roman"/>
          <w:sz w:val="22"/>
          <w:szCs w:val="22"/>
          <w:color w:val="auto"/>
        </w:rPr>
        <w:t>. Grantee will only receive shares of Common Stock related to, and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shares are earned pursuant to, the Management Objectives and goals specified in Appendix A to this Agreement (“Performance Goals”).</w:t>
      </w:r>
    </w:p>
    <w:p>
      <w:pPr>
        <w:spacing w:after="0" w:line="146" w:lineRule="exact"/>
        <w:rPr>
          <w:rFonts w:ascii="Times New Roman" w:cs="Times New Roman" w:eastAsia="Times New Roman" w:hAnsi="Times New Roman"/>
          <w:sz w:val="22"/>
          <w:szCs w:val="22"/>
          <w:b w:val="1"/>
          <w:bCs w:val="1"/>
          <w:color w:val="auto"/>
        </w:rPr>
      </w:pPr>
    </w:p>
    <w:p>
      <w:pPr>
        <w:jc w:val="both"/>
        <w:ind w:firstLine="503"/>
        <w:spacing w:after="0" w:line="212" w:lineRule="auto"/>
        <w:tabs>
          <w:tab w:leader="none" w:pos="904" w:val="left"/>
        </w:tabs>
        <w:numPr>
          <w:ilvl w:val="2"/>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PSU equal to the amount of each cash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paid by the Company (if any) to holders of Common Stock generally with a record date occurring on or after the Date of Grant and prior to the time when the PSUs are earned and/or vest and are settled in accordance with Section II.A.7 hereof. Any amounts credited pursuant to the immediately preceding sentence shall be subject to the same applicable terms and conditions (including earning, vesting, payment, and forfeitability) as apply to the PSUs based on which the dividend equivalents were credited, and such amounts shall be paid in either cash or Common Stock, as determined by the Committee in its sole discretion, at the same time as the PSUs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48" w:lineRule="exact"/>
        <w:rPr>
          <w:rFonts w:ascii="Times New Roman" w:cs="Times New Roman" w:eastAsia="Times New Roman" w:hAnsi="Times New Roman"/>
          <w:sz w:val="22"/>
          <w:szCs w:val="22"/>
          <w:b w:val="1"/>
          <w:bCs w:val="1"/>
          <w:color w:val="auto"/>
        </w:rPr>
      </w:pPr>
    </w:p>
    <w:p>
      <w:pPr>
        <w:jc w:val="both"/>
        <w:ind w:firstLine="642"/>
        <w:spacing w:after="0" w:line="214" w:lineRule="auto"/>
        <w:tabs>
          <w:tab w:leader="none" w:pos="1120" w:val="left"/>
        </w:tabs>
        <w:numPr>
          <w:ilvl w:val="3"/>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color w:val="auto"/>
        </w:rPr>
        <w:t>. This Award does not entitle Grantee to any ownership interest in any actual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unless and until such shares of Common Stock are issued to Grantee pursuant to the terms of the Plan. Except as otherwise provided in Section II.A.3 hereof, until shares of Common Stock are issued to Grantee in settlement of earned PSUs under this Award, Grantee will have none of the rights of a stockholder of the Company with respect to the shares of Common Stock issuable in settlement of the PSUs, including the right to vote the shares of Common Stock. Shares of Common Stock issuable in settlement of PSUs will be delivered to Grantee on the Settlement Date in book entry form or in such other manner as the Committee may determine.</w:t>
      </w:r>
    </w:p>
    <w:p>
      <w:pPr>
        <w:spacing w:after="0" w:line="149" w:lineRule="exact"/>
        <w:rPr>
          <w:sz w:val="20"/>
          <w:szCs w:val="20"/>
          <w:color w:val="auto"/>
        </w:rPr>
      </w:pPr>
    </w:p>
    <w:p>
      <w:pPr>
        <w:ind w:left="820" w:hanging="380"/>
        <w:spacing w:after="0"/>
        <w:tabs>
          <w:tab w:leader="none" w:pos="82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PSUs covered by this Award will be subject to adjustment as provided in Section 11 of the Plan.</w:t>
      </w:r>
    </w:p>
    <w:p>
      <w:pPr>
        <w:spacing w:after="0" w:line="179" w:lineRule="exact"/>
        <w:rPr>
          <w:rFonts w:ascii="Times New Roman" w:cs="Times New Roman" w:eastAsia="Times New Roman" w:hAnsi="Times New Roman"/>
          <w:sz w:val="22"/>
          <w:szCs w:val="22"/>
          <w:b w:val="1"/>
          <w:bCs w:val="1"/>
          <w:color w:val="auto"/>
        </w:rPr>
      </w:pPr>
    </w:p>
    <w:p>
      <w:pPr>
        <w:ind w:left="820" w:hanging="380"/>
        <w:spacing w:after="0"/>
        <w:tabs>
          <w:tab w:leader="none" w:pos="82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Service; Forfeiture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hanging="220"/>
        <w:spacing w:after="0" w:line="218" w:lineRule="auto"/>
        <w:tabs>
          <w:tab w:leader="none" w:pos="95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by Company; Breach of Other Obligations</w:t>
      </w:r>
      <w:r>
        <w:rPr>
          <w:rFonts w:ascii="Times New Roman" w:cs="Times New Roman" w:eastAsia="Times New Roman" w:hAnsi="Times New Roman"/>
          <w:sz w:val="22"/>
          <w:szCs w:val="22"/>
          <w:color w:val="auto"/>
        </w:rPr>
        <w:t>. Any PSUs subject to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canceled and forfeited if, prior to the Settlement Date, Grantee voluntarily terminates as a Service Provider (other than for Good Reason or as a result of Retirement as provided below), if Grantee’s status as a Service Provider is terminated by the Company or a Subsidiary for any reason (other than death, Disability, or Retirement), or if Grantee violates the provisions of Section II.B.3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8" w:right="339" w:bottom="1440" w:gutter="0" w:footer="0" w:header="0"/>
        </w:sectPr>
      </w:pPr>
    </w:p>
    <w:bookmarkStart w:id="42" w:name="page43"/>
    <w:bookmarkEnd w:id="42"/>
    <w:p>
      <w:pPr>
        <w:jc w:val="both"/>
        <w:ind w:left="500" w:hanging="120"/>
        <w:spacing w:after="0" w:line="212" w:lineRule="auto"/>
        <w:tabs>
          <w:tab w:leader="none" w:pos="968"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Qualifying Termination Prior to a Change in Control</w:t>
      </w:r>
      <w:r>
        <w:rPr>
          <w:rFonts w:ascii="Times New Roman" w:cs="Times New Roman" w:eastAsia="Times New Roman" w:hAnsi="Times New Roman"/>
          <w:sz w:val="22"/>
          <w:szCs w:val="22"/>
          <w:color w:val="auto"/>
        </w:rPr>
        <w:t>. Notwithstanding the foregoing, and except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subsection (f) of this Section II.A.6, if Grantee ceases to be a Service Provider prior to the Settlement Date as a result of Grantee’s Qualifying Termination, Grantee shall vest in a pro-rata portion of the number of PSUs, if any, that are earned under Section II.A.2 due to the achievement of the performance measures specified in Appendix A during the performance period specified in the table above (the “Performance Period”). The pro-rata percentage of the number of PSUs to be earned and settled under Section II.A.7 shall be equal to (x) the amount determined under Section II.A.2 above at the end of the Performance Period, multiplied by (y) a fraction (not greater than 1), the numerator of which is the number of whole calendar months Grantee was employed or rendering services from the beginning of the Performance Period through the date of Grantee’s Qualifying Termination, and the denominator of which is 36.</w:t>
      </w:r>
    </w:p>
    <w:p>
      <w:pPr>
        <w:spacing w:after="0" w:line="148" w:lineRule="exact"/>
        <w:rPr>
          <w:rFonts w:ascii="Times New Roman" w:cs="Times New Roman" w:eastAsia="Times New Roman" w:hAnsi="Times New Roman"/>
          <w:sz w:val="22"/>
          <w:szCs w:val="22"/>
          <w:color w:val="auto"/>
        </w:rPr>
      </w:pPr>
    </w:p>
    <w:p>
      <w:pPr>
        <w:jc w:val="both"/>
        <w:ind w:left="500" w:hanging="184"/>
        <w:spacing w:after="0" w:line="221" w:lineRule="auto"/>
        <w:tabs>
          <w:tab w:leader="none" w:pos="79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Notwithstanding the foregoing, if Grantee ceases to be a Service Provider prior to the Settlement Date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of Grantee’s Disability,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48" w:lineRule="exact"/>
        <w:rPr>
          <w:rFonts w:ascii="Times New Roman" w:cs="Times New Roman" w:eastAsia="Times New Roman" w:hAnsi="Times New Roman"/>
          <w:sz w:val="22"/>
          <w:szCs w:val="22"/>
          <w:color w:val="auto"/>
        </w:rPr>
      </w:pPr>
    </w:p>
    <w:p>
      <w:pPr>
        <w:jc w:val="both"/>
        <w:ind w:left="500" w:hanging="103"/>
        <w:spacing w:after="0" w:line="227" w:lineRule="auto"/>
        <w:tabs>
          <w:tab w:leader="none" w:pos="927" w:val="left"/>
        </w:tabs>
        <w:numPr>
          <w:ilvl w:val="3"/>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w:t>
      </w:r>
      <w:r>
        <w:rPr>
          <w:rFonts w:ascii="Times New Roman" w:cs="Times New Roman" w:eastAsia="Times New Roman" w:hAnsi="Times New Roman"/>
          <w:sz w:val="22"/>
          <w:szCs w:val="22"/>
          <w:color w:val="auto"/>
        </w:rPr>
        <w:t>. Notwithstanding the foregoing, if Grantee ceases to be a Service Provider prior to the Settlement Date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of Grantee’s death, Grantee’s PSUs shall immediately become fully vested based on the Target number set forth in “Number of PSUs in Award” in Section I.</w:t>
      </w:r>
    </w:p>
    <w:p>
      <w:pPr>
        <w:spacing w:after="0" w:line="146" w:lineRule="exact"/>
        <w:rPr>
          <w:rFonts w:ascii="Times New Roman" w:cs="Times New Roman" w:eastAsia="Times New Roman" w:hAnsi="Times New Roman"/>
          <w:sz w:val="22"/>
          <w:szCs w:val="22"/>
          <w:color w:val="auto"/>
        </w:rPr>
      </w:pPr>
    </w:p>
    <w:p>
      <w:pPr>
        <w:jc w:val="both"/>
        <w:ind w:left="500" w:hanging="79"/>
        <w:spacing w:after="0" w:line="221" w:lineRule="auto"/>
        <w:tabs>
          <w:tab w:leader="none" w:pos="1023" w:val="left"/>
        </w:tabs>
        <w:numPr>
          <w:ilvl w:val="4"/>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If Grantee ceases to be a Service Provider prior to the Settlement Date due to Grantee’s 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48" w:lineRule="exact"/>
        <w:rPr>
          <w:rFonts w:ascii="Times New Roman" w:cs="Times New Roman" w:eastAsia="Times New Roman" w:hAnsi="Times New Roman"/>
          <w:sz w:val="22"/>
          <w:szCs w:val="22"/>
          <w:color w:val="auto"/>
        </w:rPr>
      </w:pPr>
    </w:p>
    <w:p>
      <w:pPr>
        <w:ind w:left="500" w:hanging="193"/>
        <w:spacing w:after="0" w:line="238" w:lineRule="auto"/>
        <w:tabs>
          <w:tab w:leader="none" w:pos="75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Settlement Date, the PSUs will vest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this Section II.A.6(f).</w:t>
      </w:r>
    </w:p>
    <w:p>
      <w:pPr>
        <w:spacing w:after="0" w:line="150" w:lineRule="exact"/>
        <w:rPr>
          <w:rFonts w:ascii="Times New Roman" w:cs="Times New Roman" w:eastAsia="Times New Roman" w:hAnsi="Times New Roman"/>
          <w:sz w:val="22"/>
          <w:szCs w:val="22"/>
          <w:color w:val="auto"/>
        </w:rPr>
      </w:pPr>
    </w:p>
    <w:p>
      <w:pPr>
        <w:jc w:val="both"/>
        <w:ind w:left="1140" w:firstLine="652"/>
        <w:spacing w:after="0" w:line="209" w:lineRule="auto"/>
        <w:tabs>
          <w:tab w:leader="none" w:pos="2227" w:val="left"/>
        </w:tabs>
        <w:numPr>
          <w:ilvl w:val="5"/>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set forth herein to the contrary, if at any time before the Settlement Date or forfeiture of the PSUs, and while Grantee is continuously a Service Provider, a Change in Control occurs, then the PSUs will vest (except to the extent that a Replacement Award is provided to Grantee in accordance with Section II.A.6(f)(ii) to continue, replace or assume the PSUs covered by this Agreement (the “Replaced Award”)) as follows: (A) the number of EPS CAGR PSUs (as defined in Appendix A) under this Award that shall become vested and non-forfeitable shall equal the Target number of such EPS CAGR PSUs, and (B) the number of RTSR PSUs (as defined in Appendix A) under this Award that shall become vested and non-forfeitable (the “Change in Control TSR Payout Level”) shall equal the greater of (x) the Target number of such RTSR PSUs and (y) the number of RTSR PSUs that would have been actually earned due to the achievement of the RTSR performance measure specified in Appendix A if the date of the Change in Control had been the last day of the Performance Period (as determined by the Committee as constituted immediately prior to the Change in Control), in each case, less the number of PSUs that had already become vested as of the date of such Change in Control, but in no event may negative discretion be exercised with respect to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80"/>
          </w:cols>
          <w:pgMar w:left="480" w:top="1391" w:right="339" w:bottom="1440" w:gutter="0" w:footer="0" w:header="0"/>
        </w:sectPr>
      </w:pPr>
    </w:p>
    <w:bookmarkStart w:id="43" w:name="page44"/>
    <w:bookmarkEnd w:id="43"/>
    <w:p>
      <w:pPr>
        <w:ind w:left="1140"/>
        <w:spacing w:after="0" w:line="236" w:lineRule="auto"/>
        <w:rPr>
          <w:sz w:val="20"/>
          <w:szCs w:val="20"/>
          <w:color w:val="auto"/>
        </w:rPr>
      </w:pPr>
      <w:r>
        <w:rPr>
          <w:rFonts w:ascii="Times New Roman" w:cs="Times New Roman" w:eastAsia="Times New Roman" w:hAnsi="Times New Roman"/>
          <w:sz w:val="22"/>
          <w:szCs w:val="22"/>
          <w:color w:val="auto"/>
        </w:rPr>
        <w:t>PSUs vested. Any PSUs that are not earned and do not vest in accordance with the foregoing sentence shall terminate and be forfeited.</w:t>
      </w:r>
    </w:p>
    <w:p>
      <w:pPr>
        <w:spacing w:after="0" w:line="150" w:lineRule="exact"/>
        <w:rPr>
          <w:sz w:val="20"/>
          <w:szCs w:val="20"/>
          <w:color w:val="auto"/>
        </w:rPr>
      </w:pPr>
    </w:p>
    <w:p>
      <w:pPr>
        <w:jc w:val="both"/>
        <w:ind w:left="1140" w:firstLine="652"/>
        <w:spacing w:after="0" w:line="208" w:lineRule="auto"/>
        <w:tabs>
          <w:tab w:leader="none" w:pos="228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“Replacement Award” means an award: (A) consisting of (1) with respect to the EPS CAGR PSUs, an award of the same type (e.g., performance stock units) as the EPS CAGR PSUs portion of the Replaced Award, and (2) with respect to the RTSR PSUs, an award of time-based restricted stock units that is not subject to performance conditions; (B) that has a value at least equal to the value of the Replaced Award, which, in the case of the RTSR PSUs, shall be the value of the RTSR PSUs at the Change in Control TSR Payout Level as of the date of the Change in Control; (C) that relates to publicly traded equity securities of the Company or its successor in the Change in Control or another entity that is affiliated with the Company or its successor following the Change in Control; (D)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specifically taking into account the Change in Control TSR Payout Level for any subsequent vesting of the RTSR PSUs portion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II.A.6(f)(ii) are satisfied will be made by the Committee, as constituted immediately before the Change in Control, in its sole discretion.</w:t>
      </w:r>
    </w:p>
    <w:p>
      <w:pPr>
        <w:spacing w:after="0" w:line="154" w:lineRule="exact"/>
        <w:rPr>
          <w:rFonts w:ascii="Times New Roman" w:cs="Times New Roman" w:eastAsia="Times New Roman" w:hAnsi="Times New Roman"/>
          <w:sz w:val="22"/>
          <w:szCs w:val="22"/>
          <w:color w:val="auto"/>
        </w:rPr>
      </w:pPr>
    </w:p>
    <w:p>
      <w:pPr>
        <w:jc w:val="both"/>
        <w:ind w:left="1140" w:firstLine="652"/>
        <w:spacing w:after="0" w:line="211" w:lineRule="auto"/>
        <w:tabs>
          <w:tab w:leader="none" w:pos="243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receiving a Replacement Award, Grantee experiences a Qualifying Termination with the Company or a Subsidiary (or any of their successors) (as applicable, the “Successor”) within a period of two years after the Change in Control and prior to the Settlement Date, (A) the portion of the Replacement Award that relates to the RTSR PSUs shall become vested and non-forfeitable in full, specifically taking into account the Change in Control TSR Payout Level for the RTSR PSUs portion of the Replaced Award, and (B) the portion of the Replacement Award that relates to the EPS CAGR PSUs shall become vested and non-forfeitable at the Target level, in each case less the portion of the award that had already become vested as of the date of such termination, but in no event may negative discretion be exercised with respect to the portion of the Replacement Award vested. Any portion of the Replacement Award that does not vest in accordance with the foregoing sentence shall terminate and be forfeited.</w:t>
      </w:r>
    </w:p>
    <w:p>
      <w:pPr>
        <w:spacing w:after="0" w:line="151" w:lineRule="exact"/>
        <w:rPr>
          <w:rFonts w:ascii="Times New Roman" w:cs="Times New Roman" w:eastAsia="Times New Roman" w:hAnsi="Times New Roman"/>
          <w:sz w:val="22"/>
          <w:szCs w:val="22"/>
          <w:color w:val="auto"/>
        </w:rPr>
      </w:pPr>
    </w:p>
    <w:p>
      <w:pPr>
        <w:jc w:val="both"/>
        <w:ind w:left="1140" w:firstLine="652"/>
        <w:spacing w:after="0" w:line="220" w:lineRule="auto"/>
        <w:tabs>
          <w:tab w:leader="none" w:pos="231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PSUs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80"/>
          </w:cols>
          <w:pgMar w:left="480" w:top="1395" w:right="339" w:bottom="1440" w:gutter="0" w:footer="0" w:header="0"/>
        </w:sectPr>
      </w:pPr>
    </w:p>
    <w:bookmarkStart w:id="44" w:name="page45"/>
    <w:bookmarkEnd w:id="44"/>
    <w:p>
      <w:pPr>
        <w:spacing w:after="0" w:line="236" w:lineRule="auto"/>
        <w:rPr>
          <w:sz w:val="20"/>
          <w:szCs w:val="20"/>
          <w:color w:val="auto"/>
        </w:rPr>
      </w:pPr>
      <w:r>
        <w:rPr>
          <w:rFonts w:ascii="Times New Roman" w:cs="Times New Roman" w:eastAsia="Times New Roman" w:hAnsi="Times New Roman"/>
          <w:sz w:val="22"/>
          <w:szCs w:val="22"/>
          <w:color w:val="auto"/>
        </w:rPr>
        <w:t>Any PSUs that are not earned and do not vest in accordance with this Section II.A.6. shall terminate and be forfeited as of the date Grantee ceases to be a Service Provider. However, in particular, this Award is subject to Section 18(c) of the Plan.</w:t>
      </w:r>
    </w:p>
    <w:p>
      <w:pPr>
        <w:spacing w:after="0" w:line="146" w:lineRule="exact"/>
        <w:rPr>
          <w:sz w:val="20"/>
          <w:szCs w:val="20"/>
          <w:color w:val="auto"/>
        </w:rPr>
      </w:pPr>
    </w:p>
    <w:p>
      <w:pPr>
        <w:ind w:left="820" w:hanging="380"/>
        <w:spacing w:after="0"/>
        <w:tabs>
          <w:tab w:leader="none" w:pos="820" w:val="left"/>
        </w:tabs>
        <w:numPr>
          <w:ilvl w:val="1"/>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Determination of PSUs Earned and Vested; Settlement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660" w:firstLine="644"/>
        <w:spacing w:after="0" w:line="216" w:lineRule="auto"/>
        <w:tabs>
          <w:tab w:leader="none" w:pos="1953"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w:t>
      </w:r>
      <w:r>
        <w:rPr>
          <w:rFonts w:ascii="Times New Roman" w:cs="Times New Roman" w:eastAsia="Times New Roman" w:hAnsi="Times New Roman"/>
          <w:sz w:val="22"/>
          <w:szCs w:val="22"/>
          <w:color w:val="auto"/>
        </w:rPr>
        <w:t>Subject to Section II.A.7(b), upon the Committee’s certification of achievement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Goals, and Grantee’s satisfaction of the vesting requirements in Section II.A.1 and Section II.A.6 above, as applicable, this Award shall be settled by issuing to Grantee the number of shares of Common Stock determined pursuant to Appendix A (subject to pro-ration as described in Section II.A.6, if applicable), and Grantee’s name shall be entered as the shareholder of record on the books of the Company with respect to such shares. This settlement shall occur on March 11, 2025 (the “Settlement Date”).</w:t>
      </w:r>
    </w:p>
    <w:p>
      <w:pPr>
        <w:spacing w:after="0" w:line="145" w:lineRule="exact"/>
        <w:rPr>
          <w:rFonts w:ascii="Times New Roman" w:cs="Times New Roman" w:eastAsia="Times New Roman" w:hAnsi="Times New Roman"/>
          <w:sz w:val="22"/>
          <w:szCs w:val="22"/>
          <w:color w:val="auto"/>
        </w:rPr>
      </w:pPr>
    </w:p>
    <w:p>
      <w:pPr>
        <w:ind w:left="660" w:firstLine="644"/>
        <w:spacing w:after="0" w:line="238" w:lineRule="auto"/>
        <w:tabs>
          <w:tab w:leader="none" w:pos="1951"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Other Payment Events. </w:t>
      </w:r>
      <w:r>
        <w:rPr>
          <w:rFonts w:ascii="Times New Roman" w:cs="Times New Roman" w:eastAsia="Times New Roman" w:hAnsi="Times New Roman"/>
          <w:sz w:val="22"/>
          <w:szCs w:val="22"/>
          <w:color w:val="auto"/>
        </w:rPr>
        <w:t>Notwithstanding Section II.A.7(a), to the extent that the PSUs are vested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dates set forth below, payment with respect to the PSUs will be made as follows:</w:t>
      </w:r>
    </w:p>
    <w:p>
      <w:pPr>
        <w:spacing w:after="0" w:line="150" w:lineRule="exact"/>
        <w:rPr>
          <w:rFonts w:ascii="Times New Roman" w:cs="Times New Roman" w:eastAsia="Times New Roman" w:hAnsi="Times New Roman"/>
          <w:sz w:val="22"/>
          <w:szCs w:val="22"/>
          <w:color w:val="auto"/>
        </w:rPr>
      </w:pPr>
    </w:p>
    <w:p>
      <w:pPr>
        <w:jc w:val="both"/>
        <w:ind w:left="1280" w:firstLine="642"/>
        <w:spacing w:after="0" w:line="220" w:lineRule="auto"/>
        <w:tabs>
          <w:tab w:leader="none" w:pos="2340" w:val="left"/>
        </w:tabs>
        <w:numPr>
          <w:ilvl w:val="3"/>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PSUs are vested as a result of Section II.A.6 (and have not previously been settled) on the date of Grantee’s death, such vested PSUs will be settled by issuing to Grantee one share of Common Stock for each such vested PSU within 30 days of Grantee’s death, and Grantee’s name shall be entered as the shareholder of record on the books of the Company with respect to such shares; and</w:t>
      </w:r>
    </w:p>
    <w:p>
      <w:pPr>
        <w:spacing w:after="0" w:line="179" w:lineRule="exact"/>
        <w:rPr>
          <w:rFonts w:ascii="Times New Roman" w:cs="Times New Roman" w:eastAsia="Times New Roman" w:hAnsi="Times New Roman"/>
          <w:sz w:val="22"/>
          <w:szCs w:val="22"/>
          <w:color w:val="auto"/>
        </w:rPr>
      </w:pPr>
    </w:p>
    <w:p>
      <w:pPr>
        <w:jc w:val="both"/>
        <w:ind w:left="1280" w:firstLine="642"/>
        <w:spacing w:after="0" w:line="212" w:lineRule="auto"/>
        <w:tabs>
          <w:tab w:leader="none" w:pos="2437" w:val="left"/>
        </w:tabs>
        <w:numPr>
          <w:ilvl w:val="3"/>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PSUs are vested as a result of Section II.A.6 (and have not previously been settled) on the date of a Change in Control, such vested PSUs will be settled by issuing to Grantee one share of Common Stock for each such vested PSU within 30 days of the Change in Control, and Grantee’s name shall be entered as the shareholder of record on the books of the Company with respect to such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 the Code, and the regulations thereunder, and where Section 409A of the Code applies to such distribution, Grantee is entitled to receive the corresponding payment on the date that would have otherwise applied pursuant to this Agreement had such Change in Control not occurred; and</w:t>
      </w:r>
    </w:p>
    <w:p>
      <w:pPr>
        <w:spacing w:after="0" w:line="156" w:lineRule="exact"/>
        <w:rPr>
          <w:rFonts w:ascii="Times New Roman" w:cs="Times New Roman" w:eastAsia="Times New Roman" w:hAnsi="Times New Roman"/>
          <w:sz w:val="22"/>
          <w:szCs w:val="22"/>
          <w:color w:val="auto"/>
        </w:rPr>
      </w:pPr>
    </w:p>
    <w:p>
      <w:pPr>
        <w:jc w:val="both"/>
        <w:ind w:left="1280" w:firstLine="642"/>
        <w:spacing w:after="0" w:line="225" w:lineRule="auto"/>
        <w:tabs>
          <w:tab w:leader="none" w:pos="2551" w:val="left"/>
        </w:tabs>
        <w:numPr>
          <w:ilvl w:val="3"/>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PSUs are not subject to a “substantial risk of forfeiture” (within the meaning of Section 409A of the Code) (and have not previously been settled) on the date of Grantee’s “separation from service” with the Company and its Subsidiaries (determined in accordance with Section 409A(a)(2)(A)(i) of the Code) within two years following the occurrence of a Change in Control that constitutes a “change in control” for purposes of Section 409A(a)(2)(A)(v) of the Code, such vested PSUs will be settled by issuing to Grantee one share of Common Stock for each such vested PSU within 30 days of the date of such separation from service.</w:t>
      </w:r>
    </w:p>
    <w:p>
      <w:pPr>
        <w:spacing w:after="0" w:line="153"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53"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unearned PSUs at the end of the Performance Period, or if earlier, the time of settlement, will be canceled and forfeited. In all circumstances, the number of PSUs earned or vested will be rounded down to the nearest whole PSU, unless otherwise determined by the Committee.</w:t>
      </w:r>
    </w:p>
    <w:p>
      <w:pPr>
        <w:spacing w:after="0" w:line="148" w:lineRule="exact"/>
        <w:rPr>
          <w:rFonts w:ascii="Times New Roman" w:cs="Times New Roman" w:eastAsia="Times New Roman" w:hAnsi="Times New Roman"/>
          <w:sz w:val="22"/>
          <w:szCs w:val="22"/>
          <w:color w:val="auto"/>
        </w:rPr>
      </w:pPr>
    </w:p>
    <w:p>
      <w:pPr>
        <w:ind w:left="640" w:hanging="416"/>
        <w:spacing w:after="0"/>
        <w:tabs>
          <w:tab w:leader="none" w:pos="64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45" w:name="page46"/>
    <w:bookmarkEnd w:id="45"/>
    <w:p>
      <w:pPr>
        <w:jc w:val="both"/>
        <w:ind w:left="-160" w:firstLine="467"/>
        <w:spacing w:after="0" w:line="227" w:lineRule="auto"/>
        <w:tabs>
          <w:tab w:leader="none" w:pos="690" w:val="left"/>
        </w:tabs>
        <w:numPr>
          <w:ilvl w:val="1"/>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this Award and the PSUs subject to this Award may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46" w:lineRule="exact"/>
        <w:rPr>
          <w:rFonts w:ascii="Times New Roman" w:cs="Times New Roman" w:eastAsia="Times New Roman" w:hAnsi="Times New Roman"/>
          <w:sz w:val="22"/>
          <w:szCs w:val="22"/>
          <w:b w:val="1"/>
          <w:bCs w:val="1"/>
          <w:color w:val="auto"/>
        </w:rPr>
      </w:pPr>
    </w:p>
    <w:p>
      <w:pPr>
        <w:jc w:val="both"/>
        <w:ind w:left="-160" w:firstLine="593"/>
        <w:spacing w:after="0" w:line="209" w:lineRule="auto"/>
        <w:tabs>
          <w:tab w:leader="none" w:pos="879" w:val="left"/>
        </w:tabs>
        <w:numPr>
          <w:ilvl w:val="2"/>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of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and/or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51" w:lineRule="exact"/>
        <w:rPr>
          <w:rFonts w:ascii="Times New Roman" w:cs="Times New Roman" w:eastAsia="Times New Roman" w:hAnsi="Times New Roman"/>
          <w:sz w:val="22"/>
          <w:szCs w:val="22"/>
          <w:b w:val="1"/>
          <w:bCs w:val="1"/>
          <w:color w:val="auto"/>
        </w:rPr>
      </w:pPr>
    </w:p>
    <w:p>
      <w:pPr>
        <w:ind w:left="660" w:hanging="380"/>
        <w:spacing w:after="0"/>
        <w:tabs>
          <w:tab w:leader="none" w:pos="66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480" w:firstLine="644"/>
        <w:spacing w:after="0" w:line="212" w:lineRule="auto"/>
        <w:tabs>
          <w:tab w:leader="none" w:pos="1776" w:val="left"/>
        </w:tabs>
        <w:numPr>
          <w:ilvl w:val="3"/>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PSUs or Common Stock to Grantee without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II.B.3, shall apply to Grantee, and (2) Grantee’s violation of such restrictive covenants shall be treated as a violation of the restrictive covenants in this Section II.B.3 for purposes of this Agreement.</w:t>
      </w:r>
    </w:p>
    <w:p>
      <w:pPr>
        <w:spacing w:after="0" w:line="148" w:lineRule="exact"/>
        <w:rPr>
          <w:rFonts w:ascii="Times New Roman" w:cs="Times New Roman" w:eastAsia="Times New Roman" w:hAnsi="Times New Roman"/>
          <w:sz w:val="22"/>
          <w:szCs w:val="22"/>
          <w:color w:val="auto"/>
        </w:rPr>
      </w:pPr>
    </w:p>
    <w:p>
      <w:pPr>
        <w:jc w:val="both"/>
        <w:ind w:left="480" w:firstLine="644"/>
        <w:spacing w:after="0" w:line="212" w:lineRule="auto"/>
        <w:tabs>
          <w:tab w:leader="none" w:pos="1775" w:val="left"/>
        </w:tabs>
        <w:numPr>
          <w:ilvl w:val="3"/>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PSUs or any clawback or recoupment of the Award for the disclosure of a trade secret if that disclosure (1) is made in confidence to a federal, state or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80"/>
          </w:cols>
          <w:pgMar w:left="480" w:top="1391" w:right="339" w:bottom="1440" w:gutter="0" w:footer="0" w:header="0"/>
        </w:sectPr>
      </w:pPr>
    </w:p>
    <w:bookmarkStart w:id="46" w:name="page47"/>
    <w:bookmarkEnd w:id="46"/>
    <w:p>
      <w:pPr>
        <w:jc w:val="both"/>
        <w:ind w:left="480"/>
        <w:spacing w:after="0" w:line="209" w:lineRule="auto"/>
        <w:rPr>
          <w:sz w:val="20"/>
          <w:szCs w:val="20"/>
          <w:color w:val="auto"/>
        </w:rPr>
      </w:pPr>
      <w:r>
        <w:rPr>
          <w:rFonts w:ascii="Times New Roman" w:cs="Times New Roman" w:eastAsia="Times New Roman" w:hAnsi="Times New Roman"/>
          <w:sz w:val="22"/>
          <w:szCs w:val="22"/>
          <w:color w:val="auto"/>
        </w:rPr>
        <w:t>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nothing in this Agreement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47" w:lineRule="exact"/>
        <w:rPr>
          <w:sz w:val="20"/>
          <w:szCs w:val="20"/>
          <w:color w:val="auto"/>
        </w:rPr>
      </w:pPr>
    </w:p>
    <w:p>
      <w:pPr>
        <w:ind w:left="1160" w:hanging="448"/>
        <w:spacing w:after="0"/>
        <w:tabs>
          <w:tab w:leader="none" w:pos="11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140" w:hanging="208"/>
        <w:spacing w:after="0" w:line="211" w:lineRule="auto"/>
        <w:tabs>
          <w:tab w:leader="none" w:pos="1349"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51" w:lineRule="exact"/>
        <w:rPr>
          <w:rFonts w:ascii="Times New Roman" w:cs="Times New Roman" w:eastAsia="Times New Roman" w:hAnsi="Times New Roman"/>
          <w:sz w:val="22"/>
          <w:szCs w:val="22"/>
          <w:color w:val="auto"/>
        </w:rPr>
      </w:pPr>
    </w:p>
    <w:p>
      <w:pPr>
        <w:jc w:val="both"/>
        <w:ind w:left="1140" w:firstLine="337"/>
        <w:spacing w:after="0" w:line="213" w:lineRule="auto"/>
        <w:tabs>
          <w:tab w:leader="none" w:pos="2071" w:val="left"/>
        </w:tabs>
        <w:numPr>
          <w:ilvl w:val="3"/>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 entity that is a client or customer of the Company at the time of such solicitation, enticement, or interference, or that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56" w:lineRule="exact"/>
        <w:rPr>
          <w:rFonts w:ascii="Times New Roman" w:cs="Times New Roman" w:eastAsia="Times New Roman" w:hAnsi="Times New Roman"/>
          <w:sz w:val="22"/>
          <w:szCs w:val="22"/>
          <w:color w:val="auto"/>
        </w:rPr>
      </w:pPr>
    </w:p>
    <w:p>
      <w:pPr>
        <w:jc w:val="both"/>
        <w:ind w:left="1140" w:hanging="112"/>
        <w:spacing w:after="0" w:line="217" w:lineRule="auto"/>
        <w:tabs>
          <w:tab w:leader="none" w:pos="1614"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80"/>
          </w:cols>
          <w:pgMar w:left="480" w:top="1395" w:right="339" w:bottom="1440" w:gutter="0" w:footer="0" w:header="0"/>
        </w:sectPr>
      </w:pPr>
    </w:p>
    <w:bookmarkStart w:id="47" w:name="page48"/>
    <w:bookmarkEnd w:id="47"/>
    <w:p>
      <w:pPr>
        <w:jc w:val="both"/>
        <w:ind w:left="1140"/>
        <w:spacing w:after="0" w:line="225" w:lineRule="auto"/>
        <w:rPr>
          <w:sz w:val="20"/>
          <w:szCs w:val="20"/>
          <w:color w:val="auto"/>
        </w:rPr>
      </w:pPr>
      <w:r>
        <w:rPr>
          <w:rFonts w:ascii="Times New Roman" w:cs="Times New Roman" w:eastAsia="Times New Roman" w:hAnsi="Times New Roman"/>
          <w:sz w:val="22"/>
          <w:szCs w:val="22"/>
          <w:color w:val="auto"/>
        </w:rPr>
        <w:t>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148" w:lineRule="exact"/>
        <w:rPr>
          <w:sz w:val="20"/>
          <w:szCs w:val="20"/>
          <w:color w:val="auto"/>
        </w:rPr>
      </w:pPr>
    </w:p>
    <w:p>
      <w:pPr>
        <w:jc w:val="both"/>
        <w:ind w:left="1120" w:firstLine="4"/>
        <w:spacing w:after="0" w:line="221" w:lineRule="auto"/>
        <w:tabs>
          <w:tab w:leader="none" w:pos="166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48" w:lineRule="exact"/>
        <w:rPr>
          <w:rFonts w:ascii="Times New Roman" w:cs="Times New Roman" w:eastAsia="Times New Roman" w:hAnsi="Times New Roman"/>
          <w:sz w:val="22"/>
          <w:szCs w:val="22"/>
          <w:color w:val="auto"/>
        </w:rPr>
      </w:pPr>
    </w:p>
    <w:p>
      <w:pPr>
        <w:ind w:left="1580" w:hanging="456"/>
        <w:spacing w:after="0"/>
        <w:tabs>
          <w:tab w:leader="none" w:pos="15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179" w:lineRule="exact"/>
        <w:rPr>
          <w:rFonts w:ascii="Times New Roman" w:cs="Times New Roman" w:eastAsia="Times New Roman" w:hAnsi="Times New Roman"/>
          <w:sz w:val="22"/>
          <w:szCs w:val="22"/>
          <w:color w:val="auto"/>
        </w:rPr>
      </w:pPr>
    </w:p>
    <w:p>
      <w:pPr>
        <w:jc w:val="both"/>
        <w:ind w:left="1140" w:firstLine="622"/>
        <w:spacing w:after="0" w:line="214" w:lineRule="auto"/>
        <w:tabs>
          <w:tab w:leader="none" w:pos="224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48" w:lineRule="exact"/>
        <w:rPr>
          <w:rFonts w:ascii="Times New Roman" w:cs="Times New Roman" w:eastAsia="Times New Roman" w:hAnsi="Times New Roman"/>
          <w:sz w:val="22"/>
          <w:szCs w:val="22"/>
          <w:color w:val="auto"/>
        </w:rPr>
      </w:pPr>
    </w:p>
    <w:p>
      <w:pPr>
        <w:jc w:val="both"/>
        <w:ind w:left="1140" w:firstLine="622"/>
        <w:spacing w:after="0" w:line="227" w:lineRule="auto"/>
        <w:tabs>
          <w:tab w:leader="none" w:pos="234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146" w:lineRule="exact"/>
        <w:rPr>
          <w:rFonts w:ascii="Times New Roman" w:cs="Times New Roman" w:eastAsia="Times New Roman" w:hAnsi="Times New Roman"/>
          <w:sz w:val="22"/>
          <w:szCs w:val="22"/>
          <w:color w:val="auto"/>
        </w:rPr>
      </w:pPr>
    </w:p>
    <w:p>
      <w:pPr>
        <w:jc w:val="both"/>
        <w:ind w:left="1140" w:firstLine="622"/>
        <w:spacing w:after="0" w:line="210" w:lineRule="auto"/>
        <w:tabs>
          <w:tab w:leader="none" w:pos="2487"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46" w:lineRule="exact"/>
        <w:rPr>
          <w:rFonts w:ascii="Times New Roman" w:cs="Times New Roman" w:eastAsia="Times New Roman" w:hAnsi="Times New Roman"/>
          <w:sz w:val="22"/>
          <w:szCs w:val="22"/>
          <w:color w:val="auto"/>
        </w:rPr>
      </w:pPr>
    </w:p>
    <w:p>
      <w:pPr>
        <w:jc w:val="both"/>
        <w:ind w:left="480" w:firstLine="644"/>
        <w:spacing w:after="0" w:line="221" w:lineRule="auto"/>
        <w:tabs>
          <w:tab w:leader="none" w:pos="156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80"/>
          </w:cols>
          <w:pgMar w:left="480" w:top="1395" w:right="339" w:bottom="1440" w:gutter="0" w:footer="0" w:header="0"/>
        </w:sectPr>
      </w:pPr>
    </w:p>
    <w:bookmarkStart w:id="48" w:name="page49"/>
    <w:bookmarkEnd w:id="48"/>
    <w:p>
      <w:pPr>
        <w:jc w:val="both"/>
        <w:ind w:left="480" w:firstLine="644"/>
        <w:spacing w:after="0" w:line="210" w:lineRule="auto"/>
        <w:tabs>
          <w:tab w:leader="none" w:pos="1600" w:val="left"/>
        </w:tabs>
        <w:numPr>
          <w:ilvl w:val="4"/>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Relief, Remedies, and Enforcement. </w:t>
      </w:r>
      <w:r>
        <w:rPr>
          <w:rFonts w:ascii="Times New Roman" w:cs="Times New Roman" w:eastAsia="Times New Roman" w:hAnsi="Times New Roman"/>
          <w:sz w:val="22"/>
          <w:szCs w:val="22"/>
          <w:color w:val="auto"/>
        </w:rPr>
        <w:t>Grantee acknowledges that the covenants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 this Agreement, at common law or under federal, state or local statutes, rules and regulations. Grantee further agrees to pay any and all legal fees, including without limitation, all attorneys’ fees, court costs, and any other related fees and/or costs incurred by the Company in enforcing this Agreement.</w:t>
      </w:r>
    </w:p>
    <w:p>
      <w:pPr>
        <w:spacing w:after="0" w:line="146" w:lineRule="exact"/>
        <w:rPr>
          <w:rFonts w:ascii="Times New Roman" w:cs="Times New Roman" w:eastAsia="Times New Roman" w:hAnsi="Times New Roman"/>
          <w:sz w:val="22"/>
          <w:szCs w:val="22"/>
          <w:color w:val="auto"/>
        </w:rPr>
      </w:pPr>
    </w:p>
    <w:p>
      <w:pPr>
        <w:ind w:left="480" w:firstLine="644"/>
        <w:spacing w:after="0" w:line="238" w:lineRule="auto"/>
        <w:tabs>
          <w:tab w:leader="none" w:pos="1748" w:val="left"/>
        </w:tabs>
        <w:numPr>
          <w:ilvl w:val="4"/>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6" w:lineRule="exact"/>
        <w:rPr>
          <w:rFonts w:ascii="Times New Roman" w:cs="Times New Roman" w:eastAsia="Times New Roman" w:hAnsi="Times New Roman"/>
          <w:sz w:val="22"/>
          <w:szCs w:val="22"/>
          <w:color w:val="auto"/>
        </w:rPr>
      </w:pPr>
    </w:p>
    <w:p>
      <w:pPr>
        <w:jc w:val="both"/>
        <w:ind w:left="-160" w:firstLine="485"/>
        <w:spacing w:after="0" w:line="216" w:lineRule="auto"/>
        <w:tabs>
          <w:tab w:leader="none" w:pos="717" w:val="left"/>
        </w:tabs>
        <w:numPr>
          <w:ilvl w:val="1"/>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color w:val="auto"/>
        </w:rPr>
        <w:t>. 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45" w:lineRule="exact"/>
        <w:rPr>
          <w:rFonts w:ascii="Times New Roman" w:cs="Times New Roman" w:eastAsia="Times New Roman" w:hAnsi="Times New Roman"/>
          <w:sz w:val="22"/>
          <w:szCs w:val="22"/>
          <w:b w:val="1"/>
          <w:bCs w:val="1"/>
          <w:color w:val="auto"/>
        </w:rPr>
      </w:pPr>
    </w:p>
    <w:p>
      <w:pPr>
        <w:jc w:val="both"/>
        <w:ind w:left="-160" w:firstLine="521"/>
        <w:spacing w:after="0" w:line="218" w:lineRule="auto"/>
        <w:tabs>
          <w:tab w:leader="none" w:pos="771" w:val="left"/>
        </w:tabs>
        <w:numPr>
          <w:ilvl w:val="2"/>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color w:val="auto"/>
        </w:rPr>
        <w:t>. 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47" w:lineRule="exact"/>
        <w:rPr>
          <w:rFonts w:ascii="Times New Roman" w:cs="Times New Roman" w:eastAsia="Times New Roman" w:hAnsi="Times New Roman"/>
          <w:sz w:val="22"/>
          <w:szCs w:val="22"/>
          <w:b w:val="1"/>
          <w:bCs w:val="1"/>
          <w:color w:val="auto"/>
        </w:rPr>
      </w:pPr>
    </w:p>
    <w:p>
      <w:pPr>
        <w:jc w:val="both"/>
        <w:ind w:left="-160" w:firstLine="449"/>
        <w:spacing w:after="0" w:line="221" w:lineRule="auto"/>
        <w:tabs>
          <w:tab w:leader="none" w:pos="663"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color w:val="auto"/>
        </w:rPr>
        <w:t>. In no event will the value, at any time, of the PSUs or any other payment or right to 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48" w:lineRule="exact"/>
        <w:rPr>
          <w:rFonts w:ascii="Times New Roman" w:cs="Times New Roman" w:eastAsia="Times New Roman" w:hAnsi="Times New Roman"/>
          <w:sz w:val="22"/>
          <w:szCs w:val="22"/>
          <w:b w:val="1"/>
          <w:bCs w:val="1"/>
          <w:color w:val="auto"/>
        </w:rPr>
      </w:pPr>
    </w:p>
    <w:p>
      <w:pPr>
        <w:jc w:val="both"/>
        <w:ind w:left="-160" w:firstLine="566"/>
        <w:spacing w:after="0" w:line="227" w:lineRule="auto"/>
        <w:tabs>
          <w:tab w:leader="none" w:pos="839" w:val="left"/>
        </w:tabs>
        <w:numPr>
          <w:ilvl w:val="3"/>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 this Agreement and shall have the right to enforce this Agreement, including, but not limited to, the provisions of Section II.B.3.</w:t>
      </w:r>
    </w:p>
    <w:p>
      <w:pPr>
        <w:spacing w:after="0" w:line="146" w:lineRule="exact"/>
        <w:rPr>
          <w:rFonts w:ascii="Times New Roman" w:cs="Times New Roman" w:eastAsia="Times New Roman" w:hAnsi="Times New Roman"/>
          <w:sz w:val="22"/>
          <w:szCs w:val="22"/>
          <w:b w:val="1"/>
          <w:bCs w:val="1"/>
          <w:color w:val="auto"/>
        </w:rPr>
      </w:pPr>
    </w:p>
    <w:p>
      <w:pPr>
        <w:ind w:left="-160" w:firstLine="530"/>
        <w:spacing w:after="0" w:line="238" w:lineRule="auto"/>
        <w:tabs>
          <w:tab w:leader="none" w:pos="785" w:val="left"/>
        </w:tabs>
        <w:numPr>
          <w:ilvl w:val="2"/>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PSUs and rights under this Agreement has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other than those of a general creditor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80"/>
          </w:cols>
          <w:pgMar w:left="480" w:top="1391" w:right="339" w:bottom="1440" w:gutter="0" w:footer="0" w:header="0"/>
        </w:sectPr>
      </w:pPr>
    </w:p>
    <w:bookmarkStart w:id="49" w:name="page50"/>
    <w:bookmarkEnd w:id="49"/>
    <w:p>
      <w:pPr>
        <w:spacing w:after="0" w:line="236" w:lineRule="auto"/>
        <w:rPr>
          <w:sz w:val="20"/>
          <w:szCs w:val="20"/>
          <w:color w:val="auto"/>
        </w:rPr>
      </w:pPr>
      <w:r>
        <w:rPr>
          <w:rFonts w:ascii="Times New Roman" w:cs="Times New Roman" w:eastAsia="Times New Roman" w:hAnsi="Times New Roman"/>
          <w:sz w:val="22"/>
          <w:szCs w:val="22"/>
          <w:color w:val="auto"/>
        </w:rPr>
        <w:t>Company. The PSUs represent an unfunded and unsecured obligation of the Company, subject to the terms and conditions of this Agreement and the Plan.</w:t>
      </w:r>
    </w:p>
    <w:p>
      <w:pPr>
        <w:spacing w:after="0" w:line="146" w:lineRule="exact"/>
        <w:rPr>
          <w:sz w:val="20"/>
          <w:szCs w:val="20"/>
          <w:color w:val="auto"/>
        </w:rPr>
      </w:pPr>
    </w:p>
    <w:p>
      <w:pPr>
        <w:jc w:val="both"/>
        <w:ind w:firstLine="746"/>
        <w:spacing w:after="0" w:line="221" w:lineRule="auto"/>
        <w:tabs>
          <w:tab w:leader="none" w:pos="1269"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48" w:lineRule="exact"/>
        <w:rPr>
          <w:sz w:val="20"/>
          <w:szCs w:val="20"/>
          <w:color w:val="auto"/>
        </w:rPr>
      </w:pPr>
    </w:p>
    <w:p>
      <w:pPr>
        <w:jc w:val="both"/>
        <w:ind w:firstLine="656"/>
        <w:spacing w:after="0" w:line="218" w:lineRule="auto"/>
        <w:tabs>
          <w:tab w:leader="none" w:pos="1242"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PSUs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47" w:lineRule="exact"/>
        <w:rPr>
          <w:rFonts w:ascii="Times New Roman" w:cs="Times New Roman" w:eastAsia="Times New Roman" w:hAnsi="Times New Roman"/>
          <w:sz w:val="22"/>
          <w:szCs w:val="22"/>
          <w:b w:val="1"/>
          <w:bCs w:val="1"/>
          <w:color w:val="auto"/>
        </w:rPr>
      </w:pPr>
    </w:p>
    <w:p>
      <w:pPr>
        <w:ind w:left="920" w:hanging="480"/>
        <w:spacing w:after="0"/>
        <w:tabs>
          <w:tab w:leader="none" w:pos="92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183" w:lineRule="exact"/>
        <w:rPr>
          <w:rFonts w:ascii="Times New Roman" w:cs="Times New Roman" w:eastAsia="Times New Roman" w:hAnsi="Times New Roman"/>
          <w:sz w:val="22"/>
          <w:szCs w:val="22"/>
          <w:b w:val="1"/>
          <w:bCs w:val="1"/>
          <w:color w:val="auto"/>
        </w:rPr>
      </w:pPr>
    </w:p>
    <w:p>
      <w:pPr>
        <w:ind w:left="660" w:right="20" w:firstLine="227"/>
        <w:spacing w:after="0" w:line="255" w:lineRule="auto"/>
        <w:tabs>
          <w:tab w:leader="none" w:pos="1361" w:val="left"/>
        </w:tabs>
        <w:numPr>
          <w:ilvl w:val="3"/>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34" w:lineRule="exact"/>
        <w:rPr>
          <w:rFonts w:ascii="Times New Roman" w:cs="Times New Roman" w:eastAsia="Times New Roman" w:hAnsi="Times New Roman"/>
          <w:sz w:val="21"/>
          <w:szCs w:val="21"/>
          <w:color w:val="auto"/>
        </w:rPr>
      </w:pPr>
    </w:p>
    <w:p>
      <w:pPr>
        <w:ind w:left="660" w:firstLine="258"/>
        <w:spacing w:after="0" w:line="236" w:lineRule="auto"/>
        <w:tabs>
          <w:tab w:leader="none" w:pos="1436" w:val="left"/>
        </w:tabs>
        <w:numPr>
          <w:ilvl w:val="4"/>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this Award is voluntary and occasional and does not create any contractual or other right to receive future grants of awards, or benefits in lieu of awards, even if awards have been granted repeatedly in the past,</w:t>
      </w:r>
    </w:p>
    <w:p>
      <w:pPr>
        <w:spacing w:after="0" w:line="150" w:lineRule="exact"/>
        <w:rPr>
          <w:rFonts w:ascii="Times New Roman" w:cs="Times New Roman" w:eastAsia="Times New Roman" w:hAnsi="Times New Roman"/>
          <w:sz w:val="22"/>
          <w:szCs w:val="22"/>
          <w:color w:val="auto"/>
        </w:rPr>
      </w:pPr>
    </w:p>
    <w:p>
      <w:pPr>
        <w:ind w:left="1320" w:hanging="448"/>
        <w:spacing w:after="0"/>
        <w:tabs>
          <w:tab w:leader="none" w:pos="1320"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if any, will be at the sole discretion of the Committee;</w:t>
      </w:r>
    </w:p>
    <w:p>
      <w:pPr>
        <w:spacing w:after="0" w:line="179"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179" w:lineRule="exact"/>
        <w:rPr>
          <w:rFonts w:ascii="Times New Roman" w:cs="Times New Roman" w:eastAsia="Times New Roman" w:hAnsi="Times New Roman"/>
          <w:sz w:val="22"/>
          <w:szCs w:val="22"/>
          <w:color w:val="auto"/>
        </w:rPr>
      </w:pPr>
    </w:p>
    <w:p>
      <w:pPr>
        <w:jc w:val="both"/>
        <w:ind w:left="660" w:firstLine="372"/>
        <w:spacing w:after="0" w:line="225" w:lineRule="auto"/>
        <w:tabs>
          <w:tab w:leader="none" w:pos="1651" w:val="left"/>
        </w:tabs>
        <w:numPr>
          <w:ilvl w:val="6"/>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Common Stock subject to the PSUs are an extraordinary item that does not constitute compensation of any kind for services of any kind rendered to the Company or Grantee’s employer, and which is outside the scope of Grantee’s employment contract, if any;</w:t>
      </w:r>
    </w:p>
    <w:p>
      <w:pPr>
        <w:spacing w:after="0" w:line="152" w:lineRule="exact"/>
        <w:rPr>
          <w:rFonts w:ascii="Times New Roman" w:cs="Times New Roman" w:eastAsia="Times New Roman" w:hAnsi="Times New Roman"/>
          <w:sz w:val="22"/>
          <w:szCs w:val="22"/>
          <w:color w:val="auto"/>
        </w:rPr>
      </w:pPr>
    </w:p>
    <w:p>
      <w:pPr>
        <w:ind w:left="660" w:firstLine="380"/>
        <w:spacing w:after="0" w:line="236" w:lineRule="auto"/>
        <w:tabs>
          <w:tab w:leader="none" w:pos="1644" w:val="left"/>
        </w:tabs>
        <w:numPr>
          <w:ilvl w:val="6"/>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Common Stock subject to the PSUs are not intended to replace any pension rights or compensation;</w:t>
      </w:r>
    </w:p>
    <w:p>
      <w:pPr>
        <w:spacing w:after="0" w:line="150"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3"/>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179" w:lineRule="exact"/>
        <w:rPr>
          <w:rFonts w:ascii="Times New Roman" w:cs="Times New Roman" w:eastAsia="Times New Roman" w:hAnsi="Times New Roman"/>
          <w:sz w:val="22"/>
          <w:szCs w:val="22"/>
          <w:color w:val="auto"/>
        </w:rPr>
      </w:pPr>
    </w:p>
    <w:p>
      <w:pPr>
        <w:jc w:val="both"/>
        <w:ind w:left="660" w:firstLine="336"/>
        <w:spacing w:after="0" w:line="225" w:lineRule="auto"/>
        <w:tabs>
          <w:tab w:leader="none" w:pos="1579" w:val="left"/>
        </w:tabs>
        <w:numPr>
          <w:ilvl w:val="5"/>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52" w:lineRule="exact"/>
        <w:rPr>
          <w:sz w:val="20"/>
          <w:szCs w:val="20"/>
          <w:color w:val="auto"/>
        </w:rPr>
      </w:pPr>
    </w:p>
    <w:p>
      <w:pPr>
        <w:jc w:val="both"/>
        <w:ind w:left="660" w:firstLine="272"/>
        <w:spacing w:after="0" w:line="220" w:lineRule="auto"/>
        <w:tabs>
          <w:tab w:leader="none" w:pos="141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PSUs, no claim or entitlement to compensation or damages shall arise from forfeiture of the PSUs resulting from termination of Grantee’s employment with the Company or Grantee’s employer (for any reason whatsoever and whether or not in breach of local labor laws) and Grantee irrevocably releases the Company and Grantee’s employer from any such claim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50" w:name="page51"/>
    <w:bookmarkEnd w:id="50"/>
    <w:p>
      <w:pPr>
        <w:ind w:left="500"/>
        <w:spacing w:after="0" w:line="236" w:lineRule="auto"/>
        <w:rPr>
          <w:sz w:val="20"/>
          <w:szCs w:val="20"/>
          <w:color w:val="auto"/>
        </w:rPr>
      </w:pPr>
      <w:r>
        <w:rPr>
          <w:rFonts w:ascii="Times New Roman" w:cs="Times New Roman" w:eastAsia="Times New Roman" w:hAnsi="Times New Roman"/>
          <w:sz w:val="22"/>
          <w:szCs w:val="22"/>
          <w:color w:val="auto"/>
        </w:rPr>
        <w:t>arise; if, notwithstanding the foregoing, any such claim is found by a court of competent jurisdiction to have arisen, Grantee shall be deemed irrevocably to have waived any entitlement to pursue such claim; and</w:t>
      </w:r>
    </w:p>
    <w:p>
      <w:pPr>
        <w:spacing w:after="0" w:line="150" w:lineRule="exact"/>
        <w:rPr>
          <w:sz w:val="20"/>
          <w:szCs w:val="20"/>
          <w:color w:val="auto"/>
        </w:rPr>
      </w:pPr>
    </w:p>
    <w:p>
      <w:pPr>
        <w:jc w:val="both"/>
        <w:ind w:left="500" w:firstLine="225"/>
        <w:spacing w:after="0" w:line="217" w:lineRule="auto"/>
        <w:tabs>
          <w:tab w:leader="none" w:pos="1163" w:val="left"/>
        </w:tabs>
        <w:numPr>
          <w:ilvl w:val="4"/>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Grantee ceases to be a Service Provider (whether or not in breach of local labor laws), Grantee’s right to vest in the PSUs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PSUs.</w:t>
      </w:r>
    </w:p>
    <w:p>
      <w:pPr>
        <w:spacing w:after="0" w:line="148" w:lineRule="exact"/>
        <w:rPr>
          <w:rFonts w:ascii="Times New Roman" w:cs="Times New Roman" w:eastAsia="Times New Roman" w:hAnsi="Times New Roman"/>
          <w:sz w:val="22"/>
          <w:szCs w:val="22"/>
          <w:color w:val="auto"/>
        </w:rPr>
      </w:pPr>
    </w:p>
    <w:p>
      <w:pPr>
        <w:ind w:left="840" w:hanging="479"/>
        <w:spacing w:after="0"/>
        <w:tabs>
          <w:tab w:leader="none" w:pos="840" w:val="left"/>
        </w:tabs>
        <w:numPr>
          <w:ilvl w:val="3"/>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Addenda for Certain Participants</w:t>
      </w:r>
      <w:r>
        <w:rPr>
          <w:rFonts w:ascii="Times New Roman" w:cs="Times New Roman" w:eastAsia="Times New Roman" w:hAnsi="Times New Roman"/>
          <w:sz w:val="22"/>
          <w:szCs w:val="22"/>
          <w:b w:val="1"/>
          <w:bCs w:val="1"/>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500" w:firstLine="644"/>
        <w:spacing w:after="0" w:line="216" w:lineRule="auto"/>
        <w:tabs>
          <w:tab w:leader="none" w:pos="1617" w:val="left"/>
        </w:tabs>
        <w:numPr>
          <w:ilvl w:val="5"/>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Non-U.S. Participants</w:t>
      </w:r>
      <w:r>
        <w:rPr>
          <w:rFonts w:ascii="Times New Roman" w:cs="Times New Roman" w:eastAsia="Times New Roman" w:hAnsi="Times New Roman"/>
          <w:sz w:val="22"/>
          <w:szCs w:val="22"/>
          <w:color w:val="auto"/>
        </w:rPr>
        <w:t>. Notwithstanding any provisions in this Agreement, the PSUs shall also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special terms and conditions set forth in the Non-U.S. Addendum attached as Appendix C to this Agreement for Grantee’s country.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C constitutes part of this Agreement.</w:t>
      </w:r>
    </w:p>
    <w:p>
      <w:pPr>
        <w:spacing w:after="0" w:line="145" w:lineRule="exact"/>
        <w:rPr>
          <w:rFonts w:ascii="Times New Roman" w:cs="Times New Roman" w:eastAsia="Times New Roman" w:hAnsi="Times New Roman"/>
          <w:sz w:val="22"/>
          <w:szCs w:val="22"/>
          <w:color w:val="auto"/>
        </w:rPr>
      </w:pPr>
    </w:p>
    <w:p>
      <w:pPr>
        <w:jc w:val="both"/>
        <w:ind w:left="500" w:firstLine="644"/>
        <w:spacing w:after="0" w:line="218" w:lineRule="auto"/>
        <w:tabs>
          <w:tab w:leader="none" w:pos="1656" w:val="left"/>
        </w:tabs>
        <w:numPr>
          <w:ilvl w:val="5"/>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California Participants</w:t>
      </w:r>
      <w:r>
        <w:rPr>
          <w:rFonts w:ascii="Times New Roman" w:cs="Times New Roman" w:eastAsia="Times New Roman" w:hAnsi="Times New Roman"/>
          <w:sz w:val="22"/>
          <w:szCs w:val="22"/>
          <w:color w:val="auto"/>
        </w:rPr>
        <w:t>. Notwithstanding any provisions in this Agreement, the PSUs shall also be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special terms and conditions set forth in the California Addendum attached as Appendix D to this Agreement if Grantee is employed and/or resides in California or if the Company determines that the application of such terms and conditions is necessary or advisable in order to comply with applicable law. The California Addendum attached hereto as Appendix D constitutes part of this Agreement.</w:t>
      </w:r>
    </w:p>
    <w:p>
      <w:pPr>
        <w:spacing w:after="0" w:line="147" w:lineRule="exact"/>
        <w:rPr>
          <w:rFonts w:ascii="Times New Roman" w:cs="Times New Roman" w:eastAsia="Times New Roman" w:hAnsi="Times New Roman"/>
          <w:sz w:val="22"/>
          <w:szCs w:val="22"/>
          <w:color w:val="auto"/>
        </w:rPr>
      </w:pPr>
    </w:p>
    <w:p>
      <w:pPr>
        <w:jc w:val="both"/>
        <w:ind w:left="-160" w:firstLine="494"/>
        <w:spacing w:after="0" w:line="218" w:lineRule="auto"/>
        <w:tabs>
          <w:tab w:leader="none" w:pos="839" w:val="left"/>
        </w:tabs>
        <w:numPr>
          <w:ilvl w:val="2"/>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47" w:lineRule="exact"/>
        <w:rPr>
          <w:rFonts w:ascii="Times New Roman" w:cs="Times New Roman" w:eastAsia="Times New Roman" w:hAnsi="Times New Roman"/>
          <w:sz w:val="22"/>
          <w:szCs w:val="22"/>
          <w:b w:val="1"/>
          <w:bCs w:val="1"/>
          <w:color w:val="auto"/>
        </w:rPr>
      </w:pPr>
    </w:p>
    <w:p>
      <w:pPr>
        <w:jc w:val="both"/>
        <w:ind w:left="-160" w:firstLine="467"/>
        <w:spacing w:after="0" w:line="221" w:lineRule="auto"/>
        <w:tabs>
          <w:tab w:leader="none" w:pos="798"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48" w:lineRule="exact"/>
        <w:rPr>
          <w:rFonts w:ascii="Times New Roman" w:cs="Times New Roman" w:eastAsia="Times New Roman" w:hAnsi="Times New Roman"/>
          <w:sz w:val="22"/>
          <w:szCs w:val="22"/>
          <w:b w:val="1"/>
          <w:bCs w:val="1"/>
          <w:color w:val="auto"/>
        </w:rPr>
      </w:pPr>
    </w:p>
    <w:p>
      <w:pPr>
        <w:jc w:val="both"/>
        <w:ind w:left="-160" w:firstLine="449"/>
        <w:spacing w:after="0" w:line="214" w:lineRule="auto"/>
        <w:tabs>
          <w:tab w:leader="none" w:pos="771"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Choice of Forum; Jury Trial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governed by and construed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laws of the State of Michigan, 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may be brought in the appropriate state or federal court located in the State of Michigan. Grantee agrees and consents to the personal jurisdiction and venue of the federal or state courts of Michigan for resolution of any disputes or litigation arising under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80"/>
          </w:cols>
          <w:pgMar w:left="480" w:top="1395" w:right="339" w:bottom="1440" w:gutter="0" w:footer="0" w:header="0"/>
        </w:sectPr>
      </w:pPr>
    </w:p>
    <w:bookmarkStart w:id="51" w:name="page52"/>
    <w:bookmarkEnd w:id="51"/>
    <w:p>
      <w:pPr>
        <w:spacing w:after="0" w:line="216" w:lineRule="auto"/>
        <w:rPr>
          <w:sz w:val="20"/>
          <w:szCs w:val="20"/>
          <w:color w:val="auto"/>
        </w:rPr>
      </w:pPr>
      <w:r>
        <w:rPr>
          <w:rFonts w:ascii="Times New Roman" w:cs="Times New Roman" w:eastAsia="Times New Roman" w:hAnsi="Times New Roman"/>
          <w:sz w:val="22"/>
          <w:szCs w:val="22"/>
          <w:color w:val="auto"/>
        </w:rPr>
        <w:t xml:space="preserve">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2"/>
          <w:szCs w:val="22"/>
          <w:b w:val="1"/>
          <w:bCs w:val="1"/>
          <w:color w:val="auto"/>
        </w:rPr>
        <w:t>GRANTEE AGREE THAT, TO THE FULLEST</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b w:val="1"/>
          <w:bCs w:val="1"/>
          <w:color w:val="auto"/>
        </w:rPr>
        <w:t>EXTENT PERMITTED BY LAW, EACH PARTY WAIVES ANY RIGHT TO TRIAL BY JURY WITH RESPECT TO ANY PROCEEDING ARISING OUT OF OR RELATING TO THIS AGREEMENT.</w:t>
      </w:r>
    </w:p>
    <w:p>
      <w:pPr>
        <w:spacing w:after="0" w:line="146" w:lineRule="exact"/>
        <w:rPr>
          <w:sz w:val="20"/>
          <w:szCs w:val="20"/>
          <w:color w:val="auto"/>
        </w:rPr>
      </w:pPr>
    </w:p>
    <w:p>
      <w:pPr>
        <w:ind w:left="920" w:hanging="480"/>
        <w:spacing w:after="0"/>
        <w:tabs>
          <w:tab w:leader="none" w:pos="92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 Policy</w:t>
      </w:r>
      <w:r>
        <w:rPr>
          <w:rFonts w:ascii="Times New Roman" w:cs="Times New Roman" w:eastAsia="Times New Roman" w:hAnsi="Times New Roman"/>
          <w:sz w:val="22"/>
          <w:szCs w:val="22"/>
          <w:b w:val="1"/>
          <w:bCs w:val="1"/>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640" w:firstLine="644"/>
        <w:spacing w:after="0" w:line="222" w:lineRule="auto"/>
        <w:tabs>
          <w:tab w:leader="none" w:pos="1936"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shares of Common Stock issued to Grantee in settlement of the PSUs (plus dividend equivalent payments) shall be subject to the terms of this Agreement and the Company’s recoupment policy, if any, as in effect from time to time. Further, notwithstanding anything in this Agreement to the contrary, Grantee acknowledges and agrees that</w:t>
      </w:r>
    </w:p>
    <w:p>
      <w:pPr>
        <w:spacing w:after="0" w:line="1" w:lineRule="exact"/>
        <w:rPr>
          <w:rFonts w:ascii="Times New Roman" w:cs="Times New Roman" w:eastAsia="Times New Roman" w:hAnsi="Times New Roman"/>
          <w:sz w:val="21"/>
          <w:szCs w:val="21"/>
          <w:color w:val="auto"/>
        </w:rPr>
      </w:pPr>
    </w:p>
    <w:p>
      <w:pPr>
        <w:jc w:val="both"/>
        <w:ind w:left="640" w:firstLine="6"/>
        <w:spacing w:after="0" w:line="210" w:lineRule="auto"/>
        <w:tabs>
          <w:tab w:leader="none" w:pos="93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this Award described herein (and any settlement thereof) are subject to the terms and conditions of such policy, or any other form of Company recoupment (or similar) policy (if any)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“Compensation Recovery Policy”), and (b) applicable provisions of this Agreement shall be deemed superseded by and subject to the terms and conditions of the Compensation Recovery Policy from and after the effective date thereof.</w:t>
      </w:r>
    </w:p>
    <w:p>
      <w:pPr>
        <w:spacing w:after="0" w:line="154" w:lineRule="exact"/>
        <w:rPr>
          <w:rFonts w:ascii="Times New Roman" w:cs="Times New Roman" w:eastAsia="Times New Roman" w:hAnsi="Times New Roman"/>
          <w:sz w:val="22"/>
          <w:szCs w:val="22"/>
          <w:color w:val="auto"/>
        </w:rPr>
      </w:pPr>
    </w:p>
    <w:p>
      <w:pPr>
        <w:jc w:val="both"/>
        <w:ind w:left="640" w:right="20" w:firstLine="644"/>
        <w:spacing w:after="0" w:line="236" w:lineRule="auto"/>
        <w:tabs>
          <w:tab w:leader="none" w:pos="1935" w:val="left"/>
        </w:tabs>
        <w:numPr>
          <w:ilvl w:val="2"/>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violation of Section II.B.3 of this Agreement prior to the Settlement Date and thereafter, as determined by the Board, shall result in the forfeiture of the PSUs, and clawback and recoupment of any shares of Common Stock issued or transferred to Grantee in settlement of the PSUs (plus dividend equivalent payments).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52" w:name="page53"/>
    <w:bookmarkEnd w:id="52"/>
    <w:p>
      <w:pPr>
        <w:spacing w:after="0" w:line="236"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4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w:t>
      </w:r>
    </w:p>
    <w:p>
      <w:pPr>
        <w:spacing w:after="0" w:line="204" w:lineRule="auto"/>
        <w:rPr>
          <w:sz w:val="20"/>
          <w:szCs w:val="20"/>
          <w:color w:val="auto"/>
        </w:rPr>
      </w:pPr>
      <w:r>
        <w:rPr>
          <w:rFonts w:ascii="Times New Roman" w:cs="Times New Roman" w:eastAsia="Times New Roman" w:hAnsi="Times New Roman"/>
          <w:sz w:val="22"/>
          <w:szCs w:val="22"/>
          <w:color w:val="auto"/>
        </w:rPr>
        <w:t>Name: Thomas A. Amato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395" w:right="339" w:bottom="1440" w:gutter="0" w:footer="0" w:header="0"/>
          <w:type w:val="continuous"/>
        </w:sectPr>
      </w:pPr>
    </w:p>
    <w:p>
      <w:pPr>
        <w:spacing w:after="0" w:line="370" w:lineRule="exact"/>
        <w:rPr>
          <w:sz w:val="20"/>
          <w:szCs w:val="20"/>
          <w:color w:val="auto"/>
        </w:rPr>
      </w:pPr>
    </w:p>
    <w:p>
      <w:pPr>
        <w:jc w:val="both"/>
        <w:ind w:left="660"/>
        <w:spacing w:after="0" w:line="216"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46" w:lineRule="exact"/>
        <w:rPr>
          <w:sz w:val="20"/>
          <w:szCs w:val="20"/>
          <w:color w:val="auto"/>
        </w:rPr>
      </w:pPr>
    </w:p>
    <w:p>
      <w:pPr>
        <w:jc w:val="both"/>
        <w:ind w:left="660"/>
        <w:spacing w:after="0" w:line="224" w:lineRule="auto"/>
        <w:rPr>
          <w:sz w:val="20"/>
          <w:szCs w:val="20"/>
          <w:color w:val="auto"/>
        </w:rPr>
      </w:pPr>
      <w:r>
        <w:rPr>
          <w:rFonts w:ascii="Times New Roman" w:cs="Times New Roman" w:eastAsia="Times New Roman" w:hAnsi="Times New Roman"/>
          <w:sz w:val="21"/>
          <w:szCs w:val="21"/>
          <w:b w:val="1"/>
          <w:bCs w:val="1"/>
          <w:color w:val="auto"/>
        </w:rPr>
        <w:t>BY CLICKING THE “ACCEPT” BUTTON, GRANTEE ACKNOWLEDGES RECEIPT OF A COPY OF THE PLAN AND REPRESENTS THAT GRANTEE IS FAMILIAR WITH THE TERMS AND PROVISIONS OF THE PLAN. GRANTEE ACCEPTS THIS PERFORMANCE-BASED RESTRICTED STOCK UNITS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GOALS FOR PSU AWARD</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actual number of PSUs earned by Grantee will be determined by the Committee by March 11, 2025 following the end of the Performance Period (“Determination Date”), using data as of, and including, December 31, 2024 under the rules described below. Any PSUs not earned as of the Determination Date will be canceled and forfeited.</w:t>
      </w:r>
    </w:p>
    <w:p>
      <w:pPr>
        <w:spacing w:after="0" w:line="179" w:lineRule="exact"/>
        <w:rPr>
          <w:sz w:val="20"/>
          <w:szCs w:val="20"/>
          <w:color w:val="auto"/>
        </w:rPr>
      </w:pPr>
    </w:p>
    <w:p>
      <w:pPr>
        <w:ind w:firstLine="8"/>
        <w:spacing w:after="0" w:line="255" w:lineRule="auto"/>
        <w:tabs>
          <w:tab w:leader="none" w:pos="40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actual number of shares of Common Stock delivered to Grantee in settlement of the PSUs earned under this Agreement will be determined based on actual performance results as described below, subject to Section II.A.1 of the Agreement.</w:t>
      </w:r>
    </w:p>
    <w:p>
      <w:pPr>
        <w:spacing w:after="0" w:line="161" w:lineRule="exact"/>
        <w:rPr>
          <w:rFonts w:ascii="Times New Roman" w:cs="Times New Roman" w:eastAsia="Times New Roman" w:hAnsi="Times New Roman"/>
          <w:sz w:val="21"/>
          <w:szCs w:val="21"/>
          <w:color w:val="auto"/>
        </w:rPr>
      </w:pPr>
    </w:p>
    <w:p>
      <w:pPr>
        <w:ind w:firstLine="8"/>
        <w:spacing w:after="0" w:line="236" w:lineRule="auto"/>
        <w:tabs>
          <w:tab w:leader="none" w:pos="37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subject to this Award are earned based on the achievement of specific performance measures over the Performance Period (i.e., January 1, 2022 through December 31, 2024) and determined on the Determination Date.</w:t>
      </w:r>
    </w:p>
    <w:p>
      <w:pPr>
        <w:spacing w:after="0" w:line="171" w:lineRule="exact"/>
        <w:rPr>
          <w:rFonts w:ascii="Times New Roman" w:cs="Times New Roman" w:eastAsia="Times New Roman" w:hAnsi="Times New Roman"/>
          <w:sz w:val="22"/>
          <w:szCs w:val="22"/>
          <w:color w:val="auto"/>
        </w:rPr>
      </w:pPr>
    </w:p>
    <w:p>
      <w:pPr>
        <w:ind w:firstLine="8"/>
        <w:spacing w:after="0" w:line="239" w:lineRule="auto"/>
        <w:tabs>
          <w:tab w:leader="none" w:pos="40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the Target PSUs will be earned based on the achievement of EPS CAGR (the “</w:t>
      </w:r>
      <w:r>
        <w:rPr>
          <w:rFonts w:ascii="Times New Roman" w:cs="Times New Roman" w:eastAsia="Times New Roman" w:hAnsi="Times New Roman"/>
          <w:sz w:val="22"/>
          <w:szCs w:val="22"/>
          <w:b w:val="1"/>
          <w:bCs w:val="1"/>
          <w:i w:val="1"/>
          <w:iCs w:val="1"/>
          <w:color w:val="auto"/>
        </w:rPr>
        <w:t>EPS CAGR PSUs</w:t>
      </w:r>
      <w:r>
        <w:rPr>
          <w:rFonts w:ascii="Times New Roman" w:cs="Times New Roman" w:eastAsia="Times New Roman" w:hAnsi="Times New Roman"/>
          <w:sz w:val="22"/>
          <w:szCs w:val="22"/>
          <w:color w:val="auto"/>
        </w:rPr>
        <w:t>”), and 50% of the Target PSUs will be earned based on the achievement of Relative Total Shareholder Return (“</w:t>
      </w:r>
      <w:r>
        <w:rPr>
          <w:rFonts w:ascii="Times New Roman" w:cs="Times New Roman" w:eastAsia="Times New Roman" w:hAnsi="Times New Roman"/>
          <w:sz w:val="22"/>
          <w:szCs w:val="22"/>
          <w:b w:val="1"/>
          <w:bCs w:val="1"/>
          <w:i w:val="1"/>
          <w:iCs w:val="1"/>
          <w:color w:val="auto"/>
        </w:rPr>
        <w:t>RTSR PSUs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hereof:</w:t>
      </w:r>
    </w:p>
    <w:p>
      <w:pPr>
        <w:spacing w:after="0" w:line="200" w:lineRule="exact"/>
        <w:rPr>
          <w:rFonts w:ascii="Times New Roman" w:cs="Times New Roman" w:eastAsia="Times New Roman" w:hAnsi="Times New Roman"/>
          <w:sz w:val="22"/>
          <w:szCs w:val="22"/>
          <w:color w:val="auto"/>
        </w:rPr>
      </w:pPr>
    </w:p>
    <w:p>
      <w:pPr>
        <w:ind w:left="1300" w:hanging="644"/>
        <w:spacing w:after="0" w:line="222" w:lineRule="auto"/>
        <w:tabs>
          <w:tab w:leader="none" w:pos="118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EPS CAGR</w:t>
      </w:r>
      <w:r>
        <w:rPr>
          <w:rFonts w:ascii="Times New Roman" w:cs="Times New Roman" w:eastAsia="Times New Roman" w:hAnsi="Times New Roman"/>
          <w:sz w:val="22"/>
          <w:szCs w:val="22"/>
          <w:color w:val="auto"/>
        </w:rPr>
        <w:t>” means the cumulative average growth rate during the Performance Period of the diluted earnings per share from continuing operations as reported in the Company’s Income Statement within the applicable Form 10-Q and Form 10-K, plus or minus special items that may occur from time-to-time that the Committee believes should adjust the as-reported results for measurement of performance.</w:t>
      </w:r>
    </w:p>
    <w:p>
      <w:pPr>
        <w:spacing w:after="0" w:line="170" w:lineRule="exact"/>
        <w:rPr>
          <w:rFonts w:ascii="Times New Roman" w:cs="Times New Roman" w:eastAsia="Times New Roman" w:hAnsi="Times New Roman"/>
          <w:sz w:val="22"/>
          <w:szCs w:val="22"/>
          <w:color w:val="auto"/>
        </w:rPr>
      </w:pPr>
    </w:p>
    <w:p>
      <w:pPr>
        <w:ind w:left="1300" w:hanging="644"/>
        <w:spacing w:after="0" w:line="227" w:lineRule="auto"/>
        <w:tabs>
          <w:tab w:leader="none" w:pos="119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Peer Group</w:t>
      </w:r>
      <w:r>
        <w:rPr>
          <w:rFonts w:ascii="Times New Roman" w:cs="Times New Roman" w:eastAsia="Times New Roman" w:hAnsi="Times New Roman"/>
          <w:sz w:val="22"/>
          <w:szCs w:val="22"/>
          <w:color w:val="auto"/>
        </w:rPr>
        <w:t xml:space="preserve">” means, of a benchmark group of 90 entities currently in the S&amp;P SmallCap 600 Capped Industrials index (the names of which are attached hereto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those entities that remain in the Peer Group as of the end of the Performance Period after application of the Peer Group Adjustment Protocol.</w:t>
      </w:r>
    </w:p>
    <w:p>
      <w:pPr>
        <w:spacing w:after="0" w:line="173" w:lineRule="exact"/>
        <w:rPr>
          <w:rFonts w:ascii="Times New Roman" w:cs="Times New Roman" w:eastAsia="Times New Roman" w:hAnsi="Times New Roman"/>
          <w:sz w:val="22"/>
          <w:szCs w:val="22"/>
          <w:color w:val="auto"/>
        </w:rPr>
      </w:pPr>
    </w:p>
    <w:p>
      <w:pPr>
        <w:ind w:left="1300" w:hanging="644"/>
        <w:spacing w:after="0" w:line="221" w:lineRule="auto"/>
        <w:tabs>
          <w:tab w:leader="none" w:pos="115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Peer Group Adjustment Protocol</w:t>
      </w:r>
      <w:r>
        <w:rPr>
          <w:rFonts w:ascii="Times New Roman" w:cs="Times New Roman" w:eastAsia="Times New Roman" w:hAnsi="Times New Roman"/>
          <w:sz w:val="21"/>
          <w:szCs w:val="21"/>
          <w:color w:val="auto"/>
        </w:rPr>
        <w:t xml:space="preserve">” means: (i) if an entity listed in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xml:space="preserve"> files for bankruptcy and/or liquidation, is operating under bankruptcy protection, or is delisted from its primary stock exchange because it fails to meet the exchange listing requirements, then such entity will remain in the Peer Group, but RTSR for the Performance Period will be calculated as if such entity achieved Total Shareholder Return placing it at the bottom (chronologically, if more than one such entity) of the Peer Group; (ii) if, by the last day of the Performance Period, an entity listed in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xml:space="preserve"> has been acquired and/or is no longer existing as a public company that is traded on its primary stock exchange (other than for the reasons as described in subsection (i) above), then such entity will not remain in the Peer Group and RTSR for the Performance Period will be calculated as if such entity had never been a member of the Peer Group; and (iii) except as otherwise described in subsection (i) and (ii) above, for purposes of this performance goal, for each of the entities listed in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such entity shall be deemed to include any successor to all or substantially all of the primary business of such entity at end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382" w:right="339" w:bottom="1440" w:gutter="0" w:footer="0" w:header="0"/>
        </w:sectPr>
      </w:pPr>
    </w:p>
    <w:bookmarkStart w:id="54" w:name="page55"/>
    <w:bookmarkEnd w:id="54"/>
    <w:p>
      <w:pPr>
        <w:jc w:val="both"/>
        <w:ind w:left="1292" w:hanging="644"/>
        <w:spacing w:after="0" w:line="227" w:lineRule="auto"/>
        <w:tabs>
          <w:tab w:leader="none" w:pos="1227"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Relative Total Shareholder Return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RTSR</w:t>
      </w:r>
      <w:r>
        <w:rPr>
          <w:rFonts w:ascii="Times New Roman" w:cs="Times New Roman" w:eastAsia="Times New Roman" w:hAnsi="Times New Roman"/>
          <w:sz w:val="22"/>
          <w:szCs w:val="22"/>
          <w:color w:val="auto"/>
        </w:rPr>
        <w:t>” means the percentile rank of the Company’s Total Shareholder Return among the Total Shareholder Returns of all members of the Peer Group, ranked in descending order, at the end of the Performance Period.</w:t>
      </w:r>
    </w:p>
    <w:p>
      <w:pPr>
        <w:spacing w:after="0" w:line="173" w:lineRule="exact"/>
        <w:rPr>
          <w:rFonts w:ascii="Times New Roman" w:cs="Times New Roman" w:eastAsia="Times New Roman" w:hAnsi="Times New Roman"/>
          <w:sz w:val="22"/>
          <w:szCs w:val="22"/>
          <w:color w:val="auto"/>
        </w:rPr>
      </w:pPr>
    </w:p>
    <w:p>
      <w:pPr>
        <w:jc w:val="both"/>
        <w:ind w:left="1292" w:hanging="644"/>
        <w:spacing w:after="0" w:line="213" w:lineRule="auto"/>
        <w:tabs>
          <w:tab w:leader="none" w:pos="1257"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Total Shareholder Return</w:t>
      </w:r>
      <w:r>
        <w:rPr>
          <w:rFonts w:ascii="Times New Roman" w:cs="Times New Roman" w:eastAsia="Times New Roman" w:hAnsi="Times New Roman"/>
          <w:sz w:val="22"/>
          <w:szCs w:val="22"/>
          <w:color w:val="auto"/>
        </w:rPr>
        <w:t>” means, with respect to the Common Stock and the common stock of each of the members of the Peer Group, a rate of return reflecting stock price appreciation, plus the reinvestment of dividends in additional shares of stock, from the beginning of the Performance Period through the end of the Performance Period. For purposes of calculating Total Shareholder Return for each of the Company and the members of the Peer Group, the beginning stock price will be based on the average closing stock price for the 20 trading days immediately preceding January 1, 2022 on the principal stock exchange on which the stock is then traded and the ending stock price will be based on the average closing stock price for the 20 trading days immediately preceding January 1, 2025 on the principal stock exchange on which the stock then trades.</w:t>
      </w:r>
    </w:p>
    <w:p>
      <w:pPr>
        <w:spacing w:after="0" w:line="180" w:lineRule="exact"/>
        <w:rPr>
          <w:rFonts w:ascii="Times New Roman" w:cs="Times New Roman" w:eastAsia="Times New Roman" w:hAnsi="Times New Roman"/>
          <w:sz w:val="22"/>
          <w:szCs w:val="22"/>
          <w:color w:val="auto"/>
        </w:rPr>
      </w:pPr>
    </w:p>
    <w:p>
      <w:pPr>
        <w:ind w:left="-8" w:firstLine="8"/>
        <w:spacing w:after="0" w:line="236" w:lineRule="auto"/>
        <w:tabs>
          <w:tab w:leader="none" w:pos="42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EPS CAGR Performance Matrix</w:t>
      </w:r>
      <w:r>
        <w:rPr>
          <w:rFonts w:ascii="Times New Roman" w:cs="Times New Roman" w:eastAsia="Times New Roman" w:hAnsi="Times New Roman"/>
          <w:sz w:val="22"/>
          <w:szCs w:val="22"/>
          <w:color w:val="auto"/>
        </w:rPr>
        <w:t>. From 0% to 200% of the EPS CAGR PSUs will be earned based on achievement of the EPS CAGR performance goal during the Performance Period as follows:</w:t>
      </w:r>
    </w:p>
    <w:p>
      <w:pPr>
        <w:spacing w:after="0" w:line="225" w:lineRule="exact"/>
        <w:rPr>
          <w:sz w:val="20"/>
          <w:szCs w:val="20"/>
          <w:color w:val="auto"/>
        </w:rPr>
      </w:pPr>
    </w:p>
    <w:tbl>
      <w:tblPr>
        <w:tblLayout w:type="fixed"/>
        <w:tblInd w:w="1802" w:type="dxa"/>
        <w:tblCellMar>
          <w:top w:w="0" w:type="dxa"/>
          <w:left w:w="0" w:type="dxa"/>
          <w:bottom w:w="0" w:type="dxa"/>
          <w:right w:w="0" w:type="dxa"/>
        </w:tblCellMar>
      </w:tblPr>
      <w:tr>
        <w:trPr>
          <w:trHeight w:val="283"/>
        </w:trPr>
        <w:tc>
          <w:tcPr>
            <w:tcW w:w="2660" w:type="dxa"/>
            <w:vAlign w:val="bottom"/>
            <w:tcBorders>
              <w:top w:val="single" w:sz="8" w:color="auto"/>
              <w:left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22"/>
                <w:szCs w:val="22"/>
                <w:b w:val="1"/>
                <w:bCs w:val="1"/>
                <w:color w:val="auto"/>
              </w:rPr>
              <w:t>EPS CAGR %</w:t>
            </w:r>
          </w:p>
        </w:tc>
        <w:tc>
          <w:tcPr>
            <w:tcW w:w="280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b w:val="1"/>
                <w:bCs w:val="1"/>
                <w:color w:val="auto"/>
              </w:rPr>
              <w:t>EPS CAGR PSUs Earned</w:t>
            </w:r>
          </w:p>
        </w:tc>
      </w:tr>
      <w:tr>
        <w:trPr>
          <w:trHeight w:val="264"/>
        </w:trPr>
        <w:tc>
          <w:tcPr>
            <w:tcW w:w="2660" w:type="dxa"/>
            <w:vAlign w:val="bottom"/>
            <w:tcBorders>
              <w:left w:val="single" w:sz="8" w:color="auto"/>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40.0%</w:t>
            </w:r>
          </w:p>
        </w:tc>
      </w:tr>
      <w:tr>
        <w:trPr>
          <w:trHeight w:val="263"/>
        </w:trPr>
        <w:tc>
          <w:tcPr>
            <w:tcW w:w="2660" w:type="dxa"/>
            <w:vAlign w:val="bottom"/>
            <w:tcBorders>
              <w:left w:val="single" w:sz="8" w:color="auto"/>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50.0%</w:t>
            </w:r>
          </w:p>
        </w:tc>
      </w:tr>
      <w:tr>
        <w:trPr>
          <w:trHeight w:val="263"/>
        </w:trPr>
        <w:tc>
          <w:tcPr>
            <w:tcW w:w="2660" w:type="dxa"/>
            <w:vAlign w:val="bottom"/>
            <w:tcBorders>
              <w:left w:val="single" w:sz="8" w:color="auto"/>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60.0%</w:t>
            </w:r>
          </w:p>
        </w:tc>
      </w:tr>
      <w:tr>
        <w:trPr>
          <w:trHeight w:val="263"/>
        </w:trPr>
        <w:tc>
          <w:tcPr>
            <w:tcW w:w="2660" w:type="dxa"/>
            <w:vAlign w:val="bottom"/>
            <w:tcBorders>
              <w:left w:val="single" w:sz="8" w:color="auto"/>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70.0%</w:t>
            </w:r>
          </w:p>
        </w:tc>
      </w:tr>
      <w:tr>
        <w:trPr>
          <w:trHeight w:val="263"/>
        </w:trPr>
        <w:tc>
          <w:tcPr>
            <w:tcW w:w="2660" w:type="dxa"/>
            <w:vAlign w:val="bottom"/>
            <w:tcBorders>
              <w:left w:val="single" w:sz="8" w:color="auto"/>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80.0%</w:t>
            </w:r>
          </w:p>
        </w:tc>
      </w:tr>
      <w:tr>
        <w:trPr>
          <w:trHeight w:val="264"/>
        </w:trPr>
        <w:tc>
          <w:tcPr>
            <w:tcW w:w="2660" w:type="dxa"/>
            <w:vAlign w:val="bottom"/>
            <w:tcBorders>
              <w:left w:val="single" w:sz="8" w:color="auto"/>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90.0%</w:t>
            </w:r>
          </w:p>
        </w:tc>
      </w:tr>
      <w:tr>
        <w:trPr>
          <w:trHeight w:val="263"/>
        </w:trPr>
        <w:tc>
          <w:tcPr>
            <w:tcW w:w="2660" w:type="dxa"/>
            <w:vAlign w:val="bottom"/>
            <w:tcBorders>
              <w:left w:val="single" w:sz="8" w:color="auto"/>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100.0%</w:t>
            </w:r>
          </w:p>
        </w:tc>
      </w:tr>
      <w:tr>
        <w:trPr>
          <w:trHeight w:val="264"/>
        </w:trPr>
        <w:tc>
          <w:tcPr>
            <w:tcW w:w="2660" w:type="dxa"/>
            <w:vAlign w:val="bottom"/>
            <w:tcBorders>
              <w:left w:val="single" w:sz="8" w:color="auto"/>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128.6%</w:t>
            </w:r>
          </w:p>
        </w:tc>
      </w:tr>
      <w:tr>
        <w:trPr>
          <w:trHeight w:val="263"/>
        </w:trPr>
        <w:tc>
          <w:tcPr>
            <w:tcW w:w="2660" w:type="dxa"/>
            <w:vAlign w:val="bottom"/>
            <w:tcBorders>
              <w:left w:val="single" w:sz="8" w:color="auto"/>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157.1%</w:t>
            </w:r>
          </w:p>
        </w:tc>
      </w:tr>
      <w:tr>
        <w:trPr>
          <w:trHeight w:val="263"/>
        </w:trPr>
        <w:tc>
          <w:tcPr>
            <w:tcW w:w="2660" w:type="dxa"/>
            <w:vAlign w:val="bottom"/>
            <w:tcBorders>
              <w:left w:val="single" w:sz="8" w:color="auto"/>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185.7%</w:t>
            </w:r>
          </w:p>
        </w:tc>
      </w:tr>
      <w:tr>
        <w:trPr>
          <w:trHeight w:val="264"/>
        </w:trPr>
        <w:tc>
          <w:tcPr>
            <w:tcW w:w="2660" w:type="dxa"/>
            <w:vAlign w:val="bottom"/>
            <w:tcBorders>
              <w:left w:val="single" w:sz="8" w:color="auto"/>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200.0%</w:t>
            </w:r>
          </w:p>
        </w:tc>
      </w:tr>
    </w:tbl>
    <w:p>
      <w:pPr>
        <w:spacing w:after="0" w:line="200" w:lineRule="exact"/>
        <w:rPr>
          <w:sz w:val="20"/>
          <w:szCs w:val="20"/>
          <w:color w:val="auto"/>
        </w:rPr>
      </w:pPr>
    </w:p>
    <w:p>
      <w:pPr>
        <w:spacing w:after="0" w:line="340" w:lineRule="exact"/>
        <w:rPr>
          <w:sz w:val="20"/>
          <w:szCs w:val="20"/>
          <w:color w:val="auto"/>
        </w:rPr>
      </w:pPr>
    </w:p>
    <w:p>
      <w:pPr>
        <w:jc w:val="both"/>
        <w:ind w:left="-8" w:firstLine="8"/>
        <w:spacing w:after="0" w:line="220" w:lineRule="auto"/>
        <w:tabs>
          <w:tab w:leader="none" w:pos="42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EPS CAGR PSUs Earned</w:t>
      </w:r>
      <w:r>
        <w:rPr>
          <w:rFonts w:ascii="Times New Roman" w:cs="Times New Roman" w:eastAsia="Times New Roman" w:hAnsi="Times New Roman"/>
          <w:sz w:val="22"/>
          <w:szCs w:val="22"/>
          <w:color w:val="auto"/>
        </w:rPr>
        <w:t>. Following the Performance Period, on the Determination Date, the Committee shall determine whether and to what extent the EPS CAGR performance goal has been satisfied for the Performance Period and shall determine the number of EPS CAGR PSUs that shall become nonforfeitable hereunder and under the Agreement on the basis of the following:</w:t>
      </w:r>
    </w:p>
    <w:p>
      <w:pPr>
        <w:spacing w:after="0" w:line="179" w:lineRule="exact"/>
        <w:rPr>
          <w:rFonts w:ascii="Times New Roman" w:cs="Times New Roman" w:eastAsia="Times New Roman" w:hAnsi="Times New Roman"/>
          <w:sz w:val="22"/>
          <w:szCs w:val="22"/>
          <w:color w:val="auto"/>
        </w:rPr>
      </w:pPr>
    </w:p>
    <w:p>
      <w:pPr>
        <w:ind w:left="1292" w:right="260" w:hanging="725"/>
        <w:spacing w:after="0" w:line="225" w:lineRule="auto"/>
        <w:tabs>
          <w:tab w:leader="none" w:pos="107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Below Threshold</w:t>
      </w:r>
      <w:r>
        <w:rPr>
          <w:rFonts w:ascii="Times New Roman" w:cs="Times New Roman" w:eastAsia="Times New Roman" w:hAnsi="Times New Roman"/>
          <w:sz w:val="22"/>
          <w:szCs w:val="22"/>
          <w:color w:val="auto"/>
        </w:rPr>
        <w:t>. If, upon the conclusion of the Performance Period, EPS CAGR for the Performance Period falls below the lowest EPS CAGR level set forth in the Performance Matrix, no EPS CAGR PSUs shall become nonforfeitable.</w:t>
      </w:r>
    </w:p>
    <w:p>
      <w:pPr>
        <w:spacing w:after="0" w:line="179" w:lineRule="exact"/>
        <w:rPr>
          <w:rFonts w:ascii="Times New Roman" w:cs="Times New Roman" w:eastAsia="Times New Roman" w:hAnsi="Times New Roman"/>
          <w:sz w:val="22"/>
          <w:szCs w:val="22"/>
          <w:color w:val="auto"/>
        </w:rPr>
      </w:pPr>
    </w:p>
    <w:p>
      <w:pPr>
        <w:ind w:left="1292" w:hanging="644"/>
        <w:spacing w:after="0" w:line="225" w:lineRule="auto"/>
        <w:tabs>
          <w:tab w:leader="none" w:pos="1175"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Threshold or Above</w:t>
      </w:r>
      <w:r>
        <w:rPr>
          <w:rFonts w:ascii="Times New Roman" w:cs="Times New Roman" w:eastAsia="Times New Roman" w:hAnsi="Times New Roman"/>
          <w:sz w:val="22"/>
          <w:szCs w:val="22"/>
          <w:color w:val="auto"/>
        </w:rPr>
        <w:t>. If, upon the conclusion of the Performance Period, EPS CAGR for the Performance Period is exactly equal to one of the levels set forth in the Performance Matrix, a percentage of the EPS CAGR PSUs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32"/>
          </w:cols>
          <w:pgMar w:left="328" w:top="1389" w:right="339" w:bottom="1440" w:gutter="0" w:footer="0" w:header="0"/>
        </w:sectPr>
      </w:pPr>
    </w:p>
    <w:bookmarkStart w:id="55" w:name="page56"/>
    <w:bookmarkEnd w:id="55"/>
    <w:p>
      <w:pPr>
        <w:jc w:val="both"/>
        <w:ind w:left="1292"/>
        <w:spacing w:after="0" w:line="217" w:lineRule="auto"/>
        <w:rPr>
          <w:sz w:val="20"/>
          <w:szCs w:val="20"/>
          <w:color w:val="auto"/>
        </w:rPr>
      </w:pPr>
      <w:r>
        <w:rPr>
          <w:rFonts w:ascii="Times New Roman" w:cs="Times New Roman" w:eastAsia="Times New Roman" w:hAnsi="Times New Roman"/>
          <w:sz w:val="22"/>
          <w:szCs w:val="22"/>
          <w:color w:val="auto"/>
        </w:rPr>
        <w:t>percentage set forth opposite such level in the Performance Matrix (rounded down to the nearest whole number of PSUs) shall become nonforfeitable. If, upon the conclusion of the Performance Period, EPS CAGR for the Performance Period falls between two levels set forth in the Performance Matrix, a percentage of the EPS CAGR PSUs shall become nonforfeitable based on straight-line mathematical interpolation between the percentages applicable to such levels (rounded down to the nearest whole number of PSUs).</w:t>
      </w:r>
    </w:p>
    <w:p>
      <w:pPr>
        <w:spacing w:after="0" w:line="179" w:lineRule="exact"/>
        <w:rPr>
          <w:sz w:val="20"/>
          <w:szCs w:val="20"/>
          <w:color w:val="auto"/>
        </w:rPr>
      </w:pPr>
    </w:p>
    <w:p>
      <w:pPr>
        <w:ind w:left="-8" w:firstLine="8"/>
        <w:spacing w:after="0" w:line="236" w:lineRule="auto"/>
        <w:tabs>
          <w:tab w:leader="none" w:pos="50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RTSR Performance Matrix</w:t>
      </w:r>
      <w:r>
        <w:rPr>
          <w:rFonts w:ascii="Times New Roman" w:cs="Times New Roman" w:eastAsia="Times New Roman" w:hAnsi="Times New Roman"/>
          <w:sz w:val="22"/>
          <w:szCs w:val="22"/>
          <w:color w:val="auto"/>
        </w:rPr>
        <w:t>. From 0% to 200% of the RTSR PSUs will be earned based on achievement of the RTSR performance goal during the Performance Period as follows:</w:t>
      </w:r>
    </w:p>
    <w:p>
      <w:pPr>
        <w:spacing w:after="0" w:line="225" w:lineRule="exact"/>
        <w:rPr>
          <w:sz w:val="20"/>
          <w:szCs w:val="20"/>
          <w:color w:val="auto"/>
        </w:rPr>
      </w:pPr>
    </w:p>
    <w:tbl>
      <w:tblPr>
        <w:tblLayout w:type="fixed"/>
        <w:tblInd w:w="762" w:type="dxa"/>
        <w:tblCellMar>
          <w:top w:w="0" w:type="dxa"/>
          <w:left w:w="0" w:type="dxa"/>
          <w:bottom w:w="0" w:type="dxa"/>
          <w:right w:w="0" w:type="dxa"/>
        </w:tblCellMar>
      </w:tblPr>
      <w:tr>
        <w:trPr>
          <w:trHeight w:val="284"/>
        </w:trPr>
        <w:tc>
          <w:tcPr>
            <w:tcW w:w="292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Performance Level</w:t>
            </w:r>
          </w:p>
        </w:tc>
        <w:tc>
          <w:tcPr>
            <w:tcW w:w="4740" w:type="dxa"/>
            <w:vAlign w:val="bottom"/>
            <w:tcBorders>
              <w:top w:val="single" w:sz="8" w:color="auto"/>
              <w:bottom w:val="single" w:sz="8" w:color="auto"/>
              <w:right w:val="single" w:sz="8" w:color="auto"/>
            </w:tcBorders>
            <w:shd w:val="clear" w:color="auto" w:fill="BFBFBF"/>
          </w:tcPr>
          <w:p>
            <w:pPr>
              <w:ind w:left="760"/>
              <w:spacing w:after="0"/>
              <w:rPr>
                <w:sz w:val="20"/>
                <w:szCs w:val="20"/>
                <w:color w:val="auto"/>
              </w:rPr>
            </w:pPr>
            <w:r>
              <w:rPr>
                <w:rFonts w:ascii="Times New Roman" w:cs="Times New Roman" w:eastAsia="Times New Roman" w:hAnsi="Times New Roman"/>
                <w:sz w:val="22"/>
                <w:szCs w:val="22"/>
                <w:b w:val="1"/>
                <w:bCs w:val="1"/>
                <w:color w:val="auto"/>
              </w:rPr>
              <w:t>Relative Total Shareholder Return</w:t>
            </w:r>
          </w:p>
        </w:tc>
        <w:tc>
          <w:tcPr>
            <w:tcW w:w="2220" w:type="dxa"/>
            <w:vAlign w:val="bottom"/>
            <w:tcBorders>
              <w:top w:val="single" w:sz="8" w:color="auto"/>
              <w:bottom w:val="single" w:sz="8" w:color="auto"/>
              <w:right w:val="single" w:sz="8" w:color="auto"/>
            </w:tcBorders>
            <w:shd w:val="clear" w:color="auto" w:fill="BFBFBF"/>
          </w:tcPr>
          <w:p>
            <w:pPr>
              <w:ind w:left="160"/>
              <w:spacing w:after="0"/>
              <w:rPr>
                <w:sz w:val="20"/>
                <w:szCs w:val="20"/>
                <w:color w:val="auto"/>
              </w:rPr>
            </w:pPr>
            <w:r>
              <w:rPr>
                <w:rFonts w:ascii="Times New Roman" w:cs="Times New Roman" w:eastAsia="Times New Roman" w:hAnsi="Times New Roman"/>
                <w:sz w:val="22"/>
                <w:szCs w:val="22"/>
                <w:b w:val="1"/>
                <w:bCs w:val="1"/>
                <w:color w:val="auto"/>
              </w:rPr>
              <w:t>RTSR PSUs Earned</w:t>
            </w:r>
          </w:p>
        </w:tc>
      </w:tr>
      <w:tr>
        <w:trPr>
          <w:trHeight w:val="26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Threshold</w:t>
            </w:r>
          </w:p>
        </w:tc>
        <w:tc>
          <w:tcPr>
            <w:tcW w:w="4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Ranked below or at __ percentile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0%</w:t>
            </w:r>
          </w:p>
        </w:tc>
      </w:tr>
      <w:tr>
        <w:trPr>
          <w:trHeight w:val="26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Above Threshold</w:t>
            </w:r>
          </w:p>
        </w:tc>
        <w:tc>
          <w:tcPr>
            <w:tcW w:w="4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xml:space="preserve">Ranked at </w:t>
            </w:r>
            <w:r>
              <w:rPr>
                <w:rFonts w:ascii="Times New Roman" w:cs="Times New Roman" w:eastAsia="Times New Roman" w:hAnsi="Times New Roman"/>
                <w:sz w:val="19"/>
                <w:szCs w:val="19"/>
                <w:color w:val="auto"/>
              </w:rPr>
              <w:t>__</w:t>
            </w:r>
            <w:r>
              <w:rPr>
                <w:rFonts w:ascii="Times New Roman" w:cs="Times New Roman" w:eastAsia="Times New Roman" w:hAnsi="Times New Roman"/>
                <w:sz w:val="22"/>
                <w:szCs w:val="22"/>
                <w:color w:val="auto"/>
              </w:rPr>
              <w:t xml:space="preserve"> percentile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r>
      <w:tr>
        <w:trPr>
          <w:trHeight w:val="26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Target</w:t>
            </w:r>
          </w:p>
        </w:tc>
        <w:tc>
          <w:tcPr>
            <w:tcW w:w="4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Ranked at __ percentile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26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Intermediate</w:t>
            </w:r>
          </w:p>
        </w:tc>
        <w:tc>
          <w:tcPr>
            <w:tcW w:w="4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Ranked at __ percentile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150%</w:t>
            </w:r>
          </w:p>
        </w:tc>
      </w:tr>
      <w:tr>
        <w:trPr>
          <w:trHeight w:val="264"/>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Maximum</w:t>
            </w:r>
          </w:p>
        </w:tc>
        <w:tc>
          <w:tcPr>
            <w:tcW w:w="4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Ranked at or above __ percentile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r>
    </w:tbl>
    <w:p>
      <w:pPr>
        <w:spacing w:after="0" w:line="297" w:lineRule="exact"/>
        <w:rPr>
          <w:sz w:val="20"/>
          <w:szCs w:val="20"/>
          <w:color w:val="auto"/>
        </w:rPr>
      </w:pPr>
    </w:p>
    <w:p>
      <w:pPr>
        <w:jc w:val="both"/>
        <w:ind w:left="-8" w:firstLine="8"/>
        <w:spacing w:after="0" w:line="220" w:lineRule="auto"/>
        <w:tabs>
          <w:tab w:leader="none" w:pos="53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RTSR PSUs Earned</w:t>
      </w:r>
      <w:r>
        <w:rPr>
          <w:rFonts w:ascii="Times New Roman" w:cs="Times New Roman" w:eastAsia="Times New Roman" w:hAnsi="Times New Roman"/>
          <w:sz w:val="22"/>
          <w:szCs w:val="22"/>
          <w:color w:val="auto"/>
        </w:rPr>
        <w:t>. Following the Performance Period, on the Determination Date, the Committee shall determine whether and to what extent the RTSR performance goal has been satisfied for the Performance Period and shall determine the number of RTSR PSUs that shall become nonforfeitable hereunder and under the Agreement on the basis of the following:</w:t>
      </w:r>
    </w:p>
    <w:p>
      <w:pPr>
        <w:spacing w:after="0" w:line="179" w:lineRule="exact"/>
        <w:rPr>
          <w:rFonts w:ascii="Times New Roman" w:cs="Times New Roman" w:eastAsia="Times New Roman" w:hAnsi="Times New Roman"/>
          <w:sz w:val="22"/>
          <w:szCs w:val="22"/>
          <w:color w:val="auto"/>
        </w:rPr>
      </w:pPr>
    </w:p>
    <w:p>
      <w:pPr>
        <w:ind w:left="1292" w:hanging="725"/>
        <w:spacing w:after="0" w:line="255" w:lineRule="auto"/>
        <w:tabs>
          <w:tab w:leader="none" w:pos="1187"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Threshold</w:t>
      </w:r>
      <w:r>
        <w:rPr>
          <w:rFonts w:ascii="Times New Roman" w:cs="Times New Roman" w:eastAsia="Times New Roman" w:hAnsi="Times New Roman"/>
          <w:sz w:val="21"/>
          <w:szCs w:val="21"/>
          <w:color w:val="auto"/>
        </w:rPr>
        <w:t>. If, upon the conclusion of the Performance Period, RTSR for the Performance Period equals or falls below the “Threshold” level, as set forth in the Performance Matrix, no RTSR PSUs shall become nonforfeitable.</w:t>
      </w:r>
    </w:p>
    <w:p>
      <w:pPr>
        <w:spacing w:after="0" w:line="161" w:lineRule="exact"/>
        <w:rPr>
          <w:rFonts w:ascii="Times New Roman" w:cs="Times New Roman" w:eastAsia="Times New Roman" w:hAnsi="Times New Roman"/>
          <w:sz w:val="21"/>
          <w:szCs w:val="21"/>
          <w:color w:val="auto"/>
        </w:rPr>
      </w:pPr>
    </w:p>
    <w:p>
      <w:pPr>
        <w:jc w:val="both"/>
        <w:ind w:left="1292" w:hanging="644"/>
        <w:spacing w:after="0" w:line="217" w:lineRule="auto"/>
        <w:tabs>
          <w:tab w:leader="none" w:pos="131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Between Threshold and Above Threshold</w:t>
      </w:r>
      <w:r>
        <w:rPr>
          <w:rFonts w:ascii="Times New Roman" w:cs="Times New Roman" w:eastAsia="Times New Roman" w:hAnsi="Times New Roman"/>
          <w:sz w:val="22"/>
          <w:szCs w:val="22"/>
          <w:color w:val="auto"/>
        </w:rPr>
        <w:t>. If, upon the conclusion of the Performance Period, RTSR for the Performance Period exceeds the “Threshold” level, but is less than the “Above Threshold” level, as set forth in the Performance Matrix, a percentage between 0% and 50% (determined on the basis of straight-line mathematical interpolation) of the RTSR PSUs (rounded down to the nearest whole number of PSUs) shall become nonforfeitable.</w:t>
      </w:r>
    </w:p>
    <w:p>
      <w:pPr>
        <w:spacing w:after="0" w:line="179" w:lineRule="exact"/>
        <w:rPr>
          <w:rFonts w:ascii="Times New Roman" w:cs="Times New Roman" w:eastAsia="Times New Roman" w:hAnsi="Times New Roman"/>
          <w:sz w:val="22"/>
          <w:szCs w:val="22"/>
          <w:color w:val="auto"/>
        </w:rPr>
      </w:pPr>
    </w:p>
    <w:p>
      <w:pPr>
        <w:ind w:left="1292" w:hanging="644"/>
        <w:spacing w:after="0" w:line="225" w:lineRule="auto"/>
        <w:tabs>
          <w:tab w:leader="none" w:pos="1175"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Above Threshold</w:t>
      </w:r>
      <w:r>
        <w:rPr>
          <w:rFonts w:ascii="Times New Roman" w:cs="Times New Roman" w:eastAsia="Times New Roman" w:hAnsi="Times New Roman"/>
          <w:sz w:val="22"/>
          <w:szCs w:val="22"/>
          <w:color w:val="auto"/>
        </w:rPr>
        <w:t>. If, upon the conclusion of the Performance Period, RTSR for the Performance Period equals the “Above Threshold” level, as set forth in the Performance Matrix, 50% of the RTSR PSUs (rounded down to the nearest whole number of PSUs) shall become nonforfeitable.</w:t>
      </w:r>
    </w:p>
    <w:p>
      <w:pPr>
        <w:spacing w:after="0" w:line="179" w:lineRule="exact"/>
        <w:rPr>
          <w:rFonts w:ascii="Times New Roman" w:cs="Times New Roman" w:eastAsia="Times New Roman" w:hAnsi="Times New Roman"/>
          <w:sz w:val="22"/>
          <w:szCs w:val="22"/>
          <w:color w:val="auto"/>
        </w:rPr>
      </w:pPr>
    </w:p>
    <w:p>
      <w:pPr>
        <w:jc w:val="both"/>
        <w:ind w:left="1292" w:hanging="644"/>
        <w:spacing w:after="0" w:line="217" w:lineRule="auto"/>
        <w:tabs>
          <w:tab w:leader="none" w:pos="1389"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Between Above Threshold and Target</w:t>
      </w:r>
      <w:r>
        <w:rPr>
          <w:rFonts w:ascii="Times New Roman" w:cs="Times New Roman" w:eastAsia="Times New Roman" w:hAnsi="Times New Roman"/>
          <w:sz w:val="22"/>
          <w:szCs w:val="22"/>
          <w:color w:val="auto"/>
        </w:rPr>
        <w:t>. If, upon the conclusion of the Performance Period, RTSR for the Performance Period exceeds the “Above Threshold” level, but is less than the “Target” level, as set forth in the Performance Matrix, a percentage between 50% and 100% (determined on the basis of straight-line mathematical interpolation) of the RTSR PSUs (rounded down to the nearest whole number of PSUs) shall become nonforfeitable.</w:t>
      </w:r>
    </w:p>
    <w:p>
      <w:pPr>
        <w:spacing w:after="0" w:line="179" w:lineRule="exact"/>
        <w:rPr>
          <w:rFonts w:ascii="Times New Roman" w:cs="Times New Roman" w:eastAsia="Times New Roman" w:hAnsi="Times New Roman"/>
          <w:sz w:val="22"/>
          <w:szCs w:val="22"/>
          <w:color w:val="auto"/>
        </w:rPr>
      </w:pPr>
    </w:p>
    <w:p>
      <w:pPr>
        <w:ind w:left="1292" w:hanging="644"/>
        <w:spacing w:after="0" w:line="236" w:lineRule="auto"/>
        <w:tabs>
          <w:tab w:leader="none" w:pos="1203"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Target</w:t>
      </w:r>
      <w:r>
        <w:rPr>
          <w:rFonts w:ascii="Times New Roman" w:cs="Times New Roman" w:eastAsia="Times New Roman" w:hAnsi="Times New Roman"/>
          <w:sz w:val="22"/>
          <w:szCs w:val="22"/>
          <w:color w:val="auto"/>
        </w:rPr>
        <w:t>. If, upon the conclusion of the Performance Period, RTSR for the Performance Period equals the “Target” level, as set forth in the Performance Matrix, 100% of the RTSR PSUs shall become nonforfeitable.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32"/>
          </w:cols>
          <w:pgMar w:left="328" w:top="1395" w:right="339" w:bottom="1440" w:gutter="0" w:footer="0" w:header="0"/>
        </w:sectPr>
      </w:pPr>
    </w:p>
    <w:bookmarkStart w:id="56" w:name="page57"/>
    <w:bookmarkEnd w:id="56"/>
    <w:p>
      <w:pPr>
        <w:ind w:left="1140" w:hanging="644"/>
        <w:spacing w:after="0" w:line="231" w:lineRule="auto"/>
        <w:tabs>
          <w:tab w:leader="none" w:pos="105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Between Target and Intermediate</w:t>
      </w:r>
      <w:r>
        <w:rPr>
          <w:rFonts w:ascii="Times New Roman" w:cs="Times New Roman" w:eastAsia="Times New Roman" w:hAnsi="Times New Roman"/>
          <w:sz w:val="21"/>
          <w:szCs w:val="21"/>
          <w:color w:val="auto"/>
        </w:rPr>
        <w:t>. If, upon the conclusion of the Performance Period, RTSR for the Performance Period exceeds the “Target” level, but is less than the “Intermediate” level, as set forth in the Performance Matrix, a percentage between 100% and 150% (determined on the basis of straight-line mathematical interpolation) of the RTSR PSUs (rounded down to the nearest whole number of PSUs) shall become nonforfeitable.</w:t>
      </w:r>
    </w:p>
    <w:p>
      <w:pPr>
        <w:spacing w:after="0" w:line="177" w:lineRule="exact"/>
        <w:rPr>
          <w:rFonts w:ascii="Times New Roman" w:cs="Times New Roman" w:eastAsia="Times New Roman" w:hAnsi="Times New Roman"/>
          <w:sz w:val="21"/>
          <w:szCs w:val="21"/>
          <w:color w:val="auto"/>
        </w:rPr>
      </w:pPr>
    </w:p>
    <w:p>
      <w:pPr>
        <w:jc w:val="both"/>
        <w:ind w:left="1140" w:hanging="644"/>
        <w:spacing w:after="0" w:line="225" w:lineRule="auto"/>
        <w:tabs>
          <w:tab w:leader="none" w:pos="112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Intermediate</w:t>
      </w:r>
      <w:r>
        <w:rPr>
          <w:rFonts w:ascii="Times New Roman" w:cs="Times New Roman" w:eastAsia="Times New Roman" w:hAnsi="Times New Roman"/>
          <w:sz w:val="22"/>
          <w:szCs w:val="22"/>
          <w:color w:val="auto"/>
        </w:rPr>
        <w:t>. If, upon the conclusion of the Performance Period, RTSR for the Performance Period equals the “Intermediate” level, as set forth in the Performance Matrix, 150% of the RTSR PSUs shall become nonforfeitable.</w:t>
      </w:r>
    </w:p>
    <w:p>
      <w:pPr>
        <w:spacing w:after="0" w:line="179" w:lineRule="exact"/>
        <w:rPr>
          <w:rFonts w:ascii="Times New Roman" w:cs="Times New Roman" w:eastAsia="Times New Roman" w:hAnsi="Times New Roman"/>
          <w:sz w:val="22"/>
          <w:szCs w:val="22"/>
          <w:color w:val="auto"/>
        </w:rPr>
      </w:pPr>
    </w:p>
    <w:p>
      <w:pPr>
        <w:ind w:left="1140" w:hanging="644"/>
        <w:spacing w:after="0" w:line="217" w:lineRule="auto"/>
        <w:tabs>
          <w:tab w:leader="none" w:pos="100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Between Intermediate and Maximum</w:t>
      </w:r>
      <w:r>
        <w:rPr>
          <w:rFonts w:ascii="Times New Roman" w:cs="Times New Roman" w:eastAsia="Times New Roman" w:hAnsi="Times New Roman"/>
          <w:sz w:val="22"/>
          <w:szCs w:val="22"/>
          <w:color w:val="auto"/>
        </w:rPr>
        <w:t>. If, upon the conclusion of the Performance Period, RTSR for the Performance Period exceeds the “Intermediate” level, but is less than the “Maximum” level, as set forth in the Performance Matrix, a percentage between 150% and 200% (determined on the basis of straight-line mathematical interpolation) of the RTSR PSUs (rounded down to the nearest whole number of PSUs) shall become nonforfeitable.</w:t>
      </w:r>
    </w:p>
    <w:p>
      <w:pPr>
        <w:spacing w:after="0" w:line="152" w:lineRule="exact"/>
        <w:rPr>
          <w:rFonts w:ascii="Times New Roman" w:cs="Times New Roman" w:eastAsia="Times New Roman" w:hAnsi="Times New Roman"/>
          <w:sz w:val="22"/>
          <w:szCs w:val="22"/>
          <w:color w:val="auto"/>
        </w:rPr>
      </w:pPr>
    </w:p>
    <w:p>
      <w:pPr>
        <w:jc w:val="both"/>
        <w:ind w:left="1140" w:hanging="644"/>
        <w:spacing w:after="0" w:line="225" w:lineRule="auto"/>
        <w:tabs>
          <w:tab w:leader="none" w:pos="11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Equals or Exceeds Maximum</w:t>
      </w:r>
      <w:r>
        <w:rPr>
          <w:rFonts w:ascii="Times New Roman" w:cs="Times New Roman" w:eastAsia="Times New Roman" w:hAnsi="Times New Roman"/>
          <w:sz w:val="22"/>
          <w:szCs w:val="22"/>
          <w:color w:val="auto"/>
        </w:rPr>
        <w:t>. If, upon the conclusion of the Performance Period, RTSR for the Performance Period equals or exceeds the “Maximum” level, as set forth in the Performance Matrix, 200% of the RTSR PSUs shall become nonforfeitable.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080"/>
          </w:cols>
          <w:pgMar w:left="480" w:top="1395" w:right="339" w:bottom="1440" w:gutter="0" w:footer="0" w:header="0"/>
        </w:sectPr>
      </w:pPr>
    </w:p>
    <w:bookmarkStart w:id="57" w:name="page58"/>
    <w:bookmarkEnd w:id="57"/>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840" w:type="dxa"/>
            <w:vAlign w:val="bottom"/>
            <w:tcBorders>
              <w:left w:val="single" w:sz="8" w:color="1F497D"/>
              <w:right w:val="single" w:sz="8" w:color="1F497D"/>
            </w:tcBorders>
            <w:shd w:val="clear" w:color="auto" w:fill="1F497D"/>
          </w:tcPr>
          <w:p>
            <w:pPr>
              <w:spacing w:after="0"/>
              <w:rPr>
                <w:sz w:val="19"/>
                <w:szCs w:val="19"/>
                <w:color w:val="auto"/>
              </w:rPr>
            </w:pPr>
          </w:p>
        </w:tc>
        <w:tc>
          <w:tcPr>
            <w:tcW w:w="900" w:type="dxa"/>
            <w:vAlign w:val="bottom"/>
            <w:shd w:val="clear" w:color="auto" w:fill="1F497D"/>
          </w:tcPr>
          <w:p>
            <w:pPr>
              <w:spacing w:after="0"/>
              <w:rPr>
                <w:sz w:val="19"/>
                <w:szCs w:val="19"/>
                <w:color w:val="auto"/>
              </w:rPr>
            </w:pPr>
          </w:p>
        </w:tc>
        <w:tc>
          <w:tcPr>
            <w:tcW w:w="3800" w:type="dxa"/>
            <w:vAlign w:val="bottom"/>
            <w:tcBorders>
              <w:right w:val="single" w:sz="8" w:color="1F497D"/>
            </w:tcBorders>
            <w:gridSpan w:val="4"/>
            <w:shd w:val="clear" w:color="auto" w:fill="1F497D"/>
          </w:tcPr>
          <w:p>
            <w:pPr>
              <w:spacing w:after="0"/>
              <w:rPr>
                <w:sz w:val="20"/>
                <w:szCs w:val="20"/>
                <w:color w:val="auto"/>
              </w:rPr>
            </w:pPr>
            <w:r>
              <w:rPr>
                <w:rFonts w:ascii="Times New Roman" w:cs="Times New Roman" w:eastAsia="Times New Roman" w:hAnsi="Times New Roman"/>
                <w:sz w:val="18"/>
                <w:szCs w:val="18"/>
                <w:b w:val="1"/>
                <w:bCs w:val="1"/>
                <w:color w:val="FFFFFF"/>
              </w:rPr>
              <w:t>S&amp;P SmallCap 600 Industrials (January 1, 2022)</w:t>
            </w:r>
          </w:p>
        </w:tc>
        <w:tc>
          <w:tcPr>
            <w:tcW w:w="2660" w:type="dxa"/>
            <w:vAlign w:val="bottom"/>
            <w:tcBorders>
              <w:right w:val="single" w:sz="8" w:color="1F497D"/>
            </w:tcBorders>
            <w:shd w:val="clear" w:color="auto" w:fill="1F497D"/>
          </w:tcPr>
          <w:p>
            <w:pPr>
              <w:spacing w:after="0"/>
              <w:rPr>
                <w:sz w:val="19"/>
                <w:szCs w:val="19"/>
                <w:color w:val="auto"/>
              </w:rPr>
            </w:pPr>
          </w:p>
        </w:tc>
        <w:tc>
          <w:tcPr>
            <w:tcW w:w="1060" w:type="dxa"/>
            <w:vAlign w:val="bottom"/>
            <w:tcBorders>
              <w:right w:val="single" w:sz="8" w:color="1F497D"/>
            </w:tcBorders>
            <w:shd w:val="clear" w:color="auto" w:fill="1F497D"/>
          </w:tcPr>
          <w:p>
            <w:pPr>
              <w:spacing w:after="0"/>
              <w:rPr>
                <w:sz w:val="19"/>
                <w:szCs w:val="19"/>
                <w:color w:val="auto"/>
              </w:rPr>
            </w:pPr>
          </w:p>
        </w:tc>
      </w:tr>
      <w:tr>
        <w:trPr>
          <w:trHeight w:val="238"/>
        </w:trPr>
        <w:tc>
          <w:tcPr>
            <w:tcW w:w="2840" w:type="dxa"/>
            <w:vAlign w:val="bottom"/>
            <w:tcBorders>
              <w:left w:val="single" w:sz="8" w:color="1F497D"/>
              <w:bottom w:val="single" w:sz="8" w:color="auto"/>
              <w:right w:val="single" w:sz="8" w:color="1F497D"/>
            </w:tcBorders>
            <w:shd w:val="clear" w:color="auto" w:fill="1F497D"/>
          </w:tcPr>
          <w:p>
            <w:pPr>
              <w:ind w:left="8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900" w:type="dxa"/>
            <w:vAlign w:val="bottom"/>
            <w:tcBorders>
              <w:bottom w:val="single" w:sz="8" w:color="auto"/>
            </w:tcBorders>
            <w:shd w:val="clear" w:color="auto" w:fill="1F497D"/>
          </w:tcPr>
          <w:p>
            <w:pPr>
              <w:ind w:left="380"/>
              <w:spacing w:after="0"/>
              <w:rPr>
                <w:sz w:val="20"/>
                <w:szCs w:val="20"/>
                <w:color w:val="auto"/>
              </w:rPr>
            </w:pPr>
            <w:r>
              <w:rPr>
                <w:rFonts w:ascii="Times New Roman" w:cs="Times New Roman" w:eastAsia="Times New Roman" w:hAnsi="Times New Roman"/>
                <w:sz w:val="18"/>
                <w:szCs w:val="18"/>
                <w:b w:val="1"/>
                <w:bCs w:val="1"/>
                <w:color w:val="FFFFFF"/>
                <w:w w:val="97"/>
              </w:rPr>
              <w:t>Ticker</w:t>
            </w:r>
          </w:p>
        </w:tc>
        <w:tc>
          <w:tcPr>
            <w:tcW w:w="60" w:type="dxa"/>
            <w:vAlign w:val="bottom"/>
            <w:tcBorders>
              <w:bottom w:val="single" w:sz="8" w:color="auto"/>
              <w:right w:val="single" w:sz="8" w:color="1F497D"/>
            </w:tcBorders>
            <w:shd w:val="clear" w:color="auto" w:fill="1F497D"/>
          </w:tcPr>
          <w:p>
            <w:pPr>
              <w:spacing w:after="0"/>
              <w:rPr>
                <w:sz w:val="20"/>
                <w:szCs w:val="20"/>
                <w:color w:val="auto"/>
              </w:rPr>
            </w:pPr>
          </w:p>
        </w:tc>
        <w:tc>
          <w:tcPr>
            <w:tcW w:w="340" w:type="dxa"/>
            <w:vAlign w:val="bottom"/>
            <w:tcBorders>
              <w:bottom w:val="single" w:sz="8" w:color="auto"/>
            </w:tcBorders>
            <w:shd w:val="clear" w:color="auto" w:fill="1F497D"/>
          </w:tcPr>
          <w:p>
            <w:pPr>
              <w:spacing w:after="0"/>
              <w:rPr>
                <w:sz w:val="20"/>
                <w:szCs w:val="20"/>
                <w:color w:val="auto"/>
              </w:rPr>
            </w:pPr>
          </w:p>
        </w:tc>
        <w:tc>
          <w:tcPr>
            <w:tcW w:w="2440" w:type="dxa"/>
            <w:vAlign w:val="bottom"/>
            <w:tcBorders>
              <w:right w:val="single" w:sz="8" w:color="1F497D"/>
            </w:tcBorders>
            <w:shd w:val="clear" w:color="auto" w:fill="1F497D"/>
          </w:tcPr>
          <w:p>
            <w:pPr>
              <w:ind w:left="8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960" w:type="dxa"/>
            <w:vAlign w:val="bottom"/>
            <w:tcBorders>
              <w:right w:val="single" w:sz="8" w:color="1F497D"/>
            </w:tcBorders>
            <w:shd w:val="clear" w:color="auto" w:fill="1F497D"/>
          </w:tcPr>
          <w:p>
            <w:pPr>
              <w:ind w:left="200"/>
              <w:spacing w:after="0"/>
              <w:rPr>
                <w:sz w:val="20"/>
                <w:szCs w:val="20"/>
                <w:color w:val="auto"/>
              </w:rPr>
            </w:pPr>
            <w:r>
              <w:rPr>
                <w:rFonts w:ascii="Times New Roman" w:cs="Times New Roman" w:eastAsia="Times New Roman" w:hAnsi="Times New Roman"/>
                <w:sz w:val="18"/>
                <w:szCs w:val="18"/>
                <w:b w:val="1"/>
                <w:bCs w:val="1"/>
                <w:color w:val="FFFFFF"/>
              </w:rPr>
              <w:t>Ticker</w:t>
            </w:r>
          </w:p>
        </w:tc>
        <w:tc>
          <w:tcPr>
            <w:tcW w:w="2660" w:type="dxa"/>
            <w:vAlign w:val="bottom"/>
            <w:tcBorders>
              <w:bottom w:val="single" w:sz="8" w:color="auto"/>
              <w:right w:val="single" w:sz="8" w:color="1F497D"/>
            </w:tcBorders>
            <w:shd w:val="clear" w:color="auto" w:fill="1F497D"/>
          </w:tcPr>
          <w:p>
            <w:pPr>
              <w:ind w:left="60"/>
              <w:spacing w:after="0"/>
              <w:rPr>
                <w:sz w:val="20"/>
                <w:szCs w:val="20"/>
                <w:color w:val="auto"/>
              </w:rPr>
            </w:pPr>
            <w:r>
              <w:rPr>
                <w:rFonts w:ascii="Times New Roman" w:cs="Times New Roman" w:eastAsia="Times New Roman" w:hAnsi="Times New Roman"/>
                <w:sz w:val="18"/>
                <w:szCs w:val="18"/>
                <w:b w:val="1"/>
                <w:bCs w:val="1"/>
                <w:color w:val="FFFFFF"/>
              </w:rPr>
              <w:t>Company Name</w:t>
            </w:r>
          </w:p>
        </w:tc>
        <w:tc>
          <w:tcPr>
            <w:tcW w:w="1060" w:type="dxa"/>
            <w:vAlign w:val="bottom"/>
            <w:tcBorders>
              <w:bottom w:val="single" w:sz="8" w:color="auto"/>
              <w:right w:val="single" w:sz="8" w:color="1F497D"/>
            </w:tcBorders>
            <w:shd w:val="clear" w:color="auto" w:fill="1F497D"/>
          </w:tcPr>
          <w:p>
            <w:pPr>
              <w:ind w:left="260"/>
              <w:spacing w:after="0"/>
              <w:rPr>
                <w:sz w:val="20"/>
                <w:szCs w:val="20"/>
                <w:color w:val="auto"/>
              </w:rPr>
            </w:pPr>
            <w:r>
              <w:rPr>
                <w:rFonts w:ascii="Times New Roman" w:cs="Times New Roman" w:eastAsia="Times New Roman" w:hAnsi="Times New Roman"/>
                <w:sz w:val="18"/>
                <w:szCs w:val="18"/>
                <w:b w:val="1"/>
                <w:bCs w:val="1"/>
                <w:color w:val="FFFFFF"/>
              </w:rPr>
              <w:t>Ticker</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AAON,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AAON</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Forward Air Corporation</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FWRD</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NV5 Global,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NVEE</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AAR Corp.</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AIR</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Franklin Electric Co.,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FELE</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Aerospace Corp.</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PKE</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ABM Industries Incorporated</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ABM</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Gibraltar Industries,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ROCK</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PGT Innovations,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PGTI</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Aerojet Rocketdyne Holdings,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AJRD</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GMS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GMS</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Pitney Bowes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PBI</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AeroVironment,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AVAV</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Granite Construction Incorporated</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GVA</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Powell Industries,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POWL</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Alamo Group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ALG</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Griffon Corporation</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GFF</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Proto Labs,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PRLB</w:t>
            </w:r>
          </w:p>
        </w:tc>
      </w:tr>
      <w:tr>
        <w:trPr>
          <w:trHeight w:val="169"/>
        </w:trPr>
        <w:tc>
          <w:tcPr>
            <w:tcW w:w="2840" w:type="dxa"/>
            <w:vAlign w:val="bottom"/>
            <w:tcBorders>
              <w:left w:val="single" w:sz="8" w:color="auto"/>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Quanex Building Products</w:t>
            </w:r>
          </w:p>
        </w:tc>
        <w:tc>
          <w:tcPr>
            <w:tcW w:w="1060" w:type="dxa"/>
            <w:vAlign w:val="bottom"/>
            <w:tcBorders>
              <w:right w:val="single" w:sz="8" w:color="auto"/>
            </w:tcBorders>
          </w:tcPr>
          <w:p>
            <w:pPr>
              <w:spacing w:after="0"/>
              <w:rPr>
                <w:sz w:val="14"/>
                <w:szCs w:val="14"/>
                <w:color w:val="auto"/>
              </w:rPr>
            </w:pPr>
          </w:p>
        </w:tc>
      </w:tr>
      <w:tr>
        <w:trPr>
          <w:trHeight w:val="24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Albany International Corp.</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AIN</w:t>
            </w:r>
          </w:p>
        </w:tc>
        <w:tc>
          <w:tcPr>
            <w:tcW w:w="60" w:type="dxa"/>
            <w:vAlign w:val="bottom"/>
            <w:tcBorders>
              <w:bottom w:val="single" w:sz="8" w:color="auto"/>
              <w:right w:val="single" w:sz="8" w:color="auto"/>
            </w:tcBorders>
          </w:tcPr>
          <w:p>
            <w:pPr>
              <w:spacing w:after="0"/>
              <w:rPr>
                <w:sz w:val="21"/>
                <w:szCs w:val="21"/>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Harsco Corporation</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HSC</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NX</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Allegiant Travel Company</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ALGT</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Hawaiian Holdings,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HA</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Resideo Technologies,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REZI</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American Woodmark Corporation</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AMWD</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Healthcare Services Group,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HCSG</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Resources Connection,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RGP</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Apogee Enterprises,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APOG</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Heartland Express,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HTLD</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SkyWest,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SKYW</w:t>
            </w:r>
          </w:p>
        </w:tc>
      </w:tr>
      <w:tr>
        <w:trPr>
          <w:trHeight w:val="169"/>
        </w:trPr>
        <w:tc>
          <w:tcPr>
            <w:tcW w:w="2840" w:type="dxa"/>
            <w:vAlign w:val="bottom"/>
            <w:tcBorders>
              <w:left w:val="single" w:sz="8" w:color="auto"/>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2780" w:type="dxa"/>
            <w:vAlign w:val="bottom"/>
            <w:tcBorders>
              <w:right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Heidrick &amp; Struggles International,</w:t>
            </w:r>
          </w:p>
        </w:tc>
        <w:tc>
          <w:tcPr>
            <w:tcW w:w="96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r>
      <w:tr>
        <w:trPr>
          <w:trHeight w:val="24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Applied Industrial Technologies,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AIT</w:t>
            </w:r>
          </w:p>
        </w:tc>
        <w:tc>
          <w:tcPr>
            <w:tcW w:w="60" w:type="dxa"/>
            <w:vAlign w:val="bottom"/>
            <w:tcBorders>
              <w:bottom w:val="single" w:sz="8" w:color="auto"/>
              <w:right w:val="single" w:sz="8" w:color="auto"/>
            </w:tcBorders>
          </w:tcPr>
          <w:p>
            <w:pPr>
              <w:spacing w:after="0"/>
              <w:rPr>
                <w:sz w:val="21"/>
                <w:szCs w:val="21"/>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HSII</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SPX Corporation</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SPXC</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ArcBest Corporation</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ARCB</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Hillenbrand,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SPX FLOW,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FLOW</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Arcosa,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ACA</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HNI Corporation</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HNI</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Standex International Corporation</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SXI</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Astec Industries,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ASTE</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Hub Group,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HUBG</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Tennant Company</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TNC</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Atlas Air Worldwide Holdings,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AAWW</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Insteel Industries,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IIIN</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GEO Group,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GEO</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AZZ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AZZ</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Interface,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TILE</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Greenbrier Companies,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GBX</w:t>
            </w:r>
          </w:p>
        </w:tc>
      </w:tr>
      <w:tr>
        <w:trPr>
          <w:trHeight w:val="169"/>
        </w:trPr>
        <w:tc>
          <w:tcPr>
            <w:tcW w:w="2840" w:type="dxa"/>
            <w:vAlign w:val="bottom"/>
            <w:tcBorders>
              <w:left w:val="single" w:sz="8" w:color="auto"/>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2780" w:type="dxa"/>
            <w:vAlign w:val="bottom"/>
            <w:tcBorders>
              <w:right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John Bean Technologies</w:t>
            </w:r>
          </w:p>
        </w:tc>
        <w:tc>
          <w:tcPr>
            <w:tcW w:w="96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r>
      <w:tr>
        <w:trPr>
          <w:trHeight w:val="24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Barnes Group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60" w:type="dxa"/>
            <w:vAlign w:val="bottom"/>
            <w:tcBorders>
              <w:bottom w:val="single" w:sz="8" w:color="auto"/>
              <w:right w:val="single" w:sz="8" w:color="auto"/>
            </w:tcBorders>
          </w:tcPr>
          <w:p>
            <w:pPr>
              <w:spacing w:after="0"/>
              <w:rPr>
                <w:sz w:val="21"/>
                <w:szCs w:val="21"/>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JBT</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Titan International,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TWI</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Boise Cascade Company</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BCC</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Kaman Corporation</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KAMN</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Triumph Group,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TGI</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Brady Corporation</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BRC</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KAR Auction Services,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KAR</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TrueBlue,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TBI</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Chart Industries,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GTLS</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Kelly Services,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KELY.A</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UFP Industries,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UFPI</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CIRCOR International,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CIR</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Korn Ferry</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KFY</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UniFirst Corporation</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UNF</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Comfort Systems USA,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FIX</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Lindsay Corporation</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LNN</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 Ecology,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ECOL</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CoreCivic,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CXW</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ManTech International Corporation</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MANT</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Veritiv Corporation</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VRTV</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Deluxe Corporation</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DLX</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Marten Transport, Ltd.</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MRTN</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Viad Corp</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VVI</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DXP Enterprises,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DXPE</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Matson,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MATX</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Wabash National Corporation</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WNC</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Encore Wire Corporation</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WIRE</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Matthews International Corporation</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MATW</w:t>
            </w:r>
          </w:p>
        </w:tc>
        <w:tc>
          <w:tcPr>
            <w:tcW w:w="2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Watts Water Technologies, Inc.</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WTS</w:t>
            </w: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Enerpac Tool Group Corp.</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EPAC</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Meritor,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MTOR</w:t>
            </w:r>
          </w:p>
        </w:tc>
        <w:tc>
          <w:tcPr>
            <w:tcW w:w="26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EnPro Industries,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NPO</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Moog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MOG.A</w:t>
            </w:r>
          </w:p>
        </w:tc>
        <w:tc>
          <w:tcPr>
            <w:tcW w:w="26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ESCO Technologies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ESE</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Mueller Industries,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MLI</w:t>
            </w:r>
          </w:p>
        </w:tc>
        <w:tc>
          <w:tcPr>
            <w:tcW w:w="26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Exponent,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EXPO</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MYR Group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MYRG</w:t>
            </w:r>
          </w:p>
        </w:tc>
        <w:tc>
          <w:tcPr>
            <w:tcW w:w="26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Federal Signal Corporation</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FSS</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National Presto Industries,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NPK</w:t>
            </w:r>
          </w:p>
        </w:tc>
        <w:tc>
          <w:tcPr>
            <w:tcW w:w="26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Forrester Research, Inc.</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FORR</w:t>
            </w:r>
          </w:p>
        </w:tc>
        <w:tc>
          <w:tcPr>
            <w:tcW w:w="6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NOW Inc.</w:t>
            </w:r>
          </w:p>
        </w:tc>
        <w:tc>
          <w:tcPr>
            <w:tcW w:w="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DNOW</w:t>
            </w:r>
          </w:p>
        </w:tc>
        <w:tc>
          <w:tcPr>
            <w:tcW w:w="266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-5476875</wp:posOffset>
            </wp:positionV>
            <wp:extent cx="23837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383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1260"/>
          </w:cols>
          <w:pgMar w:left="320" w:top="1391" w:right="319" w:bottom="1440" w:gutter="0" w:footer="0" w:header="0"/>
        </w:sectPr>
      </w:pPr>
    </w:p>
    <w:bookmarkStart w:id="58" w:name="page59"/>
    <w:bookmarkEnd w:id="58"/>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GLOSSARY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0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7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79" w:lineRule="exact"/>
        <w:rPr>
          <w:sz w:val="20"/>
          <w:szCs w:val="20"/>
          <w:color w:val="auto"/>
        </w:rPr>
      </w:pPr>
    </w:p>
    <w:p>
      <w:pPr>
        <w:ind w:left="1300" w:hanging="644"/>
        <w:spacing w:after="0" w:line="236" w:lineRule="auto"/>
        <w:tabs>
          <w:tab w:leader="none" w:pos="115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contracted, suffered, or incurred while Grantee was engaged in, or resulted from Grantee having engaged in, a felonious activity;</w:t>
      </w:r>
    </w:p>
    <w:p>
      <w:pPr>
        <w:spacing w:after="0" w:line="177" w:lineRule="exact"/>
        <w:rPr>
          <w:rFonts w:ascii="Times New Roman" w:cs="Times New Roman" w:eastAsia="Times New Roman" w:hAnsi="Times New Roman"/>
          <w:sz w:val="22"/>
          <w:szCs w:val="22"/>
          <w:color w:val="auto"/>
        </w:rPr>
      </w:pPr>
    </w:p>
    <w:p>
      <w:pPr>
        <w:ind w:left="1300" w:right="20" w:hanging="644"/>
        <w:spacing w:after="0" w:line="236" w:lineRule="auto"/>
        <w:tabs>
          <w:tab w:leader="none" w:pos="121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77" w:lineRule="exact"/>
        <w:rPr>
          <w:rFonts w:ascii="Times New Roman" w:cs="Times New Roman" w:eastAsia="Times New Roman" w:hAnsi="Times New Roman"/>
          <w:sz w:val="22"/>
          <w:szCs w:val="22"/>
          <w:color w:val="auto"/>
        </w:rPr>
      </w:pPr>
    </w:p>
    <w:p>
      <w:pPr>
        <w:ind w:left="1300" w:hanging="644"/>
        <w:spacing w:after="0" w:line="225" w:lineRule="auto"/>
        <w:tabs>
          <w:tab w:leader="none" w:pos="110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179" w:lineRule="exact"/>
        <w:rPr>
          <w:sz w:val="20"/>
          <w:szCs w:val="20"/>
          <w:color w:val="auto"/>
        </w:rPr>
      </w:pPr>
    </w:p>
    <w:p>
      <w:pPr>
        <w:jc w:val="both"/>
        <w:ind w:left="660"/>
        <w:spacing w:after="0" w:line="210" w:lineRule="auto"/>
        <w:rPr>
          <w:sz w:val="20"/>
          <w:szCs w:val="20"/>
          <w:color w:val="auto"/>
        </w:rPr>
      </w:pPr>
      <w:r>
        <w:rPr>
          <w:rFonts w:ascii="Times New Roman" w:cs="Times New Roman" w:eastAsia="Times New Roman" w:hAnsi="Times New Roman"/>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1240"/>
          </w:cols>
          <w:pgMar w:left="320" w:top="1440" w:right="339" w:bottom="1440" w:gutter="0" w:footer="0" w:header="0"/>
        </w:sectPr>
      </w:pPr>
    </w:p>
    <w:bookmarkStart w:id="59" w:name="page60"/>
    <w:bookmarkEnd w:id="59"/>
    <w:p>
      <w:pPr>
        <w:ind w:left="660"/>
        <w:spacing w:after="0" w:line="236" w:lineRule="auto"/>
        <w:rPr>
          <w:sz w:val="20"/>
          <w:szCs w:val="20"/>
          <w:color w:val="auto"/>
        </w:rPr>
      </w:pPr>
      <w:r>
        <w:rPr>
          <w:rFonts w:ascii="Times New Roman" w:cs="Times New Roman" w:eastAsia="Times New Roman" w:hAnsi="Times New Roman"/>
          <w:sz w:val="22"/>
          <w:szCs w:val="22"/>
          <w:color w:val="auto"/>
        </w:rPr>
        <w:t>examination properly requested by the Committee or the Company, then in any such event Grantee shall be deemed to have recovered from such Disability.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left="1160" w:hanging="504"/>
        <w:spacing w:after="0"/>
        <w:tabs>
          <w:tab w:leader="none" w:pos="11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w:t>
      </w:r>
    </w:p>
    <w:p>
      <w:pPr>
        <w:spacing w:after="0" w:line="179" w:lineRule="exact"/>
        <w:rPr>
          <w:rFonts w:ascii="Times New Roman" w:cs="Times New Roman" w:eastAsia="Times New Roman" w:hAnsi="Times New Roman"/>
          <w:sz w:val="22"/>
          <w:szCs w:val="22"/>
          <w:color w:val="auto"/>
        </w:rPr>
      </w:pPr>
    </w:p>
    <w:p>
      <w:pPr>
        <w:ind w:left="1300" w:hanging="644"/>
        <w:spacing w:after="0" w:line="236" w:lineRule="auto"/>
        <w:tabs>
          <w:tab w:leader="none" w:pos="125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50"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permanent reassignment of Grantee to another primary office more than 50 miles from the current office location.</w:t>
      </w:r>
    </w:p>
    <w:p>
      <w:pPr>
        <w:spacing w:after="0" w:line="19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II.B.3 of the Agreement at the time of such termination.</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or a Subsidiary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reason other than:</w:t>
      </w:r>
    </w:p>
    <w:p>
      <w:pPr>
        <w:spacing w:after="0" w:line="177" w:lineRule="exact"/>
        <w:rPr>
          <w:sz w:val="20"/>
          <w:szCs w:val="20"/>
          <w:color w:val="auto"/>
        </w:rPr>
      </w:pPr>
    </w:p>
    <w:p>
      <w:pPr>
        <w:ind w:left="1080" w:hanging="424"/>
        <w:spacing w:after="0"/>
        <w:tabs>
          <w:tab w:leader="none" w:pos="108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17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17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w:t>
      </w:r>
    </w:p>
    <w:p>
      <w:pPr>
        <w:spacing w:after="0" w:line="179" w:lineRule="exact"/>
        <w:rPr>
          <w:rFonts w:ascii="Times New Roman" w:cs="Times New Roman" w:eastAsia="Times New Roman" w:hAnsi="Times New Roman"/>
          <w:sz w:val="22"/>
          <w:szCs w:val="22"/>
          <w:color w:val="auto"/>
        </w:rPr>
      </w:pPr>
    </w:p>
    <w:p>
      <w:pPr>
        <w:ind w:left="760" w:hanging="536"/>
        <w:spacing w:after="0"/>
        <w:tabs>
          <w:tab w:leader="none" w:pos="7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 or</w:t>
      </w:r>
    </w:p>
    <w:p>
      <w:pPr>
        <w:spacing w:after="0" w:line="206"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0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termination of Grantee’s status as a Service Provider after attaining age 60 and five years of service with the Company and its Subsidiaries, provided that Grantee provides written notice of the date of such Retirement to the Chief Executive Officer of the Company at least 90 days prior to the date of such Retirement.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vii</w:t>
      </w:r>
    </w:p>
    <w:p>
      <w:pPr>
        <w:sectPr>
          <w:pgSz w:w="11900" w:h="16838" w:orient="portrait"/>
          <w:cols w:equalWidth="0" w:num="1">
            <w:col w:w="11240"/>
          </w:cols>
          <w:pgMar w:left="320" w:top="1395" w:right="339" w:bottom="1440" w:gutter="0" w:footer="0" w:header="0"/>
        </w:sectPr>
      </w:pPr>
    </w:p>
    <w:bookmarkStart w:id="60" w:name="page61"/>
    <w:bookmarkEnd w:id="60"/>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AGREEMENT</w:t>
      </w:r>
    </w:p>
    <w:p>
      <w:pPr>
        <w:spacing w:after="0" w:line="17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NON-U.S. ADDENDUM</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2017 Equity and Incentive</w:t>
      </w: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Plan,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performance-based Restricted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granted to you under the TriMas Corporation 2017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reside in the United Kingdom.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UNITED KINGDOM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UK Sub-Plan</w:t>
      </w:r>
      <w:r>
        <w:rPr>
          <w:rFonts w:ascii="Times New Roman" w:cs="Times New Roman" w:eastAsia="Times New Roman" w:hAnsi="Times New Roman"/>
          <w:sz w:val="22"/>
          <w:szCs w:val="22"/>
          <w:color w:val="auto"/>
        </w:rPr>
        <w:t>. Your grant of PSUs is being made pursuant to the UK Sub-Plan, which contains additional terms and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govern your PSUs and participation in the Plan. Please review that document carefully.</w:t>
      </w:r>
    </w:p>
    <w:p>
      <w:pPr>
        <w:spacing w:after="0" w:line="17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For purposes of the Agreement, the definition of “Disability” in Appendix B hereto shall be qualified by the inclusion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following phrase after the word “means”: “, subject to and in compliance with the requirements of laws of the United Kingdom,”</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Retirement. </w:t>
      </w:r>
      <w:r>
        <w:rPr>
          <w:rFonts w:ascii="Times New Roman" w:cs="Times New Roman" w:eastAsia="Times New Roman" w:hAnsi="Times New Roman"/>
          <w:sz w:val="22"/>
          <w:szCs w:val="22"/>
          <w:color w:val="auto"/>
        </w:rPr>
        <w:t>For purposes of the Agreement, the definition of “Retirement” in Appendix B hereto shall not apply. Further,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II.A.6(e) of the Agreement is hereby amended in its entirety to read as follows:</w:t>
      </w:r>
    </w:p>
    <w:p>
      <w:pPr>
        <w:spacing w:after="0" w:line="173"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If Grantee ceases to be a Service Provider prior to prior to the Settlement Date due to Grantee’s retirement,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Equivalent Rights</w:t>
      </w:r>
      <w:r>
        <w:rPr>
          <w:rFonts w:ascii="Times New Roman" w:cs="Times New Roman" w:eastAsia="Times New Roman" w:hAnsi="Times New Roman"/>
          <w:sz w:val="22"/>
          <w:szCs w:val="22"/>
          <w:color w:val="auto"/>
        </w:rPr>
        <w:t>. Section II.A.3 of the Agreement is hereby amended in its entirety to read as follows:</w:t>
      </w:r>
    </w:p>
    <w:p>
      <w:pPr>
        <w:spacing w:after="0" w:line="210"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22"/>
          <w:szCs w:val="22"/>
          <w:color w:val="auto"/>
        </w:rPr>
        <w:t>“Grantee shall be notionally credited with cash per PSU equal to the amount of each cash dividend paid by the Company (if any) to holders of Common Stock generally with a record date occurring on or after the Date of Grant and prior to the time when the PSUs are earned and/or vest and are settled in accordance with Section II.A.7 hereof. Any amounts notionally credited pursuant to the immediately preceding sentence shall be subject to the same applicable terms and conditions (including earning, vesting, payment, and forfeitability) as apply to the PSUs based on which the dividend equivalents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viii</w:t>
      </w:r>
    </w:p>
    <w:p>
      <w:pPr>
        <w:sectPr>
          <w:pgSz w:w="11900" w:h="16838" w:orient="portrait"/>
          <w:cols w:equalWidth="0" w:num="1">
            <w:col w:w="11240"/>
          </w:cols>
          <w:pgMar w:left="320" w:top="1440" w:right="339" w:bottom="1440" w:gutter="0" w:footer="0" w:header="0"/>
        </w:sectPr>
      </w:pPr>
    </w:p>
    <w:bookmarkStart w:id="61" w:name="page62"/>
    <w:bookmarkEnd w:id="61"/>
    <w:p>
      <w:pPr>
        <w:jc w:val="both"/>
        <w:ind w:left="660"/>
        <w:spacing w:after="0" w:line="213" w:lineRule="auto"/>
        <w:rPr>
          <w:sz w:val="20"/>
          <w:szCs w:val="20"/>
          <w:color w:val="auto"/>
        </w:rPr>
      </w:pPr>
      <w:r>
        <w:rPr>
          <w:rFonts w:ascii="Times New Roman" w:cs="Times New Roman" w:eastAsia="Times New Roman" w:hAnsi="Times New Roman"/>
          <w:sz w:val="22"/>
          <w:szCs w:val="22"/>
          <w:color w:val="auto"/>
        </w:rPr>
        <w:t>notionally credited, and such amounts shall be paid in Common Stock at the same time as the PSUs to which they relate. The number of shares so paid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PSUs (or the Common Stock representing the same, as the case may be) either legally or beneficially unless and until Grantee becomes entitled to receive the actual Common Stock in respect of this Award pursuant to Section II.A.7 of this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Section II.B.2 of the Agreement is hereby amended in its entirety to read as follows:</w:t>
      </w: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“Grantee hereby indemnifies the Company, Grantee’s employer or any other person in respect of:</w:t>
      </w:r>
    </w:p>
    <w:p>
      <w:pPr>
        <w:spacing w:after="0" w:line="206" w:lineRule="exact"/>
        <w:rPr>
          <w:sz w:val="20"/>
          <w:szCs w:val="20"/>
          <w:color w:val="auto"/>
        </w:rPr>
      </w:pPr>
    </w:p>
    <w:p>
      <w:pPr>
        <w:ind w:left="1960" w:right="640" w:hanging="656"/>
        <w:spacing w:after="0" w:line="220" w:lineRule="auto"/>
        <w:tabs>
          <w:tab w:leader="none" w:pos="175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of income tax for which the Company, Grantee’s employer or any other person is obliged to account under the Pay-As-You-Earn system and any amounts of employee’s national insurance contributions arising from the earning and/or vesting of this Award (or which would not otherwise have arisen but for the grant of this Award to Grantee); and</w:t>
      </w:r>
    </w:p>
    <w:p>
      <w:pPr>
        <w:spacing w:after="0" w:line="179" w:lineRule="exact"/>
        <w:rPr>
          <w:rFonts w:ascii="Times New Roman" w:cs="Times New Roman" w:eastAsia="Times New Roman" w:hAnsi="Times New Roman"/>
          <w:sz w:val="22"/>
          <w:szCs w:val="22"/>
          <w:color w:val="auto"/>
        </w:rPr>
      </w:pPr>
    </w:p>
    <w:p>
      <w:pPr>
        <w:jc w:val="right"/>
        <w:ind w:left="1960" w:right="640" w:hanging="656"/>
        <w:spacing w:after="0" w:line="220" w:lineRule="auto"/>
        <w:tabs>
          <w:tab w:leader="none" w:pos="1797"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this Award or the conversion of such shares of</w:t>
      </w:r>
    </w:p>
    <w:p>
      <w:pPr>
        <w:spacing w:after="0" w:line="3" w:lineRule="exact"/>
        <w:rPr>
          <w:sz w:val="20"/>
          <w:szCs w:val="20"/>
          <w:color w:val="auto"/>
        </w:rPr>
      </w:pPr>
    </w:p>
    <w:p>
      <w:pPr>
        <w:ind w:left="1960" w:right="660"/>
        <w:spacing w:after="0" w:line="204" w:lineRule="auto"/>
        <w:rPr>
          <w:sz w:val="20"/>
          <w:szCs w:val="20"/>
          <w:color w:val="auto"/>
        </w:rPr>
      </w:pPr>
      <w:r>
        <w:rPr>
          <w:rFonts w:ascii="Times New Roman" w:cs="Times New Roman" w:eastAsia="Times New Roman" w:hAnsi="Times New Roman"/>
          <w:sz w:val="22"/>
          <w:szCs w:val="22"/>
          <w:color w:val="auto"/>
        </w:rPr>
        <w:t>Common Stock into securities of another description whilst such shares of Common Stock are held by Grantee,</w:t>
      </w:r>
    </w:p>
    <w:p>
      <w:pPr>
        <w:spacing w:after="0" w:line="2" w:lineRule="exact"/>
        <w:rPr>
          <w:sz w:val="20"/>
          <w:szCs w:val="20"/>
          <w:color w:val="auto"/>
        </w:rPr>
      </w:pPr>
    </w:p>
    <w:p>
      <w:pPr>
        <w:jc w:val="both"/>
        <w:ind w:left="660" w:right="640" w:hanging="381"/>
        <w:spacing w:after="0" w:line="208" w:lineRule="auto"/>
        <w:rPr>
          <w:sz w:val="20"/>
          <w:szCs w:val="20"/>
          <w:color w:val="auto"/>
        </w:rPr>
      </w:pPr>
      <w:r>
        <w:rPr>
          <w:rFonts w:ascii="Times New Roman" w:cs="Times New Roman" w:eastAsia="Times New Roman" w:hAnsi="Times New Roman"/>
          <w:sz w:val="22"/>
          <w:szCs w:val="22"/>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 fails to pay any amount so notified to him or her by the Company within seven days after such notification, Grantee hereby agrees that the Company may withhold, or procure the withholding, from any salary, wages, payment or payments due to Grantee from the Company or Grantee’s employer an amount which is equal to the amount notified to Grantee, sell or procure the sale of sufficient of the shares of Common Stock acquired by Grantee pursuant to this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w:t>
      </w:r>
    </w:p>
    <w:p>
      <w:pPr>
        <w:spacing w:after="0" w:line="187" w:lineRule="exact"/>
        <w:rPr>
          <w:sz w:val="20"/>
          <w:szCs w:val="20"/>
          <w:color w:val="auto"/>
        </w:rPr>
      </w:pPr>
    </w:p>
    <w:p>
      <w:pPr>
        <w:jc w:val="both"/>
        <w:ind w:left="660" w:right="640" w:hanging="406"/>
        <w:spacing w:after="0" w:line="217" w:lineRule="auto"/>
        <w:rPr>
          <w:sz w:val="20"/>
          <w:szCs w:val="20"/>
          <w:color w:val="auto"/>
        </w:rPr>
      </w:pPr>
      <w:r>
        <w:rPr>
          <w:rFonts w:ascii="Times New Roman" w:cs="Times New Roman" w:eastAsia="Times New Roman" w:hAnsi="Times New Roman"/>
          <w:sz w:val="22"/>
          <w:szCs w:val="22"/>
          <w:color w:val="auto"/>
        </w:rPr>
        <w:t>In the alternative to satisfying the indemnity in (i) above, Grantee hereby agrees that the Company may withhold from the total number of shares of Common Stock that become issuable to Grantee on vesting of this Award a number of shares of Common Stock with an aggregate Market Value per Share on the date of withholding equal to the amount due under (i) above as determined by the Company, in which case Grantee will be taken to have forfeited the right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ix</w:t>
      </w:r>
    </w:p>
    <w:p>
      <w:pPr>
        <w:sectPr>
          <w:pgSz w:w="11900" w:h="16838" w:orient="portrait"/>
          <w:cols w:equalWidth="0" w:num="1">
            <w:col w:w="11240"/>
          </w:cols>
          <w:pgMar w:left="320" w:top="1395" w:right="339" w:bottom="1440" w:gutter="0" w:footer="0" w:header="0"/>
        </w:sectPr>
      </w:pPr>
    </w:p>
    <w:bookmarkStart w:id="62" w:name="page63"/>
    <w:bookmarkEnd w:id="62"/>
    <w:p>
      <w:pPr>
        <w:ind w:left="660"/>
        <w:spacing w:after="0" w:line="236" w:lineRule="auto"/>
        <w:rPr>
          <w:sz w:val="20"/>
          <w:szCs w:val="20"/>
          <w:color w:val="auto"/>
        </w:rPr>
      </w:pPr>
      <w:r>
        <w:rPr>
          <w:rFonts w:ascii="Times New Roman" w:cs="Times New Roman" w:eastAsia="Times New Roman" w:hAnsi="Times New Roman"/>
          <w:sz w:val="22"/>
          <w:szCs w:val="22"/>
          <w:color w:val="auto"/>
        </w:rPr>
        <w:t>issued the number of shares of Common Stock so withheld in order to make good the amounts due under (i) above.</w:t>
      </w:r>
    </w:p>
    <w:p>
      <w:pPr>
        <w:spacing w:after="0" w:line="177" w:lineRule="exact"/>
        <w:rPr>
          <w:sz w:val="20"/>
          <w:szCs w:val="20"/>
          <w:color w:val="auto"/>
        </w:rPr>
      </w:pPr>
    </w:p>
    <w:p>
      <w:pPr>
        <w:jc w:val="both"/>
        <w:ind w:left="660" w:right="20" w:hanging="428"/>
        <w:spacing w:after="0" w:line="225" w:lineRule="auto"/>
        <w:rPr>
          <w:sz w:val="20"/>
          <w:szCs w:val="20"/>
          <w:color w:val="auto"/>
        </w:rPr>
      </w:pPr>
      <w:r>
        <w:rPr>
          <w:rFonts w:ascii="Times New Roman" w:cs="Times New Roman" w:eastAsia="Times New Roman" w:hAnsi="Times New Roman"/>
          <w:sz w:val="22"/>
          <w:szCs w:val="22"/>
          <w:color w:val="auto"/>
        </w:rPr>
        <w:t>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179" w:lineRule="exact"/>
        <w:rPr>
          <w:sz w:val="20"/>
          <w:szCs w:val="20"/>
          <w:color w:val="auto"/>
        </w:rPr>
      </w:pPr>
    </w:p>
    <w:p>
      <w:pPr>
        <w:jc w:val="both"/>
        <w:ind w:left="660" w:right="20" w:hanging="401"/>
        <w:spacing w:after="0" w:line="217" w:lineRule="auto"/>
        <w:rPr>
          <w:sz w:val="20"/>
          <w:szCs w:val="20"/>
          <w:color w:val="auto"/>
        </w:rPr>
      </w:pPr>
      <w:r>
        <w:rPr>
          <w:rFonts w:ascii="Times New Roman" w:cs="Times New Roman" w:eastAsia="Times New Roman" w:hAnsi="Times New Roman"/>
          <w:sz w:val="22"/>
          <w:szCs w:val="22"/>
          <w:color w:val="auto"/>
        </w:rPr>
        <w:t>It is a further condition of delivery of any shares of Common Stock pursuant to the vesting of this Award that Grantee will, if required to do so by the Company, enter into a joint election under section 431(1) of the United Kingdom Income Tax (Earnings and Pensions) Act 2003 (“</w:t>
      </w:r>
      <w:r>
        <w:rPr>
          <w:rFonts w:ascii="Times New Roman" w:cs="Times New Roman" w:eastAsia="Times New Roman" w:hAnsi="Times New Roman"/>
          <w:sz w:val="22"/>
          <w:szCs w:val="22"/>
          <w:u w:val="single" w:color="auto"/>
          <w:color w:val="auto"/>
        </w:rPr>
        <w:t>ITEPA</w:t>
      </w:r>
      <w:r>
        <w:rPr>
          <w:rFonts w:ascii="Times New Roman" w:cs="Times New Roman" w:eastAsia="Times New Roman" w:hAnsi="Times New Roman"/>
          <w:sz w:val="22"/>
          <w:szCs w:val="22"/>
          <w:color w:val="auto"/>
        </w:rPr>
        <w:t>”), the effect of which is that the Common Stock will be treated as if they were not restricted securities and that sections 425 to 430 of ITEPA will not apply to those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Whistleblower Protection. </w:t>
      </w:r>
      <w:r>
        <w:rPr>
          <w:rFonts w:ascii="Times New Roman" w:cs="Times New Roman" w:eastAsia="Times New Roman" w:hAnsi="Times New Roman"/>
          <w:sz w:val="22"/>
          <w:szCs w:val="22"/>
          <w:color w:val="auto"/>
        </w:rPr>
        <w:t>The last sentence of Section II.B.3(b) is hereby amended in its entirety to read as follows:</w:t>
      </w:r>
    </w:p>
    <w:p>
      <w:pPr>
        <w:spacing w:after="0" w:line="210" w:lineRule="exact"/>
        <w:rPr>
          <w:sz w:val="20"/>
          <w:szCs w:val="20"/>
          <w:color w:val="auto"/>
        </w:rPr>
      </w:pPr>
    </w:p>
    <w:p>
      <w:pPr>
        <w:jc w:val="both"/>
        <w:ind w:left="660"/>
        <w:spacing w:after="0" w:line="212"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nothing in this Agreement prevents Grantee, in accordance with applicable law, from (i) making a protected disclosure under section 43A of the Employment Rights Act 1996; (ii) making a disclosure to a regulator regarding any misconduct, wrongdoing or serious breach of regulatory requirements, or reporting a criminal offence to any law enforcement agency; (iii) co-operating with any law enforcement agency regarding a criminal investigation or prosecution; or (iv)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Section II.B.3(c) is hereby amended in its entirety to read as follows:</w:t>
      </w:r>
    </w:p>
    <w:p>
      <w:pPr>
        <w:spacing w:after="0" w:line="206" w:lineRule="exact"/>
        <w:rPr>
          <w:sz w:val="20"/>
          <w:szCs w:val="20"/>
          <w:color w:val="auto"/>
        </w:rPr>
      </w:pPr>
    </w:p>
    <w:p>
      <w:pPr>
        <w:jc w:val="both"/>
        <w:ind w:left="660" w:hanging="330"/>
        <w:spacing w:after="0" w:line="216" w:lineRule="auto"/>
        <w:tabs>
          <w:tab w:leader="none" w:pos="6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b w:val="1"/>
          <w:bCs w:val="1"/>
          <w:color w:val="auto"/>
        </w:rPr>
        <w:t xml:space="preserve">Covenants Against Competition and Solicitation. </w:t>
      </w:r>
      <w:r>
        <w:rPr>
          <w:rFonts w:ascii="Times New Roman" w:cs="Times New Roman" w:eastAsia="Times New Roman" w:hAnsi="Times New Roman"/>
          <w:sz w:val="22"/>
          <w:szCs w:val="22"/>
          <w:color w:val="auto"/>
        </w:rPr>
        <w:t>Each of the restrictions set out in this Section II.B.3(c)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Grantee covenants that Grantee will not for the Restricted Period:</w:t>
      </w:r>
    </w:p>
    <w:p>
      <w:pPr>
        <w:spacing w:after="0" w:line="179" w:lineRule="exact"/>
        <w:rPr>
          <w:sz w:val="20"/>
          <w:szCs w:val="20"/>
          <w:color w:val="auto"/>
        </w:rPr>
      </w:pPr>
    </w:p>
    <w:p>
      <w:pPr>
        <w:ind w:left="1280" w:right="20" w:hanging="644"/>
        <w:spacing w:after="0" w:line="236" w:lineRule="auto"/>
        <w:tabs>
          <w:tab w:leader="none" w:pos="119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entice or solicit or endeavour to entice or solicit away from the Company or any Group Company any Relevant Employee;</w:t>
      </w:r>
    </w:p>
    <w:p>
      <w:pPr>
        <w:spacing w:after="0" w:line="150" w:lineRule="exact"/>
        <w:rPr>
          <w:rFonts w:ascii="Times New Roman" w:cs="Times New Roman" w:eastAsia="Times New Roman" w:hAnsi="Times New Roman"/>
          <w:sz w:val="22"/>
          <w:szCs w:val="22"/>
          <w:color w:val="auto"/>
        </w:rPr>
      </w:pPr>
    </w:p>
    <w:p>
      <w:pPr>
        <w:ind w:left="1280" w:hanging="644"/>
        <w:spacing w:after="0" w:line="236" w:lineRule="auto"/>
        <w:tabs>
          <w:tab w:leader="none" w:pos="132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or otherwise engage or otherwise facilitate the employment or engagement of any Relevant Employee;</w:t>
      </w:r>
    </w:p>
    <w:p>
      <w:pPr>
        <w:spacing w:after="0" w:line="150" w:lineRule="exact"/>
        <w:rPr>
          <w:rFonts w:ascii="Times New Roman" w:cs="Times New Roman" w:eastAsia="Times New Roman" w:hAnsi="Times New Roman"/>
          <w:sz w:val="22"/>
          <w:szCs w:val="22"/>
          <w:color w:val="auto"/>
        </w:rPr>
      </w:pPr>
    </w:p>
    <w:p>
      <w:pPr>
        <w:ind w:left="1180" w:hanging="544"/>
        <w:spacing w:after="0"/>
        <w:tabs>
          <w:tab w:leader="none" w:pos="11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endeavour to supply Restricted Goods or Services to any Relevant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x</w:t>
      </w:r>
    </w:p>
    <w:p>
      <w:pPr>
        <w:sectPr>
          <w:pgSz w:w="11900" w:h="16838" w:orient="portrait"/>
          <w:cols w:equalWidth="0" w:num="1">
            <w:col w:w="10600"/>
          </w:cols>
          <w:pgMar w:left="320" w:top="1395" w:right="979" w:bottom="1440" w:gutter="0" w:footer="0" w:header="0"/>
        </w:sectPr>
      </w:pPr>
    </w:p>
    <w:bookmarkStart w:id="63" w:name="page64"/>
    <w:bookmarkEnd w:id="63"/>
    <w:p>
      <w:pPr>
        <w:ind w:left="1160" w:hanging="524"/>
        <w:spacing w:after="0"/>
        <w:tabs>
          <w:tab w:leader="none" w:pos="11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supply or be involved with the supply of Restricted Goods or Services to any Relevant Customer;</w:t>
      </w:r>
    </w:p>
    <w:p>
      <w:pPr>
        <w:spacing w:after="0" w:line="179"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business dealings with any Relevant Customer on behalf of a Relevant Business;</w:t>
      </w:r>
    </w:p>
    <w:p>
      <w:pPr>
        <w:spacing w:after="0" w:line="179" w:lineRule="exact"/>
        <w:rPr>
          <w:rFonts w:ascii="Times New Roman" w:cs="Times New Roman" w:eastAsia="Times New Roman" w:hAnsi="Times New Roman"/>
          <w:sz w:val="22"/>
          <w:szCs w:val="22"/>
          <w:color w:val="auto"/>
        </w:rPr>
      </w:pPr>
    </w:p>
    <w:p>
      <w:pPr>
        <w:ind w:left="1160" w:hanging="524"/>
        <w:spacing w:after="0"/>
        <w:tabs>
          <w:tab w:leader="none" w:pos="11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principal or agent in any Relevant Business within the Restricted Area;</w:t>
      </w:r>
    </w:p>
    <w:p>
      <w:pPr>
        <w:spacing w:after="0" w:line="179" w:lineRule="exact"/>
        <w:rPr>
          <w:rFonts w:ascii="Times New Roman" w:cs="Times New Roman" w:eastAsia="Times New Roman" w:hAnsi="Times New Roman"/>
          <w:sz w:val="22"/>
          <w:szCs w:val="22"/>
          <w:color w:val="auto"/>
        </w:rPr>
      </w:pPr>
    </w:p>
    <w:p>
      <w:pPr>
        <w:ind w:left="1220" w:hanging="584"/>
        <w:spacing w:after="0"/>
        <w:tabs>
          <w:tab w:leader="none" w:pos="12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partner or member in any Relevant Business within the Restricted Area;</w:t>
      </w:r>
    </w:p>
    <w:p>
      <w:pPr>
        <w:spacing w:after="0" w:line="179" w:lineRule="exact"/>
        <w:rPr>
          <w:rFonts w:ascii="Times New Roman" w:cs="Times New Roman" w:eastAsia="Times New Roman" w:hAnsi="Times New Roman"/>
          <w:sz w:val="22"/>
          <w:szCs w:val="22"/>
          <w:color w:val="auto"/>
        </w:rPr>
      </w:pPr>
    </w:p>
    <w:p>
      <w:pPr>
        <w:ind w:left="1280" w:right="20" w:hanging="644"/>
        <w:spacing w:after="0" w:line="236" w:lineRule="auto"/>
        <w:tabs>
          <w:tab w:leader="none" w:pos="130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employed or engaged as a worker in any Relevant Business that operates or seeks to operate within the Restricted Area;</w:t>
      </w:r>
    </w:p>
    <w:p>
      <w:pPr>
        <w:spacing w:after="0" w:line="150" w:lineRule="exact"/>
        <w:rPr>
          <w:rFonts w:ascii="Times New Roman" w:cs="Times New Roman" w:eastAsia="Times New Roman" w:hAnsi="Times New Roman"/>
          <w:sz w:val="22"/>
          <w:szCs w:val="22"/>
          <w:color w:val="auto"/>
        </w:rPr>
      </w:pPr>
    </w:p>
    <w:p>
      <w:pPr>
        <w:ind w:left="1280" w:hanging="644"/>
        <w:spacing w:after="0" w:line="236" w:lineRule="auto"/>
        <w:tabs>
          <w:tab w:leader="none" w:pos="122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engaged as a consultant (directly or through another entity) or adviser to any Relevant Business within the Restricted Area;</w:t>
      </w:r>
    </w:p>
    <w:p>
      <w:pPr>
        <w:spacing w:after="0" w:line="150" w:lineRule="exact"/>
        <w:rPr>
          <w:rFonts w:ascii="Times New Roman" w:cs="Times New Roman" w:eastAsia="Times New Roman" w:hAnsi="Times New Roman"/>
          <w:sz w:val="22"/>
          <w:szCs w:val="22"/>
          <w:color w:val="auto"/>
        </w:rPr>
      </w:pPr>
    </w:p>
    <w:p>
      <w:pPr>
        <w:ind w:left="1100" w:hanging="464"/>
        <w:spacing w:after="0"/>
        <w:tabs>
          <w:tab w:leader="none" w:pos="11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director of any Relevant Business within the Restricted Area;</w:t>
      </w:r>
    </w:p>
    <w:p>
      <w:pPr>
        <w:spacing w:after="0" w:line="179" w:lineRule="exact"/>
        <w:rPr>
          <w:rFonts w:ascii="Times New Roman" w:cs="Times New Roman" w:eastAsia="Times New Roman" w:hAnsi="Times New Roman"/>
          <w:sz w:val="22"/>
          <w:szCs w:val="22"/>
          <w:color w:val="auto"/>
        </w:rPr>
      </w:pPr>
    </w:p>
    <w:p>
      <w:pPr>
        <w:ind w:left="1160" w:hanging="524"/>
        <w:spacing w:after="0"/>
        <w:tabs>
          <w:tab w:leader="none" w:pos="11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material financial interest in any Relevant Business within the Restricted Area;</w:t>
      </w:r>
    </w:p>
    <w:p>
      <w:pPr>
        <w:spacing w:after="0" w:line="179" w:lineRule="exact"/>
        <w:rPr>
          <w:rFonts w:ascii="Times New Roman" w:cs="Times New Roman" w:eastAsia="Times New Roman" w:hAnsi="Times New Roman"/>
          <w:sz w:val="22"/>
          <w:szCs w:val="22"/>
          <w:color w:val="auto"/>
        </w:rPr>
      </w:pPr>
    </w:p>
    <w:p>
      <w:pPr>
        <w:jc w:val="both"/>
        <w:ind w:left="1280" w:right="20" w:hanging="644"/>
        <w:spacing w:after="0" w:line="217" w:lineRule="auto"/>
        <w:tabs>
          <w:tab w:leader="none" w:pos="122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shareholding in any Relevant Business within the Restricted Area, disregarding any financial interest of a person in securities which are listed 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52" w:lineRule="exact"/>
        <w:rPr>
          <w:rFonts w:ascii="Times New Roman" w:cs="Times New Roman" w:eastAsia="Times New Roman" w:hAnsi="Times New Roman"/>
          <w:sz w:val="22"/>
          <w:szCs w:val="22"/>
          <w:color w:val="auto"/>
        </w:rPr>
      </w:pPr>
    </w:p>
    <w:p>
      <w:pPr>
        <w:ind w:left="1280" w:right="20" w:hanging="644"/>
        <w:spacing w:after="0" w:line="236" w:lineRule="auto"/>
        <w:tabs>
          <w:tab w:leader="none" w:pos="132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person with significant control (under part 21A of the United Kingdom Companies Act 2006) in any Relevant Business within the Restricted Area.</w:t>
      </w:r>
    </w:p>
    <w:p>
      <w:pPr>
        <w:spacing w:after="0" w:line="150" w:lineRule="exact"/>
        <w:rPr>
          <w:sz w:val="20"/>
          <w:szCs w:val="20"/>
          <w:color w:val="auto"/>
        </w:rPr>
      </w:pPr>
    </w:p>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The restrictions above only apply in respect of business activities which compete or seek to compete with the Company and nothing in these provisions seeks to prevent Grantee in connection with activities which do not compete with the Company.</w:t>
      </w:r>
    </w:p>
    <w:p>
      <w:pPr>
        <w:spacing w:after="0" w:line="153" w:lineRule="exact"/>
        <w:rPr>
          <w:sz w:val="20"/>
          <w:szCs w:val="20"/>
          <w:color w:val="auto"/>
        </w:rPr>
      </w:pPr>
    </w:p>
    <w:p>
      <w:pPr>
        <w:jc w:val="both"/>
        <w:ind w:left="660"/>
        <w:spacing w:after="0" w:line="217" w:lineRule="auto"/>
        <w:rPr>
          <w:sz w:val="20"/>
          <w:szCs w:val="20"/>
          <w:color w:val="auto"/>
        </w:rPr>
      </w:pPr>
      <w:r>
        <w:rPr>
          <w:rFonts w:ascii="Times New Roman" w:cs="Times New Roman" w:eastAsia="Times New Roman" w:hAnsi="Times New Roman"/>
          <w:sz w:val="22"/>
          <w:szCs w:val="22"/>
          <w:color w:val="auto"/>
        </w:rPr>
        <w:t>While the restrictions above are considered by Grantee and the Company to be reasonable in all the circumstances, it is recognized that such restrictions may fail for unforeseen reasons and, it is therefore agreed that if any of the restrictions are 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Section II.B.3(e) is hereby amended in its entirety to read as follows:</w:t>
      </w:r>
    </w:p>
    <w:p>
      <w:pPr>
        <w:ind w:left="1300" w:right="20"/>
        <w:spacing w:after="0" w:line="235" w:lineRule="auto"/>
        <w:rPr>
          <w:sz w:val="20"/>
          <w:szCs w:val="20"/>
          <w:color w:val="auto"/>
        </w:rPr>
      </w:pPr>
      <w:r>
        <w:rPr>
          <w:rFonts w:ascii="Times New Roman" w:cs="Times New Roman" w:eastAsia="Times New Roman" w:hAnsi="Times New Roman"/>
          <w:sz w:val="21"/>
          <w:szCs w:val="21"/>
          <w:color w:val="auto"/>
        </w:rPr>
        <w:t>“(1)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means (A) during the Grantee’s employment with the Company, the Company and any and all direct and indirect subsidiary, parent, affiliated or related companies of the Company for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xi</w:t>
      </w:r>
    </w:p>
    <w:p>
      <w:pPr>
        <w:sectPr>
          <w:pgSz w:w="11900" w:h="16838" w:orient="portrait"/>
          <w:cols w:equalWidth="0" w:num="1">
            <w:col w:w="10600"/>
          </w:cols>
          <w:pgMar w:left="320" w:top="1395" w:right="979" w:bottom="1440" w:gutter="0" w:footer="0" w:header="0"/>
        </w:sectPr>
      </w:pPr>
    </w:p>
    <w:bookmarkStart w:id="64" w:name="page65"/>
    <w:bookmarkEnd w:id="64"/>
    <w:p>
      <w:pPr>
        <w:jc w:val="both"/>
        <w:ind w:left="1140"/>
        <w:spacing w:after="0" w:line="217" w:lineRule="auto"/>
        <w:rPr>
          <w:sz w:val="20"/>
          <w:szCs w:val="20"/>
          <w:color w:val="auto"/>
        </w:rPr>
      </w:pPr>
      <w:r>
        <w:rPr>
          <w:rFonts w:ascii="Times New Roman" w:cs="Times New Roman" w:eastAsia="Times New Roman" w:hAnsi="Times New Roman"/>
          <w:sz w:val="22"/>
          <w:szCs w:val="22"/>
          <w:color w:val="auto"/>
        </w:rPr>
        <w:t>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48" w:lineRule="exact"/>
        <w:rPr>
          <w:sz w:val="20"/>
          <w:szCs w:val="20"/>
          <w:color w:val="auto"/>
        </w:rPr>
      </w:pPr>
    </w:p>
    <w:p>
      <w:pPr>
        <w:jc w:val="both"/>
        <w:ind w:left="1140" w:right="20" w:firstLine="4"/>
        <w:spacing w:after="0" w:line="227" w:lineRule="auto"/>
        <w:tabs>
          <w:tab w:leader="none" w:pos="148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146" w:lineRule="exact"/>
        <w:rPr>
          <w:rFonts w:ascii="Times New Roman" w:cs="Times New Roman" w:eastAsia="Times New Roman" w:hAnsi="Times New Roman"/>
          <w:sz w:val="22"/>
          <w:szCs w:val="22"/>
          <w:color w:val="auto"/>
        </w:rPr>
      </w:pPr>
    </w:p>
    <w:p>
      <w:pPr>
        <w:jc w:val="both"/>
        <w:ind w:left="1140" w:firstLine="4"/>
        <w:spacing w:after="0" w:line="209" w:lineRule="auto"/>
        <w:tabs>
          <w:tab w:leader="none" w:pos="181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55" w:lineRule="exact"/>
        <w:rPr>
          <w:rFonts w:ascii="Times New Roman" w:cs="Times New Roman" w:eastAsia="Times New Roman" w:hAnsi="Times New Roman"/>
          <w:sz w:val="22"/>
          <w:szCs w:val="22"/>
          <w:color w:val="auto"/>
        </w:rPr>
      </w:pPr>
    </w:p>
    <w:p>
      <w:pPr>
        <w:jc w:val="both"/>
        <w:ind w:left="1140" w:right="20" w:firstLine="4"/>
        <w:spacing w:after="0" w:line="227" w:lineRule="auto"/>
        <w:tabs>
          <w:tab w:leader="none" w:pos="172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Area</w:t>
      </w:r>
      <w:r>
        <w:rPr>
          <w:rFonts w:ascii="Times New Roman" w:cs="Times New Roman" w:eastAsia="Times New Roman" w:hAnsi="Times New Roman"/>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46" w:lineRule="exact"/>
        <w:rPr>
          <w:rFonts w:ascii="Times New Roman" w:cs="Times New Roman" w:eastAsia="Times New Roman" w:hAnsi="Times New Roman"/>
          <w:sz w:val="22"/>
          <w:szCs w:val="22"/>
          <w:color w:val="auto"/>
        </w:rPr>
      </w:pPr>
    </w:p>
    <w:p>
      <w:pPr>
        <w:ind w:left="1140" w:right="20" w:firstLine="4"/>
        <w:spacing w:after="0" w:line="238" w:lineRule="auto"/>
        <w:tabs>
          <w:tab w:leader="none" w:pos="171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Business</w:t>
      </w:r>
      <w:r>
        <w:rPr>
          <w:rFonts w:ascii="Times New Roman" w:cs="Times New Roman" w:eastAsia="Times New Roman" w:hAnsi="Times New Roman"/>
          <w:sz w:val="22"/>
          <w:szCs w:val="22"/>
          <w:color w:val="auto"/>
        </w:rPr>
        <w:t>” means any business or part of a business involving the supply of Restricted Goods or Services.</w:t>
      </w:r>
    </w:p>
    <w:p>
      <w:pPr>
        <w:spacing w:after="0" w:line="146" w:lineRule="exact"/>
        <w:rPr>
          <w:rFonts w:ascii="Times New Roman" w:cs="Times New Roman" w:eastAsia="Times New Roman" w:hAnsi="Times New Roman"/>
          <w:sz w:val="22"/>
          <w:szCs w:val="22"/>
          <w:color w:val="auto"/>
        </w:rPr>
      </w:pPr>
    </w:p>
    <w:p>
      <w:pPr>
        <w:jc w:val="both"/>
        <w:ind w:left="1140" w:right="20" w:firstLine="4"/>
        <w:spacing w:after="0" w:line="221" w:lineRule="auto"/>
        <w:tabs>
          <w:tab w:leader="none" w:pos="160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Customer</w:t>
      </w:r>
      <w:r>
        <w:rPr>
          <w:rFonts w:ascii="Times New Roman" w:cs="Times New Roman" w:eastAsia="Times New Roman" w:hAnsi="Times New Roman"/>
          <w:sz w:val="22"/>
          <w:szCs w:val="22"/>
          <w:color w:val="auto"/>
        </w:rPr>
        <w:t>” means a person, firm or company who in the twelve months immediately before the Relevant Date conducted a business relationship (including, without limitation, the provision of services and the negotiation for the same) with the Company and with whom Grantee had significant contact in the course of Grantee’s employment with the Company.</w:t>
      </w:r>
    </w:p>
    <w:p>
      <w:pPr>
        <w:spacing w:after="0" w:line="148" w:lineRule="exact"/>
        <w:rPr>
          <w:rFonts w:ascii="Times New Roman" w:cs="Times New Roman" w:eastAsia="Times New Roman" w:hAnsi="Times New Roman"/>
          <w:sz w:val="22"/>
          <w:szCs w:val="22"/>
          <w:color w:val="auto"/>
        </w:rPr>
      </w:pPr>
    </w:p>
    <w:p>
      <w:pPr>
        <w:jc w:val="both"/>
        <w:ind w:left="1140" w:right="20" w:firstLine="4"/>
        <w:spacing w:after="0" w:line="227" w:lineRule="auto"/>
        <w:tabs>
          <w:tab w:leader="none" w:pos="160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Date</w:t>
      </w:r>
      <w:r>
        <w:rPr>
          <w:rFonts w:ascii="Times New Roman" w:cs="Times New Roman" w:eastAsia="Times New Roman" w:hAnsi="Times New Roman"/>
          <w:sz w:val="22"/>
          <w:szCs w:val="22"/>
          <w:color w:val="auto"/>
        </w:rPr>
        <w:t>” means the earlier of (x) the date of termination of Grantee’s employment, and (y) the start of any period of garden leave or exclusion under Grantee’s contract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xii</w:t>
      </w:r>
    </w:p>
    <w:p>
      <w:pPr>
        <w:sectPr>
          <w:pgSz w:w="11900" w:h="16838" w:orient="portrait"/>
          <w:cols w:equalWidth="0" w:num="1">
            <w:col w:w="10440"/>
          </w:cols>
          <w:pgMar w:left="480" w:top="1395" w:right="979" w:bottom="1440" w:gutter="0" w:footer="0" w:header="0"/>
        </w:sectPr>
      </w:pPr>
    </w:p>
    <w:bookmarkStart w:id="65" w:name="page66"/>
    <w:bookmarkEnd w:id="65"/>
    <w:p>
      <w:pPr>
        <w:jc w:val="both"/>
        <w:ind w:left="1300" w:right="660" w:firstLine="4"/>
        <w:spacing w:after="0" w:line="227" w:lineRule="auto"/>
        <w:tabs>
          <w:tab w:leader="none" w:pos="180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Employee</w:t>
      </w:r>
      <w:r>
        <w:rPr>
          <w:rFonts w:ascii="Times New Roman" w:cs="Times New Roman" w:eastAsia="Times New Roman" w:hAnsi="Times New Roman"/>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146" w:lineRule="exact"/>
        <w:rPr>
          <w:rFonts w:ascii="Times New Roman" w:cs="Times New Roman" w:eastAsia="Times New Roman" w:hAnsi="Times New Roman"/>
          <w:sz w:val="22"/>
          <w:szCs w:val="22"/>
          <w:color w:val="auto"/>
        </w:rPr>
      </w:pPr>
    </w:p>
    <w:p>
      <w:pPr>
        <w:jc w:val="both"/>
        <w:ind w:left="1300" w:right="640" w:firstLine="4"/>
        <w:spacing w:after="0" w:line="227" w:lineRule="auto"/>
        <w:tabs>
          <w:tab w:leader="none" w:pos="182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Goods or Services</w:t>
      </w:r>
      <w:r>
        <w:rPr>
          <w:rFonts w:ascii="Times New Roman" w:cs="Times New Roman" w:eastAsia="Times New Roman" w:hAnsi="Times New Roman"/>
          <w:sz w:val="22"/>
          <w:szCs w:val="22"/>
          <w:color w:val="auto"/>
        </w:rPr>
        <w:t>” means products for customers in the consumer products, aerospace, industrial, petrochemical, refinery and oil and gas end markets, and the design, manufacture and marketing thereof.</w:t>
      </w:r>
    </w:p>
    <w:p>
      <w:pPr>
        <w:spacing w:after="0" w:line="146" w:lineRule="exact"/>
        <w:rPr>
          <w:rFonts w:ascii="Times New Roman" w:cs="Times New Roman" w:eastAsia="Times New Roman" w:hAnsi="Times New Roman"/>
          <w:sz w:val="22"/>
          <w:szCs w:val="22"/>
          <w:color w:val="auto"/>
        </w:rPr>
      </w:pPr>
    </w:p>
    <w:p>
      <w:pPr>
        <w:jc w:val="both"/>
        <w:ind w:left="1300" w:right="660" w:firstLine="4"/>
        <w:spacing w:after="0" w:line="221" w:lineRule="auto"/>
        <w:tabs>
          <w:tab w:leader="none" w:pos="197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Period</w:t>
      </w:r>
      <w:r>
        <w:rPr>
          <w:rFonts w:ascii="Times New Roman" w:cs="Times New Roman" w:eastAsia="Times New Roman" w:hAnsi="Times New Roman"/>
          <w:sz w:val="22"/>
          <w:szCs w:val="22"/>
          <w:color w:val="auto"/>
        </w:rPr>
        <w:t>” means: (x) for restrictions set forth in clauses (i) to (v) of Section II.B.3(c), during Grantee’s employment and for a period of twelve months after the Relevant Date; and (y) for restrictions set forth in clauses (vi) to (xiii) of Section II.B.3(c), during Grantee’s employment and for a period of nine months after the Relevant Date.”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A new Section II.B.17 is added to the Agreement to read as follows:</w:t>
      </w:r>
    </w:p>
    <w:p>
      <w:pPr>
        <w:spacing w:after="0" w:line="210" w:lineRule="exact"/>
        <w:rPr>
          <w:sz w:val="20"/>
          <w:szCs w:val="20"/>
          <w:color w:val="auto"/>
        </w:rPr>
      </w:pPr>
    </w:p>
    <w:p>
      <w:pPr>
        <w:jc w:val="both"/>
        <w:ind w:left="1300"/>
        <w:spacing w:after="0" w:line="220" w:lineRule="auto"/>
        <w:rPr>
          <w:sz w:val="20"/>
          <w:szCs w:val="20"/>
          <w:color w:val="auto"/>
        </w:rPr>
      </w:pPr>
      <w:r>
        <w:rPr>
          <w:rFonts w:ascii="Times New Roman" w:cs="Times New Roman" w:eastAsia="Times New Roman" w:hAnsi="Times New Roman"/>
          <w:sz w:val="22"/>
          <w:szCs w:val="22"/>
          <w:color w:val="auto"/>
        </w:rPr>
        <w:t>The Company and Rieke Packaging Systems Limited (the “Grantee’s Employer”), (together the “Relevant TriMas Companies”) will process the Grantee’s personal data in connection with the Plan. For the purposes of data protection legislation, the Relevant TriMas Companies will each act as independent controllers in relation to such personal data.</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Categories of Personal Data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categories of personal data that we will process in connection with the Plan are the Grantee’s:</w:t>
      </w:r>
    </w:p>
    <w:p>
      <w:pPr>
        <w:spacing w:after="0" w:line="179" w:lineRule="exact"/>
        <w:rPr>
          <w:sz w:val="20"/>
          <w:szCs w:val="20"/>
          <w:color w:val="auto"/>
        </w:rPr>
      </w:pPr>
    </w:p>
    <w:p>
      <w:pPr>
        <w:ind w:left="1940" w:hanging="312"/>
        <w:spacing w:after="0"/>
        <w:tabs>
          <w:tab w:leader="none" w:pos="1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name;</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date of birth;</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job title;</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home address (and, if different, mailing address) and postal code;</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telephone number;</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social insurance, national insurance, US taxpayer and/or foreign tax identification number;</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salary;</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country of citizenship and nationality;</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Common Stock or directorships held in any of the Relevant TriMas Companies;</w:t>
      </w:r>
    </w:p>
    <w:p>
      <w:pPr>
        <w:spacing w:after="0" w:line="179" w:lineRule="exact"/>
        <w:rPr>
          <w:rFonts w:ascii="Times New Roman" w:cs="Times New Roman" w:eastAsia="Times New Roman" w:hAnsi="Times New Roman"/>
          <w:sz w:val="18"/>
          <w:szCs w:val="18"/>
          <w:color w:val="auto"/>
        </w:rPr>
      </w:pPr>
    </w:p>
    <w:p>
      <w:pPr>
        <w:ind w:left="1960" w:hanging="332"/>
        <w:spacing w:after="0" w:line="236" w:lineRule="auto"/>
        <w:tabs>
          <w:tab w:leader="none" w:pos="19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details of all awards or any other entitlement to Common Stock awarded, cancelled, exercised, vested, unvested or outstanding in Grantee’s favour;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xiii</w:t>
      </w:r>
    </w:p>
    <w:p>
      <w:pPr>
        <w:sectPr>
          <w:pgSz w:w="11900" w:h="16838" w:orient="portrait"/>
          <w:cols w:equalWidth="0" w:num="1">
            <w:col w:w="11240"/>
          </w:cols>
          <w:pgMar w:left="320" w:top="1391" w:right="339" w:bottom="1440" w:gutter="0" w:footer="0" w:header="0"/>
        </w:sectPr>
      </w:pPr>
    </w:p>
    <w:bookmarkStart w:id="66" w:name="page67"/>
    <w:bookmarkEnd w:id="66"/>
    <w:p>
      <w:pPr>
        <w:ind w:left="1800" w:hanging="332"/>
        <w:spacing w:after="0" w:line="236" w:lineRule="auto"/>
        <w:tabs>
          <w:tab w:leader="none" w:pos="17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reference number (where relevant to link the Grantee’s benefits under the Plan to other documentation issued to or from the US Department of the Treasury Internal Revenue Service).</w:t>
      </w:r>
    </w:p>
    <w:p>
      <w:pPr>
        <w:spacing w:after="0" w:line="150" w:lineRule="exact"/>
        <w:rPr>
          <w:sz w:val="20"/>
          <w:szCs w:val="20"/>
          <w:color w:val="auto"/>
        </w:rPr>
      </w:pPr>
    </w:p>
    <w:p>
      <w:pPr>
        <w:ind w:left="1140"/>
        <w:spacing w:after="0" w:line="236" w:lineRule="auto"/>
        <w:rPr>
          <w:sz w:val="20"/>
          <w:szCs w:val="20"/>
          <w:color w:val="auto"/>
        </w:rPr>
      </w:pPr>
      <w:r>
        <w:rPr>
          <w:rFonts w:ascii="Times New Roman" w:cs="Times New Roman" w:eastAsia="Times New Roman" w:hAnsi="Times New Roman"/>
          <w:sz w:val="22"/>
          <w:szCs w:val="22"/>
          <w:color w:val="auto"/>
        </w:rPr>
        <w:t>The processing of the personal data set out above is mandatory in order for the Relevant TriMas Companies to provide and administer the Plan.</w:t>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Purposes of Processing Personal Data</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The Relevant TriMas Companies will process the Grantee’s personal data for the purposes of:</w:t>
      </w:r>
    </w:p>
    <w:p>
      <w:pPr>
        <w:spacing w:after="0" w:line="179" w:lineRule="exact"/>
        <w:rPr>
          <w:sz w:val="20"/>
          <w:szCs w:val="20"/>
          <w:color w:val="auto"/>
        </w:rPr>
      </w:pPr>
    </w:p>
    <w:p>
      <w:pPr>
        <w:ind w:left="1800" w:right="20" w:hanging="332"/>
        <w:spacing w:after="0" w:line="236" w:lineRule="auto"/>
        <w:tabs>
          <w:tab w:leader="none" w:pos="17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administering and maintaining the Plan relating to the Grantee and records associated with the Plan (including maintaining a database of Participants in the Plan);</w:t>
      </w:r>
    </w:p>
    <w:p>
      <w:pPr>
        <w:spacing w:after="0" w:line="150" w:lineRule="exact"/>
        <w:rPr>
          <w:rFonts w:ascii="Times New Roman" w:cs="Times New Roman" w:eastAsia="Times New Roman" w:hAnsi="Times New Roman"/>
          <w:sz w:val="18"/>
          <w:szCs w:val="18"/>
          <w:color w:val="auto"/>
        </w:rPr>
      </w:pPr>
    </w:p>
    <w:p>
      <w:pPr>
        <w:jc w:val="both"/>
        <w:ind w:left="1800" w:hanging="332"/>
        <w:spacing w:after="0" w:line="225" w:lineRule="auto"/>
        <w:tabs>
          <w:tab w:leader="none" w:pos="17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to (i) trustees of any employee benefit trust or (ii) the third party administrators involved directly or indirectly in the operation of the Plan (as set out in the “Sharing Personal Data with Third Parties” section below);</w:t>
      </w:r>
    </w:p>
    <w:p>
      <w:pPr>
        <w:spacing w:after="0" w:line="152" w:lineRule="exact"/>
        <w:rPr>
          <w:rFonts w:ascii="Times New Roman" w:cs="Times New Roman" w:eastAsia="Times New Roman" w:hAnsi="Times New Roman"/>
          <w:sz w:val="18"/>
          <w:szCs w:val="18"/>
          <w:color w:val="auto"/>
        </w:rPr>
      </w:pPr>
    </w:p>
    <w:p>
      <w:pPr>
        <w:ind w:left="1800" w:right="20" w:hanging="332"/>
        <w:spacing w:after="0" w:line="236" w:lineRule="auto"/>
        <w:tabs>
          <w:tab w:leader="none" w:pos="17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relating to Grantee in connection with the operation of the Plan to HM Revenue and Customs in the United Kingdom as required by law;</w:t>
      </w:r>
    </w:p>
    <w:p>
      <w:pPr>
        <w:spacing w:after="0" w:line="150" w:lineRule="exact"/>
        <w:rPr>
          <w:rFonts w:ascii="Times New Roman" w:cs="Times New Roman" w:eastAsia="Times New Roman" w:hAnsi="Times New Roman"/>
          <w:sz w:val="18"/>
          <w:szCs w:val="18"/>
          <w:color w:val="auto"/>
        </w:rPr>
      </w:pPr>
    </w:p>
    <w:p>
      <w:pPr>
        <w:jc w:val="both"/>
        <w:ind w:left="1800" w:hanging="332"/>
        <w:spacing w:after="0" w:line="225" w:lineRule="auto"/>
        <w:tabs>
          <w:tab w:leader="none" w:pos="17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52" w:lineRule="exact"/>
        <w:rPr>
          <w:rFonts w:ascii="Times New Roman" w:cs="Times New Roman" w:eastAsia="Times New Roman" w:hAnsi="Times New Roman"/>
          <w:sz w:val="18"/>
          <w:szCs w:val="18"/>
          <w:color w:val="auto"/>
        </w:rPr>
      </w:pPr>
    </w:p>
    <w:p>
      <w:pPr>
        <w:ind w:left="1780" w:hanging="312"/>
        <w:spacing w:after="0"/>
        <w:tabs>
          <w:tab w:leader="none" w:pos="1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obtaining legal and other professional advice; and</w:t>
      </w:r>
    </w:p>
    <w:p>
      <w:pPr>
        <w:spacing w:after="0" w:line="179" w:lineRule="exact"/>
        <w:rPr>
          <w:rFonts w:ascii="Times New Roman" w:cs="Times New Roman" w:eastAsia="Times New Roman" w:hAnsi="Times New Roman"/>
          <w:sz w:val="18"/>
          <w:szCs w:val="18"/>
          <w:color w:val="auto"/>
        </w:rPr>
      </w:pPr>
    </w:p>
    <w:p>
      <w:pPr>
        <w:ind w:left="1780" w:hanging="312"/>
        <w:spacing w:after="0"/>
        <w:tabs>
          <w:tab w:leader="none" w:pos="1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establishing, exercising or defending legal rights.</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Legal Basis for Processing Personal Data</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The processing of the Grantee’s personal data:</w:t>
      </w:r>
    </w:p>
    <w:p>
      <w:pPr>
        <w:spacing w:after="0" w:line="179" w:lineRule="exact"/>
        <w:rPr>
          <w:sz w:val="20"/>
          <w:szCs w:val="20"/>
          <w:color w:val="auto"/>
        </w:rPr>
      </w:pPr>
    </w:p>
    <w:p>
      <w:pPr>
        <w:jc w:val="both"/>
        <w:ind w:left="1800" w:hanging="332"/>
        <w:spacing w:after="0" w:line="225" w:lineRule="auto"/>
        <w:tabs>
          <w:tab w:leader="none" w:pos="17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152" w:lineRule="exact"/>
        <w:rPr>
          <w:rFonts w:ascii="Times New Roman" w:cs="Times New Roman" w:eastAsia="Times New Roman" w:hAnsi="Times New Roman"/>
          <w:sz w:val="18"/>
          <w:szCs w:val="18"/>
          <w:color w:val="auto"/>
        </w:rPr>
      </w:pPr>
    </w:p>
    <w:p>
      <w:pPr>
        <w:jc w:val="both"/>
        <w:ind w:left="1800" w:hanging="332"/>
        <w:spacing w:after="0" w:line="220" w:lineRule="auto"/>
        <w:tabs>
          <w:tab w:leader="none" w:pos="17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152" w:lineRule="exact"/>
        <w:rPr>
          <w:rFonts w:ascii="Times New Roman" w:cs="Times New Roman" w:eastAsia="Times New Roman" w:hAnsi="Times New Roman"/>
          <w:sz w:val="18"/>
          <w:szCs w:val="18"/>
          <w:color w:val="auto"/>
        </w:rPr>
      </w:pPr>
    </w:p>
    <w:p>
      <w:pPr>
        <w:ind w:left="1800" w:hanging="332"/>
        <w:spacing w:after="0" w:line="236" w:lineRule="auto"/>
        <w:tabs>
          <w:tab w:leader="none" w:pos="17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respect of all other personal data set out above, is necessary for the performance of the Performance Stock Units Agreement between the Grantee and TriMas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xiv</w:t>
      </w:r>
    </w:p>
    <w:p>
      <w:pPr>
        <w:sectPr>
          <w:pgSz w:w="11900" w:h="16838" w:orient="portrait"/>
          <w:cols w:equalWidth="0" w:num="1">
            <w:col w:w="11080"/>
          </w:cols>
          <w:pgMar w:left="480" w:top="1395" w:right="339" w:bottom="1440" w:gutter="0" w:footer="0" w:header="0"/>
        </w:sectPr>
      </w:pPr>
    </w:p>
    <w:bookmarkStart w:id="67" w:name="page68"/>
    <w:bookmarkEnd w:id="67"/>
    <w:p>
      <w:pPr>
        <w:jc w:val="both"/>
        <w:ind w:left="1140" w:right="20"/>
        <w:spacing w:after="0" w:line="236" w:lineRule="auto"/>
        <w:rPr>
          <w:sz w:val="20"/>
          <w:szCs w:val="20"/>
          <w:color w:val="auto"/>
        </w:rPr>
      </w:pPr>
      <w:r>
        <w:rPr>
          <w:rFonts w:ascii="Times New Roman" w:cs="Times New Roman" w:eastAsia="Times New Roman" w:hAnsi="Times New Roman"/>
          <w:sz w:val="22"/>
          <w:szCs w:val="22"/>
          <w:color w:val="auto"/>
        </w:rPr>
        <w:t>The Relevant TriMas Companies will also process the Grantee’s personal data as necessary to comply with any legal obligations to which the Relevant TriMas Companies are subject.</w:t>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Sharing Personal Data with Third Parties</w:t>
      </w:r>
    </w:p>
    <w:p>
      <w:pPr>
        <w:spacing w:after="0" w:line="183" w:lineRule="exact"/>
        <w:rPr>
          <w:sz w:val="20"/>
          <w:szCs w:val="20"/>
          <w:color w:val="auto"/>
        </w:rPr>
      </w:pPr>
    </w:p>
    <w:p>
      <w:pPr>
        <w:jc w:val="both"/>
        <w:ind w:left="1140" w:right="20"/>
        <w:spacing w:after="0" w:line="236" w:lineRule="auto"/>
        <w:rPr>
          <w:sz w:val="20"/>
          <w:szCs w:val="20"/>
          <w:color w:val="auto"/>
        </w:rPr>
      </w:pPr>
      <w:r>
        <w:rPr>
          <w:rFonts w:ascii="Times New Roman" w:cs="Times New Roman" w:eastAsia="Times New Roman" w:hAnsi="Times New Roman"/>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150" w:lineRule="exact"/>
        <w:rPr>
          <w:sz w:val="20"/>
          <w:szCs w:val="20"/>
          <w:color w:val="auto"/>
        </w:rPr>
      </w:pPr>
    </w:p>
    <w:p>
      <w:pPr>
        <w:jc w:val="both"/>
        <w:ind w:left="1140"/>
        <w:spacing w:after="0" w:line="215" w:lineRule="auto"/>
        <w:rPr>
          <w:sz w:val="20"/>
          <w:szCs w:val="20"/>
          <w:color w:val="auto"/>
        </w:rPr>
      </w:pPr>
      <w:r>
        <w:rPr>
          <w:rFonts w:ascii="Times New Roman" w:cs="Times New Roman" w:eastAsia="Times New Roman" w:hAnsi="Times New Roman"/>
          <w:sz w:val="22"/>
          <w:szCs w:val="22"/>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52" w:lineRule="exact"/>
        <w:rPr>
          <w:sz w:val="20"/>
          <w:szCs w:val="20"/>
          <w:color w:val="auto"/>
        </w:rPr>
      </w:pPr>
    </w:p>
    <w:p>
      <w:pPr>
        <w:jc w:val="both"/>
        <w:ind w:left="1140"/>
        <w:spacing w:after="0" w:line="212" w:lineRule="auto"/>
        <w:rPr>
          <w:sz w:val="20"/>
          <w:szCs w:val="20"/>
          <w:color w:val="auto"/>
        </w:rPr>
      </w:pPr>
      <w:r>
        <w:rPr>
          <w:rFonts w:ascii="Times New Roman" w:cs="Times New Roman" w:eastAsia="Times New Roman" w:hAnsi="Times New Roman"/>
          <w:sz w:val="22"/>
          <w:szCs w:val="22"/>
          <w:color w:val="auto"/>
        </w:rPr>
        <w:t xml:space="preserve">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 into Grantee’s Fidelity account at </w:t>
      </w:r>
      <w:r>
        <w:rPr>
          <w:rFonts w:ascii="Times New Roman" w:cs="Times New Roman" w:eastAsia="Times New Roman" w:hAnsi="Times New Roman"/>
          <w:sz w:val="22"/>
          <w:szCs w:val="22"/>
          <w:u w:val="single" w:color="auto"/>
          <w:color w:val="0000FF"/>
        </w:rPr>
        <w:t>www.netbenefits.fidelity.com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visiting the Plan &amp; Grant Documents section of the Grantee’s account.</w:t>
      </w:r>
    </w:p>
    <w:p>
      <w:pPr>
        <w:spacing w:after="0" w:line="156" w:lineRule="exact"/>
        <w:rPr>
          <w:sz w:val="20"/>
          <w:szCs w:val="20"/>
          <w:color w:val="auto"/>
        </w:rPr>
      </w:pPr>
    </w:p>
    <w:p>
      <w:pPr>
        <w:jc w:val="both"/>
        <w:ind w:left="1140"/>
        <w:spacing w:after="0" w:line="225" w:lineRule="auto"/>
        <w:rPr>
          <w:sz w:val="20"/>
          <w:szCs w:val="20"/>
          <w:color w:val="auto"/>
        </w:rPr>
      </w:pPr>
      <w:r>
        <w:rPr>
          <w:rFonts w:ascii="Times New Roman" w:cs="Times New Roman" w:eastAsia="Times New Roman" w:hAnsi="Times New Roman"/>
          <w:sz w:val="22"/>
          <w:szCs w:val="22"/>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153" w:lineRule="exact"/>
        <w:rPr>
          <w:sz w:val="20"/>
          <w:szCs w:val="20"/>
          <w:color w:val="auto"/>
        </w:rPr>
      </w:pPr>
    </w:p>
    <w:p>
      <w:pPr>
        <w:ind w:left="1780" w:hanging="312"/>
        <w:spacing w:after="0"/>
        <w:tabs>
          <w:tab w:leader="none" w:pos="1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enabling potential purchasers to complete due diligence on, and value, the business and/or assets;</w:t>
      </w:r>
    </w:p>
    <w:p>
      <w:pPr>
        <w:spacing w:after="0" w:line="179" w:lineRule="exact"/>
        <w:rPr>
          <w:rFonts w:ascii="Times New Roman" w:cs="Times New Roman" w:eastAsia="Times New Roman" w:hAnsi="Times New Roman"/>
          <w:sz w:val="18"/>
          <w:szCs w:val="18"/>
          <w:color w:val="auto"/>
        </w:rPr>
      </w:pPr>
    </w:p>
    <w:p>
      <w:pPr>
        <w:ind w:left="1800" w:right="20" w:hanging="332"/>
        <w:spacing w:after="0" w:line="236" w:lineRule="auto"/>
        <w:tabs>
          <w:tab w:leader="none" w:pos="17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transferring the personal data in connection with any relevant sale and the transfer of the Relevant TriMas Company’s contractual rights and/or obligations; and</w:t>
      </w:r>
    </w:p>
    <w:p>
      <w:pPr>
        <w:spacing w:after="0" w:line="150" w:lineRule="exact"/>
        <w:rPr>
          <w:rFonts w:ascii="Times New Roman" w:cs="Times New Roman" w:eastAsia="Times New Roman" w:hAnsi="Times New Roman"/>
          <w:sz w:val="18"/>
          <w:szCs w:val="18"/>
          <w:color w:val="auto"/>
        </w:rPr>
      </w:pPr>
    </w:p>
    <w:p>
      <w:pPr>
        <w:ind w:left="1780" w:hanging="312"/>
        <w:spacing w:after="0"/>
        <w:tabs>
          <w:tab w:leader="none" w:pos="1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use of such personal data by a purchaser for the operation of its business.</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The Relevant TriMas Companies will also share the Grantee’s personal data with:</w:t>
      </w:r>
    </w:p>
    <w:p>
      <w:pPr>
        <w:spacing w:after="0" w:line="179" w:lineRule="exact"/>
        <w:rPr>
          <w:sz w:val="20"/>
          <w:szCs w:val="20"/>
          <w:color w:val="auto"/>
        </w:rPr>
      </w:pPr>
    </w:p>
    <w:p>
      <w:pPr>
        <w:ind w:left="1780" w:hanging="312"/>
        <w:spacing w:after="0"/>
        <w:tabs>
          <w:tab w:leader="none" w:pos="17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its professional advisors, auditors, service providers;</w:t>
      </w:r>
    </w:p>
    <w:p>
      <w:pPr>
        <w:spacing w:after="0" w:line="179" w:lineRule="exact"/>
        <w:rPr>
          <w:rFonts w:ascii="Times New Roman" w:cs="Times New Roman" w:eastAsia="Times New Roman" w:hAnsi="Times New Roman"/>
          <w:sz w:val="18"/>
          <w:szCs w:val="18"/>
          <w:color w:val="auto"/>
        </w:rPr>
      </w:pPr>
    </w:p>
    <w:p>
      <w:pPr>
        <w:jc w:val="both"/>
        <w:ind w:left="1800" w:hanging="332"/>
        <w:spacing w:after="0" w:line="225" w:lineRule="auto"/>
        <w:tabs>
          <w:tab w:leader="none" w:pos="17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xv</w:t>
      </w:r>
    </w:p>
    <w:p>
      <w:pPr>
        <w:sectPr>
          <w:pgSz w:w="11900" w:h="16838" w:orient="portrait"/>
          <w:cols w:equalWidth="0" w:num="1">
            <w:col w:w="11080"/>
          </w:cols>
          <w:pgMar w:left="480" w:top="1395" w:right="339" w:bottom="1440" w:gutter="0" w:footer="0" w:header="0"/>
        </w:sectPr>
      </w:pPr>
    </w:p>
    <w:bookmarkStart w:id="68" w:name="page69"/>
    <w:bookmarkEnd w:id="68"/>
    <w:p>
      <w:pPr>
        <w:jc w:val="both"/>
        <w:ind w:left="1800" w:hanging="332"/>
        <w:spacing w:after="0" w:line="225" w:lineRule="auto"/>
        <w:tabs>
          <w:tab w:leader="none" w:pos="17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 parties if it is under a duty to disclose or share the Grantee’s personal data in order to comply with any laws, regulations or good governance obligations, or in order to enforce or to protect its rights, property or safety, or that of its customers or other persons with whom it has a business relationship.</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Retention of Personal Data</w:t>
      </w:r>
    </w:p>
    <w:p>
      <w:pPr>
        <w:spacing w:after="0" w:line="183" w:lineRule="exact"/>
        <w:rPr>
          <w:sz w:val="20"/>
          <w:szCs w:val="20"/>
          <w:color w:val="auto"/>
        </w:rPr>
      </w:pPr>
    </w:p>
    <w:p>
      <w:pPr>
        <w:jc w:val="both"/>
        <w:ind w:left="1140"/>
        <w:spacing w:after="0" w:line="236"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the duration of the Plan and for a further period of eight years after the Grantee ceases to be a member of the Plan.</w:t>
      </w:r>
    </w:p>
    <w:p>
      <w:pPr>
        <w:spacing w:after="0" w:line="150" w:lineRule="exact"/>
        <w:rPr>
          <w:sz w:val="20"/>
          <w:szCs w:val="20"/>
          <w:color w:val="auto"/>
        </w:rPr>
      </w:pPr>
    </w:p>
    <w:p>
      <w:pPr>
        <w:jc w:val="both"/>
        <w:ind w:left="1140"/>
        <w:spacing w:after="0" w:line="225"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The Grantee’s Rights</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In order to control the use of their personal data, each Grantee has the following controls over their personal data:</w:t>
      </w:r>
    </w:p>
    <w:p>
      <w:pPr>
        <w:spacing w:after="0" w:line="191" w:lineRule="exact"/>
        <w:rPr>
          <w:sz w:val="20"/>
          <w:szCs w:val="20"/>
          <w:color w:val="auto"/>
        </w:rPr>
      </w:pPr>
    </w:p>
    <w:p>
      <w:pPr>
        <w:ind w:left="1800" w:right="20" w:hanging="332"/>
        <w:spacing w:after="0" w:line="236" w:lineRule="auto"/>
        <w:tabs>
          <w:tab w:leader="none" w:pos="17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access to or copies of the personal data that the Relevant TriMas Companies hold about them by contacting their local human resources representative;</w:t>
      </w:r>
    </w:p>
    <w:p>
      <w:pPr>
        <w:spacing w:after="0" w:line="150" w:lineRule="exact"/>
        <w:rPr>
          <w:rFonts w:ascii="Times New Roman" w:cs="Times New Roman" w:eastAsia="Times New Roman" w:hAnsi="Times New Roman"/>
          <w:sz w:val="18"/>
          <w:szCs w:val="18"/>
          <w:color w:val="auto"/>
        </w:rPr>
      </w:pPr>
    </w:p>
    <w:p>
      <w:pPr>
        <w:jc w:val="both"/>
        <w:ind w:left="1800" w:hanging="332"/>
        <w:spacing w:after="0" w:line="217" w:lineRule="auto"/>
        <w:tabs>
          <w:tab w:leader="none" w:pos="17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 is inaccurate. In certain circumstances, the Grantee may also request that the Relevant TriMas Companies restrict their processing;</w:t>
      </w:r>
    </w:p>
    <w:p>
      <w:pPr>
        <w:spacing w:after="0" w:line="152" w:lineRule="exact"/>
        <w:rPr>
          <w:rFonts w:ascii="Times New Roman" w:cs="Times New Roman" w:eastAsia="Times New Roman" w:hAnsi="Times New Roman"/>
          <w:sz w:val="18"/>
          <w:szCs w:val="18"/>
          <w:color w:val="auto"/>
        </w:rPr>
      </w:pPr>
    </w:p>
    <w:p>
      <w:pPr>
        <w:jc w:val="both"/>
        <w:ind w:left="1800" w:hanging="332"/>
        <w:spacing w:after="0" w:line="220" w:lineRule="auto"/>
        <w:tabs>
          <w:tab w:leader="none" w:pos="17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152" w:lineRule="exact"/>
        <w:rPr>
          <w:rFonts w:ascii="Times New Roman" w:cs="Times New Roman" w:eastAsia="Times New Roman" w:hAnsi="Times New Roman"/>
          <w:sz w:val="18"/>
          <w:szCs w:val="18"/>
          <w:color w:val="auto"/>
        </w:rPr>
      </w:pPr>
    </w:p>
    <w:p>
      <w:pPr>
        <w:jc w:val="both"/>
        <w:ind w:left="1800" w:hanging="332"/>
        <w:spacing w:after="0" w:line="217" w:lineRule="auto"/>
        <w:tabs>
          <w:tab w:leader="none" w:pos="17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179" w:lineRule="exact"/>
        <w:rPr>
          <w:rFonts w:ascii="Times New Roman" w:cs="Times New Roman" w:eastAsia="Times New Roman" w:hAnsi="Times New Roman"/>
          <w:sz w:val="18"/>
          <w:szCs w:val="18"/>
          <w:color w:val="auto"/>
        </w:rPr>
      </w:pPr>
    </w:p>
    <w:p>
      <w:pPr>
        <w:jc w:val="both"/>
        <w:ind w:left="1800" w:hanging="332"/>
        <w:spacing w:after="0" w:line="220" w:lineRule="auto"/>
        <w:tabs>
          <w:tab w:leader="none" w:pos="17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xvi</w:t>
      </w:r>
    </w:p>
    <w:p>
      <w:pPr>
        <w:sectPr>
          <w:pgSz w:w="11900" w:h="16838" w:orient="portrait"/>
          <w:cols w:equalWidth="0" w:num="1">
            <w:col w:w="11080"/>
          </w:cols>
          <w:pgMar w:left="480" w:top="1395" w:right="339" w:bottom="1440" w:gutter="0" w:footer="0" w:header="0"/>
        </w:sectPr>
      </w:pPr>
    </w:p>
    <w:bookmarkStart w:id="69" w:name="page70"/>
    <w:bookmarkEnd w:id="69"/>
    <w:p>
      <w:pPr>
        <w:jc w:val="both"/>
        <w:ind w:left="1300"/>
        <w:spacing w:after="0" w:line="217" w:lineRule="auto"/>
        <w:rPr>
          <w:sz w:val="20"/>
          <w:szCs w:val="20"/>
          <w:color w:val="auto"/>
        </w:rPr>
      </w:pPr>
      <w:r>
        <w:rPr>
          <w:rFonts w:ascii="Times New Roman" w:cs="Times New Roman" w:eastAsia="Times New Roman" w:hAnsi="Times New Roman"/>
          <w:sz w:val="22"/>
          <w:szCs w:val="22"/>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Times New Roman" w:cs="Times New Roman" w:eastAsia="Times New Roman" w:hAnsi="Times New Roman"/>
          <w:sz w:val="22"/>
          <w:szCs w:val="22"/>
          <w:u w:val="single" w:color="auto"/>
          <w:color w:val="0000FF"/>
        </w:rPr>
        <w:t>https://ico.org.uk/concerns/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Loss of Office or Employment</w:t>
      </w:r>
      <w:r>
        <w:rPr>
          <w:rFonts w:ascii="Times New Roman" w:cs="Times New Roman" w:eastAsia="Times New Roman" w:hAnsi="Times New Roman"/>
          <w:sz w:val="22"/>
          <w:szCs w:val="22"/>
          <w:color w:val="auto"/>
        </w:rPr>
        <w:t>. A new Section II.B.18 is added to the Agreement to read as follows:</w:t>
      </w:r>
    </w:p>
    <w:p>
      <w:pPr>
        <w:spacing w:after="0" w:line="210" w:lineRule="exact"/>
        <w:rPr>
          <w:sz w:val="20"/>
          <w:szCs w:val="20"/>
          <w:color w:val="auto"/>
        </w:rPr>
      </w:pPr>
    </w:p>
    <w:p>
      <w:pPr>
        <w:jc w:val="both"/>
        <w:ind w:left="1300" w:right="640"/>
        <w:spacing w:after="0" w:line="217" w:lineRule="auto"/>
        <w:rPr>
          <w:sz w:val="20"/>
          <w:szCs w:val="20"/>
          <w:color w:val="auto"/>
        </w:rPr>
      </w:pPr>
      <w:r>
        <w:rPr>
          <w:rFonts w:ascii="Times New Roman" w:cs="Times New Roman" w:eastAsia="Times New Roman" w:hAnsi="Times New Roman"/>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xvii</w:t>
      </w:r>
    </w:p>
    <w:p>
      <w:pPr>
        <w:sectPr>
          <w:pgSz w:w="11900" w:h="16838" w:orient="portrait"/>
          <w:cols w:equalWidth="0" w:num="1">
            <w:col w:w="11240"/>
          </w:cols>
          <w:pgMar w:left="320" w:top="1395" w:right="339" w:bottom="1440" w:gutter="0" w:footer="0" w:header="0"/>
        </w:sectPr>
      </w:pPr>
    </w:p>
    <w:bookmarkStart w:id="70" w:name="page71"/>
    <w:bookmarkEnd w:id="70"/>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D</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AGREEMENT</w:t>
      </w:r>
    </w:p>
    <w:p>
      <w:pPr>
        <w:spacing w:after="0" w:line="17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CALIFORNIA ADDENDUM</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2017 Equity and Incentive</w:t>
      </w: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Plan,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1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performance-based Restricted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granted to you under the TriMas Corporation 2017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are employed and/or reside in California or if the Company determines that the application of such terms and conditions is necessary or advisable in order to comply with applicable law.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Section II.B.3 of the Agreement is hereby amended in its entirety to read as follows:</w:t>
      </w:r>
    </w:p>
    <w:p>
      <w:pPr>
        <w:spacing w:after="0" w:line="206"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40" w:firstLine="644"/>
        <w:spacing w:after="0" w:line="221" w:lineRule="auto"/>
        <w:tabs>
          <w:tab w:leader="none" w:pos="193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PSUs or Common Stock to Grantee without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148" w:lineRule="exact"/>
        <w:rPr>
          <w:rFonts w:ascii="Times New Roman" w:cs="Times New Roman" w:eastAsia="Times New Roman" w:hAnsi="Times New Roman"/>
          <w:sz w:val="22"/>
          <w:szCs w:val="22"/>
          <w:color w:val="auto"/>
        </w:rPr>
      </w:pPr>
    </w:p>
    <w:p>
      <w:pPr>
        <w:jc w:val="both"/>
        <w:ind w:left="640" w:firstLine="644"/>
        <w:spacing w:after="0" w:line="209" w:lineRule="auto"/>
        <w:tabs>
          <w:tab w:leader="none" w:pos="193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PSUs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xviii</w:t>
      </w:r>
    </w:p>
    <w:p>
      <w:pPr>
        <w:sectPr>
          <w:pgSz w:w="11900" w:h="16838" w:orient="portrait"/>
          <w:cols w:equalWidth="0" w:num="1">
            <w:col w:w="11240"/>
          </w:cols>
          <w:pgMar w:left="320" w:top="1440" w:right="339" w:bottom="1440" w:gutter="0" w:footer="0" w:header="0"/>
        </w:sectPr>
      </w:pPr>
    </w:p>
    <w:bookmarkStart w:id="71" w:name="page72"/>
    <w:bookmarkEnd w:id="71"/>
    <w:p>
      <w:pPr>
        <w:jc w:val="both"/>
        <w:ind w:left="480"/>
        <w:spacing w:after="0" w:line="211" w:lineRule="auto"/>
        <w:rPr>
          <w:sz w:val="20"/>
          <w:szCs w:val="20"/>
          <w:color w:val="auto"/>
        </w:rPr>
      </w:pPr>
      <w:r>
        <w:rPr>
          <w:rFonts w:ascii="Times New Roman" w:cs="Times New Roman" w:eastAsia="Times New Roman" w:hAnsi="Times New Roman"/>
          <w:sz w:val="22"/>
          <w:szCs w:val="22"/>
          <w:color w:val="auto"/>
        </w:rPr>
        <w:t>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nothing in this Agreement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54" w:lineRule="exact"/>
        <w:rPr>
          <w:sz w:val="20"/>
          <w:szCs w:val="20"/>
          <w:color w:val="auto"/>
        </w:rPr>
      </w:pPr>
    </w:p>
    <w:p>
      <w:pPr>
        <w:jc w:val="both"/>
        <w:ind w:left="480" w:firstLine="644"/>
        <w:spacing w:after="0" w:line="211" w:lineRule="auto"/>
        <w:tabs>
          <w:tab w:leader="none" w:pos="177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 Against Solicitation</w:t>
      </w:r>
      <w:r>
        <w:rPr>
          <w:rFonts w:ascii="Times New Roman" w:cs="Times New Roman" w:eastAsia="Times New Roman" w:hAnsi="Times New Roman"/>
          <w:sz w:val="22"/>
          <w:szCs w:val="22"/>
          <w:color w:val="auto"/>
        </w:rPr>
        <w:t>. Grantee further understands and agrees that while Grantee is employed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The “Business” shall mean the design, development, manufacture, distribution, sale or marketing of the type of products or services sold, distributed or provided by the Company during the one-year period prior to the date of employment termination and with which Grantee was involved and/or oversaw.</w:t>
      </w:r>
    </w:p>
    <w:p>
      <w:pPr>
        <w:spacing w:after="0" w:line="151" w:lineRule="exact"/>
        <w:rPr>
          <w:rFonts w:ascii="Times New Roman" w:cs="Times New Roman" w:eastAsia="Times New Roman" w:hAnsi="Times New Roman"/>
          <w:sz w:val="22"/>
          <w:szCs w:val="22"/>
          <w:color w:val="auto"/>
        </w:rPr>
      </w:pPr>
    </w:p>
    <w:p>
      <w:pPr>
        <w:jc w:val="both"/>
        <w:ind w:left="480" w:firstLine="644"/>
        <w:spacing w:after="0" w:line="221" w:lineRule="auto"/>
        <w:tabs>
          <w:tab w:leader="none" w:pos="177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48" w:lineRule="exact"/>
        <w:rPr>
          <w:rFonts w:ascii="Times New Roman" w:cs="Times New Roman" w:eastAsia="Times New Roman" w:hAnsi="Times New Roman"/>
          <w:sz w:val="22"/>
          <w:szCs w:val="22"/>
          <w:color w:val="auto"/>
        </w:rPr>
      </w:pPr>
    </w:p>
    <w:p>
      <w:pPr>
        <w:ind w:left="1780" w:hanging="656"/>
        <w:spacing w:after="0"/>
        <w:tabs>
          <w:tab w:leader="none" w:pos="17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179" w:lineRule="exact"/>
        <w:rPr>
          <w:rFonts w:ascii="Times New Roman" w:cs="Times New Roman" w:eastAsia="Times New Roman" w:hAnsi="Times New Roman"/>
          <w:sz w:val="22"/>
          <w:szCs w:val="22"/>
          <w:color w:val="auto"/>
        </w:rPr>
      </w:pPr>
    </w:p>
    <w:p>
      <w:pPr>
        <w:jc w:val="both"/>
        <w:ind w:left="1140" w:firstLine="622"/>
        <w:spacing w:after="0" w:line="214" w:lineRule="auto"/>
        <w:tabs>
          <w:tab w:leader="none" w:pos="228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48" w:lineRule="exact"/>
        <w:rPr>
          <w:rFonts w:ascii="Times New Roman" w:cs="Times New Roman" w:eastAsia="Times New Roman" w:hAnsi="Times New Roman"/>
          <w:sz w:val="22"/>
          <w:szCs w:val="22"/>
          <w:color w:val="auto"/>
        </w:rPr>
      </w:pPr>
    </w:p>
    <w:p>
      <w:pPr>
        <w:jc w:val="both"/>
        <w:ind w:left="1140" w:firstLine="622"/>
        <w:spacing w:after="0" w:line="216" w:lineRule="auto"/>
        <w:tabs>
          <w:tab w:leader="none" w:pos="2429"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xix</w:t>
      </w:r>
    </w:p>
    <w:p>
      <w:pPr>
        <w:sectPr>
          <w:pgSz w:w="11900" w:h="16838" w:orient="portrait"/>
          <w:cols w:equalWidth="0" w:num="1">
            <w:col w:w="11080"/>
          </w:cols>
          <w:pgMar w:left="480" w:top="1395" w:right="339" w:bottom="1440" w:gutter="0" w:footer="0" w:header="0"/>
        </w:sectPr>
      </w:pPr>
    </w:p>
    <w:bookmarkStart w:id="72" w:name="page73"/>
    <w:bookmarkEnd w:id="72"/>
    <w:p>
      <w:pPr>
        <w:jc w:val="both"/>
        <w:ind w:left="1300"/>
        <w:spacing w:after="0" w:line="212" w:lineRule="auto"/>
        <w:rPr>
          <w:sz w:val="20"/>
          <w:szCs w:val="20"/>
          <w:color w:val="auto"/>
        </w:rPr>
      </w:pPr>
      <w:r>
        <w:rPr>
          <w:rFonts w:ascii="Times New Roman" w:cs="Times New Roman" w:eastAsia="Times New Roman" w:hAnsi="Times New Roman"/>
          <w:sz w:val="22"/>
          <w:szCs w:val="22"/>
          <w:color w:val="auto"/>
        </w:rPr>
        <w:t>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52" w:lineRule="exact"/>
        <w:rPr>
          <w:sz w:val="20"/>
          <w:szCs w:val="20"/>
          <w:color w:val="auto"/>
        </w:rPr>
      </w:pPr>
    </w:p>
    <w:p>
      <w:pPr>
        <w:ind w:left="640" w:firstLine="644"/>
        <w:spacing w:after="0" w:line="238" w:lineRule="auto"/>
        <w:tabs>
          <w:tab w:leader="none" w:pos="188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w:t>
      </w:r>
      <w:r>
        <w:rPr>
          <w:rFonts w:ascii="Times New Roman" w:cs="Times New Roman" w:eastAsia="Times New Roman" w:hAnsi="Times New Roman"/>
          <w:sz w:val="22"/>
          <w:szCs w:val="22"/>
          <w:color w:val="auto"/>
        </w:rPr>
        <w:t>. A new Section II.B.17 is added to the Agreement to read as follows:</w:t>
      </w:r>
    </w:p>
    <w:p>
      <w:pPr>
        <w:spacing w:after="0" w:line="206" w:lineRule="exact"/>
        <w:rPr>
          <w:sz w:val="20"/>
          <w:szCs w:val="20"/>
          <w:color w:val="auto"/>
        </w:rPr>
      </w:pPr>
    </w:p>
    <w:p>
      <w:pPr>
        <w:jc w:val="both"/>
        <w:ind w:firstLine="594"/>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Privacy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respects Grantee’s privacy. In order to administer Grantee’s equity award, the Company collects and uses certain personal information about Grantee, including Grantee’s prior equity grant information where applicable. If Grantee is a California resident, Grantee should refer to the Company’s California Consumer Privacy Act Notice for more information about the personal information the Company collects about Grantee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xx</w:t>
      </w:r>
    </w:p>
    <w:p>
      <w:pPr>
        <w:sectPr>
          <w:pgSz w:w="11900" w:h="16838" w:orient="portrait"/>
          <w:cols w:equalWidth="0" w:num="1">
            <w:col w:w="11240"/>
          </w:cols>
          <w:pgMar w:left="320" w:top="1395"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Restricted Stock Units Award</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Three-Year Vest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EQUITY AND INCENTIVE COMPENSATION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1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2017 Equity and Incentive Compensation Plan (“Plan”), and as approved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Unless otherwise defined in this Agreement or in Appendix A to this Agreement, the terms used in this Agreement have the same meanings as defined in the Plan.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  NOTICE OF AWARD</w:t>
            </w:r>
          </w:p>
        </w:tc>
        <w:tc>
          <w:tcPr>
            <w:tcW w:w="458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502"/>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458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[specify Grantee’s name]</w:t>
            </w:r>
          </w:p>
        </w:tc>
      </w:tr>
      <w:tr>
        <w:trPr>
          <w:trHeight w:val="270"/>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Date of Agreement:</w:t>
            </w:r>
          </w:p>
        </w:tc>
        <w:tc>
          <w:tcPr>
            <w:tcW w:w="458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As of [enter date]</w:t>
            </w:r>
          </w:p>
        </w:tc>
      </w:tr>
      <w:tr>
        <w:trPr>
          <w:trHeight w:val="270"/>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458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 date]</w:t>
            </w:r>
          </w:p>
        </w:tc>
      </w:tr>
      <w:tr>
        <w:trPr>
          <w:trHeight w:val="286"/>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Number of Restricted Stock Units:</w:t>
            </w:r>
          </w:p>
        </w:tc>
        <w:tc>
          <w:tcPr>
            <w:tcW w:w="458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[number of Restricted Stock Units]</w:t>
            </w:r>
          </w:p>
        </w:tc>
      </w:tr>
    </w:tbl>
    <w:p>
      <w:pPr>
        <w:spacing w:after="0" w:line="281" w:lineRule="exact"/>
        <w:rPr>
          <w:sz w:val="20"/>
          <w:szCs w:val="20"/>
          <w:color w:val="auto"/>
        </w:rPr>
      </w:pPr>
    </w:p>
    <w:p>
      <w:pPr>
        <w:ind w:left="420" w:hanging="412"/>
        <w:spacing w:after="0"/>
        <w:tabs>
          <w:tab w:leader="none" w:pos="4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p>
    <w:p>
      <w:pPr>
        <w:spacing w:after="0" w:line="192" w:lineRule="exact"/>
        <w:rPr>
          <w:rFonts w:ascii="Times New Roman" w:cs="Times New Roman" w:eastAsia="Times New Roman" w:hAnsi="Times New Roman"/>
          <w:sz w:val="22"/>
          <w:szCs w:val="22"/>
          <w:color w:val="auto"/>
        </w:rPr>
      </w:pPr>
    </w:p>
    <w:p>
      <w:pPr>
        <w:jc w:val="both"/>
        <w:ind w:firstLine="231"/>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number of Restricted Stock Units set forth above, subject to the terms of this Agreement. The Restricted Stock Units granted under this Agreement are payable only in shares of Common Stock as described in Section II.A.2. Notwithstanding anything to the contrary anywhere else in this Agreement, the Restricted Stock Units evidenced by this Award are subject to the terms and provisions of the Plan, which are incorporated by reference into this Agreement.</w:t>
      </w:r>
    </w:p>
    <w:p>
      <w:pPr>
        <w:spacing w:after="0" w:line="158" w:lineRule="exact"/>
        <w:rPr>
          <w:rFonts w:ascii="Times New Roman" w:cs="Times New Roman" w:eastAsia="Times New Roman" w:hAnsi="Times New Roman"/>
          <w:sz w:val="22"/>
          <w:szCs w:val="22"/>
          <w:color w:val="auto"/>
        </w:rPr>
      </w:pPr>
    </w:p>
    <w:p>
      <w:pPr>
        <w:ind w:left="820" w:hanging="380"/>
        <w:spacing w:after="0"/>
        <w:tabs>
          <w:tab w:leader="none" w:pos="820" w:val="left"/>
        </w:tabs>
        <w:numPr>
          <w:ilvl w:val="2"/>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660" w:firstLine="644"/>
        <w:spacing w:after="0" w:line="227" w:lineRule="auto"/>
        <w:tabs>
          <w:tab w:leader="none" w:pos="1953" w:val="left"/>
        </w:tabs>
        <w:numPr>
          <w:ilvl w:val="3"/>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the Restricted Stock Units will vest in three substantially equal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installments on the first three anniversaries of the Date of Grant (each, a “Vesting Date”), subject generally to Grantee’s continued status as a Service Provider through each such Vesting Date.</w:t>
      </w:r>
    </w:p>
    <w:p>
      <w:pPr>
        <w:sectPr>
          <w:pgSz w:w="11900" w:h="16838" w:orient="portrait"/>
          <w:cols w:equalWidth="0" w:num="1">
            <w:col w:w="11240"/>
          </w:cols>
          <w:pgMar w:left="320" w:top="1418" w:right="339" w:bottom="1440" w:gutter="0" w:footer="0" w:header="0"/>
        </w:sectPr>
      </w:pPr>
    </w:p>
    <w:bookmarkStart w:id="74" w:name="page75"/>
    <w:bookmarkEnd w:id="74"/>
    <w:p>
      <w:pPr>
        <w:spacing w:after="0" w:line="200" w:lineRule="exact"/>
        <w:rPr>
          <w:sz w:val="20"/>
          <w:szCs w:val="20"/>
          <w:color w:val="auto"/>
        </w:rPr>
      </w:pPr>
    </w:p>
    <w:p>
      <w:pPr>
        <w:spacing w:after="0" w:line="210" w:lineRule="exact"/>
        <w:rPr>
          <w:sz w:val="20"/>
          <w:szCs w:val="20"/>
          <w:color w:val="auto"/>
        </w:rPr>
      </w:pPr>
    </w:p>
    <w:p>
      <w:pPr>
        <w:ind w:left="1780" w:hanging="636"/>
        <w:spacing w:after="0"/>
        <w:tabs>
          <w:tab w:leader="none" w:pos="17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Notwithstanding any other provision of this Agreement:</w:t>
      </w:r>
    </w:p>
    <w:p>
      <w:pPr>
        <w:spacing w:after="0" w:line="179" w:lineRule="exact"/>
        <w:rPr>
          <w:rFonts w:ascii="Times New Roman" w:cs="Times New Roman" w:eastAsia="Times New Roman" w:hAnsi="Times New Roman"/>
          <w:sz w:val="22"/>
          <w:szCs w:val="22"/>
          <w:color w:val="auto"/>
        </w:rPr>
      </w:pPr>
    </w:p>
    <w:p>
      <w:pPr>
        <w:jc w:val="both"/>
        <w:ind w:left="1140" w:firstLine="652"/>
        <w:spacing w:after="0" w:line="211" w:lineRule="auto"/>
        <w:tabs>
          <w:tab w:leader="none" w:pos="2343"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Voluntary Termination; Termination for Cause; Breach of Other Obligations</w:t>
      </w:r>
      <w:r>
        <w:rPr>
          <w:rFonts w:ascii="Times New Roman" w:cs="Times New Roman" w:eastAsia="Times New Roman" w:hAnsi="Times New Roman"/>
          <w:sz w:val="22"/>
          <w:szCs w:val="22"/>
          <w:color w:val="auto"/>
        </w:rPr>
        <w:t>. Any unvested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this Award will be canceled and forfeited if Grantee voluntarily terminates as a Service Provider (other than for Good Reason or as a result of Retirement as provided below), if Grantee’s status as a Service Provider is involuntarily terminated by the Company or a Subsidiary for Cause, or if Grantee violates the provisions of Section II.B.3 below. Notwithstanding the foregoing, no termination of Grantee’s employment shall qualify as a termination for Cause unless (x) the Company notifies Grantee in writing of the Company’s intention to terminate Grantee’s employment for Cause within 90 days following the initial existence of the occurrence or event giving rise to Cause, (y) Grantee fails to cure such occurrence or event within 30 days after receipt of such notice from the Company and (z) the Company terminates Grantee’s employment within 45 days after the expiration of Grantee’s cure period in subsection (y).</w:t>
      </w:r>
    </w:p>
    <w:p>
      <w:pPr>
        <w:spacing w:after="0" w:line="151" w:lineRule="exact"/>
        <w:rPr>
          <w:rFonts w:ascii="Times New Roman" w:cs="Times New Roman" w:eastAsia="Times New Roman" w:hAnsi="Times New Roman"/>
          <w:sz w:val="22"/>
          <w:szCs w:val="22"/>
          <w:color w:val="auto"/>
        </w:rPr>
      </w:pPr>
    </w:p>
    <w:p>
      <w:pPr>
        <w:jc w:val="both"/>
        <w:ind w:left="1140" w:firstLine="652"/>
        <w:spacing w:after="0" w:line="221" w:lineRule="auto"/>
        <w:tabs>
          <w:tab w:leader="none" w:pos="228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 Disability</w:t>
      </w:r>
      <w:r>
        <w:rPr>
          <w:rFonts w:ascii="Times New Roman" w:cs="Times New Roman" w:eastAsia="Times New Roman" w:hAnsi="Times New Roman"/>
          <w:sz w:val="22"/>
          <w:szCs w:val="22"/>
          <w:color w:val="auto"/>
        </w:rPr>
        <w:t>. If Grantee ceases to be a Service Provider prior to any Vesting Date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death or Disability, Grantee shall fully vest in the Restricted Stock Units subject to this Award that have not already vested as of the date on which Grantee ceases to be a Service Provider due to Grantee’s death or Disability.</w:t>
      </w:r>
    </w:p>
    <w:p>
      <w:pPr>
        <w:spacing w:after="0" w:line="148" w:lineRule="exact"/>
        <w:rPr>
          <w:rFonts w:ascii="Times New Roman" w:cs="Times New Roman" w:eastAsia="Times New Roman" w:hAnsi="Times New Roman"/>
          <w:sz w:val="22"/>
          <w:szCs w:val="22"/>
          <w:color w:val="auto"/>
        </w:rPr>
      </w:pPr>
    </w:p>
    <w:p>
      <w:pPr>
        <w:jc w:val="both"/>
        <w:ind w:left="1140" w:firstLine="652"/>
        <w:spacing w:after="0" w:line="214" w:lineRule="auto"/>
        <w:tabs>
          <w:tab w:leader="none" w:pos="2382"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Qualifying Termination Prior to a Change in Control</w:t>
      </w:r>
      <w:r>
        <w:rPr>
          <w:rFonts w:ascii="Times New Roman" w:cs="Times New Roman" w:eastAsia="Times New Roman" w:hAnsi="Times New Roman"/>
          <w:sz w:val="22"/>
          <w:szCs w:val="22"/>
          <w:color w:val="auto"/>
        </w:rPr>
        <w:t>. If Grantee has a Qualifying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occurs prior to (or more than two years after) a Change in Control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Date of Grant to the date of Grantee’s Qualifying Termination, and (ii) a denominator equal to 36, and then (y) subtracting the number of Restricted Stock Units that have already vested under this Award.</w:t>
      </w:r>
    </w:p>
    <w:p>
      <w:pPr>
        <w:spacing w:after="0" w:line="148" w:lineRule="exact"/>
        <w:rPr>
          <w:rFonts w:ascii="Times New Roman" w:cs="Times New Roman" w:eastAsia="Times New Roman" w:hAnsi="Times New Roman"/>
          <w:sz w:val="22"/>
          <w:szCs w:val="22"/>
          <w:color w:val="auto"/>
        </w:rPr>
      </w:pPr>
    </w:p>
    <w:p>
      <w:pPr>
        <w:jc w:val="both"/>
        <w:ind w:left="1140" w:firstLine="652"/>
        <w:spacing w:after="0" w:line="221" w:lineRule="auto"/>
        <w:tabs>
          <w:tab w:leader="none" w:pos="237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If Grantee ceases to be a Service Provider prior to any Vesting Date due to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Grantee shall continue to vest in the Restricted Stock Units subject to this Award to the same extent that Grantee would have vested in such Restricted Stock Units had Grantee continued to be a Service Provider through the final Vesting Date.</w:t>
      </w:r>
    </w:p>
    <w:p>
      <w:pPr>
        <w:spacing w:after="0" w:line="148" w:lineRule="exact"/>
        <w:rPr>
          <w:rFonts w:ascii="Times New Roman" w:cs="Times New Roman" w:eastAsia="Times New Roman" w:hAnsi="Times New Roman"/>
          <w:sz w:val="22"/>
          <w:szCs w:val="22"/>
          <w:color w:val="auto"/>
        </w:rPr>
      </w:pPr>
    </w:p>
    <w:p>
      <w:pPr>
        <w:jc w:val="both"/>
        <w:ind w:left="1140" w:firstLine="652"/>
        <w:spacing w:after="0" w:line="227" w:lineRule="auto"/>
        <w:tabs>
          <w:tab w:leader="none" w:pos="2364"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that occurs prior to the vesting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portion of the Restricted Stock Units subject to this Award, such unvested Restricted Stock Units shall vest in accordance with this Section II.A.1(b)(v).</w:t>
      </w:r>
    </w:p>
    <w:p>
      <w:pPr>
        <w:spacing w:after="0" w:line="150" w:lineRule="exact"/>
        <w:rPr>
          <w:rFonts w:ascii="Times New Roman" w:cs="Times New Roman" w:eastAsia="Times New Roman" w:hAnsi="Times New Roman"/>
          <w:sz w:val="22"/>
          <w:szCs w:val="22"/>
          <w:color w:val="auto"/>
        </w:rPr>
      </w:pPr>
    </w:p>
    <w:p>
      <w:pPr>
        <w:jc w:val="both"/>
        <w:ind w:left="2040" w:firstLine="643"/>
        <w:spacing w:after="0" w:line="217" w:lineRule="auto"/>
        <w:tabs>
          <w:tab w:leader="none" w:pos="3353"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if at any time before the vesting or forfeiture of Restricted Stock Units subject to this Award, and while Grantee is continuously a Service Provider, a Change in Control occurs, then the Restricted Stock Units will become nonforfeitable and payable to Grantee in accordance with Section II.A.2 hereof, except to the extent that a Replacement Award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80"/>
          </w:cols>
          <w:pgMar w:left="480" w:top="1440" w:right="339" w:bottom="1440" w:gutter="0" w:footer="0" w:header="0"/>
        </w:sectPr>
      </w:pPr>
    </w:p>
    <w:bookmarkStart w:id="75" w:name="page76"/>
    <w:bookmarkEnd w:id="75"/>
    <w:p>
      <w:pPr>
        <w:ind w:left="2040"/>
        <w:spacing w:after="0" w:line="236" w:lineRule="auto"/>
        <w:rPr>
          <w:sz w:val="20"/>
          <w:szCs w:val="20"/>
          <w:color w:val="auto"/>
        </w:rPr>
      </w:pPr>
      <w:r>
        <w:rPr>
          <w:rFonts w:ascii="Times New Roman" w:cs="Times New Roman" w:eastAsia="Times New Roman" w:hAnsi="Times New Roman"/>
          <w:sz w:val="22"/>
          <w:szCs w:val="22"/>
          <w:color w:val="auto"/>
        </w:rPr>
        <w:t>provided to Grantee in accordance with Section II.A.1(b)(v)(B) to continue, replace or assume the Restricted Stock Units covered by this Award (the “Replaced Award”).</w:t>
      </w:r>
    </w:p>
    <w:p>
      <w:pPr>
        <w:spacing w:after="0" w:line="150" w:lineRule="exact"/>
        <w:rPr>
          <w:sz w:val="20"/>
          <w:szCs w:val="20"/>
          <w:color w:val="auto"/>
        </w:rPr>
      </w:pPr>
    </w:p>
    <w:p>
      <w:pPr>
        <w:jc w:val="both"/>
        <w:ind w:left="2040" w:firstLine="643"/>
        <w:spacing w:after="0" w:line="208" w:lineRule="auto"/>
        <w:tabs>
          <w:tab w:leader="none" w:pos="3225"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“Replacement Award” means an award (1) of the same type (e.g., time-based restricted stock units) as the Replaced Award, (2) that has a value at least equal to the value of the Replaced Award, (3) that relates to publicly traded equity securities of the Company or its successor in the Change in Control or another entity that is affiliated with the Company or its successor following the Change in Control, (3)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II.A.1(b)(v)(B) are satisfied will be made by the Committee, as constituted immediately before the Change in Control, in its sole discretion.</w:t>
      </w:r>
    </w:p>
    <w:p>
      <w:pPr>
        <w:spacing w:after="0" w:line="164" w:lineRule="exact"/>
        <w:rPr>
          <w:rFonts w:ascii="Times New Roman" w:cs="Times New Roman" w:eastAsia="Times New Roman" w:hAnsi="Times New Roman"/>
          <w:sz w:val="22"/>
          <w:szCs w:val="22"/>
          <w:color w:val="auto"/>
        </w:rPr>
      </w:pPr>
    </w:p>
    <w:p>
      <w:pPr>
        <w:jc w:val="both"/>
        <w:ind w:left="2040" w:firstLine="643"/>
        <w:spacing w:after="0" w:line="226" w:lineRule="auto"/>
        <w:tabs>
          <w:tab w:leader="none" w:pos="3196"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receiving a Replacement Award, (1) Grantee experiences a Qualifying Termination with the Company or a Subsidiary (or any of their successors) (as applicable, the “Successor”), or</w:t>
      </w:r>
    </w:p>
    <w:p>
      <w:pPr>
        <w:spacing w:after="0" w:line="1" w:lineRule="exact"/>
        <w:rPr>
          <w:rFonts w:ascii="Times New Roman" w:cs="Times New Roman" w:eastAsia="Times New Roman" w:hAnsi="Times New Roman"/>
          <w:sz w:val="21"/>
          <w:szCs w:val="21"/>
          <w:color w:val="auto"/>
        </w:rPr>
      </w:pPr>
    </w:p>
    <w:p>
      <w:pPr>
        <w:jc w:val="both"/>
        <w:ind w:left="2040" w:hanging="5"/>
        <w:spacing w:after="0" w:line="212" w:lineRule="auto"/>
        <w:tabs>
          <w:tab w:leader="none" w:pos="236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ceases to be a Service Provider as a result of Grantee’s Retirement, in each case within a period of two years after the Change in Control and during the remaining vesting period for the Replacement Award, the Replacement Award shall become fully vested and nonforfeitable with respect to the time-based restricted stock units covered by such Replacement Award upon such termination or Retirement.</w:t>
      </w:r>
    </w:p>
    <w:p>
      <w:pPr>
        <w:spacing w:after="0" w:line="154" w:lineRule="exact"/>
        <w:rPr>
          <w:rFonts w:ascii="Times New Roman" w:cs="Times New Roman" w:eastAsia="Times New Roman" w:hAnsi="Times New Roman"/>
          <w:sz w:val="22"/>
          <w:szCs w:val="22"/>
          <w:color w:val="auto"/>
        </w:rPr>
      </w:pPr>
    </w:p>
    <w:p>
      <w:pPr>
        <w:jc w:val="both"/>
        <w:ind w:left="2040" w:firstLine="643"/>
        <w:spacing w:after="0" w:line="220" w:lineRule="auto"/>
        <w:tabs>
          <w:tab w:leader="none" w:pos="328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Replacement Award is provided, notwithstanding anything in this Agreement to the contrary, any outstanding Restricted Stock Units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52" w:lineRule="exact"/>
        <w:rPr>
          <w:sz w:val="20"/>
          <w:szCs w:val="20"/>
          <w:color w:val="auto"/>
        </w:rPr>
      </w:pPr>
    </w:p>
    <w:p>
      <w:pPr>
        <w:jc w:val="both"/>
        <w:ind w:left="500"/>
        <w:spacing w:after="0" w:line="225" w:lineRule="auto"/>
        <w:rPr>
          <w:sz w:val="20"/>
          <w:szCs w:val="20"/>
          <w:color w:val="auto"/>
        </w:rPr>
      </w:pPr>
      <w:r>
        <w:rPr>
          <w:rFonts w:ascii="Times New Roman" w:cs="Times New Roman" w:eastAsia="Times New Roman" w:hAnsi="Times New Roman"/>
          <w:sz w:val="22"/>
          <w:szCs w:val="22"/>
          <w:color w:val="auto"/>
        </w:rPr>
        <w:t>Any Restricted Stock Units that do not vest in accordance with Section II.A.1(a) or this Section II.A.1(b) shall be canceled and forfeited as of the date Grantee ceases to be a Service Provider. However, in particular, this Award is subject to Section 18(c)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80"/>
          </w:cols>
          <w:pgMar w:left="480" w:top="1395" w:right="339" w:bottom="1440" w:gutter="0" w:footer="0" w:header="0"/>
        </w:sectPr>
      </w:pPr>
    </w:p>
    <w:bookmarkStart w:id="76" w:name="page77"/>
    <w:bookmarkEnd w:id="76"/>
    <w:p>
      <w:pPr>
        <w:ind w:left="660" w:hanging="380"/>
        <w:spacing w:after="0"/>
        <w:tabs>
          <w:tab w:leader="none" w:pos="6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500" w:firstLine="259"/>
        <w:spacing w:after="0" w:line="227" w:lineRule="auto"/>
        <w:tabs>
          <w:tab w:leader="none" w:pos="126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II.A.2(b) below, and as soon as administratively practicable following (but no later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thirty (30) days following) each applicable Vesting Date, the Company shall issue Grantee one share of Common Stock for each Restricted Stock Unit that is vested (but has not previously been settled) on such Vesting Date.</w:t>
      </w:r>
    </w:p>
    <w:p>
      <w:pPr>
        <w:spacing w:after="0" w:line="146" w:lineRule="exact"/>
        <w:rPr>
          <w:rFonts w:ascii="Times New Roman" w:cs="Times New Roman" w:eastAsia="Times New Roman" w:hAnsi="Times New Roman"/>
          <w:sz w:val="22"/>
          <w:szCs w:val="22"/>
          <w:color w:val="auto"/>
        </w:rPr>
      </w:pPr>
    </w:p>
    <w:p>
      <w:pPr>
        <w:ind w:left="500" w:firstLine="306"/>
        <w:spacing w:after="0" w:line="238" w:lineRule="auto"/>
        <w:tabs>
          <w:tab w:leader="none" w:pos="1373"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Payment Events</w:t>
      </w:r>
      <w:r>
        <w:rPr>
          <w:rFonts w:ascii="Times New Roman" w:cs="Times New Roman" w:eastAsia="Times New Roman" w:hAnsi="Times New Roman"/>
          <w:sz w:val="22"/>
          <w:szCs w:val="22"/>
          <w:color w:val="auto"/>
        </w:rPr>
        <w:t>. Notwithstanding Section II.A.2(a), to the extent that the Restricted Stock Units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on the dates set forth below, payment with respect to the Restricted Stock Units will be made as follows:</w:t>
      </w:r>
    </w:p>
    <w:p>
      <w:pPr>
        <w:spacing w:after="0" w:line="150" w:lineRule="exact"/>
        <w:rPr>
          <w:rFonts w:ascii="Times New Roman" w:cs="Times New Roman" w:eastAsia="Times New Roman" w:hAnsi="Times New Roman"/>
          <w:sz w:val="22"/>
          <w:szCs w:val="22"/>
          <w:color w:val="auto"/>
        </w:rPr>
      </w:pPr>
    </w:p>
    <w:p>
      <w:pPr>
        <w:jc w:val="both"/>
        <w:ind w:left="1140" w:firstLine="571"/>
        <w:spacing w:after="0" w:line="220" w:lineRule="auto"/>
        <w:tabs>
          <w:tab w:leader="none" w:pos="2266" w:val="left"/>
        </w:tabs>
        <w:numPr>
          <w:ilvl w:val="3"/>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Restricted Stock Units are vested as a result of Section II.A.1(b) (and have not previously been settled) on the date of Grantee’s death, the Company shall issue Grantee one share of Common Stock for each vested Restricted Stock Unit as soon as practicable following (but no later than thirty (30) days following) the date of Grantee’s death;</w:t>
      </w:r>
    </w:p>
    <w:p>
      <w:pPr>
        <w:spacing w:after="0" w:line="152" w:lineRule="exact"/>
        <w:rPr>
          <w:rFonts w:ascii="Times New Roman" w:cs="Times New Roman" w:eastAsia="Times New Roman" w:hAnsi="Times New Roman"/>
          <w:sz w:val="22"/>
          <w:szCs w:val="22"/>
          <w:color w:val="auto"/>
        </w:rPr>
      </w:pPr>
    </w:p>
    <w:p>
      <w:pPr>
        <w:jc w:val="both"/>
        <w:ind w:left="1140" w:firstLine="571"/>
        <w:spacing w:after="0" w:line="211" w:lineRule="auto"/>
        <w:tabs>
          <w:tab w:leader="none" w:pos="2315" w:val="left"/>
        </w:tabs>
        <w:numPr>
          <w:ilvl w:val="3"/>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Restricted Stock Units are vested as a result of Section II.A.1(b) (and have not previously been settled) on the date of a Change in Control, the Company shall issue Grantee one share of Common Stock for each vested Restricted Stock Unit as soon as practicable following (but no later than thirty (30) days following) the date of the Change in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Change in Control would not qualify as a permissible date of distribution under Section 409A(a)(2)(A) of the Code, and the regulations thereunder, and where Section 409A of the Code applies to such distribution, payment for the Restricted Stock Units shall be made upon the earlier of (A) a Change in Control that constitutes a “change in control” for purposes of Section 409A(a)(2)(A)(v) of the Code, or (B) the date that would have otherwise applied pursuant to this Agreement had such Change in Control not occurred; and</w:t>
      </w:r>
    </w:p>
    <w:p>
      <w:pPr>
        <w:spacing w:after="0" w:line="158" w:lineRule="exact"/>
        <w:rPr>
          <w:rFonts w:ascii="Times New Roman" w:cs="Times New Roman" w:eastAsia="Times New Roman" w:hAnsi="Times New Roman"/>
          <w:sz w:val="22"/>
          <w:szCs w:val="22"/>
          <w:color w:val="auto"/>
        </w:rPr>
      </w:pPr>
    </w:p>
    <w:p>
      <w:pPr>
        <w:jc w:val="both"/>
        <w:ind w:left="1140" w:firstLine="571"/>
        <w:spacing w:after="0" w:line="225" w:lineRule="auto"/>
        <w:tabs>
          <w:tab w:leader="none" w:pos="2363" w:val="left"/>
        </w:tabs>
        <w:numPr>
          <w:ilvl w:val="3"/>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Restricted Stock Units are vested as a result of Section II.A.1(b) (and have not previously been settled) on the date of Grantee’s “separation from service” with the Company and its Subsidiaries (determined in accordance with Section 409A(a)(2)(A)(i) of the Code) within two years following the occurrence of a Change in Control that constitutes a “change in control” for purposes of Section 409A(a)(2)(A)(v) of the Code, the Company shall issue Grantee one share of Common Stock for each vested Restricted Stock Unit as soon as practicable following (but no later than thirty (30) days following) the date of such separation from service.</w:t>
      </w:r>
    </w:p>
    <w:p>
      <w:pPr>
        <w:spacing w:after="0" w:line="149" w:lineRule="exact"/>
        <w:rPr>
          <w:rFonts w:ascii="Times New Roman" w:cs="Times New Roman" w:eastAsia="Times New Roman" w:hAnsi="Times New Roman"/>
          <w:sz w:val="21"/>
          <w:szCs w:val="21"/>
          <w:color w:val="auto"/>
        </w:rPr>
      </w:pPr>
    </w:p>
    <w:p>
      <w:pPr>
        <w:jc w:val="both"/>
        <w:ind w:left="-160" w:firstLine="449"/>
        <w:spacing w:after="0" w:line="212" w:lineRule="auto"/>
        <w:tabs>
          <w:tab w:leader="none" w:pos="663"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Restricted Stock Unit equal to the amount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80"/>
          </w:cols>
          <w:pgMar w:left="480" w:top="1391" w:right="339" w:bottom="1440" w:gutter="0" w:footer="0" w:header="0"/>
        </w:sectPr>
      </w:pPr>
    </w:p>
    <w:bookmarkStart w:id="77" w:name="page78"/>
    <w:bookmarkEnd w:id="77"/>
    <w:p>
      <w:pPr>
        <w:ind w:left="-160" w:right="20" w:firstLine="467"/>
        <w:spacing w:after="0" w:line="238" w:lineRule="auto"/>
        <w:tabs>
          <w:tab w:leader="none" w:pos="690" w:val="left"/>
        </w:tabs>
        <w:numPr>
          <w:ilvl w:val="2"/>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will not have any rights of a stockholder (including voting and dividend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Restricted Stock Units covered by this Award (except as otherwise provided in Section II.A.3).</w:t>
      </w:r>
    </w:p>
    <w:p>
      <w:pPr>
        <w:spacing w:after="0" w:line="146" w:lineRule="exact"/>
        <w:rPr>
          <w:rFonts w:ascii="Times New Roman" w:cs="Times New Roman" w:eastAsia="Times New Roman" w:hAnsi="Times New Roman"/>
          <w:sz w:val="22"/>
          <w:szCs w:val="22"/>
          <w:b w:val="1"/>
          <w:bCs w:val="1"/>
          <w:color w:val="auto"/>
        </w:rPr>
      </w:pPr>
    </w:p>
    <w:p>
      <w:pPr>
        <w:ind w:left="-160" w:firstLine="440"/>
        <w:spacing w:after="0" w:line="238" w:lineRule="auto"/>
        <w:tabs>
          <w:tab w:leader="none" w:pos="650" w:val="left"/>
        </w:tabs>
        <w:numPr>
          <w:ilvl w:val="1"/>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Restricted Stock Units covered by this Award will be subject to adjustment as provided in Section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Plan.</w:t>
      </w:r>
    </w:p>
    <w:p>
      <w:pPr>
        <w:spacing w:after="0" w:line="146" w:lineRule="exact"/>
        <w:rPr>
          <w:rFonts w:ascii="Times New Roman" w:cs="Times New Roman" w:eastAsia="Times New Roman" w:hAnsi="Times New Roman"/>
          <w:sz w:val="22"/>
          <w:szCs w:val="22"/>
          <w:b w:val="1"/>
          <w:bCs w:val="1"/>
          <w:color w:val="auto"/>
        </w:rPr>
      </w:pPr>
    </w:p>
    <w:p>
      <w:pPr>
        <w:ind w:left="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160" w:firstLine="521"/>
        <w:spacing w:after="0" w:line="221" w:lineRule="auto"/>
        <w:tabs>
          <w:tab w:leader="none" w:pos="771" w:val="left"/>
        </w:tabs>
        <w:numPr>
          <w:ilvl w:val="3"/>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this Award and the Restricted Stock Units subject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48" w:lineRule="exact"/>
        <w:rPr>
          <w:rFonts w:ascii="Times New Roman" w:cs="Times New Roman" w:eastAsia="Times New Roman" w:hAnsi="Times New Roman"/>
          <w:sz w:val="22"/>
          <w:szCs w:val="22"/>
          <w:b w:val="1"/>
          <w:bCs w:val="1"/>
          <w:color w:val="auto"/>
        </w:rPr>
      </w:pPr>
    </w:p>
    <w:p>
      <w:pPr>
        <w:jc w:val="both"/>
        <w:ind w:left="-160" w:firstLine="593"/>
        <w:spacing w:after="0" w:line="209" w:lineRule="auto"/>
        <w:tabs>
          <w:tab w:leader="none" w:pos="879" w:val="left"/>
        </w:tabs>
        <w:numPr>
          <w:ilvl w:val="4"/>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Company is required to withhold federal, state, local or foreign taxes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151" w:lineRule="exact"/>
        <w:rPr>
          <w:rFonts w:ascii="Times New Roman" w:cs="Times New Roman" w:eastAsia="Times New Roman" w:hAnsi="Times New Roman"/>
          <w:sz w:val="22"/>
          <w:szCs w:val="22"/>
          <w:b w:val="1"/>
          <w:bCs w:val="1"/>
          <w:color w:val="auto"/>
        </w:rPr>
      </w:pPr>
    </w:p>
    <w:p>
      <w:pPr>
        <w:ind w:left="660" w:hanging="380"/>
        <w:spacing w:after="0"/>
        <w:tabs>
          <w:tab w:leader="none" w:pos="660" w:val="left"/>
        </w:tabs>
        <w:numPr>
          <w:ilvl w:val="1"/>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p>
    <w:p>
      <w:pPr>
        <w:spacing w:after="0" w:line="179" w:lineRule="exact"/>
        <w:rPr>
          <w:rFonts w:ascii="Times New Roman" w:cs="Times New Roman" w:eastAsia="Times New Roman" w:hAnsi="Times New Roman"/>
          <w:sz w:val="22"/>
          <w:szCs w:val="22"/>
          <w:b w:val="1"/>
          <w:bCs w:val="1"/>
          <w:color w:val="auto"/>
        </w:rPr>
      </w:pPr>
    </w:p>
    <w:p>
      <w:pPr>
        <w:jc w:val="both"/>
        <w:ind w:left="500" w:firstLine="259"/>
        <w:spacing w:after="0" w:line="212" w:lineRule="auto"/>
        <w:tabs>
          <w:tab w:leader="none" w:pos="1266" w:val="left"/>
        </w:tabs>
        <w:numPr>
          <w:ilvl w:val="5"/>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Restricted Stock Units or Common Stock to Grantee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II.B.3, shall apply to Grantee, and (2) Grantee’s violation of such restrictive covenants shall be treated as a violation of the restrictive covenants in this Section II.B.3 for purposes of this Agreement.</w:t>
      </w:r>
    </w:p>
    <w:p>
      <w:pPr>
        <w:spacing w:after="0" w:line="148" w:lineRule="exact"/>
        <w:rPr>
          <w:rFonts w:ascii="Times New Roman" w:cs="Times New Roman" w:eastAsia="Times New Roman" w:hAnsi="Times New Roman"/>
          <w:sz w:val="22"/>
          <w:szCs w:val="22"/>
          <w:color w:val="auto"/>
        </w:rPr>
      </w:pPr>
    </w:p>
    <w:p>
      <w:pPr>
        <w:jc w:val="both"/>
        <w:ind w:left="500" w:firstLine="327"/>
        <w:spacing w:after="0" w:line="227" w:lineRule="auto"/>
        <w:tabs>
          <w:tab w:leader="none" w:pos="1413" w:val="left"/>
        </w:tabs>
        <w:numPr>
          <w:ilvl w:val="6"/>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80"/>
          </w:cols>
          <w:pgMar w:left="480" w:top="1391" w:right="339" w:bottom="1440" w:gutter="0" w:footer="0" w:header="0"/>
        </w:sectPr>
      </w:pPr>
    </w:p>
    <w:bookmarkStart w:id="78" w:name="page79"/>
    <w:bookmarkEnd w:id="78"/>
    <w:p>
      <w:pPr>
        <w:jc w:val="both"/>
        <w:ind w:left="500"/>
        <w:spacing w:after="0" w:line="217" w:lineRule="auto"/>
        <w:rPr>
          <w:sz w:val="20"/>
          <w:szCs w:val="20"/>
          <w:color w:val="auto"/>
        </w:rPr>
      </w:pPr>
      <w:r>
        <w:rPr>
          <w:rFonts w:ascii="Times New Roman" w:cs="Times New Roman" w:eastAsia="Times New Roman" w:hAnsi="Times New Roman"/>
          <w:sz w:val="21"/>
          <w:szCs w:val="21"/>
          <w:color w:val="auto"/>
        </w:rPr>
        <w:t>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nothing in this Agreement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63" w:lineRule="exact"/>
        <w:rPr>
          <w:sz w:val="20"/>
          <w:szCs w:val="20"/>
          <w:color w:val="auto"/>
        </w:rPr>
      </w:pPr>
    </w:p>
    <w:p>
      <w:pPr>
        <w:ind w:left="1160" w:hanging="448"/>
        <w:spacing w:after="0"/>
        <w:tabs>
          <w:tab w:leader="none" w:pos="11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 Against Competition and Solicitation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140" w:hanging="208"/>
        <w:spacing w:after="0" w:line="211" w:lineRule="auto"/>
        <w:tabs>
          <w:tab w:leader="none" w:pos="1349"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agrees that, while Grantee is employed by the 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151" w:lineRule="exact"/>
        <w:rPr>
          <w:rFonts w:ascii="Times New Roman" w:cs="Times New Roman" w:eastAsia="Times New Roman" w:hAnsi="Times New Roman"/>
          <w:sz w:val="22"/>
          <w:szCs w:val="22"/>
          <w:color w:val="auto"/>
        </w:rPr>
      </w:pPr>
    </w:p>
    <w:p>
      <w:pPr>
        <w:jc w:val="both"/>
        <w:ind w:left="1140" w:firstLine="337"/>
        <w:spacing w:after="0" w:line="217" w:lineRule="auto"/>
        <w:tabs>
          <w:tab w:leader="none" w:pos="2071"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solicit business (relating to the Business) from, attempt to entice away from the Company, or interfere with the Company’s relationship with any entity that is a client or customer of the Company at the time of such solicitation, enticement, or interference, or that was identified or solicited as a client or customer of the Company during the time that Grantee performed services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80"/>
          </w:cols>
          <w:pgMar w:left="480" w:top="1395" w:right="339" w:bottom="1440" w:gutter="0" w:footer="0" w:header="0"/>
        </w:sectPr>
      </w:pPr>
    </w:p>
    <w:bookmarkStart w:id="79" w:name="page80"/>
    <w:bookmarkEnd w:id="79"/>
    <w:p>
      <w:pPr>
        <w:ind w:left="1140"/>
        <w:spacing w:after="0" w:line="236" w:lineRule="auto"/>
        <w:rPr>
          <w:sz w:val="20"/>
          <w:szCs w:val="20"/>
          <w:color w:val="auto"/>
        </w:rPr>
      </w:pPr>
      <w:r>
        <w:rPr>
          <w:rFonts w:ascii="Times New Roman" w:cs="Times New Roman" w:eastAsia="Times New Roman" w:hAnsi="Times New Roman"/>
          <w:sz w:val="22"/>
          <w:szCs w:val="22"/>
          <w:color w:val="auto"/>
        </w:rPr>
        <w:t>Company, unless such entity shall have ceased to have been such a customer for a period of at least six months as of the time of such solicitation.</w:t>
      </w:r>
    </w:p>
    <w:p>
      <w:pPr>
        <w:spacing w:after="0" w:line="150" w:lineRule="exact"/>
        <w:rPr>
          <w:sz w:val="20"/>
          <w:szCs w:val="20"/>
          <w:color w:val="auto"/>
        </w:rPr>
      </w:pPr>
    </w:p>
    <w:p>
      <w:pPr>
        <w:jc w:val="both"/>
        <w:ind w:left="1140" w:hanging="112"/>
        <w:spacing w:after="0" w:line="212" w:lineRule="auto"/>
        <w:tabs>
          <w:tab w:leader="none" w:pos="1614"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further understands and agrees that while Grantee is employed by 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w:t>
      </w:r>
    </w:p>
    <w:p>
      <w:pPr>
        <w:spacing w:after="0" w:line="152" w:lineRule="exact"/>
        <w:rPr>
          <w:rFonts w:ascii="Times New Roman" w:cs="Times New Roman" w:eastAsia="Times New Roman" w:hAnsi="Times New Roman"/>
          <w:sz w:val="22"/>
          <w:szCs w:val="22"/>
          <w:color w:val="auto"/>
        </w:rPr>
      </w:pPr>
    </w:p>
    <w:p>
      <w:pPr>
        <w:jc w:val="both"/>
        <w:ind w:left="500" w:firstLine="354"/>
        <w:spacing w:after="0" w:line="221" w:lineRule="auto"/>
        <w:tabs>
          <w:tab w:leader="none" w:pos="1467"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48" w:lineRule="exact"/>
        <w:rPr>
          <w:rFonts w:ascii="Times New Roman" w:cs="Times New Roman" w:eastAsia="Times New Roman" w:hAnsi="Times New Roman"/>
          <w:sz w:val="22"/>
          <w:szCs w:val="22"/>
          <w:color w:val="auto"/>
        </w:rPr>
      </w:pPr>
    </w:p>
    <w:p>
      <w:pPr>
        <w:ind w:left="1160" w:hanging="448"/>
        <w:spacing w:after="0"/>
        <w:tabs>
          <w:tab w:leader="none" w:pos="11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179" w:lineRule="exact"/>
        <w:rPr>
          <w:rFonts w:ascii="Times New Roman" w:cs="Times New Roman" w:eastAsia="Times New Roman" w:hAnsi="Times New Roman"/>
          <w:sz w:val="22"/>
          <w:szCs w:val="22"/>
          <w:color w:val="auto"/>
        </w:rPr>
      </w:pPr>
    </w:p>
    <w:p>
      <w:pPr>
        <w:jc w:val="both"/>
        <w:ind w:left="1140" w:firstLine="622"/>
        <w:spacing w:after="0" w:line="214" w:lineRule="auto"/>
        <w:tabs>
          <w:tab w:leader="none" w:pos="2246" w:val="left"/>
        </w:tabs>
        <w:numPr>
          <w:ilvl w:val="3"/>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48" w:lineRule="exact"/>
        <w:rPr>
          <w:rFonts w:ascii="Times New Roman" w:cs="Times New Roman" w:eastAsia="Times New Roman" w:hAnsi="Times New Roman"/>
          <w:sz w:val="22"/>
          <w:szCs w:val="22"/>
          <w:color w:val="auto"/>
        </w:rPr>
      </w:pPr>
    </w:p>
    <w:p>
      <w:pPr>
        <w:jc w:val="both"/>
        <w:ind w:left="1140" w:firstLine="622"/>
        <w:spacing w:after="0" w:line="227" w:lineRule="auto"/>
        <w:tabs>
          <w:tab w:leader="none" w:pos="2346" w:val="left"/>
        </w:tabs>
        <w:numPr>
          <w:ilvl w:val="3"/>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146" w:lineRule="exact"/>
        <w:rPr>
          <w:sz w:val="20"/>
          <w:szCs w:val="20"/>
          <w:color w:val="auto"/>
        </w:rPr>
      </w:pPr>
    </w:p>
    <w:p>
      <w:pPr>
        <w:jc w:val="both"/>
        <w:ind w:left="1140" w:firstLine="622"/>
        <w:spacing w:after="0" w:line="210" w:lineRule="auto"/>
        <w:tabs>
          <w:tab w:leader="none" w:pos="244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80"/>
          </w:cols>
          <w:pgMar w:left="480" w:top="1395" w:right="339" w:bottom="1440" w:gutter="0" w:footer="0" w:header="0"/>
        </w:sectPr>
      </w:pPr>
    </w:p>
    <w:bookmarkStart w:id="80" w:name="page81"/>
    <w:bookmarkEnd w:id="80"/>
    <w:p>
      <w:pPr>
        <w:ind w:left="1140"/>
        <w:spacing w:after="0"/>
        <w:rPr>
          <w:sz w:val="20"/>
          <w:szCs w:val="20"/>
          <w:color w:val="auto"/>
        </w:rPr>
      </w:pPr>
      <w:r>
        <w:rPr>
          <w:rFonts w:ascii="Times New Roman" w:cs="Times New Roman" w:eastAsia="Times New Roman" w:hAnsi="Times New Roman"/>
          <w:sz w:val="22"/>
          <w:szCs w:val="22"/>
          <w:color w:val="auto"/>
        </w:rPr>
        <w:t>Grantee can establish was already in the public domain at the time of disclosure through no fault of Grantee.</w:t>
      </w:r>
    </w:p>
    <w:p>
      <w:pPr>
        <w:spacing w:after="0" w:line="175" w:lineRule="exact"/>
        <w:rPr>
          <w:sz w:val="20"/>
          <w:szCs w:val="20"/>
          <w:color w:val="auto"/>
        </w:rPr>
      </w:pPr>
    </w:p>
    <w:p>
      <w:pPr>
        <w:jc w:val="both"/>
        <w:ind w:left="480" w:firstLine="644"/>
        <w:spacing w:after="0" w:line="221" w:lineRule="auto"/>
        <w:tabs>
          <w:tab w:leader="none" w:pos="1563" w:val="left"/>
        </w:tabs>
        <w:numPr>
          <w:ilvl w:val="4"/>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The restricted time periods in Section II.B.3 shall be tolled during any time period that Grantee is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 of such covenants, as determined by a court of competent jurisdiction, so that the Company may realize the full benefit of its bargain. This tolling shall include any time period during which litigation is pending, but during which Grantee has continued to violate such protective covenants.</w:t>
      </w:r>
    </w:p>
    <w:p>
      <w:pPr>
        <w:spacing w:after="0" w:line="148" w:lineRule="exact"/>
        <w:rPr>
          <w:rFonts w:ascii="Times New Roman" w:cs="Times New Roman" w:eastAsia="Times New Roman" w:hAnsi="Times New Roman"/>
          <w:sz w:val="22"/>
          <w:szCs w:val="22"/>
          <w:color w:val="auto"/>
        </w:rPr>
      </w:pPr>
    </w:p>
    <w:p>
      <w:pPr>
        <w:jc w:val="both"/>
        <w:ind w:left="480" w:firstLine="644"/>
        <w:spacing w:after="0" w:line="210" w:lineRule="auto"/>
        <w:tabs>
          <w:tab w:leader="none" w:pos="1600" w:val="left"/>
        </w:tabs>
        <w:numPr>
          <w:ilvl w:val="4"/>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Relief, Remedies, and Enforcement. </w:t>
      </w:r>
      <w:r>
        <w:rPr>
          <w:rFonts w:ascii="Times New Roman" w:cs="Times New Roman" w:eastAsia="Times New Roman" w:hAnsi="Times New Roman"/>
          <w:sz w:val="22"/>
          <w:szCs w:val="22"/>
          <w:color w:val="auto"/>
        </w:rPr>
        <w:t>Grantee acknowledges that the covenants contained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reasonable and necessary to protect the legitimate interests of the Company and that any breach or threatened breach of any such covenants will cause irreparable injury to the Company for which money damages would not provide an adequate remedy. If Grantee breaches, or threatens to commit a breach of, any of the provisions of this Agreement, the Company shall have the right to seek appropriate equitable relief, including a permanent injunction or similar court order enjoining Grantee from violating any of such provisions, and that, pending the hearing and the decision on the application for permanent equitable relief, the Company shall be entitled to a temporary restraining order and a preliminary injunction, without the necessity of showing actual monetary damages or the posting of a bond or other security. No such remedy shall be construed to be the exclusive remedy of the Company and any and all such remedies shall be held and construed to be cumulative and not exclusive of any rights or remedies, whether at law or in equity, otherwise available under the terms of this Agreement, at common law or under federal, state or local statutes, rules and regulations. Grantee further agrees to pay any and all legal fees, including without limitation, all attorneys’ fees, court costs, and any other related fees and/or costs incurred by the Company in enforcing this Agreement.</w:t>
      </w:r>
    </w:p>
    <w:p>
      <w:pPr>
        <w:spacing w:after="0" w:line="146" w:lineRule="exact"/>
        <w:rPr>
          <w:rFonts w:ascii="Times New Roman" w:cs="Times New Roman" w:eastAsia="Times New Roman" w:hAnsi="Times New Roman"/>
          <w:sz w:val="22"/>
          <w:szCs w:val="22"/>
          <w:color w:val="auto"/>
        </w:rPr>
      </w:pPr>
    </w:p>
    <w:p>
      <w:pPr>
        <w:ind w:left="480" w:firstLine="644"/>
        <w:spacing w:after="0" w:line="238" w:lineRule="auto"/>
        <w:tabs>
          <w:tab w:leader="none" w:pos="1748" w:val="left"/>
        </w:tabs>
        <w:numPr>
          <w:ilvl w:val="4"/>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6" w:lineRule="exact"/>
        <w:rPr>
          <w:rFonts w:ascii="Times New Roman" w:cs="Times New Roman" w:eastAsia="Times New Roman" w:hAnsi="Times New Roman"/>
          <w:sz w:val="22"/>
          <w:szCs w:val="22"/>
          <w:color w:val="auto"/>
        </w:rPr>
      </w:pPr>
    </w:p>
    <w:p>
      <w:pPr>
        <w:jc w:val="both"/>
        <w:ind w:left="-160" w:firstLine="485"/>
        <w:spacing w:after="0" w:line="216" w:lineRule="auto"/>
        <w:tabs>
          <w:tab w:leader="none" w:pos="717" w:val="left"/>
        </w:tabs>
        <w:numPr>
          <w:ilvl w:val="1"/>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Grantee).</w:t>
      </w:r>
    </w:p>
    <w:p>
      <w:pPr>
        <w:spacing w:after="0" w:line="145" w:lineRule="exact"/>
        <w:rPr>
          <w:rFonts w:ascii="Times New Roman" w:cs="Times New Roman" w:eastAsia="Times New Roman" w:hAnsi="Times New Roman"/>
          <w:sz w:val="22"/>
          <w:szCs w:val="22"/>
          <w:b w:val="1"/>
          <w:bCs w:val="1"/>
          <w:color w:val="auto"/>
        </w:rPr>
      </w:pPr>
    </w:p>
    <w:p>
      <w:pPr>
        <w:jc w:val="both"/>
        <w:ind w:left="-160" w:firstLine="530"/>
        <w:spacing w:after="0" w:line="218" w:lineRule="auto"/>
        <w:tabs>
          <w:tab w:leader="none" w:pos="785" w:val="left"/>
        </w:tabs>
        <w:numPr>
          <w:ilvl w:val="2"/>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47" w:lineRule="exact"/>
        <w:rPr>
          <w:rFonts w:ascii="Times New Roman" w:cs="Times New Roman" w:eastAsia="Times New Roman" w:hAnsi="Times New Roman"/>
          <w:sz w:val="22"/>
          <w:szCs w:val="22"/>
          <w:b w:val="1"/>
          <w:bCs w:val="1"/>
          <w:color w:val="auto"/>
        </w:rPr>
      </w:pPr>
    </w:p>
    <w:p>
      <w:pPr>
        <w:jc w:val="both"/>
        <w:ind w:left="-160" w:firstLine="449"/>
        <w:spacing w:after="0" w:line="221" w:lineRule="auto"/>
        <w:tabs>
          <w:tab w:leader="none" w:pos="663"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Other Benefits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will the value, at any time, of the Restricted Stock Units or any other payment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48" w:lineRule="exact"/>
        <w:rPr>
          <w:rFonts w:ascii="Times New Roman" w:cs="Times New Roman" w:eastAsia="Times New Roman" w:hAnsi="Times New Roman"/>
          <w:sz w:val="22"/>
          <w:szCs w:val="22"/>
          <w:b w:val="1"/>
          <w:bCs w:val="1"/>
          <w:color w:val="auto"/>
        </w:rPr>
      </w:pPr>
    </w:p>
    <w:p>
      <w:pPr>
        <w:ind w:left="-160" w:right="20" w:firstLine="561"/>
        <w:spacing w:after="0" w:line="238" w:lineRule="auto"/>
        <w:tabs>
          <w:tab w:leader="none" w:pos="825" w:val="left"/>
        </w:tabs>
        <w:numPr>
          <w:ilvl w:val="3"/>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Third-Party Beneficiaries</w:t>
      </w:r>
      <w:r>
        <w:rPr>
          <w:rFonts w:ascii="Times New Roman" w:cs="Times New Roman" w:eastAsia="Times New Roman" w:hAnsi="Times New Roman"/>
          <w:sz w:val="22"/>
          <w:szCs w:val="22"/>
          <w:color w:val="auto"/>
        </w:rPr>
        <w:t>. If Grantee is or was employed by a subsidiary of the Company, then such subsidiary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be a third-party beneficiary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80"/>
          </w:cols>
          <w:pgMar w:left="480" w:top="139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1"/>
          <w:szCs w:val="21"/>
          <w:color w:val="auto"/>
        </w:rPr>
        <w:t>this Agreement and shall have the right to enforce this Agreement, including, but not limited to, the provisions of Section II.B.3.</w:t>
      </w:r>
    </w:p>
    <w:p>
      <w:pPr>
        <w:spacing w:after="0" w:line="187" w:lineRule="exact"/>
        <w:rPr>
          <w:sz w:val="20"/>
          <w:szCs w:val="20"/>
          <w:color w:val="auto"/>
        </w:rPr>
      </w:pPr>
    </w:p>
    <w:p>
      <w:pPr>
        <w:jc w:val="both"/>
        <w:ind w:firstLine="584"/>
        <w:spacing w:after="0" w:line="227" w:lineRule="auto"/>
        <w:tabs>
          <w:tab w:leader="none" w:pos="1026" w:val="left"/>
        </w:tabs>
        <w:numPr>
          <w:ilvl w:val="1"/>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and Unsecured General Creditor</w:t>
      </w:r>
      <w:r>
        <w:rPr>
          <w:rFonts w:ascii="Times New Roman" w:cs="Times New Roman" w:eastAsia="Times New Roman" w:hAnsi="Times New Roman"/>
          <w:sz w:val="22"/>
          <w:szCs w:val="22"/>
          <w:color w:val="auto"/>
        </w:rPr>
        <w:t>. Grantee, as a holder of Restricted Stock Units and rights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has no rights other than those of a general creditor of the Company. The Restricted Stock Units represent an unfunded and unsecured obligation of the Company, subject to the terms and conditions of this Agreement and the Plan.</w:t>
      </w:r>
    </w:p>
    <w:p>
      <w:pPr>
        <w:spacing w:after="0" w:line="146" w:lineRule="exact"/>
        <w:rPr>
          <w:rFonts w:ascii="Times New Roman" w:cs="Times New Roman" w:eastAsia="Times New Roman" w:hAnsi="Times New Roman"/>
          <w:sz w:val="22"/>
          <w:szCs w:val="22"/>
          <w:b w:val="1"/>
          <w:bCs w:val="1"/>
          <w:color w:val="auto"/>
        </w:rPr>
      </w:pPr>
    </w:p>
    <w:p>
      <w:pPr>
        <w:jc w:val="both"/>
        <w:ind w:firstLine="746"/>
        <w:spacing w:after="0" w:line="221" w:lineRule="auto"/>
        <w:tabs>
          <w:tab w:leader="none" w:pos="1269" w:val="left"/>
        </w:tabs>
        <w:numPr>
          <w:ilvl w:val="2"/>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provision of this Agreement or the application of any provision 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48" w:lineRule="exact"/>
        <w:rPr>
          <w:rFonts w:ascii="Times New Roman" w:cs="Times New Roman" w:eastAsia="Times New Roman" w:hAnsi="Times New Roman"/>
          <w:sz w:val="22"/>
          <w:szCs w:val="22"/>
          <w:b w:val="1"/>
          <w:bCs w:val="1"/>
          <w:color w:val="auto"/>
        </w:rPr>
      </w:pPr>
    </w:p>
    <w:p>
      <w:pPr>
        <w:jc w:val="both"/>
        <w:ind w:firstLine="534"/>
        <w:spacing w:after="0" w:line="218" w:lineRule="auto"/>
        <w:tabs>
          <w:tab w:leader="none" w:pos="945"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47" w:lineRule="exact"/>
        <w:rPr>
          <w:sz w:val="20"/>
          <w:szCs w:val="20"/>
          <w:color w:val="auto"/>
        </w:rPr>
      </w:pPr>
    </w:p>
    <w:p>
      <w:pPr>
        <w:ind w:left="920" w:hanging="480"/>
        <w:spacing w:after="0"/>
        <w:tabs>
          <w:tab w:leader="none" w:pos="92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accepting this Award, Grantee acknowledges that:</w:t>
      </w:r>
    </w:p>
    <w:p>
      <w:pPr>
        <w:spacing w:after="0" w:line="183" w:lineRule="exact"/>
        <w:rPr>
          <w:rFonts w:ascii="Times New Roman" w:cs="Times New Roman" w:eastAsia="Times New Roman" w:hAnsi="Times New Roman"/>
          <w:sz w:val="22"/>
          <w:szCs w:val="22"/>
          <w:b w:val="1"/>
          <w:bCs w:val="1"/>
          <w:color w:val="auto"/>
        </w:rPr>
      </w:pPr>
    </w:p>
    <w:p>
      <w:pPr>
        <w:ind w:left="660" w:right="20" w:firstLine="227"/>
        <w:spacing w:after="0" w:line="255" w:lineRule="auto"/>
        <w:tabs>
          <w:tab w:leader="none" w:pos="1361" w:val="left"/>
        </w:tabs>
        <w:numPr>
          <w:ilvl w:val="2"/>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34" w:lineRule="exact"/>
        <w:rPr>
          <w:rFonts w:ascii="Times New Roman" w:cs="Times New Roman" w:eastAsia="Times New Roman" w:hAnsi="Times New Roman"/>
          <w:sz w:val="21"/>
          <w:szCs w:val="21"/>
          <w:color w:val="auto"/>
        </w:rPr>
      </w:pPr>
    </w:p>
    <w:p>
      <w:pPr>
        <w:jc w:val="both"/>
        <w:ind w:left="660" w:firstLine="266"/>
        <w:spacing w:after="0" w:line="225" w:lineRule="auto"/>
        <w:tabs>
          <w:tab w:leader="none" w:pos="1452" w:val="left"/>
        </w:tabs>
        <w:numPr>
          <w:ilvl w:val="4"/>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52" w:lineRule="exact"/>
        <w:rPr>
          <w:rFonts w:ascii="Times New Roman" w:cs="Times New Roman" w:eastAsia="Times New Roman" w:hAnsi="Times New Roman"/>
          <w:sz w:val="22"/>
          <w:szCs w:val="22"/>
          <w:color w:val="auto"/>
        </w:rPr>
      </w:pPr>
    </w:p>
    <w:p>
      <w:pPr>
        <w:ind w:left="660" w:firstLine="348"/>
        <w:spacing w:after="0" w:line="236" w:lineRule="auto"/>
        <w:tabs>
          <w:tab w:leader="none" w:pos="1604" w:val="left"/>
        </w:tabs>
        <w:numPr>
          <w:ilvl w:val="5"/>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restricted stock unit grants, if any, will be at the sole discretion of the Committee;</w:t>
      </w:r>
    </w:p>
    <w:p>
      <w:pPr>
        <w:spacing w:after="0" w:line="150"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3"/>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participating in the Plan;</w:t>
      </w:r>
    </w:p>
    <w:p>
      <w:pPr>
        <w:spacing w:after="0" w:line="179" w:lineRule="exact"/>
        <w:rPr>
          <w:rFonts w:ascii="Times New Roman" w:cs="Times New Roman" w:eastAsia="Times New Roman" w:hAnsi="Times New Roman"/>
          <w:sz w:val="22"/>
          <w:szCs w:val="22"/>
          <w:color w:val="auto"/>
        </w:rPr>
      </w:pPr>
    </w:p>
    <w:p>
      <w:pPr>
        <w:jc w:val="both"/>
        <w:ind w:left="660" w:firstLine="231"/>
        <w:spacing w:after="0" w:line="225" w:lineRule="auto"/>
        <w:tabs>
          <w:tab w:leader="none" w:pos="1371" w:val="left"/>
        </w:tabs>
        <w:numPr>
          <w:ilvl w:val="3"/>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an extraordinary item that does not constitute compensation of any kind for services of any kind rendered to the Company or Grantee’s employer, and which is outside the scope of Grantee’s employment contract, if any;</w:t>
      </w:r>
    </w:p>
    <w:p>
      <w:pPr>
        <w:spacing w:after="0" w:line="152" w:lineRule="exact"/>
        <w:rPr>
          <w:rFonts w:ascii="Times New Roman" w:cs="Times New Roman" w:eastAsia="Times New Roman" w:hAnsi="Times New Roman"/>
          <w:sz w:val="22"/>
          <w:szCs w:val="22"/>
          <w:color w:val="auto"/>
        </w:rPr>
      </w:pPr>
    </w:p>
    <w:p>
      <w:pPr>
        <w:ind w:left="660" w:right="20" w:firstLine="216"/>
        <w:spacing w:after="0" w:line="236" w:lineRule="auto"/>
        <w:tabs>
          <w:tab w:leader="none" w:pos="131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the Common Stock subject to the Restricted Stock Units are not intended to replace any pension rights or compensation;</w:t>
      </w:r>
    </w:p>
    <w:p>
      <w:pPr>
        <w:spacing w:after="0" w:line="150" w:lineRule="exact"/>
        <w:rPr>
          <w:rFonts w:ascii="Times New Roman" w:cs="Times New Roman" w:eastAsia="Times New Roman" w:hAnsi="Times New Roman"/>
          <w:sz w:val="22"/>
          <w:szCs w:val="22"/>
          <w:color w:val="auto"/>
        </w:rPr>
      </w:pPr>
    </w:p>
    <w:p>
      <w:pPr>
        <w:ind w:left="1340" w:hanging="468"/>
        <w:spacing w:after="0"/>
        <w:tabs>
          <w:tab w:leader="none" w:pos="134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179" w:lineRule="exact"/>
        <w:rPr>
          <w:rFonts w:ascii="Times New Roman" w:cs="Times New Roman" w:eastAsia="Times New Roman" w:hAnsi="Times New Roman"/>
          <w:sz w:val="22"/>
          <w:szCs w:val="22"/>
          <w:color w:val="auto"/>
        </w:rPr>
      </w:pPr>
    </w:p>
    <w:p>
      <w:pPr>
        <w:jc w:val="both"/>
        <w:ind w:left="660" w:firstLine="336"/>
        <w:spacing w:after="0" w:line="225" w:lineRule="auto"/>
        <w:tabs>
          <w:tab w:leader="none" w:pos="1579" w:val="left"/>
        </w:tabs>
        <w:numPr>
          <w:ilvl w:val="5"/>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Awards and resulting benefits are not part of normal or expected compensation or salary for any purposes, including, but not limited to, calculating any severance, resignation, termination, redundancy, end of service payments, bonuses,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82" w:name="page83"/>
    <w:bookmarkEnd w:id="82"/>
    <w:p>
      <w:pPr>
        <w:ind w:left="500"/>
        <w:spacing w:after="0"/>
        <w:rPr>
          <w:sz w:val="20"/>
          <w:szCs w:val="20"/>
          <w:color w:val="auto"/>
        </w:rPr>
      </w:pPr>
      <w:r>
        <w:rPr>
          <w:rFonts w:ascii="Times New Roman" w:cs="Times New Roman" w:eastAsia="Times New Roman" w:hAnsi="Times New Roman"/>
          <w:sz w:val="22"/>
          <w:szCs w:val="22"/>
          <w:color w:val="auto"/>
        </w:rPr>
        <w:t>service awards, pension or retirement benefits or similar payments insofar as permitted by law;</w:t>
      </w:r>
    </w:p>
    <w:p>
      <w:pPr>
        <w:spacing w:after="0" w:line="179" w:lineRule="exact"/>
        <w:rPr>
          <w:sz w:val="20"/>
          <w:szCs w:val="20"/>
          <w:color w:val="auto"/>
        </w:rPr>
      </w:pPr>
    </w:p>
    <w:p>
      <w:pPr>
        <w:jc w:val="both"/>
        <w:ind w:left="500" w:firstLine="264"/>
        <w:spacing w:after="0" w:line="215" w:lineRule="auto"/>
        <w:tabs>
          <w:tab w:leader="none" w:pos="1240" w:val="left"/>
        </w:tabs>
        <w:numPr>
          <w:ilvl w:val="4"/>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the Restricted Stock Units, no claim or entitlement to compensation or damages shall arise from forfeiture of the Restricted Stock Units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52" w:lineRule="exact"/>
        <w:rPr>
          <w:rFonts w:ascii="Times New Roman" w:cs="Times New Roman" w:eastAsia="Times New Roman" w:hAnsi="Times New Roman"/>
          <w:sz w:val="22"/>
          <w:szCs w:val="22"/>
          <w:color w:val="auto"/>
        </w:rPr>
      </w:pPr>
    </w:p>
    <w:p>
      <w:pPr>
        <w:jc w:val="both"/>
        <w:ind w:left="500" w:firstLine="225"/>
        <w:spacing w:after="0" w:line="227" w:lineRule="auto"/>
        <w:tabs>
          <w:tab w:leader="none" w:pos="1163" w:val="left"/>
        </w:tabs>
        <w:numPr>
          <w:ilvl w:val="3"/>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49" w:lineRule="exact"/>
        <w:rPr>
          <w:rFonts w:ascii="Times New Roman" w:cs="Times New Roman" w:eastAsia="Times New Roman" w:hAnsi="Times New Roman"/>
          <w:sz w:val="21"/>
          <w:szCs w:val="21"/>
          <w:color w:val="auto"/>
        </w:rPr>
      </w:pPr>
    </w:p>
    <w:p>
      <w:pPr>
        <w:ind w:left="760" w:hanging="480"/>
        <w:spacing w:after="0"/>
        <w:tabs>
          <w:tab w:leader="none" w:pos="76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Addenda for Certain Participants</w:t>
      </w:r>
      <w:r>
        <w:rPr>
          <w:rFonts w:ascii="Times New Roman" w:cs="Times New Roman" w:eastAsia="Times New Roman" w:hAnsi="Times New Roman"/>
          <w:sz w:val="22"/>
          <w:szCs w:val="22"/>
          <w:b w:val="1"/>
          <w:bCs w:val="1"/>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500" w:firstLine="644"/>
        <w:spacing w:after="0" w:line="214" w:lineRule="auto"/>
        <w:tabs>
          <w:tab w:leader="none" w:pos="1631" w:val="left"/>
        </w:tabs>
        <w:numPr>
          <w:ilvl w:val="5"/>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Non-U.S. Participants</w:t>
      </w:r>
      <w:r>
        <w:rPr>
          <w:rFonts w:ascii="Times New Roman" w:cs="Times New Roman" w:eastAsia="Times New Roman" w:hAnsi="Times New Roman"/>
          <w:sz w:val="22"/>
          <w:szCs w:val="22"/>
          <w:color w:val="auto"/>
        </w:rPr>
        <w:t>. Notwithstanding any provisions in this Agreement, the Restricted Stock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be subject to the special terms and conditions set forth in the Non-U.S. Addendum attached as Appendix B to this Agreement for Grantee’s country.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48" w:lineRule="exact"/>
        <w:rPr>
          <w:rFonts w:ascii="Times New Roman" w:cs="Times New Roman" w:eastAsia="Times New Roman" w:hAnsi="Times New Roman"/>
          <w:sz w:val="22"/>
          <w:szCs w:val="22"/>
          <w:color w:val="auto"/>
        </w:rPr>
      </w:pPr>
    </w:p>
    <w:p>
      <w:pPr>
        <w:jc w:val="both"/>
        <w:ind w:left="500" w:firstLine="644"/>
        <w:spacing w:after="0" w:line="218" w:lineRule="auto"/>
        <w:tabs>
          <w:tab w:leader="none" w:pos="1616" w:val="left"/>
        </w:tabs>
        <w:numPr>
          <w:ilvl w:val="5"/>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California Participants</w:t>
      </w:r>
      <w:r>
        <w:rPr>
          <w:rFonts w:ascii="Times New Roman" w:cs="Times New Roman" w:eastAsia="Times New Roman" w:hAnsi="Times New Roman"/>
          <w:sz w:val="22"/>
          <w:szCs w:val="22"/>
          <w:color w:val="auto"/>
        </w:rPr>
        <w:t>. Notwithstanding any provisions in this Agreement, the Restricted Stock Units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be subject to the special terms and conditions set forth in the California Addendum attached as Appendix C to this Agreement if Grantee is employed and/or resides in California or if the Company determines that the application of such terms and conditions is necessary or advisable in order to comply with applicable law. The California Addendum attached hereto as Appendix C constitutes part of this Agreement.</w:t>
      </w:r>
    </w:p>
    <w:p>
      <w:pPr>
        <w:spacing w:after="0" w:line="147" w:lineRule="exact"/>
        <w:rPr>
          <w:rFonts w:ascii="Times New Roman" w:cs="Times New Roman" w:eastAsia="Times New Roman" w:hAnsi="Times New Roman"/>
          <w:sz w:val="22"/>
          <w:szCs w:val="22"/>
          <w:color w:val="auto"/>
        </w:rPr>
      </w:pPr>
    </w:p>
    <w:p>
      <w:pPr>
        <w:jc w:val="both"/>
        <w:ind w:left="-160" w:firstLine="494"/>
        <w:spacing w:after="0" w:line="218" w:lineRule="auto"/>
        <w:tabs>
          <w:tab w:leader="none" w:pos="839" w:val="left"/>
        </w:tabs>
        <w:numPr>
          <w:ilvl w:val="2"/>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to the Plan shall be deemed to be an amendment to this Agreement to the extent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47" w:lineRule="exact"/>
        <w:rPr>
          <w:rFonts w:ascii="Times New Roman" w:cs="Times New Roman" w:eastAsia="Times New Roman" w:hAnsi="Times New Roman"/>
          <w:sz w:val="22"/>
          <w:szCs w:val="22"/>
          <w:b w:val="1"/>
          <w:bCs w:val="1"/>
          <w:color w:val="auto"/>
        </w:rPr>
      </w:pPr>
    </w:p>
    <w:p>
      <w:pPr>
        <w:jc w:val="both"/>
        <w:ind w:left="-160" w:firstLine="467"/>
        <w:spacing w:after="0" w:line="221" w:lineRule="auto"/>
        <w:tabs>
          <w:tab w:leader="none" w:pos="798" w:val="left"/>
        </w:tabs>
        <w:numPr>
          <w:ilvl w:val="1"/>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80"/>
          </w:cols>
          <w:pgMar w:left="480" w:top="1395" w:right="339" w:bottom="1440" w:gutter="0" w:footer="0" w:header="0"/>
        </w:sectPr>
      </w:pPr>
    </w:p>
    <w:bookmarkStart w:id="83" w:name="page84"/>
    <w:bookmarkEnd w:id="83"/>
    <w:p>
      <w:pPr>
        <w:jc w:val="both"/>
        <w:ind w:firstLine="449"/>
        <w:spacing w:after="0" w:line="217" w:lineRule="auto"/>
        <w:tabs>
          <w:tab w:leader="none" w:pos="931" w:val="left"/>
        </w:tabs>
        <w:numPr>
          <w:ilvl w:val="0"/>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Choice of Forum; Jury Trial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governed by and construed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 the laws of the State of Michigan, notwithstanding conflict of law provisions. Grantee further agrees that any action by Grantee to challenge the enforceability of this Agreement must be brought or litigated exclusively in the appropriate state or federal court located in the State of Michigan. Grantee also agrees that any action by the Company to enforce this Agreement, as well as any related disputes or litigation related to this Agreement, may be brought in the appropriate state or federal court located in the State of Michigan. Grantee agrees and consents to the personal jurisdiction and venue of the federal or state courts of Michigan for resolution of any disputes or litigation arising under or in connection with this Agreement or any challenge to this Agreement and waives any objections or defenses to personal jurisdiction or venue in any such proceeding before any such court. </w:t>
      </w:r>
      <w:r>
        <w:rPr>
          <w:rFonts w:ascii="Times New Roman" w:cs="Times New Roman" w:eastAsia="Times New Roman" w:hAnsi="Times New Roman"/>
          <w:sz w:val="21"/>
          <w:szCs w:val="21"/>
          <w:b w:val="1"/>
          <w:bCs w:val="1"/>
          <w:color w:val="auto"/>
        </w:rPr>
        <w:t>GRANTEE AGREE THAT, TO THE FULLEST EXTENT PERMITTED BY LAW, EACH PARTY WAIVES ANY</w:t>
      </w:r>
    </w:p>
    <w:p>
      <w:pPr>
        <w:spacing w:after="0" w:line="6" w:lineRule="exact"/>
        <w:rPr>
          <w:rFonts w:ascii="Times New Roman" w:cs="Times New Roman" w:eastAsia="Times New Roman" w:hAnsi="Times New Roman"/>
          <w:sz w:val="21"/>
          <w:szCs w:val="21"/>
          <w:b w:val="1"/>
          <w:bCs w:val="1"/>
          <w:color w:val="auto"/>
        </w:rPr>
      </w:pPr>
    </w:p>
    <w:p>
      <w:pPr>
        <w:spacing w:after="0" w:line="22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RIGHT TO TRIAL BY JURY WITH RESPECT TO ANY PROCEEDING ARISING OUT OF OR RELATING TO THIS AGREEMENT.</w:t>
      </w:r>
    </w:p>
    <w:p>
      <w:pPr>
        <w:spacing w:after="0" w:line="145" w:lineRule="exact"/>
        <w:rPr>
          <w:rFonts w:ascii="Times New Roman" w:cs="Times New Roman" w:eastAsia="Times New Roman" w:hAnsi="Times New Roman"/>
          <w:sz w:val="21"/>
          <w:szCs w:val="21"/>
          <w:b w:val="1"/>
          <w:bCs w:val="1"/>
          <w:color w:val="auto"/>
        </w:rPr>
      </w:pPr>
    </w:p>
    <w:p>
      <w:pPr>
        <w:ind w:left="920" w:hanging="480"/>
        <w:spacing w:after="0"/>
        <w:tabs>
          <w:tab w:leader="none" w:pos="92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b w:val="1"/>
          <w:bCs w:val="1"/>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640" w:firstLine="644"/>
        <w:spacing w:after="0" w:line="211" w:lineRule="auto"/>
        <w:tabs>
          <w:tab w:leader="none" w:pos="1789"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shares of Common Stock issued to Grantee in settlement of the Restricted Stock Units (plus dividend equivalent payments) shall be subject to the terms of this Agreement and the Company’s recoupment policy, if any, as in effect from time to time. Further, notwithstanding anything in this Agreement to the contrary, Grantee acknowledges and agrees that (a) this Agreement and this Award described herein (and any settlement thereof) are subject to the terms and conditions of such policy, or any other form of Company recoupment (or similar) policy (if any)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“Compensation Recovery Policy”), and (b) applicable provisions of this Agreement shall be deemed superseded by and subject to the terms and conditions of the Compensation Recovery Policy from and after the effective date thereof.</w:t>
      </w:r>
    </w:p>
    <w:p>
      <w:pPr>
        <w:spacing w:after="0" w:line="151" w:lineRule="exact"/>
        <w:rPr>
          <w:rFonts w:ascii="Times New Roman" w:cs="Times New Roman" w:eastAsia="Times New Roman" w:hAnsi="Times New Roman"/>
          <w:sz w:val="22"/>
          <w:szCs w:val="22"/>
          <w:color w:val="auto"/>
        </w:rPr>
      </w:pPr>
    </w:p>
    <w:p>
      <w:pPr>
        <w:jc w:val="both"/>
        <w:ind w:left="640" w:firstLine="644"/>
        <w:spacing w:after="0" w:line="220" w:lineRule="auto"/>
        <w:tabs>
          <w:tab w:leader="none" w:pos="1788"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foregoing, violation of Section II.B.3 of this Agreement prior to the final Vesting Date and thereafter, as determined by the Board, shall result in the forfeiture of the Restricted Stock Units, and clawback and recoupment of any shares of Common Stock issued or transferred to Grantee in settlement of the Restricted Stock Units (plus dividend equivalent payments).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1" w:right="339" w:bottom="1440" w:gutter="0" w:footer="0" w:header="0"/>
        </w:sectPr>
      </w:pPr>
    </w:p>
    <w:bookmarkStart w:id="84" w:name="page85"/>
    <w:bookmarkEnd w:id="84"/>
    <w:p>
      <w:pPr>
        <w:spacing w:after="0" w:line="236"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4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w:t>
      </w:r>
    </w:p>
    <w:p>
      <w:pPr>
        <w:spacing w:after="0" w:line="204" w:lineRule="auto"/>
        <w:rPr>
          <w:sz w:val="20"/>
          <w:szCs w:val="20"/>
          <w:color w:val="auto"/>
        </w:rPr>
      </w:pPr>
      <w:r>
        <w:rPr>
          <w:rFonts w:ascii="Times New Roman" w:cs="Times New Roman" w:eastAsia="Times New Roman" w:hAnsi="Times New Roman"/>
          <w:sz w:val="22"/>
          <w:szCs w:val="22"/>
          <w:color w:val="auto"/>
        </w:rPr>
        <w:t>Name: Thomas A. Amato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395" w:right="33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both"/>
        <w:ind w:left="660"/>
        <w:spacing w:after="0" w:line="216"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46" w:lineRule="exact"/>
        <w:rPr>
          <w:sz w:val="20"/>
          <w:szCs w:val="20"/>
          <w:color w:val="auto"/>
        </w:rPr>
      </w:pPr>
    </w:p>
    <w:p>
      <w:pPr>
        <w:jc w:val="both"/>
        <w:ind w:left="660"/>
        <w:spacing w:after="0" w:line="214" w:lineRule="auto"/>
        <w:rPr>
          <w:sz w:val="20"/>
          <w:szCs w:val="20"/>
          <w:color w:val="auto"/>
        </w:rPr>
      </w:pPr>
      <w:r>
        <w:rPr>
          <w:rFonts w:ascii="Times New Roman" w:cs="Times New Roman" w:eastAsia="Times New Roman" w:hAnsi="Times New Roman"/>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type w:val="continuous"/>
        </w:sectPr>
      </w:pPr>
    </w:p>
    <w:bookmarkStart w:id="85" w:name="page86"/>
    <w:bookmarkEnd w:id="85"/>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APPENDIX A</w:t>
      </w:r>
    </w:p>
    <w:p>
      <w:pPr>
        <w:jc w:val="center"/>
        <w:ind w:right="-99"/>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GLOSSARY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Agreement:</w:t>
      </w:r>
    </w:p>
    <w:p>
      <w:pPr>
        <w:spacing w:after="0" w:line="202" w:lineRule="exact"/>
        <w:rPr>
          <w:sz w:val="20"/>
          <w:szCs w:val="20"/>
          <w:color w:val="auto"/>
        </w:rPr>
      </w:pPr>
    </w:p>
    <w:p>
      <w:pPr>
        <w:jc w:val="both"/>
        <w:ind w:left="100"/>
        <w:spacing w:after="0" w:line="22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76" w:lineRule="exact"/>
        <w:rPr>
          <w:sz w:val="20"/>
          <w:szCs w:val="20"/>
          <w:color w:val="auto"/>
        </w:rPr>
      </w:pPr>
    </w:p>
    <w:p>
      <w:pPr>
        <w:jc w:val="both"/>
        <w:ind w:left="100"/>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79" w:lineRule="exact"/>
        <w:rPr>
          <w:sz w:val="20"/>
          <w:szCs w:val="20"/>
          <w:color w:val="auto"/>
        </w:rPr>
      </w:pPr>
    </w:p>
    <w:p>
      <w:pPr>
        <w:ind w:left="1400" w:hanging="644"/>
        <w:spacing w:after="0" w:line="236" w:lineRule="auto"/>
        <w:tabs>
          <w:tab w:leader="none" w:pos="125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contracted, suffered, or incurred while Grantee was engaged in, or resulted from Grantee having engaged in, a felonious activity;</w:t>
      </w:r>
    </w:p>
    <w:p>
      <w:pPr>
        <w:spacing w:after="0" w:line="177" w:lineRule="exact"/>
        <w:rPr>
          <w:rFonts w:ascii="Times New Roman" w:cs="Times New Roman" w:eastAsia="Times New Roman" w:hAnsi="Times New Roman"/>
          <w:sz w:val="22"/>
          <w:szCs w:val="22"/>
          <w:color w:val="auto"/>
        </w:rPr>
      </w:pPr>
    </w:p>
    <w:p>
      <w:pPr>
        <w:ind w:left="1400" w:right="20" w:hanging="644"/>
        <w:spacing w:after="0" w:line="236" w:lineRule="auto"/>
        <w:tabs>
          <w:tab w:leader="none" w:pos="131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77" w:lineRule="exact"/>
        <w:rPr>
          <w:rFonts w:ascii="Times New Roman" w:cs="Times New Roman" w:eastAsia="Times New Roman" w:hAnsi="Times New Roman"/>
          <w:sz w:val="22"/>
          <w:szCs w:val="22"/>
          <w:color w:val="auto"/>
        </w:rPr>
      </w:pPr>
    </w:p>
    <w:p>
      <w:pPr>
        <w:ind w:left="1400" w:hanging="644"/>
        <w:spacing w:after="0" w:line="225" w:lineRule="auto"/>
        <w:tabs>
          <w:tab w:leader="none" w:pos="120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179" w:lineRule="exact"/>
        <w:rPr>
          <w:sz w:val="20"/>
          <w:szCs w:val="20"/>
          <w:color w:val="auto"/>
        </w:rPr>
      </w:pPr>
    </w:p>
    <w:p>
      <w:pPr>
        <w:jc w:val="both"/>
        <w:ind w:left="760"/>
        <w:spacing w:after="0" w:line="210" w:lineRule="auto"/>
        <w:rPr>
          <w:sz w:val="20"/>
          <w:szCs w:val="20"/>
          <w:color w:val="auto"/>
        </w:rPr>
      </w:pPr>
      <w:r>
        <w:rPr>
          <w:rFonts w:ascii="Times New Roman" w:cs="Times New Roman" w:eastAsia="Times New Roman" w:hAnsi="Times New Roman"/>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340"/>
          </w:cols>
          <w:pgMar w:left="220" w:top="1382" w:right="339" w:bottom="1440" w:gutter="0" w:footer="0" w:header="0"/>
        </w:sectPr>
      </w:pPr>
    </w:p>
    <w:bookmarkStart w:id="86" w:name="page87"/>
    <w:bookmarkEnd w:id="86"/>
    <w:p>
      <w:pPr>
        <w:ind w:left="660"/>
        <w:spacing w:after="0" w:line="236" w:lineRule="auto"/>
        <w:rPr>
          <w:sz w:val="20"/>
          <w:szCs w:val="20"/>
          <w:color w:val="auto"/>
        </w:rPr>
      </w:pPr>
      <w:r>
        <w:rPr>
          <w:rFonts w:ascii="Times New Roman" w:cs="Times New Roman" w:eastAsia="Times New Roman" w:hAnsi="Times New Roman"/>
          <w:sz w:val="22"/>
          <w:szCs w:val="22"/>
          <w:color w:val="auto"/>
        </w:rPr>
        <w:t>examination properly requested by the Committee or the Company, then in any such event Grantee shall be deemed to have recovered from such Disability.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left="1160" w:hanging="504"/>
        <w:spacing w:after="0"/>
        <w:tabs>
          <w:tab w:leader="none" w:pos="11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permanent diminution in Grantee’s duties or responsibilities;</w:t>
      </w:r>
    </w:p>
    <w:p>
      <w:pPr>
        <w:spacing w:after="0" w:line="206" w:lineRule="exact"/>
        <w:rPr>
          <w:rFonts w:ascii="Times New Roman" w:cs="Times New Roman" w:eastAsia="Times New Roman" w:hAnsi="Times New Roman"/>
          <w:sz w:val="22"/>
          <w:szCs w:val="22"/>
          <w:color w:val="auto"/>
        </w:rPr>
      </w:pPr>
    </w:p>
    <w:p>
      <w:pPr>
        <w:ind w:left="1300" w:hanging="644"/>
        <w:spacing w:after="0" w:line="236" w:lineRule="auto"/>
        <w:tabs>
          <w:tab w:leader="none" w:pos="125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aggregate value of base salary and bonus opportunity provided to Grantee by the Company; or</w:t>
      </w:r>
    </w:p>
    <w:p>
      <w:pPr>
        <w:spacing w:after="0" w:line="177"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permanent reassignment of Grantee to another primary office more than 50 miles from the current office location.</w:t>
      </w:r>
    </w:p>
    <w:p>
      <w:pPr>
        <w:spacing w:after="0" w:line="218" w:lineRule="exact"/>
        <w:rPr>
          <w:sz w:val="20"/>
          <w:szCs w:val="20"/>
          <w:color w:val="auto"/>
        </w:rPr>
      </w:pPr>
    </w:p>
    <w:p>
      <w:pPr>
        <w:jc w:val="both"/>
        <w:ind w:left="660"/>
        <w:spacing w:after="0" w:line="217" w:lineRule="auto"/>
        <w:rPr>
          <w:sz w:val="20"/>
          <w:szCs w:val="20"/>
          <w:color w:val="auto"/>
        </w:rPr>
      </w:pPr>
      <w:r>
        <w:rPr>
          <w:rFonts w:ascii="Times New Roman" w:cs="Times New Roman" w:eastAsia="Times New Roman" w:hAnsi="Times New Roman"/>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II.B.3 of the Agreement at the time of such termination.</w:t>
      </w:r>
    </w:p>
    <w:p>
      <w:pPr>
        <w:spacing w:after="0" w:line="17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color w:val="auto"/>
        </w:rPr>
        <w:t>means a termination of Grantee’s status as a Service Provider with the Company or a Subsidiary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reason other than:</w:t>
      </w:r>
    </w:p>
    <w:p>
      <w:pPr>
        <w:spacing w:after="0" w:line="150" w:lineRule="exact"/>
        <w:rPr>
          <w:sz w:val="20"/>
          <w:szCs w:val="20"/>
          <w:color w:val="auto"/>
        </w:rPr>
      </w:pPr>
    </w:p>
    <w:p>
      <w:pPr>
        <w:ind w:left="1120" w:hanging="464"/>
        <w:spacing w:after="0"/>
        <w:tabs>
          <w:tab w:leader="none" w:pos="11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17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w:t>
      </w:r>
    </w:p>
    <w:p>
      <w:pPr>
        <w:spacing w:after="0" w:line="179" w:lineRule="exact"/>
        <w:rPr>
          <w:rFonts w:ascii="Times New Roman" w:cs="Times New Roman" w:eastAsia="Times New Roman" w:hAnsi="Times New Roman"/>
          <w:sz w:val="22"/>
          <w:szCs w:val="22"/>
          <w:color w:val="auto"/>
        </w:rPr>
      </w:pPr>
    </w:p>
    <w:p>
      <w:pPr>
        <w:ind w:left="1260" w:hanging="604"/>
        <w:spacing w:after="0"/>
        <w:tabs>
          <w:tab w:leader="none" w:pos="12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w:t>
      </w:r>
    </w:p>
    <w:p>
      <w:pPr>
        <w:spacing w:after="0" w:line="179"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Grantee without Good Reason; or</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17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termination of Grantee’s status as a Service Provider after attaining age 60 and five years of service with the Company and its Subsidiaries, provided that Grantee provides written notice of the date of such Retirement to the Chief Executive Officer of the Company at least 90 days prior to the date of such Retirement.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40"/>
          </w:cols>
          <w:pgMar w:left="320" w:top="1395" w:right="339" w:bottom="1440" w:gutter="0" w:footer="0" w:header="0"/>
        </w:sectPr>
      </w:pPr>
    </w:p>
    <w:bookmarkStart w:id="87" w:name="page88"/>
    <w:bookmarkEnd w:id="87"/>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15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NON-U.S. ADDENDUM</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2017 Equity and Incentive</w:t>
      </w: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Plan, as amended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 to you under the TriMas Corporation 2017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reside in the United Kingdom.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UNITED KINGDOM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47"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21"/>
          <w:szCs w:val="21"/>
          <w:b w:val="1"/>
          <w:bCs w:val="1"/>
          <w:color w:val="auto"/>
        </w:rPr>
        <w:t>UK Sub-Plan</w:t>
      </w:r>
      <w:r>
        <w:rPr>
          <w:rFonts w:ascii="Times New Roman" w:cs="Times New Roman" w:eastAsia="Times New Roman" w:hAnsi="Times New Roman"/>
          <w:sz w:val="21"/>
          <w:szCs w:val="21"/>
          <w:color w:val="auto"/>
        </w:rPr>
        <w:t>. Your grant of Restricted Stock Units is being made pursuant to the UK Sub-Plan, which contains additional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conditions that govern your Restricted Stock Units and participation in the Plan. Please review that document carefully.</w:t>
      </w:r>
    </w:p>
    <w:p>
      <w:pPr>
        <w:spacing w:after="0" w:line="155"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For purposes of the Agreement, the definition of “Disability” in Appendix A hereto shall be qualified by the inclusion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following phrase after the word “means”: “, subject to and in compliance with the requirements of laws of the United Kingdom,”.</w:t>
      </w:r>
    </w:p>
    <w:p>
      <w:pPr>
        <w:spacing w:after="0" w:line="186"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For purposes of the Agreement, the definition of “Retirement” in Appendix A hereto shall not apply. Further,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 of the capitalized term “Retirement” in the Agreement is hereby amended to read as “retirement”.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 Equivalent Rights</w:t>
      </w:r>
      <w:r>
        <w:rPr>
          <w:rFonts w:ascii="Times New Roman" w:cs="Times New Roman" w:eastAsia="Times New Roman" w:hAnsi="Times New Roman"/>
          <w:sz w:val="22"/>
          <w:szCs w:val="22"/>
          <w:color w:val="auto"/>
        </w:rPr>
        <w:t>. Section II.A.3 of the Agreement is hereby amended in its entirety to read as follows:</w:t>
      </w:r>
    </w:p>
    <w:p>
      <w:pPr>
        <w:spacing w:after="0" w:line="291" w:lineRule="exact"/>
        <w:rPr>
          <w:sz w:val="20"/>
          <w:szCs w:val="20"/>
          <w:color w:val="auto"/>
        </w:rPr>
      </w:pPr>
    </w:p>
    <w:p>
      <w:pPr>
        <w:jc w:val="both"/>
        <w:ind w:left="660"/>
        <w:spacing w:after="0" w:line="291" w:lineRule="auto"/>
        <w:rPr>
          <w:sz w:val="20"/>
          <w:szCs w:val="20"/>
          <w:color w:val="auto"/>
        </w:rPr>
      </w:pPr>
      <w:r>
        <w:rPr>
          <w:rFonts w:ascii="Times New Roman" w:cs="Times New Roman" w:eastAsia="Times New Roman" w:hAnsi="Times New Roman"/>
          <w:sz w:val="22"/>
          <w:szCs w:val="22"/>
          <w:color w:val="auto"/>
        </w:rPr>
        <w:t>“Grantee shall be notionally credited with cash per Restricted Stock Unit equal to the amount of each cash dividend paid by the Company (if any) to holders of Common Stock generally with a record date occurring on or after the Date of Grant and prior to the time when the Restricted Stock Units are settled in accordance with Section II.A.2 hereof. Any amounts notionally credited pursuant to the immediately preceding sentence shall be subject to the same applicable terms and conditions (including vesting,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40"/>
          </w:cols>
          <w:pgMar w:left="320" w:top="1440" w:right="339" w:bottom="1440" w:gutter="0" w:footer="0" w:header="0"/>
        </w:sectPr>
      </w:pPr>
    </w:p>
    <w:bookmarkStart w:id="88" w:name="page89"/>
    <w:bookmarkEnd w:id="88"/>
    <w:p>
      <w:pPr>
        <w:jc w:val="both"/>
        <w:ind w:left="660"/>
        <w:spacing w:after="0" w:line="289" w:lineRule="auto"/>
        <w:rPr>
          <w:sz w:val="20"/>
          <w:szCs w:val="20"/>
          <w:color w:val="auto"/>
        </w:rPr>
      </w:pPr>
      <w:r>
        <w:rPr>
          <w:rFonts w:ascii="Times New Roman" w:cs="Times New Roman" w:eastAsia="Times New Roman" w:hAnsi="Times New Roman"/>
          <w:sz w:val="22"/>
          <w:szCs w:val="22"/>
          <w:color w:val="auto"/>
        </w:rPr>
        <w:t>forfeitability) as apply to the Restricted Stock Units based on which the dividend equivalents were notionally credited, and such amounts shall be paid in Common Stock at the same time as the Restricted Stock Units to which they relate. The number of shares so paid in Common Stock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Restricted Stock Units (or the Common Stock representing the same, as the case may be) either legally or beneficially unless and until Grantee becomes entitled to receive the actual Common Stock in respect of this Award pursuant to Section II.A.2 of this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Section II.B.2 of the Agreement is hereby amended in its entirety to read as follows:</w:t>
      </w: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“Grantee hereby indemnifies the Company, Grantee’s employer or any other person in respect of:</w:t>
      </w:r>
    </w:p>
    <w:p>
      <w:pPr>
        <w:spacing w:after="0" w:line="206" w:lineRule="exact"/>
        <w:rPr>
          <w:sz w:val="20"/>
          <w:szCs w:val="20"/>
          <w:color w:val="auto"/>
        </w:rPr>
      </w:pPr>
    </w:p>
    <w:p>
      <w:pPr>
        <w:ind w:left="1960" w:right="640" w:hanging="656"/>
        <w:spacing w:after="0" w:line="220" w:lineRule="auto"/>
        <w:tabs>
          <w:tab w:leader="none" w:pos="175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of income tax for which the Company, Grantee’s employer or any other person is obliged to account under the Pay-As-You-Earn system and any amounts of employee’s national insurance contributions arising from the vesting of this Award (or which would not otherwise have arisen but for the grant of this Award to Grantee); and</w:t>
      </w:r>
    </w:p>
    <w:p>
      <w:pPr>
        <w:spacing w:after="0" w:line="179" w:lineRule="exact"/>
        <w:rPr>
          <w:rFonts w:ascii="Times New Roman" w:cs="Times New Roman" w:eastAsia="Times New Roman" w:hAnsi="Times New Roman"/>
          <w:sz w:val="22"/>
          <w:szCs w:val="22"/>
          <w:color w:val="auto"/>
        </w:rPr>
      </w:pPr>
    </w:p>
    <w:p>
      <w:pPr>
        <w:jc w:val="right"/>
        <w:ind w:left="1960" w:right="640" w:hanging="656"/>
        <w:spacing w:after="0" w:line="222" w:lineRule="auto"/>
        <w:tabs>
          <w:tab w:leader="none" w:pos="1797"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w:t>
      </w:r>
    </w:p>
    <w:p>
      <w:pPr>
        <w:spacing w:after="0" w:line="2" w:lineRule="exact"/>
        <w:rPr>
          <w:sz w:val="20"/>
          <w:szCs w:val="20"/>
          <w:color w:val="auto"/>
        </w:rPr>
      </w:pPr>
    </w:p>
    <w:p>
      <w:pPr>
        <w:jc w:val="both"/>
        <w:ind w:left="1960" w:right="660"/>
        <w:spacing w:after="0" w:line="204" w:lineRule="auto"/>
        <w:rPr>
          <w:sz w:val="20"/>
          <w:szCs w:val="20"/>
          <w:color w:val="auto"/>
        </w:rPr>
      </w:pPr>
      <w:r>
        <w:rPr>
          <w:rFonts w:ascii="Times New Roman" w:cs="Times New Roman" w:eastAsia="Times New Roman" w:hAnsi="Times New Roman"/>
          <w:sz w:val="22"/>
          <w:szCs w:val="22"/>
          <w:color w:val="auto"/>
        </w:rPr>
        <w:t>shares of Common Stock acquired pursuant to this Award or the conversion of such shares of Common Stock into securities of another description whilst such shares of Common Stock are held by Grantee,</w:t>
      </w:r>
    </w:p>
    <w:p>
      <w:pPr>
        <w:spacing w:after="0" w:line="3" w:lineRule="exact"/>
        <w:rPr>
          <w:sz w:val="20"/>
          <w:szCs w:val="20"/>
          <w:color w:val="auto"/>
        </w:rPr>
      </w:pPr>
    </w:p>
    <w:p>
      <w:pPr>
        <w:jc w:val="both"/>
        <w:ind w:left="660" w:right="640" w:hanging="381"/>
        <w:spacing w:after="0" w:line="208" w:lineRule="auto"/>
        <w:rPr>
          <w:sz w:val="20"/>
          <w:szCs w:val="20"/>
          <w:color w:val="auto"/>
        </w:rPr>
      </w:pPr>
      <w:r>
        <w:rPr>
          <w:rFonts w:ascii="Times New Roman" w:cs="Times New Roman" w:eastAsia="Times New Roman" w:hAnsi="Times New Roman"/>
          <w:sz w:val="22"/>
          <w:szCs w:val="22"/>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 fails to pay any amount so notified to him or her by the Company within seven days after such notification, Grantee hereby agrees that the Company may withhold, or procure the withholding, from any salary, wages, payment or payments due to Grantee from the Company or Grantee’s employer an amount which is equal to the amount notified to Grantee, sell or procure the sale of sufficient of the shares of Common Stock acquired by Grantee pursuant to this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240"/>
          </w:cols>
          <w:pgMar w:left="320" w:top="1435" w:right="339" w:bottom="1440" w:gutter="0" w:footer="0" w:header="0"/>
        </w:sectPr>
      </w:pPr>
    </w:p>
    <w:bookmarkStart w:id="89" w:name="page90"/>
    <w:bookmarkEnd w:id="89"/>
    <w:p>
      <w:pPr>
        <w:jc w:val="both"/>
        <w:ind w:left="660" w:hanging="406"/>
        <w:spacing w:after="0" w:line="215" w:lineRule="auto"/>
        <w:rPr>
          <w:sz w:val="20"/>
          <w:szCs w:val="20"/>
          <w:color w:val="auto"/>
        </w:rPr>
      </w:pPr>
      <w:r>
        <w:rPr>
          <w:rFonts w:ascii="Times New Roman" w:cs="Times New Roman" w:eastAsia="Times New Roman" w:hAnsi="Times New Roman"/>
          <w:sz w:val="22"/>
          <w:szCs w:val="22"/>
          <w:color w:val="auto"/>
        </w:rPr>
        <w:t>In the alternative to satisfying the indemnity in (i) above, Grantee hereby agrees that the Company may withhold from the total number of shares of Common Stock that become issuable to Grantee on vesting of this Award a number of shares of Common Stock with an aggregate Market Value per Share on the date of withholding equal to the amount due under (i) above as determined by the Company, in which case Grantee will be taken to have forfeited the right to be issued the number of shares of Common Stock so withheld in order to make good the amounts due under (i) above.</w:t>
      </w:r>
    </w:p>
    <w:p>
      <w:pPr>
        <w:spacing w:after="0" w:line="179" w:lineRule="exact"/>
        <w:rPr>
          <w:sz w:val="20"/>
          <w:szCs w:val="20"/>
          <w:color w:val="auto"/>
        </w:rPr>
      </w:pPr>
    </w:p>
    <w:p>
      <w:pPr>
        <w:jc w:val="both"/>
        <w:ind w:left="660" w:right="20" w:hanging="419"/>
        <w:spacing w:after="0" w:line="225" w:lineRule="auto"/>
        <w:rPr>
          <w:sz w:val="20"/>
          <w:szCs w:val="20"/>
          <w:color w:val="auto"/>
        </w:rPr>
      </w:pPr>
      <w:r>
        <w:rPr>
          <w:rFonts w:ascii="Times New Roman" w:cs="Times New Roman" w:eastAsia="Times New Roman" w:hAnsi="Times New Roman"/>
          <w:sz w:val="22"/>
          <w:szCs w:val="22"/>
          <w:color w:val="auto"/>
        </w:rPr>
        <w:t>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179" w:lineRule="exact"/>
        <w:rPr>
          <w:sz w:val="20"/>
          <w:szCs w:val="20"/>
          <w:color w:val="auto"/>
        </w:rPr>
      </w:pPr>
    </w:p>
    <w:p>
      <w:pPr>
        <w:jc w:val="both"/>
        <w:ind w:left="660" w:right="20" w:hanging="401"/>
        <w:spacing w:after="0" w:line="217" w:lineRule="auto"/>
        <w:rPr>
          <w:sz w:val="20"/>
          <w:szCs w:val="20"/>
          <w:color w:val="auto"/>
        </w:rPr>
      </w:pPr>
      <w:r>
        <w:rPr>
          <w:rFonts w:ascii="Times New Roman" w:cs="Times New Roman" w:eastAsia="Times New Roman" w:hAnsi="Times New Roman"/>
          <w:sz w:val="22"/>
          <w:szCs w:val="22"/>
          <w:color w:val="auto"/>
        </w:rPr>
        <w:t>It is a further condition of delivery of any shares of Common Stock pursuant to the vesting of this Award that Grantee will, if required to do so by the Company, enter into a joint election under section 431(1) of the United Kingdom Income Tax (Earnings and Pensions) Act 2003 (“</w:t>
      </w:r>
      <w:r>
        <w:rPr>
          <w:rFonts w:ascii="Times New Roman" w:cs="Times New Roman" w:eastAsia="Times New Roman" w:hAnsi="Times New Roman"/>
          <w:sz w:val="22"/>
          <w:szCs w:val="22"/>
          <w:u w:val="single" w:color="auto"/>
          <w:color w:val="auto"/>
        </w:rPr>
        <w:t>ITEPA</w:t>
      </w:r>
      <w:r>
        <w:rPr>
          <w:rFonts w:ascii="Times New Roman" w:cs="Times New Roman" w:eastAsia="Times New Roman" w:hAnsi="Times New Roman"/>
          <w:sz w:val="22"/>
          <w:szCs w:val="22"/>
          <w:color w:val="auto"/>
        </w:rPr>
        <w:t>”), the effect of which is that the Common Stock will be treated as if they were not restricted securities and that sections 425 to 430 of ITEPA will not apply to those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Whistleblower Protection. </w:t>
      </w:r>
      <w:r>
        <w:rPr>
          <w:rFonts w:ascii="Times New Roman" w:cs="Times New Roman" w:eastAsia="Times New Roman" w:hAnsi="Times New Roman"/>
          <w:sz w:val="22"/>
          <w:szCs w:val="22"/>
          <w:color w:val="auto"/>
        </w:rPr>
        <w:t>The last sentence of Section II.B.3(b) is hereby amended in its entirety to read as follows:</w:t>
      </w:r>
    </w:p>
    <w:p>
      <w:pPr>
        <w:spacing w:after="0" w:line="210" w:lineRule="exact"/>
        <w:rPr>
          <w:sz w:val="20"/>
          <w:szCs w:val="20"/>
          <w:color w:val="auto"/>
        </w:rPr>
      </w:pPr>
    </w:p>
    <w:p>
      <w:pPr>
        <w:jc w:val="both"/>
        <w:ind w:left="660"/>
        <w:spacing w:after="0" w:line="212" w:lineRule="auto"/>
        <w:rPr>
          <w:sz w:val="20"/>
          <w:szCs w:val="20"/>
          <w:color w:val="auto"/>
        </w:rPr>
      </w:pPr>
      <w:r>
        <w:rPr>
          <w:rFonts w:ascii="Times New Roman" w:cs="Times New Roman" w:eastAsia="Times New Roman" w:hAnsi="Times New Roman"/>
          <w:sz w:val="22"/>
          <w:szCs w:val="22"/>
          <w:color w:val="auto"/>
        </w:rPr>
        <w:t>“Notwithstanding anything in this Agreement to the contrary, nothing in this Agreement prevents Grantee, in accordance with applicable law, from (i) making a protected disclosure under section 43A of the Employment Rights Act 1996; (ii) making a disclosure to a regulator regarding any misconduct, wrongdoing or serious breach of regulatory requirements, or reporting a criminal offence to any law enforcement agency; (iii) co-operating with any law enforcement agency regarding a criminal investigation or prosecution; or (iv)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Section II.B.3(c) is hereby amended in its entirety to read as follows:</w:t>
      </w:r>
    </w:p>
    <w:p>
      <w:pPr>
        <w:spacing w:after="0" w:line="206" w:lineRule="exact"/>
        <w:rPr>
          <w:sz w:val="20"/>
          <w:szCs w:val="20"/>
          <w:color w:val="auto"/>
        </w:rPr>
      </w:pPr>
    </w:p>
    <w:p>
      <w:pPr>
        <w:jc w:val="both"/>
        <w:ind w:left="660" w:hanging="330"/>
        <w:spacing w:after="0" w:line="216" w:lineRule="auto"/>
        <w:tabs>
          <w:tab w:leader="none" w:pos="6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b w:val="1"/>
          <w:bCs w:val="1"/>
          <w:color w:val="auto"/>
        </w:rPr>
        <w:t xml:space="preserve">Covenants Against Competition and Solicitation. </w:t>
      </w:r>
      <w:r>
        <w:rPr>
          <w:rFonts w:ascii="Times New Roman" w:cs="Times New Roman" w:eastAsia="Times New Roman" w:hAnsi="Times New Roman"/>
          <w:sz w:val="22"/>
          <w:szCs w:val="22"/>
          <w:color w:val="auto"/>
        </w:rPr>
        <w:t>Each of the restrictions set out in this Section II.B.3(c)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Grantee covenants that Grantee will not for the Restricted Period:</w:t>
      </w:r>
    </w:p>
    <w:p>
      <w:pPr>
        <w:spacing w:after="0" w:line="179" w:lineRule="exact"/>
        <w:rPr>
          <w:sz w:val="20"/>
          <w:szCs w:val="20"/>
          <w:color w:val="auto"/>
        </w:rPr>
      </w:pPr>
    </w:p>
    <w:p>
      <w:pPr>
        <w:ind w:left="1280" w:right="20" w:hanging="644"/>
        <w:spacing w:after="0" w:line="236" w:lineRule="auto"/>
        <w:tabs>
          <w:tab w:leader="none" w:pos="11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entice or solicit or endeavour to entice or solicit away from the Company or any Group Company any Relevant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600"/>
          </w:cols>
          <w:pgMar w:left="320" w:top="1395" w:right="979" w:bottom="1440" w:gutter="0" w:footer="0" w:header="0"/>
        </w:sectPr>
      </w:pPr>
    </w:p>
    <w:bookmarkStart w:id="90" w:name="page91"/>
    <w:bookmarkEnd w:id="90"/>
    <w:p>
      <w:pPr>
        <w:ind w:left="1120" w:hanging="644"/>
        <w:spacing w:after="0" w:line="236" w:lineRule="auto"/>
        <w:tabs>
          <w:tab w:leader="none" w:pos="116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or otherwise engage or otherwise facilitate the employment or engagement of any Relevant Employee;</w:t>
      </w:r>
    </w:p>
    <w:p>
      <w:pPr>
        <w:spacing w:after="0" w:line="150" w:lineRule="exact"/>
        <w:rPr>
          <w:rFonts w:ascii="Times New Roman" w:cs="Times New Roman" w:eastAsia="Times New Roman" w:hAnsi="Times New Roman"/>
          <w:sz w:val="22"/>
          <w:szCs w:val="22"/>
          <w:color w:val="auto"/>
        </w:rPr>
      </w:pPr>
    </w:p>
    <w:p>
      <w:pPr>
        <w:ind w:left="1020" w:hanging="544"/>
        <w:spacing w:after="0"/>
        <w:tabs>
          <w:tab w:leader="none" w:pos="10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endeavour to supply Restricted Goods or Services to any Relevant Customer;</w:t>
      </w:r>
    </w:p>
    <w:p>
      <w:pPr>
        <w:spacing w:after="0" w:line="179" w:lineRule="exact"/>
        <w:rPr>
          <w:rFonts w:ascii="Times New Roman" w:cs="Times New Roman" w:eastAsia="Times New Roman" w:hAnsi="Times New Roman"/>
          <w:sz w:val="22"/>
          <w:szCs w:val="22"/>
          <w:color w:val="auto"/>
        </w:rPr>
      </w:pPr>
    </w:p>
    <w:p>
      <w:pPr>
        <w:ind w:left="1000" w:hanging="524"/>
        <w:spacing w:after="0"/>
        <w:tabs>
          <w:tab w:leader="none" w:pos="10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supply or be involved with the supply of Restricted Goods or Services to any Relevant Customer;</w:t>
      </w:r>
    </w:p>
    <w:p>
      <w:pPr>
        <w:spacing w:after="0" w:line="179" w:lineRule="exact"/>
        <w:rPr>
          <w:rFonts w:ascii="Times New Roman" w:cs="Times New Roman" w:eastAsia="Times New Roman" w:hAnsi="Times New Roman"/>
          <w:sz w:val="22"/>
          <w:szCs w:val="22"/>
          <w:color w:val="auto"/>
        </w:rPr>
      </w:pPr>
    </w:p>
    <w:p>
      <w:pPr>
        <w:ind w:left="940" w:hanging="464"/>
        <w:spacing w:after="0"/>
        <w:tabs>
          <w:tab w:leader="none" w:pos="9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any business dealings with any Relevant Customer on behalf of a Relevant Business;</w:t>
      </w:r>
    </w:p>
    <w:p>
      <w:pPr>
        <w:spacing w:after="0" w:line="179" w:lineRule="exact"/>
        <w:rPr>
          <w:rFonts w:ascii="Times New Roman" w:cs="Times New Roman" w:eastAsia="Times New Roman" w:hAnsi="Times New Roman"/>
          <w:sz w:val="22"/>
          <w:szCs w:val="22"/>
          <w:color w:val="auto"/>
        </w:rPr>
      </w:pPr>
    </w:p>
    <w:p>
      <w:pPr>
        <w:ind w:left="1000" w:hanging="524"/>
        <w:spacing w:after="0"/>
        <w:tabs>
          <w:tab w:leader="none" w:pos="10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principal or agent in any Relevant Business within the Restricted Area;</w:t>
      </w:r>
    </w:p>
    <w:p>
      <w:pPr>
        <w:spacing w:after="0" w:line="179" w:lineRule="exact"/>
        <w:rPr>
          <w:rFonts w:ascii="Times New Roman" w:cs="Times New Roman" w:eastAsia="Times New Roman" w:hAnsi="Times New Roman"/>
          <w:sz w:val="22"/>
          <w:szCs w:val="22"/>
          <w:color w:val="auto"/>
        </w:rPr>
      </w:pPr>
    </w:p>
    <w:p>
      <w:pPr>
        <w:ind w:left="1060" w:hanging="584"/>
        <w:spacing w:after="0"/>
        <w:tabs>
          <w:tab w:leader="none" w:pos="10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partner or member in any Relevant Business within the Restricted Area;</w:t>
      </w:r>
    </w:p>
    <w:p>
      <w:pPr>
        <w:spacing w:after="0" w:line="179" w:lineRule="exact"/>
        <w:rPr>
          <w:rFonts w:ascii="Times New Roman" w:cs="Times New Roman" w:eastAsia="Times New Roman" w:hAnsi="Times New Roman"/>
          <w:sz w:val="22"/>
          <w:szCs w:val="22"/>
          <w:color w:val="auto"/>
        </w:rPr>
      </w:pPr>
    </w:p>
    <w:p>
      <w:pPr>
        <w:ind w:left="1120" w:right="20" w:hanging="644"/>
        <w:spacing w:after="0" w:line="236" w:lineRule="auto"/>
        <w:tabs>
          <w:tab w:leader="none" w:pos="114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employed or engaged as a worker in any Relevant Business that operates or seeks to operate within the Restricted Area;</w:t>
      </w:r>
    </w:p>
    <w:p>
      <w:pPr>
        <w:spacing w:after="0" w:line="150" w:lineRule="exact"/>
        <w:rPr>
          <w:rFonts w:ascii="Times New Roman" w:cs="Times New Roman" w:eastAsia="Times New Roman" w:hAnsi="Times New Roman"/>
          <w:sz w:val="22"/>
          <w:szCs w:val="22"/>
          <w:color w:val="auto"/>
        </w:rPr>
      </w:pPr>
    </w:p>
    <w:p>
      <w:pPr>
        <w:ind w:left="1120" w:hanging="644"/>
        <w:spacing w:after="0" w:line="236" w:lineRule="auto"/>
        <w:tabs>
          <w:tab w:leader="none" w:pos="106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engaged as a consultant (directly or through another entity) or adviser to any Relevant Business within the Restricted Area;</w:t>
      </w:r>
    </w:p>
    <w:p>
      <w:pPr>
        <w:spacing w:after="0" w:line="150" w:lineRule="exact"/>
        <w:rPr>
          <w:rFonts w:ascii="Times New Roman" w:cs="Times New Roman" w:eastAsia="Times New Roman" w:hAnsi="Times New Roman"/>
          <w:sz w:val="22"/>
          <w:szCs w:val="22"/>
          <w:color w:val="auto"/>
        </w:rPr>
      </w:pPr>
    </w:p>
    <w:p>
      <w:pPr>
        <w:ind w:left="940" w:hanging="464"/>
        <w:spacing w:after="0"/>
        <w:tabs>
          <w:tab w:leader="none" w:pos="9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on or be concerned as a director of any Relevant Business within the Restricted Area;</w:t>
      </w:r>
    </w:p>
    <w:p>
      <w:pPr>
        <w:spacing w:after="0" w:line="179" w:lineRule="exact"/>
        <w:rPr>
          <w:rFonts w:ascii="Times New Roman" w:cs="Times New Roman" w:eastAsia="Times New Roman" w:hAnsi="Times New Roman"/>
          <w:sz w:val="22"/>
          <w:szCs w:val="22"/>
          <w:color w:val="auto"/>
        </w:rPr>
      </w:pPr>
    </w:p>
    <w:p>
      <w:pPr>
        <w:ind w:left="1000" w:hanging="524"/>
        <w:spacing w:after="0"/>
        <w:tabs>
          <w:tab w:leader="none" w:pos="10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material financial interest in any Relevant Business within the Restricted Area;</w:t>
      </w:r>
    </w:p>
    <w:p>
      <w:pPr>
        <w:spacing w:after="0" w:line="179" w:lineRule="exact"/>
        <w:rPr>
          <w:rFonts w:ascii="Times New Roman" w:cs="Times New Roman" w:eastAsia="Times New Roman" w:hAnsi="Times New Roman"/>
          <w:sz w:val="22"/>
          <w:szCs w:val="22"/>
          <w:color w:val="auto"/>
        </w:rPr>
      </w:pPr>
    </w:p>
    <w:p>
      <w:pPr>
        <w:jc w:val="both"/>
        <w:ind w:left="1120" w:right="20" w:hanging="644"/>
        <w:spacing w:after="0" w:line="217" w:lineRule="auto"/>
        <w:tabs>
          <w:tab w:leader="none" w:pos="106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 shareholding in any Relevant Business within the Restricted Area, disregarding any financial interest of a person in securities which are listed 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52" w:lineRule="exact"/>
        <w:rPr>
          <w:rFonts w:ascii="Times New Roman" w:cs="Times New Roman" w:eastAsia="Times New Roman" w:hAnsi="Times New Roman"/>
          <w:sz w:val="22"/>
          <w:szCs w:val="22"/>
          <w:color w:val="auto"/>
        </w:rPr>
      </w:pPr>
    </w:p>
    <w:p>
      <w:pPr>
        <w:ind w:left="1120" w:right="20" w:hanging="644"/>
        <w:spacing w:after="0" w:line="236" w:lineRule="auto"/>
        <w:tabs>
          <w:tab w:leader="none" w:pos="116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 person with significant control (under part 21A of the United Kingdom Companies Act 2006) in any Relevant Business within the Restricted Area.</w:t>
      </w:r>
    </w:p>
    <w:p>
      <w:pPr>
        <w:spacing w:after="0" w:line="150" w:lineRule="exact"/>
        <w:rPr>
          <w:sz w:val="20"/>
          <w:szCs w:val="20"/>
          <w:color w:val="auto"/>
        </w:rPr>
      </w:pPr>
    </w:p>
    <w:p>
      <w:pPr>
        <w:jc w:val="both"/>
        <w:ind w:left="500"/>
        <w:spacing w:after="0" w:line="225" w:lineRule="auto"/>
        <w:rPr>
          <w:sz w:val="20"/>
          <w:szCs w:val="20"/>
          <w:color w:val="auto"/>
        </w:rPr>
      </w:pPr>
      <w:r>
        <w:rPr>
          <w:rFonts w:ascii="Times New Roman" w:cs="Times New Roman" w:eastAsia="Times New Roman" w:hAnsi="Times New Roman"/>
          <w:sz w:val="22"/>
          <w:szCs w:val="22"/>
          <w:color w:val="auto"/>
        </w:rPr>
        <w:t>The restrictions above only apply in respect of business activities which compete or seek to compete with the Company and nothing in these provisions seeks to prevent Grantee in connection with activities which do not compete with the Company.</w:t>
      </w:r>
    </w:p>
    <w:p>
      <w:pPr>
        <w:spacing w:after="0" w:line="152" w:lineRule="exact"/>
        <w:rPr>
          <w:sz w:val="20"/>
          <w:szCs w:val="20"/>
          <w:color w:val="auto"/>
        </w:rPr>
      </w:pPr>
    </w:p>
    <w:p>
      <w:pPr>
        <w:jc w:val="both"/>
        <w:ind w:left="500"/>
        <w:spacing w:after="0" w:line="217" w:lineRule="auto"/>
        <w:rPr>
          <w:sz w:val="20"/>
          <w:szCs w:val="20"/>
          <w:color w:val="auto"/>
        </w:rPr>
      </w:pPr>
      <w:r>
        <w:rPr>
          <w:rFonts w:ascii="Times New Roman" w:cs="Times New Roman" w:eastAsia="Times New Roman" w:hAnsi="Times New Roman"/>
          <w:sz w:val="22"/>
          <w:szCs w:val="22"/>
          <w:color w:val="auto"/>
        </w:rPr>
        <w:t>While the restrictions above are considered by Grantee and the Company to be reasonable in all the circumstances, it is recognized that such restrictions may fail for unforeseen reasons and, it is therefore agreed that if any of the restrictions are 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0440"/>
          </w:cols>
          <w:pgMar w:left="480" w:top="1395" w:right="9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Section II.B.3(e) is hereby amended in its entirety to read as follows:</w:t>
      </w:r>
    </w:p>
    <w:p>
      <w:pPr>
        <w:spacing w:after="0" w:line="206" w:lineRule="exact"/>
        <w:rPr>
          <w:sz w:val="20"/>
          <w:szCs w:val="20"/>
          <w:color w:val="auto"/>
        </w:rPr>
      </w:pPr>
    </w:p>
    <w:p>
      <w:pPr>
        <w:jc w:val="both"/>
        <w:ind w:left="1300"/>
        <w:spacing w:after="0" w:line="214" w:lineRule="auto"/>
        <w:rPr>
          <w:sz w:val="20"/>
          <w:szCs w:val="20"/>
          <w:color w:val="auto"/>
        </w:rPr>
      </w:pPr>
      <w:r>
        <w:rPr>
          <w:rFonts w:ascii="Times New Roman" w:cs="Times New Roman" w:eastAsia="Times New Roman" w:hAnsi="Times New Roman"/>
          <w:sz w:val="22"/>
          <w:szCs w:val="22"/>
          <w:color w:val="auto"/>
        </w:rPr>
        <w:t>“(1)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76" w:lineRule="exact"/>
        <w:rPr>
          <w:sz w:val="20"/>
          <w:szCs w:val="20"/>
          <w:color w:val="auto"/>
        </w:rPr>
      </w:pPr>
    </w:p>
    <w:p>
      <w:pPr>
        <w:jc w:val="both"/>
        <w:ind w:left="1300" w:right="20" w:firstLine="4"/>
        <w:spacing w:after="0" w:line="227" w:lineRule="auto"/>
        <w:tabs>
          <w:tab w:leader="none" w:pos="187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Competitive Business</w:t>
      </w:r>
      <w:r>
        <w:rPr>
          <w:rFonts w:ascii="Times New Roman" w:cs="Times New Roman" w:eastAsia="Times New Roman" w:hAnsi="Times New Roman"/>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146" w:lineRule="exact"/>
        <w:rPr>
          <w:rFonts w:ascii="Times New Roman" w:cs="Times New Roman" w:eastAsia="Times New Roman" w:hAnsi="Times New Roman"/>
          <w:sz w:val="22"/>
          <w:szCs w:val="22"/>
          <w:color w:val="auto"/>
        </w:rPr>
      </w:pPr>
    </w:p>
    <w:p>
      <w:pPr>
        <w:jc w:val="both"/>
        <w:ind w:left="1300" w:firstLine="4"/>
        <w:spacing w:after="0" w:line="209" w:lineRule="auto"/>
        <w:tabs>
          <w:tab w:leader="none" w:pos="197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55" w:lineRule="exact"/>
        <w:rPr>
          <w:rFonts w:ascii="Times New Roman" w:cs="Times New Roman" w:eastAsia="Times New Roman" w:hAnsi="Times New Roman"/>
          <w:sz w:val="22"/>
          <w:szCs w:val="22"/>
          <w:color w:val="auto"/>
        </w:rPr>
      </w:pPr>
    </w:p>
    <w:p>
      <w:pPr>
        <w:jc w:val="both"/>
        <w:ind w:left="1300" w:right="20" w:firstLine="4"/>
        <w:spacing w:after="0" w:line="227" w:lineRule="auto"/>
        <w:tabs>
          <w:tab w:leader="none" w:pos="188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Area</w:t>
      </w:r>
      <w:r>
        <w:rPr>
          <w:rFonts w:ascii="Times New Roman" w:cs="Times New Roman" w:eastAsia="Times New Roman" w:hAnsi="Times New Roman"/>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46" w:lineRule="exact"/>
        <w:rPr>
          <w:rFonts w:ascii="Times New Roman" w:cs="Times New Roman" w:eastAsia="Times New Roman" w:hAnsi="Times New Roman"/>
          <w:sz w:val="22"/>
          <w:szCs w:val="22"/>
          <w:color w:val="auto"/>
        </w:rPr>
      </w:pPr>
    </w:p>
    <w:p>
      <w:pPr>
        <w:ind w:left="1300" w:right="20" w:firstLine="4"/>
        <w:spacing w:after="0" w:line="238" w:lineRule="auto"/>
        <w:tabs>
          <w:tab w:leader="none" w:pos="187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Business</w:t>
      </w:r>
      <w:r>
        <w:rPr>
          <w:rFonts w:ascii="Times New Roman" w:cs="Times New Roman" w:eastAsia="Times New Roman" w:hAnsi="Times New Roman"/>
          <w:sz w:val="22"/>
          <w:szCs w:val="22"/>
          <w:color w:val="auto"/>
        </w:rPr>
        <w:t>” means any business or part of a business involving the supply of Restricted Goods or Services.</w:t>
      </w:r>
    </w:p>
    <w:p>
      <w:pPr>
        <w:spacing w:after="0" w:line="146" w:lineRule="exact"/>
        <w:rPr>
          <w:rFonts w:ascii="Times New Roman" w:cs="Times New Roman" w:eastAsia="Times New Roman" w:hAnsi="Times New Roman"/>
          <w:sz w:val="22"/>
          <w:szCs w:val="22"/>
          <w:color w:val="auto"/>
        </w:rPr>
      </w:pPr>
    </w:p>
    <w:p>
      <w:pPr>
        <w:jc w:val="both"/>
        <w:ind w:left="1300" w:right="20" w:firstLine="4"/>
        <w:spacing w:after="0" w:line="221" w:lineRule="auto"/>
        <w:tabs>
          <w:tab w:leader="none" w:pos="176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Customer</w:t>
      </w:r>
      <w:r>
        <w:rPr>
          <w:rFonts w:ascii="Times New Roman" w:cs="Times New Roman" w:eastAsia="Times New Roman" w:hAnsi="Times New Roman"/>
          <w:sz w:val="22"/>
          <w:szCs w:val="22"/>
          <w:color w:val="auto"/>
        </w:rPr>
        <w:t>” means a person, firm or company who in the twelve months immediately before the Relevant Date conducted a business relationship (including, without limitation, the provision of services and the negotiation for the same) with the Company and with whom Grantee had significant contact in the course of Grantee’s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vii</w:t>
      </w:r>
    </w:p>
    <w:p>
      <w:pPr>
        <w:sectPr>
          <w:pgSz w:w="11900" w:h="16838" w:orient="portrait"/>
          <w:cols w:equalWidth="0" w:num="1">
            <w:col w:w="10600"/>
          </w:cols>
          <w:pgMar w:left="320" w:top="1391" w:right="979" w:bottom="1440" w:gutter="0" w:footer="0" w:header="0"/>
        </w:sectPr>
      </w:pPr>
    </w:p>
    <w:bookmarkStart w:id="92" w:name="page93"/>
    <w:bookmarkEnd w:id="92"/>
    <w:p>
      <w:pPr>
        <w:jc w:val="both"/>
        <w:ind w:left="1300" w:right="660" w:firstLine="4"/>
        <w:spacing w:after="0" w:line="227" w:lineRule="auto"/>
        <w:tabs>
          <w:tab w:leader="none" w:pos="176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Date</w:t>
      </w:r>
      <w:r>
        <w:rPr>
          <w:rFonts w:ascii="Times New Roman" w:cs="Times New Roman" w:eastAsia="Times New Roman" w:hAnsi="Times New Roman"/>
          <w:sz w:val="22"/>
          <w:szCs w:val="22"/>
          <w:color w:val="auto"/>
        </w:rPr>
        <w:t>” means the earlier of (x) the date of termination of Grantee’s employment, and (y) the start of any period of garden leave or exclusion under Grantee’s contract of employment with the Company.</w:t>
      </w:r>
    </w:p>
    <w:p>
      <w:pPr>
        <w:spacing w:after="0" w:line="146" w:lineRule="exact"/>
        <w:rPr>
          <w:rFonts w:ascii="Times New Roman" w:cs="Times New Roman" w:eastAsia="Times New Roman" w:hAnsi="Times New Roman"/>
          <w:sz w:val="22"/>
          <w:szCs w:val="22"/>
          <w:color w:val="auto"/>
        </w:rPr>
      </w:pPr>
    </w:p>
    <w:p>
      <w:pPr>
        <w:jc w:val="both"/>
        <w:ind w:left="1300" w:right="660" w:firstLine="4"/>
        <w:spacing w:after="0" w:line="227" w:lineRule="auto"/>
        <w:tabs>
          <w:tab w:leader="none" w:pos="180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Employee</w:t>
      </w:r>
      <w:r>
        <w:rPr>
          <w:rFonts w:ascii="Times New Roman" w:cs="Times New Roman" w:eastAsia="Times New Roman" w:hAnsi="Times New Roman"/>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146" w:lineRule="exact"/>
        <w:rPr>
          <w:rFonts w:ascii="Times New Roman" w:cs="Times New Roman" w:eastAsia="Times New Roman" w:hAnsi="Times New Roman"/>
          <w:sz w:val="22"/>
          <w:szCs w:val="22"/>
          <w:color w:val="auto"/>
        </w:rPr>
      </w:pPr>
    </w:p>
    <w:p>
      <w:pPr>
        <w:jc w:val="both"/>
        <w:ind w:left="1300" w:right="640" w:firstLine="4"/>
        <w:spacing w:after="0" w:line="227" w:lineRule="auto"/>
        <w:tabs>
          <w:tab w:leader="none" w:pos="182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Goods or Services</w:t>
      </w:r>
      <w:r>
        <w:rPr>
          <w:rFonts w:ascii="Times New Roman" w:cs="Times New Roman" w:eastAsia="Times New Roman" w:hAnsi="Times New Roman"/>
          <w:sz w:val="22"/>
          <w:szCs w:val="22"/>
          <w:color w:val="auto"/>
        </w:rPr>
        <w:t>” means products for customers in the consumer products, aerospace, industrial, petrochemical, refinery and oil and gas end markets, and the design, manufacture and marketing thereof.</w:t>
      </w:r>
    </w:p>
    <w:p>
      <w:pPr>
        <w:spacing w:after="0" w:line="146" w:lineRule="exact"/>
        <w:rPr>
          <w:rFonts w:ascii="Times New Roman" w:cs="Times New Roman" w:eastAsia="Times New Roman" w:hAnsi="Times New Roman"/>
          <w:sz w:val="22"/>
          <w:szCs w:val="22"/>
          <w:color w:val="auto"/>
        </w:rPr>
      </w:pPr>
    </w:p>
    <w:p>
      <w:pPr>
        <w:jc w:val="both"/>
        <w:ind w:left="1300" w:right="660" w:firstLine="4"/>
        <w:spacing w:after="0" w:line="221" w:lineRule="auto"/>
        <w:tabs>
          <w:tab w:leader="none" w:pos="197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Period</w:t>
      </w:r>
      <w:r>
        <w:rPr>
          <w:rFonts w:ascii="Times New Roman" w:cs="Times New Roman" w:eastAsia="Times New Roman" w:hAnsi="Times New Roman"/>
          <w:sz w:val="22"/>
          <w:szCs w:val="22"/>
          <w:color w:val="auto"/>
        </w:rPr>
        <w:t>” means: (x) for restrictions set forth in clauses (i) to (v) of Section II.B.3(c), during Grantee’s employment and for a period of twelve months after the Relevant Date; and (y) for restrictions set forth in clauses (vi) to (xiii) of Section II.B.3(c), during Grantee’s employment and for a period of nine months after the Relevant Date.”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A new Section II.B.16 is added to the Agreement to read as follows:</w:t>
      </w:r>
    </w:p>
    <w:p>
      <w:pPr>
        <w:spacing w:after="0" w:line="210" w:lineRule="exact"/>
        <w:rPr>
          <w:sz w:val="20"/>
          <w:szCs w:val="20"/>
          <w:color w:val="auto"/>
        </w:rPr>
      </w:pPr>
    </w:p>
    <w:p>
      <w:pPr>
        <w:jc w:val="both"/>
        <w:ind w:left="1300"/>
        <w:spacing w:after="0" w:line="220" w:lineRule="auto"/>
        <w:rPr>
          <w:sz w:val="20"/>
          <w:szCs w:val="20"/>
          <w:color w:val="auto"/>
        </w:rPr>
      </w:pPr>
      <w:r>
        <w:rPr>
          <w:rFonts w:ascii="Times New Roman" w:cs="Times New Roman" w:eastAsia="Times New Roman" w:hAnsi="Times New Roman"/>
          <w:sz w:val="22"/>
          <w:szCs w:val="22"/>
          <w:color w:val="auto"/>
        </w:rPr>
        <w:t>The Company and Rieke Packaging Systems Limited (the “Grantee’s Employer”), (together the “Relevant TriMas Companies”) will process the Grantee’s personal data in connection with the Plan. For the purposes of data protection legislation, the Relevant TriMas Companies will each act as independent controllers in relation to such personal data.</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Categories of Personal Data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categories of personal data that we will process in connection with the Plan are the Grantee’s:</w:t>
      </w:r>
    </w:p>
    <w:p>
      <w:pPr>
        <w:spacing w:after="0" w:line="179" w:lineRule="exact"/>
        <w:rPr>
          <w:sz w:val="20"/>
          <w:szCs w:val="20"/>
          <w:color w:val="auto"/>
        </w:rPr>
      </w:pPr>
    </w:p>
    <w:p>
      <w:pPr>
        <w:ind w:left="1940" w:hanging="312"/>
        <w:spacing w:after="0"/>
        <w:tabs>
          <w:tab w:leader="none" w:pos="19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name;</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date of birth;</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job title;</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home address (and, if different, mailing address) and postal code;</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telephone number;</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social insurance, national insurance, US taxpayer and/or foreign tax identification number;</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salary;</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country of citizenship and nationality;</w:t>
      </w:r>
    </w:p>
    <w:p>
      <w:pPr>
        <w:spacing w:after="0" w:line="17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Common Stock or directorships held in any of the Relevant TriMas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viii</w:t>
      </w:r>
    </w:p>
    <w:p>
      <w:pPr>
        <w:sectPr>
          <w:pgSz w:w="11900" w:h="16838" w:orient="portrait"/>
          <w:cols w:equalWidth="0" w:num="1">
            <w:col w:w="11240"/>
          </w:cols>
          <w:pgMar w:left="320" w:top="1391" w:right="339" w:bottom="1440" w:gutter="0" w:footer="0" w:header="0"/>
        </w:sectPr>
      </w:pPr>
    </w:p>
    <w:bookmarkStart w:id="93" w:name="page94"/>
    <w:bookmarkEnd w:id="93"/>
    <w:p>
      <w:pPr>
        <w:ind w:left="1800" w:hanging="332"/>
        <w:spacing w:after="0" w:line="236" w:lineRule="auto"/>
        <w:tabs>
          <w:tab w:leader="none" w:pos="17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details of all awards or any other entitlement to Common Stock awarded, cancelled, exercised, vested, unvested or outstanding in Grantee’s favour; and</w:t>
      </w:r>
    </w:p>
    <w:p>
      <w:pPr>
        <w:spacing w:after="0" w:line="150" w:lineRule="exact"/>
        <w:rPr>
          <w:rFonts w:ascii="Times New Roman" w:cs="Times New Roman" w:eastAsia="Times New Roman" w:hAnsi="Times New Roman"/>
          <w:sz w:val="18"/>
          <w:szCs w:val="18"/>
          <w:color w:val="auto"/>
        </w:rPr>
      </w:pPr>
    </w:p>
    <w:p>
      <w:pPr>
        <w:ind w:left="1800" w:hanging="332"/>
        <w:spacing w:after="0" w:line="236" w:lineRule="auto"/>
        <w:tabs>
          <w:tab w:leader="none" w:pos="17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reference number (where relevant to link the Grantee’s benefits under the Plan to other documentation issued to or from the US Department of the Treasury Internal Revenue Service).</w:t>
      </w:r>
    </w:p>
    <w:p>
      <w:pPr>
        <w:spacing w:after="0" w:line="150" w:lineRule="exact"/>
        <w:rPr>
          <w:sz w:val="20"/>
          <w:szCs w:val="20"/>
          <w:color w:val="auto"/>
        </w:rPr>
      </w:pPr>
    </w:p>
    <w:p>
      <w:pPr>
        <w:ind w:left="1140"/>
        <w:spacing w:after="0" w:line="236" w:lineRule="auto"/>
        <w:rPr>
          <w:sz w:val="20"/>
          <w:szCs w:val="20"/>
          <w:color w:val="auto"/>
        </w:rPr>
      </w:pPr>
      <w:r>
        <w:rPr>
          <w:rFonts w:ascii="Times New Roman" w:cs="Times New Roman" w:eastAsia="Times New Roman" w:hAnsi="Times New Roman"/>
          <w:sz w:val="22"/>
          <w:szCs w:val="22"/>
          <w:color w:val="auto"/>
        </w:rPr>
        <w:t>The processing of the personal data set out above is mandatory in order for the Relevant TriMas Companies to provide and administer the Plan.</w:t>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Purposes of Processing Personal Data</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The Relevant TriMas Companies will process the Grantee’s personal data for the purposes of:</w:t>
      </w:r>
    </w:p>
    <w:p>
      <w:pPr>
        <w:spacing w:after="0" w:line="179" w:lineRule="exact"/>
        <w:rPr>
          <w:sz w:val="20"/>
          <w:szCs w:val="20"/>
          <w:color w:val="auto"/>
        </w:rPr>
      </w:pPr>
    </w:p>
    <w:p>
      <w:pPr>
        <w:ind w:left="1800" w:right="20" w:hanging="332"/>
        <w:spacing w:after="0" w:line="236" w:lineRule="auto"/>
        <w:tabs>
          <w:tab w:leader="none" w:pos="17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administering and maintaining the Plan relating to the Grantee and records associated with the Plan (including maintaining a database of Participants in the Plan);</w:t>
      </w:r>
    </w:p>
    <w:p>
      <w:pPr>
        <w:spacing w:after="0" w:line="150" w:lineRule="exact"/>
        <w:rPr>
          <w:rFonts w:ascii="Times New Roman" w:cs="Times New Roman" w:eastAsia="Times New Roman" w:hAnsi="Times New Roman"/>
          <w:sz w:val="18"/>
          <w:szCs w:val="18"/>
          <w:color w:val="auto"/>
        </w:rPr>
      </w:pPr>
    </w:p>
    <w:p>
      <w:pPr>
        <w:jc w:val="both"/>
        <w:ind w:left="1800" w:hanging="332"/>
        <w:spacing w:after="0" w:line="225" w:lineRule="auto"/>
        <w:tabs>
          <w:tab w:leader="none" w:pos="17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to (i) trustees of any employee benefit trust or (ii) the third party administrators involved directly or indirectly in the operation of the Plan (as set out in the “Sharing Personal Data with Third Parties” section below);</w:t>
      </w:r>
    </w:p>
    <w:p>
      <w:pPr>
        <w:spacing w:after="0" w:line="152" w:lineRule="exact"/>
        <w:rPr>
          <w:rFonts w:ascii="Times New Roman" w:cs="Times New Roman" w:eastAsia="Times New Roman" w:hAnsi="Times New Roman"/>
          <w:sz w:val="18"/>
          <w:szCs w:val="18"/>
          <w:color w:val="auto"/>
        </w:rPr>
      </w:pPr>
    </w:p>
    <w:p>
      <w:pPr>
        <w:ind w:left="1800" w:right="20" w:hanging="332"/>
        <w:spacing w:after="0" w:line="236" w:lineRule="auto"/>
        <w:tabs>
          <w:tab w:leader="none" w:pos="17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providing information relating to Grantee in connection with the operation of the Plan to HM Revenue and Customs in the United Kingdom as required by law;</w:t>
      </w:r>
    </w:p>
    <w:p>
      <w:pPr>
        <w:spacing w:after="0" w:line="150" w:lineRule="exact"/>
        <w:rPr>
          <w:rFonts w:ascii="Times New Roman" w:cs="Times New Roman" w:eastAsia="Times New Roman" w:hAnsi="Times New Roman"/>
          <w:sz w:val="18"/>
          <w:szCs w:val="18"/>
          <w:color w:val="auto"/>
        </w:rPr>
      </w:pPr>
    </w:p>
    <w:p>
      <w:pPr>
        <w:jc w:val="both"/>
        <w:ind w:left="1800" w:hanging="332"/>
        <w:spacing w:after="0" w:line="225" w:lineRule="auto"/>
        <w:tabs>
          <w:tab w:leader="none" w:pos="17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52" w:lineRule="exact"/>
        <w:rPr>
          <w:rFonts w:ascii="Times New Roman" w:cs="Times New Roman" w:eastAsia="Times New Roman" w:hAnsi="Times New Roman"/>
          <w:sz w:val="18"/>
          <w:szCs w:val="18"/>
          <w:color w:val="auto"/>
        </w:rPr>
      </w:pPr>
    </w:p>
    <w:p>
      <w:pPr>
        <w:ind w:left="1780" w:hanging="312"/>
        <w:spacing w:after="0"/>
        <w:tabs>
          <w:tab w:leader="none" w:pos="17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obtaining legal and other professional advice; and</w:t>
      </w:r>
    </w:p>
    <w:p>
      <w:pPr>
        <w:spacing w:after="0" w:line="179" w:lineRule="exact"/>
        <w:rPr>
          <w:rFonts w:ascii="Times New Roman" w:cs="Times New Roman" w:eastAsia="Times New Roman" w:hAnsi="Times New Roman"/>
          <w:sz w:val="18"/>
          <w:szCs w:val="18"/>
          <w:color w:val="auto"/>
        </w:rPr>
      </w:pPr>
    </w:p>
    <w:p>
      <w:pPr>
        <w:ind w:left="1780" w:hanging="312"/>
        <w:spacing w:after="0"/>
        <w:tabs>
          <w:tab w:leader="none" w:pos="17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establishing, exercising or defending legal rights.</w:t>
      </w:r>
    </w:p>
    <w:p>
      <w:pPr>
        <w:spacing w:after="0" w:line="1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Legal Basis for Processing Personal Data</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The processing of the Grantee’s personal data:</w:t>
      </w:r>
    </w:p>
    <w:p>
      <w:pPr>
        <w:spacing w:after="0" w:line="179" w:lineRule="exact"/>
        <w:rPr>
          <w:sz w:val="20"/>
          <w:szCs w:val="20"/>
          <w:color w:val="auto"/>
        </w:rPr>
      </w:pPr>
    </w:p>
    <w:p>
      <w:pPr>
        <w:jc w:val="both"/>
        <w:ind w:left="1800" w:hanging="332"/>
        <w:spacing w:after="0" w:line="225" w:lineRule="auto"/>
        <w:tabs>
          <w:tab w:leader="none" w:pos="17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152" w:lineRule="exact"/>
        <w:rPr>
          <w:rFonts w:ascii="Times New Roman" w:cs="Times New Roman" w:eastAsia="Times New Roman" w:hAnsi="Times New Roman"/>
          <w:sz w:val="18"/>
          <w:szCs w:val="18"/>
          <w:color w:val="auto"/>
        </w:rPr>
      </w:pPr>
    </w:p>
    <w:p>
      <w:pPr>
        <w:jc w:val="both"/>
        <w:ind w:left="1800" w:hanging="332"/>
        <w:spacing w:after="0" w:line="220" w:lineRule="auto"/>
        <w:tabs>
          <w:tab w:leader="none" w:pos="17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ix</w:t>
      </w:r>
    </w:p>
    <w:p>
      <w:pPr>
        <w:sectPr>
          <w:pgSz w:w="11900" w:h="16838" w:orient="portrait"/>
          <w:cols w:equalWidth="0" w:num="1">
            <w:col w:w="11080"/>
          </w:cols>
          <w:pgMar w:left="480" w:top="1395" w:right="339" w:bottom="1440" w:gutter="0" w:footer="0" w:header="0"/>
        </w:sectPr>
      </w:pPr>
    </w:p>
    <w:bookmarkStart w:id="94" w:name="page95"/>
    <w:bookmarkEnd w:id="94"/>
    <w:p>
      <w:pPr>
        <w:ind w:left="1800" w:hanging="332"/>
        <w:spacing w:after="0" w:line="236" w:lineRule="auto"/>
        <w:tabs>
          <w:tab w:leader="none" w:pos="179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respect of all other personal data set out above, is necessary for the performance of the Restricted Stock Units Agreement between the Grantee and TriMas Corporation.</w:t>
      </w:r>
    </w:p>
    <w:p>
      <w:pPr>
        <w:spacing w:after="0" w:line="150" w:lineRule="exact"/>
        <w:rPr>
          <w:sz w:val="20"/>
          <w:szCs w:val="20"/>
          <w:color w:val="auto"/>
        </w:rPr>
      </w:pPr>
    </w:p>
    <w:p>
      <w:pPr>
        <w:jc w:val="both"/>
        <w:ind w:left="1140" w:right="20"/>
        <w:spacing w:after="0" w:line="236" w:lineRule="auto"/>
        <w:rPr>
          <w:sz w:val="20"/>
          <w:szCs w:val="20"/>
          <w:color w:val="auto"/>
        </w:rPr>
      </w:pPr>
      <w:r>
        <w:rPr>
          <w:rFonts w:ascii="Times New Roman" w:cs="Times New Roman" w:eastAsia="Times New Roman" w:hAnsi="Times New Roman"/>
          <w:sz w:val="22"/>
          <w:szCs w:val="22"/>
          <w:color w:val="auto"/>
        </w:rPr>
        <w:t>The Relevant TriMas Companies will also process the Grantee’s personal data as necessary to comply with any legal obligations to which the Relevant TriMas Companies are subject.</w:t>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Sharing Personal Data with Third Parties</w:t>
      </w:r>
    </w:p>
    <w:p>
      <w:pPr>
        <w:spacing w:after="0" w:line="183" w:lineRule="exact"/>
        <w:rPr>
          <w:sz w:val="20"/>
          <w:szCs w:val="20"/>
          <w:color w:val="auto"/>
        </w:rPr>
      </w:pPr>
    </w:p>
    <w:p>
      <w:pPr>
        <w:jc w:val="both"/>
        <w:ind w:left="1140" w:right="20"/>
        <w:spacing w:after="0" w:line="236" w:lineRule="auto"/>
        <w:rPr>
          <w:sz w:val="20"/>
          <w:szCs w:val="20"/>
          <w:color w:val="auto"/>
        </w:rPr>
      </w:pPr>
      <w:r>
        <w:rPr>
          <w:rFonts w:ascii="Times New Roman" w:cs="Times New Roman" w:eastAsia="Times New Roman" w:hAnsi="Times New Roman"/>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150" w:lineRule="exact"/>
        <w:rPr>
          <w:sz w:val="20"/>
          <w:szCs w:val="20"/>
          <w:color w:val="auto"/>
        </w:rPr>
      </w:pPr>
    </w:p>
    <w:p>
      <w:pPr>
        <w:jc w:val="both"/>
        <w:ind w:left="1140"/>
        <w:spacing w:after="0" w:line="215" w:lineRule="auto"/>
        <w:rPr>
          <w:sz w:val="20"/>
          <w:szCs w:val="20"/>
          <w:color w:val="auto"/>
        </w:rPr>
      </w:pPr>
      <w:r>
        <w:rPr>
          <w:rFonts w:ascii="Times New Roman" w:cs="Times New Roman" w:eastAsia="Times New Roman" w:hAnsi="Times New Roman"/>
          <w:sz w:val="22"/>
          <w:szCs w:val="22"/>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52" w:lineRule="exact"/>
        <w:rPr>
          <w:sz w:val="20"/>
          <w:szCs w:val="20"/>
          <w:color w:val="auto"/>
        </w:rPr>
      </w:pPr>
    </w:p>
    <w:p>
      <w:pPr>
        <w:jc w:val="both"/>
        <w:ind w:left="1140"/>
        <w:spacing w:after="0" w:line="212" w:lineRule="auto"/>
        <w:rPr>
          <w:sz w:val="20"/>
          <w:szCs w:val="20"/>
          <w:color w:val="auto"/>
        </w:rPr>
      </w:pPr>
      <w:r>
        <w:rPr>
          <w:rFonts w:ascii="Times New Roman" w:cs="Times New Roman" w:eastAsia="Times New Roman" w:hAnsi="Times New Roman"/>
          <w:sz w:val="22"/>
          <w:szCs w:val="22"/>
          <w:color w:val="auto"/>
        </w:rPr>
        <w:t xml:space="preserve">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 into Grantee’s Fidelity account at </w:t>
      </w:r>
      <w:r>
        <w:rPr>
          <w:rFonts w:ascii="Times New Roman" w:cs="Times New Roman" w:eastAsia="Times New Roman" w:hAnsi="Times New Roman"/>
          <w:sz w:val="22"/>
          <w:szCs w:val="22"/>
          <w:u w:val="single" w:color="auto"/>
          <w:color w:val="auto"/>
        </w:rPr>
        <w:t>www.netbenefits.fidelity.com</w:t>
      </w:r>
      <w:r>
        <w:rPr>
          <w:rFonts w:ascii="Times New Roman" w:cs="Times New Roman" w:eastAsia="Times New Roman" w:hAnsi="Times New Roman"/>
          <w:sz w:val="22"/>
          <w:szCs w:val="22"/>
          <w:color w:val="auto"/>
        </w:rPr>
        <w:t xml:space="preserve"> and visiting the Plan &amp; Grant Documents section of the Grantee’s account.</w:t>
      </w:r>
    </w:p>
    <w:p>
      <w:pPr>
        <w:spacing w:after="0" w:line="156" w:lineRule="exact"/>
        <w:rPr>
          <w:sz w:val="20"/>
          <w:szCs w:val="20"/>
          <w:color w:val="auto"/>
        </w:rPr>
      </w:pPr>
    </w:p>
    <w:p>
      <w:pPr>
        <w:jc w:val="both"/>
        <w:ind w:left="1140"/>
        <w:spacing w:after="0" w:line="225" w:lineRule="auto"/>
        <w:rPr>
          <w:sz w:val="20"/>
          <w:szCs w:val="20"/>
          <w:color w:val="auto"/>
        </w:rPr>
      </w:pPr>
      <w:r>
        <w:rPr>
          <w:rFonts w:ascii="Times New Roman" w:cs="Times New Roman" w:eastAsia="Times New Roman" w:hAnsi="Times New Roman"/>
          <w:sz w:val="22"/>
          <w:szCs w:val="22"/>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153" w:lineRule="exact"/>
        <w:rPr>
          <w:sz w:val="20"/>
          <w:szCs w:val="20"/>
          <w:color w:val="auto"/>
        </w:rPr>
      </w:pPr>
    </w:p>
    <w:p>
      <w:pPr>
        <w:ind w:left="1780" w:hanging="312"/>
        <w:spacing w:after="0"/>
        <w:tabs>
          <w:tab w:leader="none" w:pos="17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enabling potential purchasers to complete due diligence on, and value, the business and/or assets;</w:t>
      </w:r>
    </w:p>
    <w:p>
      <w:pPr>
        <w:spacing w:after="0" w:line="179" w:lineRule="exact"/>
        <w:rPr>
          <w:rFonts w:ascii="Times New Roman" w:cs="Times New Roman" w:eastAsia="Times New Roman" w:hAnsi="Times New Roman"/>
          <w:sz w:val="18"/>
          <w:szCs w:val="18"/>
          <w:color w:val="auto"/>
        </w:rPr>
      </w:pPr>
    </w:p>
    <w:p>
      <w:pPr>
        <w:ind w:left="1800" w:right="20" w:hanging="332"/>
        <w:spacing w:after="0" w:line="236" w:lineRule="auto"/>
        <w:tabs>
          <w:tab w:leader="none" w:pos="179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transferring the personal data in connection with any relevant sale and the transfer of the Relevant TriMas Company’s contractual rights and/or obligations; and</w:t>
      </w:r>
    </w:p>
    <w:p>
      <w:pPr>
        <w:spacing w:after="0" w:line="150" w:lineRule="exact"/>
        <w:rPr>
          <w:rFonts w:ascii="Times New Roman" w:cs="Times New Roman" w:eastAsia="Times New Roman" w:hAnsi="Times New Roman"/>
          <w:sz w:val="18"/>
          <w:szCs w:val="18"/>
          <w:color w:val="auto"/>
        </w:rPr>
      </w:pPr>
    </w:p>
    <w:p>
      <w:pPr>
        <w:ind w:left="1780" w:hanging="312"/>
        <w:spacing w:after="0"/>
        <w:tabs>
          <w:tab w:leader="none" w:pos="17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use of such personal data by a purchaser for the operation of its business.</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The Relevant TriMas Companies will also share the Grantee’s personal data with:</w:t>
      </w:r>
    </w:p>
    <w:p>
      <w:pPr>
        <w:spacing w:after="0" w:line="179" w:lineRule="exact"/>
        <w:rPr>
          <w:sz w:val="20"/>
          <w:szCs w:val="20"/>
          <w:color w:val="auto"/>
        </w:rPr>
      </w:pPr>
    </w:p>
    <w:p>
      <w:pPr>
        <w:ind w:left="1780" w:hanging="312"/>
        <w:spacing w:after="0"/>
        <w:tabs>
          <w:tab w:leader="none" w:pos="17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its professional advisors, auditors,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w:t>
      </w:r>
    </w:p>
    <w:p>
      <w:pPr>
        <w:sectPr>
          <w:pgSz w:w="11900" w:h="16838" w:orient="portrait"/>
          <w:cols w:equalWidth="0" w:num="1">
            <w:col w:w="11080"/>
          </w:cols>
          <w:pgMar w:left="480" w:top="1395" w:right="339" w:bottom="1440" w:gutter="0" w:footer="0" w:header="0"/>
        </w:sectPr>
      </w:pPr>
    </w:p>
    <w:bookmarkStart w:id="95" w:name="page96"/>
    <w:bookmarkEnd w:id="95"/>
    <w:p>
      <w:pPr>
        <w:jc w:val="both"/>
        <w:ind w:left="1800" w:hanging="332"/>
        <w:spacing w:after="0" w:line="225" w:lineRule="auto"/>
        <w:tabs>
          <w:tab w:leader="none" w:pos="17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152" w:lineRule="exact"/>
        <w:rPr>
          <w:rFonts w:ascii="Times New Roman" w:cs="Times New Roman" w:eastAsia="Times New Roman" w:hAnsi="Times New Roman"/>
          <w:sz w:val="18"/>
          <w:szCs w:val="18"/>
          <w:color w:val="auto"/>
        </w:rPr>
      </w:pPr>
    </w:p>
    <w:p>
      <w:pPr>
        <w:jc w:val="both"/>
        <w:ind w:left="1800" w:hanging="332"/>
        <w:spacing w:after="0" w:line="225" w:lineRule="auto"/>
        <w:tabs>
          <w:tab w:leader="none" w:pos="17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third parties if it is under a duty to disclose or share the Grantee’s personal data in order to comply with any laws, regulations or good governance obligations, or in order to enforce or to protect its rights, property or safety, or that of its customers or other persons with whom it has a business relationship.</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Retention of Personal Data</w:t>
      </w:r>
    </w:p>
    <w:p>
      <w:pPr>
        <w:spacing w:after="0" w:line="183" w:lineRule="exact"/>
        <w:rPr>
          <w:sz w:val="20"/>
          <w:szCs w:val="20"/>
          <w:color w:val="auto"/>
        </w:rPr>
      </w:pPr>
    </w:p>
    <w:p>
      <w:pPr>
        <w:jc w:val="both"/>
        <w:ind w:left="1140"/>
        <w:spacing w:after="0" w:line="236"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the duration of the Plan and for a further period of eight years after the Grantee ceases to be a member of the Plan.</w:t>
      </w:r>
    </w:p>
    <w:p>
      <w:pPr>
        <w:spacing w:after="0" w:line="150" w:lineRule="exact"/>
        <w:rPr>
          <w:sz w:val="20"/>
          <w:szCs w:val="20"/>
          <w:color w:val="auto"/>
        </w:rPr>
      </w:pPr>
    </w:p>
    <w:p>
      <w:pPr>
        <w:jc w:val="both"/>
        <w:ind w:left="1140"/>
        <w:spacing w:after="0" w:line="225" w:lineRule="auto"/>
        <w:rPr>
          <w:sz w:val="20"/>
          <w:szCs w:val="20"/>
          <w:color w:val="auto"/>
        </w:rPr>
      </w:pPr>
      <w:r>
        <w:rPr>
          <w:rFonts w:ascii="Times New Roman" w:cs="Times New Roman" w:eastAsia="Times New Roman" w:hAnsi="Times New Roman"/>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The Grantee’s Rights</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In order to control the use of their personal data, each Grantee has the following controls over their personal data:</w:t>
      </w:r>
    </w:p>
    <w:p>
      <w:pPr>
        <w:spacing w:after="0" w:line="191" w:lineRule="exact"/>
        <w:rPr>
          <w:sz w:val="20"/>
          <w:szCs w:val="20"/>
          <w:color w:val="auto"/>
        </w:rPr>
      </w:pPr>
    </w:p>
    <w:p>
      <w:pPr>
        <w:ind w:left="1800" w:right="20" w:hanging="332"/>
        <w:spacing w:after="0" w:line="236" w:lineRule="auto"/>
        <w:tabs>
          <w:tab w:leader="none" w:pos="17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access to or copies of the personal data that the Relevant TriMas Companies hold about them by contacting their local human resources representative;</w:t>
      </w:r>
    </w:p>
    <w:p>
      <w:pPr>
        <w:spacing w:after="0" w:line="150" w:lineRule="exact"/>
        <w:rPr>
          <w:rFonts w:ascii="Times New Roman" w:cs="Times New Roman" w:eastAsia="Times New Roman" w:hAnsi="Times New Roman"/>
          <w:sz w:val="18"/>
          <w:szCs w:val="18"/>
          <w:color w:val="auto"/>
        </w:rPr>
      </w:pPr>
    </w:p>
    <w:p>
      <w:pPr>
        <w:jc w:val="both"/>
        <w:ind w:left="1800" w:hanging="332"/>
        <w:spacing w:after="0" w:line="217" w:lineRule="auto"/>
        <w:tabs>
          <w:tab w:leader="none" w:pos="17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 is inaccurate. In certain circumstances, the Grantee may also request that the Relevant TriMas Companies restrict their processing;</w:t>
      </w:r>
    </w:p>
    <w:p>
      <w:pPr>
        <w:spacing w:after="0" w:line="152" w:lineRule="exact"/>
        <w:rPr>
          <w:rFonts w:ascii="Times New Roman" w:cs="Times New Roman" w:eastAsia="Times New Roman" w:hAnsi="Times New Roman"/>
          <w:sz w:val="18"/>
          <w:szCs w:val="18"/>
          <w:color w:val="auto"/>
        </w:rPr>
      </w:pPr>
    </w:p>
    <w:p>
      <w:pPr>
        <w:jc w:val="both"/>
        <w:ind w:left="1800" w:hanging="332"/>
        <w:spacing w:after="0" w:line="220" w:lineRule="auto"/>
        <w:tabs>
          <w:tab w:leader="none" w:pos="17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152" w:lineRule="exact"/>
        <w:rPr>
          <w:rFonts w:ascii="Times New Roman" w:cs="Times New Roman" w:eastAsia="Times New Roman" w:hAnsi="Times New Roman"/>
          <w:sz w:val="18"/>
          <w:szCs w:val="18"/>
          <w:color w:val="auto"/>
        </w:rPr>
      </w:pPr>
    </w:p>
    <w:p>
      <w:pPr>
        <w:jc w:val="both"/>
        <w:ind w:left="1800" w:hanging="332"/>
        <w:spacing w:after="0" w:line="217" w:lineRule="auto"/>
        <w:tabs>
          <w:tab w:leader="none" w:pos="17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179" w:lineRule="exact"/>
        <w:rPr>
          <w:rFonts w:ascii="Times New Roman" w:cs="Times New Roman" w:eastAsia="Times New Roman" w:hAnsi="Times New Roman"/>
          <w:sz w:val="18"/>
          <w:szCs w:val="18"/>
          <w:color w:val="auto"/>
        </w:rPr>
      </w:pPr>
    </w:p>
    <w:p>
      <w:pPr>
        <w:ind w:left="1800" w:hanging="332"/>
        <w:spacing w:after="0" w:line="255" w:lineRule="auto"/>
        <w:tabs>
          <w:tab w:leader="none" w:pos="1795"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Where the Grantee has provided the Relevant TriMas Companies with their personal data that the Relevant TriMas Companies process using automated means, the Grantee may be entitled to a copy of that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xi</w:t>
      </w:r>
    </w:p>
    <w:p>
      <w:pPr>
        <w:sectPr>
          <w:pgSz w:w="11900" w:h="16838" w:orient="portrait"/>
          <w:cols w:equalWidth="0" w:num="1">
            <w:col w:w="11080"/>
          </w:cols>
          <w:pgMar w:left="480" w:top="1395" w:right="339" w:bottom="1440" w:gutter="0" w:footer="0" w:header="0"/>
        </w:sectPr>
      </w:pPr>
    </w:p>
    <w:bookmarkStart w:id="96" w:name="page97"/>
    <w:bookmarkEnd w:id="96"/>
    <w:p>
      <w:pPr>
        <w:ind w:left="1960"/>
        <w:spacing w:after="0" w:line="236" w:lineRule="auto"/>
        <w:rPr>
          <w:sz w:val="20"/>
          <w:szCs w:val="20"/>
          <w:color w:val="auto"/>
        </w:rPr>
      </w:pPr>
      <w:r>
        <w:rPr>
          <w:rFonts w:ascii="Times New Roman" w:cs="Times New Roman" w:eastAsia="Times New Roman" w:hAnsi="Times New Roman"/>
          <w:sz w:val="22"/>
          <w:szCs w:val="22"/>
          <w:color w:val="auto"/>
        </w:rPr>
        <w:t>data in a structured, commonly-used and machine readable format. The Grantee can exercise this right by contacting their local human resources representative.</w:t>
      </w:r>
    </w:p>
    <w:p>
      <w:pPr>
        <w:spacing w:after="0" w:line="15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Times New Roman" w:cs="Times New Roman" w:eastAsia="Times New Roman" w:hAnsi="Times New Roman"/>
          <w:sz w:val="21"/>
          <w:szCs w:val="21"/>
          <w:u w:val="single" w:color="auto"/>
          <w:color w:val="0000FF"/>
        </w:rPr>
        <w:t>https://ico.org.uk/concerns/</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Loss of Office or Employment</w:t>
      </w:r>
      <w:r>
        <w:rPr>
          <w:rFonts w:ascii="Times New Roman" w:cs="Times New Roman" w:eastAsia="Times New Roman" w:hAnsi="Times New Roman"/>
          <w:sz w:val="22"/>
          <w:szCs w:val="22"/>
          <w:color w:val="auto"/>
        </w:rPr>
        <w:t>. A new Section II.B.17 is added to the Agreement to read as follows:</w:t>
      </w:r>
    </w:p>
    <w:p>
      <w:pPr>
        <w:spacing w:after="0" w:line="210" w:lineRule="exact"/>
        <w:rPr>
          <w:sz w:val="20"/>
          <w:szCs w:val="20"/>
          <w:color w:val="auto"/>
        </w:rPr>
      </w:pPr>
    </w:p>
    <w:p>
      <w:pPr>
        <w:jc w:val="both"/>
        <w:ind w:left="1300" w:right="640"/>
        <w:spacing w:after="0" w:line="217" w:lineRule="auto"/>
        <w:rPr>
          <w:sz w:val="20"/>
          <w:szCs w:val="20"/>
          <w:color w:val="auto"/>
        </w:rPr>
      </w:pPr>
      <w:r>
        <w:rPr>
          <w:rFonts w:ascii="Times New Roman" w:cs="Times New Roman" w:eastAsia="Times New Roman" w:hAnsi="Times New Roman"/>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xii</w:t>
      </w:r>
    </w:p>
    <w:p>
      <w:pPr>
        <w:sectPr>
          <w:pgSz w:w="11900" w:h="16838" w:orient="portrait"/>
          <w:cols w:equalWidth="0" w:num="1">
            <w:col w:w="11240"/>
          </w:cols>
          <w:pgMar w:left="320" w:top="1395" w:right="339" w:bottom="1440" w:gutter="0" w:footer="0" w:header="0"/>
        </w:sectPr>
      </w:pPr>
    </w:p>
    <w:bookmarkStart w:id="97" w:name="page98"/>
    <w:bookmarkEnd w:id="97"/>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17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CALIFORNIA ADDENDUM</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Additional Terms and Conditions for Equity Grants Under the TriMas Corporation 2017 Equity and Incentive</w:t>
      </w: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Plan,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1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This Addendum includes additional terms and conditions that govern the Restricted Stock Units granted to you under the TriMas Corporation 2017 Equity and Incentive Compensation Plan (referred to as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if you are employed and/or reside in California or if the Company determines that the application of such terms and conditions is necessary or advisable in order to comply with applicable law. Certain capitalized terms used but not defined in this Addendum have the meanings set forth in the Plan and/or your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 Section II.B.3 of the Agreement is hereby amended in its entirety to read as follows:</w:t>
      </w:r>
    </w:p>
    <w:p>
      <w:pPr>
        <w:spacing w:after="0" w:line="206" w:lineRule="exact"/>
        <w:rPr>
          <w:sz w:val="20"/>
          <w:szCs w:val="20"/>
          <w:color w:val="auto"/>
        </w:rPr>
      </w:pPr>
    </w:p>
    <w:p>
      <w:pPr>
        <w:ind w:left="220"/>
        <w:spacing w:after="0"/>
        <w:tabs>
          <w:tab w:leader="none" w:pos="6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40" w:firstLine="644"/>
        <w:spacing w:after="0" w:line="221" w:lineRule="auto"/>
        <w:tabs>
          <w:tab w:leader="none" w:pos="193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The Company would not be providing Restricted Stock Units or Common Stock to Grantee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148" w:lineRule="exact"/>
        <w:rPr>
          <w:rFonts w:ascii="Times New Roman" w:cs="Times New Roman" w:eastAsia="Times New Roman" w:hAnsi="Times New Roman"/>
          <w:sz w:val="22"/>
          <w:szCs w:val="22"/>
          <w:color w:val="auto"/>
        </w:rPr>
      </w:pPr>
    </w:p>
    <w:p>
      <w:pPr>
        <w:jc w:val="both"/>
        <w:ind w:left="640" w:firstLine="644"/>
        <w:spacing w:after="0" w:line="209" w:lineRule="auto"/>
        <w:tabs>
          <w:tab w:leader="none" w:pos="193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Recognizing Grantee’s fiduciary duties to the Company, as a condition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II.B.3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Pursuant to 18 U.S.C. § 1833(b), and as set forth fully therein, notice is hereby given that Grantee shall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filed in a lawsuit or other proceeding, if such filing is made under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xiii</w:t>
      </w:r>
    </w:p>
    <w:p>
      <w:pPr>
        <w:sectPr>
          <w:pgSz w:w="11900" w:h="16838" w:orient="portrait"/>
          <w:cols w:equalWidth="0" w:num="1">
            <w:col w:w="11240"/>
          </w:cols>
          <w:pgMar w:left="320" w:top="1440" w:right="339" w:bottom="1440" w:gutter="0" w:footer="0" w:header="0"/>
        </w:sectPr>
      </w:pPr>
    </w:p>
    <w:bookmarkStart w:id="98" w:name="page99"/>
    <w:bookmarkEnd w:id="98"/>
    <w:p>
      <w:pPr>
        <w:jc w:val="both"/>
        <w:ind w:left="480"/>
        <w:spacing w:after="0" w:line="212" w:lineRule="auto"/>
        <w:rPr>
          <w:sz w:val="20"/>
          <w:szCs w:val="20"/>
          <w:color w:val="auto"/>
        </w:rPr>
      </w:pPr>
      <w:r>
        <w:rPr>
          <w:rFonts w:ascii="Times New Roman" w:cs="Times New Roman" w:eastAsia="Times New Roman" w:hAnsi="Times New Roman"/>
          <w:sz w:val="22"/>
          <w:szCs w:val="22"/>
          <w:color w:val="auto"/>
        </w:rPr>
        <w:t>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anything in this Agreement to the contrary, nothing in this Agreement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52" w:lineRule="exact"/>
        <w:rPr>
          <w:sz w:val="20"/>
          <w:szCs w:val="20"/>
          <w:color w:val="auto"/>
        </w:rPr>
      </w:pPr>
    </w:p>
    <w:p>
      <w:pPr>
        <w:jc w:val="both"/>
        <w:ind w:left="480" w:firstLine="644"/>
        <w:spacing w:after="0" w:line="211" w:lineRule="auto"/>
        <w:tabs>
          <w:tab w:leader="none" w:pos="177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 Against Solicitation</w:t>
      </w:r>
      <w:r>
        <w:rPr>
          <w:rFonts w:ascii="Times New Roman" w:cs="Times New Roman" w:eastAsia="Times New Roman" w:hAnsi="Times New Roman"/>
          <w:sz w:val="22"/>
          <w:szCs w:val="22"/>
          <w:color w:val="auto"/>
        </w:rPr>
        <w:t>. Grantee further understands and agrees that while Grantee is employed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for 12 months thereafter Grantee shall not directly or indirectly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The “Business” shall mean the design, development, manufacture, distribution, sale or marketing of the type of products or services sold, distributed or provided by the Company during the one-year period prior to the date of employment termination and with which Grantee was involved and/or oversaw.</w:t>
      </w:r>
    </w:p>
    <w:p>
      <w:pPr>
        <w:spacing w:after="0" w:line="151" w:lineRule="exact"/>
        <w:rPr>
          <w:rFonts w:ascii="Times New Roman" w:cs="Times New Roman" w:eastAsia="Times New Roman" w:hAnsi="Times New Roman"/>
          <w:sz w:val="22"/>
          <w:szCs w:val="22"/>
          <w:color w:val="auto"/>
        </w:rPr>
      </w:pPr>
    </w:p>
    <w:p>
      <w:pPr>
        <w:jc w:val="both"/>
        <w:ind w:left="480" w:firstLine="644"/>
        <w:spacing w:after="0" w:line="221" w:lineRule="auto"/>
        <w:tabs>
          <w:tab w:leader="none" w:pos="177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Determination by the Board</w:t>
      </w:r>
      <w:r>
        <w:rPr>
          <w:rFonts w:ascii="Times New Roman" w:cs="Times New Roman" w:eastAsia="Times New Roman" w:hAnsi="Times New Roman"/>
          <w:sz w:val="22"/>
          <w:szCs w:val="22"/>
          <w:color w:val="auto"/>
        </w:rPr>
        <w:t>. Upon entering into this Agreement, Grantee understands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of the Board shall be final and binding on the issue of whether Grantee’s actions are or will be in violation of this Section II.B.3. Grantee may request in writing from the Board an advance determination as to whether Grantee’s proposed actions will violate this Section II.B.3.</w:t>
      </w:r>
    </w:p>
    <w:p>
      <w:pPr>
        <w:spacing w:after="0" w:line="148" w:lineRule="exact"/>
        <w:rPr>
          <w:rFonts w:ascii="Times New Roman" w:cs="Times New Roman" w:eastAsia="Times New Roman" w:hAnsi="Times New Roman"/>
          <w:sz w:val="22"/>
          <w:szCs w:val="22"/>
          <w:color w:val="auto"/>
        </w:rPr>
      </w:pPr>
    </w:p>
    <w:p>
      <w:pPr>
        <w:ind w:left="1780" w:hanging="656"/>
        <w:spacing w:after="0"/>
        <w:tabs>
          <w:tab w:leader="none" w:pos="17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Certain Definitions</w:t>
      </w:r>
      <w:r>
        <w:rPr>
          <w:rFonts w:ascii="Times New Roman" w:cs="Times New Roman" w:eastAsia="Times New Roman" w:hAnsi="Times New Roman"/>
          <w:sz w:val="22"/>
          <w:szCs w:val="22"/>
          <w:color w:val="auto"/>
        </w:rPr>
        <w:t>. The following definitions shall apply solely with respect to this Section II.B.3:</w:t>
      </w:r>
    </w:p>
    <w:p>
      <w:pPr>
        <w:spacing w:after="0" w:line="179" w:lineRule="exact"/>
        <w:rPr>
          <w:rFonts w:ascii="Times New Roman" w:cs="Times New Roman" w:eastAsia="Times New Roman" w:hAnsi="Times New Roman"/>
          <w:sz w:val="22"/>
          <w:szCs w:val="22"/>
          <w:color w:val="auto"/>
        </w:rPr>
      </w:pPr>
    </w:p>
    <w:p>
      <w:pPr>
        <w:jc w:val="both"/>
        <w:ind w:left="1140" w:firstLine="622"/>
        <w:spacing w:after="0" w:line="214" w:lineRule="auto"/>
        <w:tabs>
          <w:tab w:leader="none" w:pos="228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48" w:lineRule="exact"/>
        <w:rPr>
          <w:rFonts w:ascii="Times New Roman" w:cs="Times New Roman" w:eastAsia="Times New Roman" w:hAnsi="Times New Roman"/>
          <w:sz w:val="22"/>
          <w:szCs w:val="22"/>
          <w:color w:val="auto"/>
        </w:rPr>
      </w:pPr>
    </w:p>
    <w:p>
      <w:pPr>
        <w:jc w:val="both"/>
        <w:ind w:left="1140" w:firstLine="622"/>
        <w:spacing w:after="0" w:line="216" w:lineRule="auto"/>
        <w:tabs>
          <w:tab w:leader="none" w:pos="2429"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Confidential Information</w:t>
      </w:r>
      <w:r>
        <w:rPr>
          <w:rFonts w:ascii="Times New Roman" w:cs="Times New Roman" w:eastAsia="Times New Roman" w:hAnsi="Times New Roman"/>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xiv</w:t>
      </w:r>
    </w:p>
    <w:p>
      <w:pPr>
        <w:sectPr>
          <w:pgSz w:w="11900" w:h="16838" w:orient="portrait"/>
          <w:cols w:equalWidth="0" w:num="1">
            <w:col w:w="11080"/>
          </w:cols>
          <w:pgMar w:left="480" w:top="1395" w:right="339" w:bottom="1440" w:gutter="0" w:footer="0" w:header="0"/>
        </w:sectPr>
      </w:pPr>
    </w:p>
    <w:bookmarkStart w:id="99" w:name="page100"/>
    <w:bookmarkEnd w:id="99"/>
    <w:p>
      <w:pPr>
        <w:jc w:val="both"/>
        <w:ind w:left="1300"/>
        <w:spacing w:after="0" w:line="213" w:lineRule="auto"/>
        <w:rPr>
          <w:sz w:val="20"/>
          <w:szCs w:val="20"/>
          <w:color w:val="auto"/>
        </w:rPr>
      </w:pPr>
      <w:r>
        <w:rPr>
          <w:rFonts w:ascii="Times New Roman" w:cs="Times New Roman" w:eastAsia="Times New Roman" w:hAnsi="Times New Roman"/>
          <w:sz w:val="22"/>
          <w:szCs w:val="22"/>
          <w:color w:val="auto"/>
        </w:rPr>
        <w:t>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52" w:lineRule="exact"/>
        <w:rPr>
          <w:sz w:val="20"/>
          <w:szCs w:val="20"/>
          <w:color w:val="auto"/>
        </w:rPr>
      </w:pPr>
    </w:p>
    <w:p>
      <w:pPr>
        <w:ind w:left="640" w:firstLine="644"/>
        <w:spacing w:after="0" w:line="238" w:lineRule="auto"/>
        <w:tabs>
          <w:tab w:leader="none" w:pos="1885"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Separate Covenants</w:t>
      </w:r>
      <w:r>
        <w:rPr>
          <w:rFonts w:ascii="Times New Roman" w:cs="Times New Roman" w:eastAsia="Times New Roman" w:hAnsi="Times New Roman"/>
          <w:sz w:val="22"/>
          <w:szCs w:val="22"/>
          <w:color w:val="auto"/>
        </w:rPr>
        <w:t>. Each of the covenants contained in this Section II.B.3 are separate and distinct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of Grantee.”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Privacy</w:t>
      </w:r>
      <w:r>
        <w:rPr>
          <w:rFonts w:ascii="Times New Roman" w:cs="Times New Roman" w:eastAsia="Times New Roman" w:hAnsi="Times New Roman"/>
          <w:sz w:val="22"/>
          <w:szCs w:val="22"/>
          <w:color w:val="auto"/>
        </w:rPr>
        <w:t>. A new Section II.B.16 is added to the Agreement to read as follows:</w:t>
      </w:r>
    </w:p>
    <w:p>
      <w:pPr>
        <w:spacing w:after="0" w:line="206" w:lineRule="exact"/>
        <w:rPr>
          <w:sz w:val="20"/>
          <w:szCs w:val="20"/>
          <w:color w:val="auto"/>
        </w:rPr>
      </w:pPr>
    </w:p>
    <w:p>
      <w:pPr>
        <w:jc w:val="both"/>
        <w:ind w:firstLine="594"/>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Privacy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respects Grantee’s privacy. In order to administer Grantee’s equity award, the Company collects and uses certain personal information about Grantee, including Grantee’s prior equity grant information where applicable. If Grantee is a California resident, Grantee should refer to the Company’s California Consumer Privacy Act Notice for more information about the personal information the Company collects about Grantee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xv</w:t>
      </w:r>
    </w:p>
    <w:p>
      <w:pPr>
        <w:sectPr>
          <w:pgSz w:w="11900" w:h="16838" w:orient="portrait"/>
          <w:cols w:equalWidth="0" w:num="1">
            <w:col w:w="11240"/>
          </w:cols>
          <w:pgMar w:left="320" w:top="1395"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Restricted Stock Units Award</w:t>
      </w:r>
    </w:p>
    <w:p>
      <w:pPr>
        <w:jc w:val="right"/>
        <w:spacing w:after="0"/>
        <w:rPr>
          <w:sz w:val="20"/>
          <w:szCs w:val="20"/>
          <w:color w:val="auto"/>
        </w:rPr>
      </w:pPr>
      <w:r>
        <w:rPr>
          <w:rFonts w:ascii="Times New Roman" w:cs="Times New Roman" w:eastAsia="Times New Roman" w:hAnsi="Times New Roman"/>
          <w:sz w:val="20"/>
          <w:szCs w:val="20"/>
          <w:b w:val="1"/>
          <w:bCs w:val="1"/>
          <w:color w:val="auto"/>
        </w:rPr>
        <w:t>To Board of Directors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EQUITY AND INCENTIVE COMPENSATION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AGREEMENT</w:t>
      </w:r>
    </w:p>
    <w:p>
      <w:pPr>
        <w:spacing w:after="0" w:line="21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TriMas Corporation (the “Company”), as permitted by the TriMas Corporation 2017 Equity and Incentive Compensation Plan (“Plan”), and as approved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Unless otherwise defined in this Agreement, the terms used in this Agreement have the same meanings as defined in the Plan. The term “Service Provider” as used in this Agreement means an individual actively providing services to the Company or a Subsidiary. A Service Provider includes a member of the Board.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  NOTICE OF AWARD</w:t>
            </w:r>
          </w:p>
        </w:tc>
        <w:tc>
          <w:tcPr>
            <w:tcW w:w="4380" w:type="dxa"/>
            <w:vAlign w:val="bottom"/>
          </w:tcPr>
          <w:p>
            <w:pPr>
              <w:spacing w:after="0"/>
              <w:rPr>
                <w:sz w:val="22"/>
                <w:szCs w:val="22"/>
                <w:color w:val="auto"/>
              </w:rPr>
            </w:pPr>
          </w:p>
        </w:tc>
      </w:tr>
      <w:tr>
        <w:trPr>
          <w:trHeight w:val="20"/>
        </w:trPr>
        <w:tc>
          <w:tcPr>
            <w:tcW w:w="3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502"/>
        </w:trPr>
        <w:tc>
          <w:tcPr>
            <w:tcW w:w="472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43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[specify Grantee’s name]</w:t>
            </w:r>
          </w:p>
        </w:tc>
      </w:tr>
      <w:tr>
        <w:trPr>
          <w:trHeight w:val="270"/>
        </w:trPr>
        <w:tc>
          <w:tcPr>
            <w:tcW w:w="472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Date of Agreement:</w:t>
            </w:r>
          </w:p>
        </w:tc>
        <w:tc>
          <w:tcPr>
            <w:tcW w:w="43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As of [enter date]</w:t>
            </w:r>
          </w:p>
        </w:tc>
      </w:tr>
      <w:tr>
        <w:trPr>
          <w:trHeight w:val="270"/>
        </w:trPr>
        <w:tc>
          <w:tcPr>
            <w:tcW w:w="472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43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[grant date]</w:t>
            </w:r>
          </w:p>
        </w:tc>
      </w:tr>
      <w:tr>
        <w:trPr>
          <w:trHeight w:val="286"/>
        </w:trPr>
        <w:tc>
          <w:tcPr>
            <w:tcW w:w="472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Number of Restricted Stock Units:</w:t>
            </w:r>
          </w:p>
        </w:tc>
        <w:tc>
          <w:tcPr>
            <w:tcW w:w="438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[number of Restricted Stock Units]</w:t>
            </w:r>
          </w:p>
        </w:tc>
      </w:tr>
    </w:tbl>
    <w:p>
      <w:pPr>
        <w:spacing w:after="0" w:line="281" w:lineRule="exact"/>
        <w:rPr>
          <w:sz w:val="20"/>
          <w:szCs w:val="20"/>
          <w:color w:val="auto"/>
        </w:rPr>
      </w:pPr>
    </w:p>
    <w:p>
      <w:pPr>
        <w:ind w:left="420" w:hanging="412"/>
        <w:spacing w:after="0"/>
        <w:tabs>
          <w:tab w:leader="none" w:pos="4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AGREEMENT</w:t>
      </w:r>
    </w:p>
    <w:p>
      <w:pPr>
        <w:spacing w:after="0" w:line="193" w:lineRule="exact"/>
        <w:rPr>
          <w:sz w:val="20"/>
          <w:szCs w:val="20"/>
          <w:color w:val="auto"/>
        </w:rPr>
      </w:pPr>
    </w:p>
    <w:p>
      <w:pPr>
        <w:jc w:val="both"/>
        <w:ind w:firstLine="8"/>
        <w:spacing w:after="0" w:line="244" w:lineRule="auto"/>
        <w:tabs>
          <w:tab w:leader="none" w:pos="439"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granted to Grantee (who, pursuant to this Award is a Participant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the number of Restricted Stock Units set forth above, subject to the terms of this Agreement. The Restricted Stock Units evidenced by this Agreement are payable only in shares of Common Stock as described in Section II.A.2. Notwithstanding anything to the contrary anywhere else in this Agreement, the Restricted Stock Units subject to this Award are subject to the terms and provisions of the Plan, which are incorporated by reference into this Agreement.</w:t>
      </w:r>
    </w:p>
    <w:p>
      <w:pPr>
        <w:spacing w:after="0" w:line="158" w:lineRule="exact"/>
        <w:rPr>
          <w:rFonts w:ascii="Times New Roman" w:cs="Times New Roman" w:eastAsia="Times New Roman" w:hAnsi="Times New Roman"/>
          <w:sz w:val="22"/>
          <w:szCs w:val="22"/>
          <w:b w:val="1"/>
          <w:bCs w:val="1"/>
          <w:color w:val="auto"/>
        </w:rPr>
      </w:pPr>
    </w:p>
    <w:p>
      <w:pPr>
        <w:ind w:left="600" w:hanging="376"/>
        <w:spacing w:after="0"/>
        <w:tabs>
          <w:tab w:leader="none" w:pos="600" w:val="left"/>
        </w:tabs>
        <w:numPr>
          <w:ilvl w:val="1"/>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660" w:firstLine="644"/>
        <w:spacing w:after="0" w:line="227" w:lineRule="auto"/>
        <w:tabs>
          <w:tab w:leader="none" w:pos="1953" w:val="left"/>
        </w:tabs>
        <w:numPr>
          <w:ilvl w:val="2"/>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II.A.1(b), the Restricted Stock Units will vest in full on the first anniversary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Date of Grant (the “Vesting Date”), subject generally to Grantee’s continued status as a Service Provider through such Vesting Date. In particular, this Award is subject to Section 18(c) of the Plan.</w:t>
      </w:r>
    </w:p>
    <w:p>
      <w:pPr>
        <w:sectPr>
          <w:pgSz w:w="11900" w:h="16838" w:orient="portrait"/>
          <w:cols w:equalWidth="0" w:num="1">
            <w:col w:w="11240"/>
          </w:cols>
          <w:pgMar w:left="320" w:top="1418" w:right="339" w:bottom="1440" w:gutter="0" w:footer="0" w:header="0"/>
        </w:sectPr>
      </w:pPr>
    </w:p>
    <w:bookmarkStart w:id="101" w:name="page102"/>
    <w:bookmarkEnd w:id="101"/>
    <w:p>
      <w:pPr>
        <w:jc w:val="both"/>
        <w:ind w:left="440" w:firstLine="644"/>
        <w:spacing w:after="0" w:line="216" w:lineRule="auto"/>
        <w:tabs>
          <w:tab w:leader="none" w:pos="173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of Service; Forfeiture</w:t>
      </w:r>
      <w:r>
        <w:rPr>
          <w:rFonts w:ascii="Times New Roman" w:cs="Times New Roman" w:eastAsia="Times New Roman" w:hAnsi="Times New Roman"/>
          <w:sz w:val="22"/>
          <w:szCs w:val="22"/>
          <w:color w:val="auto"/>
        </w:rPr>
        <w:t>. Any unvested Restricted Stock Units subject to this Award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canceled and forfeited if Grantee terminates as a Service Provider, or if Grantee’s status as a Service Provider is terminated by the Company, for any reason before the Vesting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Grantee ceases to be a Service Provider prior to the Vesting Date as a result of Grantee’s death, Disability or Retirement, Grantee shall fully vest in the Restricted Stock Units subject to this Award as of the date on which Grantee ceases to be a Service Provider due to Grantee’s death, Disability or Retirement.</w:t>
      </w:r>
    </w:p>
    <w:p>
      <w:pPr>
        <w:spacing w:after="0" w:line="145" w:lineRule="exact"/>
        <w:rPr>
          <w:rFonts w:ascii="Times New Roman" w:cs="Times New Roman" w:eastAsia="Times New Roman" w:hAnsi="Times New Roman"/>
          <w:sz w:val="22"/>
          <w:szCs w:val="22"/>
          <w:color w:val="auto"/>
        </w:rPr>
      </w:pPr>
    </w:p>
    <w:p>
      <w:pPr>
        <w:jc w:val="both"/>
        <w:ind w:left="440" w:firstLine="644"/>
        <w:spacing w:after="0" w:line="218" w:lineRule="auto"/>
        <w:tabs>
          <w:tab w:leader="none" w:pos="173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Disability Definition</w:t>
      </w:r>
      <w:r>
        <w:rPr>
          <w:rFonts w:ascii="Times New Roman" w:cs="Times New Roman" w:eastAsia="Times New Roman" w:hAnsi="Times New Roman"/>
          <w:sz w:val="22"/>
          <w:szCs w:val="22"/>
          <w:color w:val="auto"/>
        </w:rPr>
        <w:t>. For purposes of this Agreement, “Disability” (and similar terms) means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51" w:lineRule="exact"/>
        <w:rPr>
          <w:rFonts w:ascii="Times New Roman" w:cs="Times New Roman" w:eastAsia="Times New Roman" w:hAnsi="Times New Roman"/>
          <w:sz w:val="22"/>
          <w:szCs w:val="22"/>
          <w:color w:val="auto"/>
        </w:rPr>
      </w:pPr>
    </w:p>
    <w:p>
      <w:pPr>
        <w:ind w:left="1080" w:firstLine="652"/>
        <w:spacing w:after="0" w:line="236" w:lineRule="auto"/>
        <w:tabs>
          <w:tab w:leader="none" w:pos="2223"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contracted, suffered, or incurred while Grantee was engaged in, or resulted from Grantee having engaged in, a felonious activity;</w:t>
      </w:r>
    </w:p>
    <w:p>
      <w:pPr>
        <w:spacing w:after="0" w:line="177" w:lineRule="exact"/>
        <w:rPr>
          <w:rFonts w:ascii="Times New Roman" w:cs="Times New Roman" w:eastAsia="Times New Roman" w:hAnsi="Times New Roman"/>
          <w:sz w:val="22"/>
          <w:szCs w:val="22"/>
          <w:color w:val="auto"/>
        </w:rPr>
      </w:pPr>
    </w:p>
    <w:p>
      <w:pPr>
        <w:ind w:left="1080" w:right="20" w:firstLine="652"/>
        <w:spacing w:after="0" w:line="236" w:lineRule="auto"/>
        <w:tabs>
          <w:tab w:leader="none" w:pos="2291"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an intentionally self-inflicted injury or an addiction to drugs, alcohol, or substances which are not administered under the direction of a licensed physician as part of a medical treatment plan; or</w:t>
      </w:r>
    </w:p>
    <w:p>
      <w:pPr>
        <w:spacing w:after="0" w:line="177" w:lineRule="exact"/>
        <w:rPr>
          <w:rFonts w:ascii="Times New Roman" w:cs="Times New Roman" w:eastAsia="Times New Roman" w:hAnsi="Times New Roman"/>
          <w:sz w:val="22"/>
          <w:szCs w:val="22"/>
          <w:color w:val="auto"/>
        </w:rPr>
      </w:pPr>
    </w:p>
    <w:p>
      <w:pPr>
        <w:jc w:val="both"/>
        <w:ind w:left="1080" w:firstLine="652"/>
        <w:spacing w:after="0" w:line="225" w:lineRule="auto"/>
        <w:tabs>
          <w:tab w:leader="none" w:pos="2309"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179" w:lineRule="exact"/>
        <w:rPr>
          <w:sz w:val="20"/>
          <w:szCs w:val="20"/>
          <w:color w:val="auto"/>
        </w:rPr>
      </w:pPr>
    </w:p>
    <w:p>
      <w:pPr>
        <w:jc w:val="both"/>
        <w:ind w:left="440"/>
        <w:spacing w:after="0" w:line="210" w:lineRule="auto"/>
        <w:rPr>
          <w:sz w:val="20"/>
          <w:szCs w:val="20"/>
          <w:color w:val="auto"/>
        </w:rPr>
      </w:pPr>
      <w:r>
        <w:rPr>
          <w:rFonts w:ascii="Times New Roman" w:cs="Times New Roman" w:eastAsia="Times New Roman" w:hAnsi="Times New Roman"/>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175" w:lineRule="exact"/>
        <w:rPr>
          <w:sz w:val="20"/>
          <w:szCs w:val="20"/>
          <w:color w:val="auto"/>
        </w:rPr>
      </w:pPr>
    </w:p>
    <w:p>
      <w:pPr>
        <w:jc w:val="both"/>
        <w:ind w:left="440" w:right="360" w:firstLine="644"/>
        <w:spacing w:after="0" w:line="227" w:lineRule="auto"/>
        <w:tabs>
          <w:tab w:leader="none" w:pos="173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Retirement Definition</w:t>
      </w:r>
      <w:r>
        <w:rPr>
          <w:rFonts w:ascii="Times New Roman" w:cs="Times New Roman" w:eastAsia="Times New Roman" w:hAnsi="Times New Roman"/>
          <w:sz w:val="22"/>
          <w:szCs w:val="22"/>
          <w:color w:val="auto"/>
        </w:rPr>
        <w:t>. For purposes of this Agreement, “Retirement” means termination of Grantee’s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status as a Service Provider with the consent of the Committee after attaining age 55 and five years of service with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540" w:top="1391" w:right="339" w:bottom="1440" w:gutter="0" w:footer="0" w:header="0"/>
        </w:sectPr>
      </w:pPr>
    </w:p>
    <w:bookmarkStart w:id="102" w:name="page103"/>
    <w:bookmarkEnd w:id="102"/>
    <w:p>
      <w:pPr>
        <w:ind w:left="592" w:hanging="376"/>
        <w:spacing w:after="0"/>
        <w:tabs>
          <w:tab w:leader="none" w:pos="592"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652" w:firstLine="644"/>
        <w:spacing w:after="0" w:line="227" w:lineRule="auto"/>
        <w:tabs>
          <w:tab w:leader="none" w:pos="1945" w:val="left"/>
        </w:tabs>
        <w:numPr>
          <w:ilvl w:val="3"/>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Subject to Section II.A.2(b) below, and as soon as administratively practicable following (but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later than thirty (30) days following) the Vesting Date, the Company shall issue Grantee one share of Common Stock for each vested Restricted Stock Unit.</w:t>
      </w:r>
    </w:p>
    <w:p>
      <w:pPr>
        <w:spacing w:after="0" w:line="146" w:lineRule="exact"/>
        <w:rPr>
          <w:rFonts w:ascii="Times New Roman" w:cs="Times New Roman" w:eastAsia="Times New Roman" w:hAnsi="Times New Roman"/>
          <w:sz w:val="22"/>
          <w:szCs w:val="22"/>
          <w:color w:val="auto"/>
        </w:rPr>
      </w:pPr>
    </w:p>
    <w:p>
      <w:pPr>
        <w:jc w:val="both"/>
        <w:ind w:left="652" w:firstLine="644"/>
        <w:spacing w:after="0" w:line="218" w:lineRule="auto"/>
        <w:tabs>
          <w:tab w:leader="none" w:pos="1943" w:val="left"/>
        </w:tabs>
        <w:numPr>
          <w:ilvl w:val="3"/>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Payment Events</w:t>
      </w:r>
      <w:r>
        <w:rPr>
          <w:rFonts w:ascii="Times New Roman" w:cs="Times New Roman" w:eastAsia="Times New Roman" w:hAnsi="Times New Roman"/>
          <w:sz w:val="22"/>
          <w:szCs w:val="22"/>
          <w:color w:val="auto"/>
        </w:rPr>
        <w:t>. Notwithstanding Section II.A.2(a), to the extent the Restricted Stock Units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vested as a result of Section II.A.1(b) (and have not previously been settled) on the date of Grantee’s separation from service (within the meaning of Treasury Regulation Section 1.409A-1(h)), the Company shall issue Grantee one share of Common Stock for each vested Restricted Stock Unit as soon as practicable following (but no later than thirty (30) days following) the date of such separation from service.</w:t>
      </w:r>
    </w:p>
    <w:p>
      <w:pPr>
        <w:spacing w:after="0" w:line="147" w:lineRule="exact"/>
        <w:rPr>
          <w:rFonts w:ascii="Times New Roman" w:cs="Times New Roman" w:eastAsia="Times New Roman" w:hAnsi="Times New Roman"/>
          <w:sz w:val="22"/>
          <w:szCs w:val="22"/>
          <w:color w:val="auto"/>
        </w:rPr>
      </w:pPr>
    </w:p>
    <w:p>
      <w:pPr>
        <w:jc w:val="both"/>
        <w:ind w:left="72" w:firstLine="238"/>
        <w:spacing w:after="0" w:line="212" w:lineRule="auto"/>
        <w:tabs>
          <w:tab w:leader="none" w:pos="706" w:val="left"/>
        </w:tabs>
        <w:numPr>
          <w:ilvl w:val="1"/>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Dividend Equivalent Rights</w:t>
      </w:r>
      <w:r>
        <w:rPr>
          <w:rFonts w:ascii="Times New Roman" w:cs="Times New Roman" w:eastAsia="Times New Roman" w:hAnsi="Times New Roman"/>
          <w:sz w:val="22"/>
          <w:szCs w:val="22"/>
          <w:color w:val="auto"/>
        </w:rPr>
        <w:t>. Grantee shall be credited with cash per Restricted Stock Unit equal to the amount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48" w:lineRule="exact"/>
        <w:rPr>
          <w:rFonts w:ascii="Times New Roman" w:cs="Times New Roman" w:eastAsia="Times New Roman" w:hAnsi="Times New Roman"/>
          <w:sz w:val="22"/>
          <w:szCs w:val="22"/>
          <w:b w:val="1"/>
          <w:bCs w:val="1"/>
          <w:color w:val="auto"/>
        </w:rPr>
      </w:pPr>
    </w:p>
    <w:p>
      <w:pPr>
        <w:ind w:left="72" w:right="20" w:firstLine="265"/>
        <w:spacing w:after="0" w:line="238" w:lineRule="auto"/>
        <w:tabs>
          <w:tab w:leader="none" w:pos="747" w:val="left"/>
        </w:tabs>
        <w:numPr>
          <w:ilvl w:val="2"/>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will not have any rights of a stockholder (including voting and dividend rights)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the Restricted Stock Units covered by this Award (except as otherwise provided in Section II.A.3).</w:t>
      </w:r>
    </w:p>
    <w:p>
      <w:pPr>
        <w:spacing w:after="0" w:line="146" w:lineRule="exact"/>
        <w:rPr>
          <w:sz w:val="20"/>
          <w:szCs w:val="20"/>
          <w:color w:val="auto"/>
        </w:rPr>
      </w:pPr>
    </w:p>
    <w:p>
      <w:pPr>
        <w:ind w:left="-8" w:right="20" w:firstLine="224"/>
        <w:spacing w:after="0" w:line="238" w:lineRule="auto"/>
        <w:tabs>
          <w:tab w:leader="none" w:pos="586" w:val="left"/>
        </w:tabs>
        <w:numPr>
          <w:ilvl w:val="1"/>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covered by this Award will be subject to adjustment as provided in Section 11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w:t>
      </w:r>
    </w:p>
    <w:p>
      <w:pPr>
        <w:spacing w:after="0" w:line="146" w:lineRule="exact"/>
        <w:rPr>
          <w:rFonts w:ascii="Times New Roman" w:cs="Times New Roman" w:eastAsia="Times New Roman" w:hAnsi="Times New Roman"/>
          <w:sz w:val="22"/>
          <w:szCs w:val="22"/>
          <w:b w:val="1"/>
          <w:bCs w:val="1"/>
          <w:color w:val="auto"/>
        </w:rPr>
      </w:pPr>
    </w:p>
    <w:p>
      <w:pPr>
        <w:ind w:left="412" w:hanging="412"/>
        <w:spacing w:after="0"/>
        <w:tabs>
          <w:tab w:leader="none" w:pos="412"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Terms and Conditions</w:t>
      </w:r>
      <w:r>
        <w:rPr>
          <w:rFonts w:ascii="Times New Roman" w:cs="Times New Roman" w:eastAsia="Times New Roman" w:hAnsi="Times New Roman"/>
          <w:sz w:val="22"/>
          <w:szCs w:val="22"/>
          <w:b w:val="1"/>
          <w:bCs w:val="1"/>
          <w:color w:val="auto"/>
        </w:rPr>
        <w:t>.</w:t>
      </w:r>
    </w:p>
    <w:p>
      <w:pPr>
        <w:spacing w:after="0" w:line="179" w:lineRule="exact"/>
        <w:rPr>
          <w:rFonts w:ascii="Times New Roman" w:cs="Times New Roman" w:eastAsia="Times New Roman" w:hAnsi="Times New Roman"/>
          <w:sz w:val="22"/>
          <w:szCs w:val="22"/>
          <w:b w:val="1"/>
          <w:bCs w:val="1"/>
          <w:color w:val="auto"/>
        </w:rPr>
      </w:pPr>
    </w:p>
    <w:p>
      <w:pPr>
        <w:jc w:val="both"/>
        <w:ind w:left="-8" w:firstLine="305"/>
        <w:spacing w:after="0" w:line="221" w:lineRule="auto"/>
        <w:tabs>
          <w:tab w:leader="none" w:pos="748" w:val="left"/>
        </w:tabs>
        <w:numPr>
          <w:ilvl w:val="3"/>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Except as described below, this Award and the Restricted Stock Units subject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48" w:lineRule="exact"/>
        <w:rPr>
          <w:rFonts w:ascii="Times New Roman" w:cs="Times New Roman" w:eastAsia="Times New Roman" w:hAnsi="Times New Roman"/>
          <w:sz w:val="22"/>
          <w:szCs w:val="22"/>
          <w:b w:val="1"/>
          <w:bCs w:val="1"/>
          <w:color w:val="auto"/>
        </w:rPr>
      </w:pPr>
    </w:p>
    <w:p>
      <w:pPr>
        <w:jc w:val="both"/>
        <w:ind w:left="-8" w:firstLine="244"/>
        <w:spacing w:after="0" w:line="227" w:lineRule="auto"/>
        <w:tabs>
          <w:tab w:leader="none" w:pos="626" w:val="left"/>
        </w:tabs>
        <w:numPr>
          <w:ilvl w:val="2"/>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is responsible for the payment of any and all taxes that arise with respect to this Award. Grantee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tender sufficient funds to satisfy any applicable taxes arising in connection with the vesting of the Restricted Stock Units (or other applicable events) under this Award.</w:t>
      </w:r>
    </w:p>
    <w:p>
      <w:pPr>
        <w:spacing w:after="0" w:line="146" w:lineRule="exact"/>
        <w:rPr>
          <w:rFonts w:ascii="Times New Roman" w:cs="Times New Roman" w:eastAsia="Times New Roman" w:hAnsi="Times New Roman"/>
          <w:sz w:val="22"/>
          <w:szCs w:val="22"/>
          <w:b w:val="1"/>
          <w:bCs w:val="1"/>
          <w:color w:val="auto"/>
        </w:rPr>
      </w:pPr>
    </w:p>
    <w:p>
      <w:pPr>
        <w:jc w:val="both"/>
        <w:ind w:left="-8" w:firstLine="251"/>
        <w:spacing w:after="0" w:line="221" w:lineRule="auto"/>
        <w:tabs>
          <w:tab w:leader="none" w:pos="640" w:val="left"/>
        </w:tabs>
        <w:numPr>
          <w:ilvl w:val="2"/>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Dispute Resolution</w:t>
      </w:r>
      <w:r>
        <w:rPr>
          <w:rFonts w:ascii="Times New Roman" w:cs="Times New Roman" w:eastAsia="Times New Roman" w:hAnsi="Times New Roman"/>
          <w:sz w:val="22"/>
          <w:szCs w:val="22"/>
          <w:color w:val="auto"/>
        </w:rPr>
        <w:t>. Grantee and the Company agree that any disagreement, dispute, controversy, or claim arising out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32"/>
          </w:cols>
          <w:pgMar w:left="328" w:top="1391" w:right="339" w:bottom="1440" w:gutter="0" w:footer="0" w:header="0"/>
        </w:sectPr>
      </w:pPr>
    </w:p>
    <w:bookmarkStart w:id="103" w:name="page104"/>
    <w:bookmarkEnd w:id="103"/>
    <w:p>
      <w:pPr>
        <w:jc w:val="both"/>
        <w:ind w:left="580" w:firstLine="643"/>
        <w:spacing w:after="0" w:line="227" w:lineRule="auto"/>
        <w:tabs>
          <w:tab w:leader="none" w:pos="195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Negotiation</w:t>
      </w:r>
      <w:r>
        <w:rPr>
          <w:rFonts w:ascii="Times New Roman" w:cs="Times New Roman" w:eastAsia="Times New Roman" w:hAnsi="Times New Roman"/>
          <w:sz w:val="22"/>
          <w:szCs w:val="22"/>
          <w:color w:val="auto"/>
        </w:rPr>
        <w:t>. Grantee and the Company will use their best efforts to settle the dispute, claim, question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46" w:lineRule="exact"/>
        <w:rPr>
          <w:rFonts w:ascii="Times New Roman" w:cs="Times New Roman" w:eastAsia="Times New Roman" w:hAnsi="Times New Roman"/>
          <w:sz w:val="22"/>
          <w:szCs w:val="22"/>
          <w:color w:val="auto"/>
        </w:rPr>
      </w:pPr>
    </w:p>
    <w:p>
      <w:pPr>
        <w:jc w:val="both"/>
        <w:ind w:left="580" w:firstLine="643"/>
        <w:spacing w:after="0" w:line="218" w:lineRule="auto"/>
        <w:tabs>
          <w:tab w:leader="none" w:pos="195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Arbitration</w:t>
      </w:r>
      <w:r>
        <w:rPr>
          <w:rFonts w:ascii="Times New Roman" w:cs="Times New Roman" w:eastAsia="Times New Roman" w:hAnsi="Times New Roman"/>
          <w:sz w:val="22"/>
          <w:szCs w:val="22"/>
          <w:color w:val="auto"/>
        </w:rPr>
        <w:t>. If Grantee and the Company do not reach a solution within a period of 30 days from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which the dispute, claim, disagreement, or controversy arises, then, upon written notice by Grantee to the Company or the Company to Grantee, all disputes, claims, questions, controversies, or differences will be submitted to arbitration administered by the American Arbitration Association (the “AAA”) in accordance with the provisions of its Employment Arbitration Rules and Mediation Procedures (the “Arbitration Rules”).</w:t>
      </w:r>
    </w:p>
    <w:p>
      <w:pPr>
        <w:spacing w:after="0" w:line="147" w:lineRule="exact"/>
        <w:rPr>
          <w:rFonts w:ascii="Times New Roman" w:cs="Times New Roman" w:eastAsia="Times New Roman" w:hAnsi="Times New Roman"/>
          <w:sz w:val="22"/>
          <w:szCs w:val="22"/>
          <w:color w:val="auto"/>
        </w:rPr>
      </w:pPr>
    </w:p>
    <w:p>
      <w:pPr>
        <w:jc w:val="both"/>
        <w:ind w:left="1300" w:firstLine="652"/>
        <w:spacing w:after="0" w:line="214" w:lineRule="auto"/>
        <w:tabs>
          <w:tab w:leader="none" w:pos="2429"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Arbitrator</w:t>
      </w:r>
      <w:r>
        <w:rPr>
          <w:rFonts w:ascii="Times New Roman" w:cs="Times New Roman" w:eastAsia="Times New Roman" w:hAnsi="Times New Roman"/>
          <w:sz w:val="22"/>
          <w:szCs w:val="22"/>
          <w:color w:val="auto"/>
        </w:rPr>
        <w:t>. The arbitration will be conducted by one arbitrator skilled in the arbitration of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 arbitration will be responsible for his/its respective attorneys fees or other costs of representation.</w:t>
      </w:r>
    </w:p>
    <w:p>
      <w:pPr>
        <w:spacing w:after="0" w:line="148"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Location</w:t>
      </w:r>
      <w:r>
        <w:rPr>
          <w:rFonts w:ascii="Times New Roman" w:cs="Times New Roman" w:eastAsia="Times New Roman" w:hAnsi="Times New Roman"/>
          <w:sz w:val="22"/>
          <w:szCs w:val="22"/>
          <w:color w:val="auto"/>
        </w:rPr>
        <w:t>. The arbitration will be conducted in Oakland County, Michigan.</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18" w:lineRule="auto"/>
        <w:tabs>
          <w:tab w:leader="none" w:pos="2429"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Procedure</w:t>
      </w:r>
      <w:r>
        <w:rPr>
          <w:rFonts w:ascii="Times New Roman" w:cs="Times New Roman" w:eastAsia="Times New Roman" w:hAnsi="Times New Roman"/>
          <w:sz w:val="22"/>
          <w:szCs w:val="22"/>
          <w:color w:val="auto"/>
        </w:rPr>
        <w:t>. At any oral hearing of evidence in connection with the arbitration, each party or its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47" w:lineRule="exact"/>
        <w:rPr>
          <w:rFonts w:ascii="Times New Roman" w:cs="Times New Roman" w:eastAsia="Times New Roman" w:hAnsi="Times New Roman"/>
          <w:sz w:val="22"/>
          <w:szCs w:val="22"/>
          <w:color w:val="auto"/>
        </w:rPr>
      </w:pPr>
    </w:p>
    <w:p>
      <w:pPr>
        <w:jc w:val="both"/>
        <w:ind w:left="1300" w:firstLine="652"/>
        <w:spacing w:after="0" w:line="221" w:lineRule="auto"/>
        <w:tabs>
          <w:tab w:leader="none" w:pos="2429"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Decision</w:t>
      </w:r>
      <w:r>
        <w:rPr>
          <w:rFonts w:ascii="Times New Roman" w:cs="Times New Roman" w:eastAsia="Times New Roman" w:hAnsi="Times New Roman"/>
          <w:sz w:val="22"/>
          <w:szCs w:val="22"/>
          <w:color w:val="auto"/>
        </w:rPr>
        <w:t>. Any decision or award of the arbitrator is final and binding on the parties to the 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48" w:lineRule="exact"/>
        <w:rPr>
          <w:rFonts w:ascii="Times New Roman" w:cs="Times New Roman" w:eastAsia="Times New Roman" w:hAnsi="Times New Roman"/>
          <w:sz w:val="22"/>
          <w:szCs w:val="22"/>
          <w:color w:val="auto"/>
        </w:rPr>
      </w:pPr>
    </w:p>
    <w:p>
      <w:pPr>
        <w:ind w:left="1300" w:firstLine="652"/>
        <w:spacing w:after="0" w:line="259" w:lineRule="auto"/>
        <w:tabs>
          <w:tab w:leader="none" w:pos="2510"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Power</w:t>
      </w:r>
      <w:r>
        <w:rPr>
          <w:rFonts w:ascii="Times New Roman" w:cs="Times New Roman" w:eastAsia="Times New Roman" w:hAnsi="Times New Roman"/>
          <w:sz w:val="21"/>
          <w:szCs w:val="21"/>
          <w:color w:val="auto"/>
        </w:rPr>
        <w:t>. Nothing contained in this Agreement may be deemed to give the arbitrator any authority,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power, or right to alter, change, amend, modify, add to, or subtract from any of the provisions of this Agreement.</w:t>
      </w:r>
    </w:p>
    <w:p>
      <w:pPr>
        <w:spacing w:after="0" w:line="13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104" w:name="page105"/>
    <w:bookmarkEnd w:id="104"/>
    <w:p>
      <w:pPr>
        <w:jc w:val="both"/>
        <w:ind w:firstLine="278"/>
        <w:spacing w:after="0" w:line="216" w:lineRule="auto"/>
        <w:tabs>
          <w:tab w:leader="none" w:pos="702" w:val="left"/>
        </w:tabs>
        <w:numPr>
          <w:ilvl w:val="3"/>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applicable, it is intended that this Agreement and the Plan comply with or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Grantee).</w:t>
      </w:r>
    </w:p>
    <w:p>
      <w:pPr>
        <w:spacing w:after="0" w:line="145" w:lineRule="exact"/>
        <w:rPr>
          <w:rFonts w:ascii="Times New Roman" w:cs="Times New Roman" w:eastAsia="Times New Roman" w:hAnsi="Times New Roman"/>
          <w:sz w:val="22"/>
          <w:szCs w:val="22"/>
          <w:b w:val="1"/>
          <w:bCs w:val="1"/>
          <w:color w:val="auto"/>
        </w:rPr>
      </w:pPr>
    </w:p>
    <w:p>
      <w:pPr>
        <w:jc w:val="both"/>
        <w:ind w:firstLine="305"/>
        <w:spacing w:after="0" w:line="227" w:lineRule="auto"/>
        <w:tabs>
          <w:tab w:leader="none" w:pos="756" w:val="left"/>
        </w:tabs>
        <w:numPr>
          <w:ilvl w:val="5"/>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Continued Right as Service Provider.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the Plan or in this Agreement confers on Grantee any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as a Service Provider, or interferes with or restricts in any way the rights of the Company or any Subsidiary of the Company, which are hereby expressly reserved.</w:t>
      </w:r>
    </w:p>
    <w:p>
      <w:pPr>
        <w:spacing w:after="0" w:line="146" w:lineRule="exact"/>
        <w:rPr>
          <w:rFonts w:ascii="Times New Roman" w:cs="Times New Roman" w:eastAsia="Times New Roman" w:hAnsi="Times New Roman"/>
          <w:sz w:val="22"/>
          <w:szCs w:val="22"/>
          <w:b w:val="1"/>
          <w:bCs w:val="1"/>
          <w:color w:val="auto"/>
        </w:rPr>
      </w:pPr>
    </w:p>
    <w:p>
      <w:pPr>
        <w:jc w:val="both"/>
        <w:ind w:firstLine="231"/>
        <w:spacing w:after="0" w:line="221" w:lineRule="auto"/>
        <w:tabs>
          <w:tab w:leader="none" w:pos="607" w:val="left"/>
        </w:tabs>
        <w:numPr>
          <w:ilvl w:val="1"/>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provision of this Agreement or the application of any provision hereof to any person or circumstances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48" w:lineRule="exact"/>
        <w:rPr>
          <w:rFonts w:ascii="Times New Roman" w:cs="Times New Roman" w:eastAsia="Times New Roman" w:hAnsi="Times New Roman"/>
          <w:sz w:val="22"/>
          <w:szCs w:val="22"/>
          <w:b w:val="1"/>
          <w:bCs w:val="1"/>
          <w:color w:val="auto"/>
        </w:rPr>
      </w:pPr>
    </w:p>
    <w:p>
      <w:pPr>
        <w:ind w:firstLine="291"/>
        <w:spacing w:after="0" w:line="238" w:lineRule="auto"/>
        <w:tabs>
          <w:tab w:leader="none" w:pos="729" w:val="left"/>
        </w:tabs>
        <w:numPr>
          <w:ilvl w:val="4"/>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governed by and construed in accordance with the laws of the State of Delaware,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conflict of law provisions.</w:t>
      </w:r>
    </w:p>
    <w:p>
      <w:pPr>
        <w:spacing w:after="0" w:line="146" w:lineRule="exact"/>
        <w:rPr>
          <w:rFonts w:ascii="Times New Roman" w:cs="Times New Roman" w:eastAsia="Times New Roman" w:hAnsi="Times New Roman"/>
          <w:sz w:val="22"/>
          <w:szCs w:val="22"/>
          <w:b w:val="1"/>
          <w:bCs w:val="1"/>
          <w:color w:val="auto"/>
        </w:rPr>
      </w:pPr>
    </w:p>
    <w:p>
      <w:pPr>
        <w:jc w:val="both"/>
        <w:ind w:right="20" w:firstLine="224"/>
        <w:spacing w:after="0" w:line="218" w:lineRule="auto"/>
        <w:tabs>
          <w:tab w:leader="none" w:pos="594" w:val="left"/>
        </w:tabs>
        <w:numPr>
          <w:ilvl w:val="1"/>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47" w:lineRule="exact"/>
        <w:rPr>
          <w:rFonts w:ascii="Times New Roman" w:cs="Times New Roman" w:eastAsia="Times New Roman" w:hAnsi="Times New Roman"/>
          <w:sz w:val="22"/>
          <w:szCs w:val="22"/>
          <w:b w:val="1"/>
          <w:bCs w:val="1"/>
          <w:color w:val="auto"/>
        </w:rPr>
      </w:pPr>
    </w:p>
    <w:p>
      <w:pPr>
        <w:jc w:val="both"/>
        <w:ind w:firstLine="251"/>
        <w:spacing w:after="0" w:line="232" w:lineRule="auto"/>
        <w:tabs>
          <w:tab w:leader="none" w:pos="648" w:val="left"/>
        </w:tabs>
        <w:numPr>
          <w:ilvl w:val="2"/>
          <w:numId w:val="1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Amendments</w:t>
      </w:r>
      <w:r>
        <w:rPr>
          <w:rFonts w:ascii="Times New Roman" w:cs="Times New Roman" w:eastAsia="Times New Roman" w:hAnsi="Times New Roman"/>
          <w:sz w:val="21"/>
          <w:szCs w:val="21"/>
          <w:color w:val="auto"/>
        </w:rPr>
        <w:t>. Any amendment to the Plan shall be deemed to be an amendment to this Agreement to the extent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amendment is applicable 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46" w:lineRule="exact"/>
        <w:rPr>
          <w:sz w:val="20"/>
          <w:szCs w:val="20"/>
          <w:color w:val="auto"/>
        </w:rPr>
      </w:pPr>
    </w:p>
    <w:p>
      <w:pPr>
        <w:jc w:val="both"/>
        <w:ind w:firstLine="264"/>
        <w:spacing w:after="0" w:line="221" w:lineRule="auto"/>
        <w:tabs>
          <w:tab w:leader="none" w:pos="783"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color w:val="auto"/>
        </w:rPr>
        <w:t>. This Agreement is subject to the terms and conditions of the Plan. In the event of any inconsistency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105" w:name="page106"/>
    <w:bookmarkEnd w:id="105"/>
    <w:p>
      <w:pPr>
        <w:spacing w:after="0" w:line="236" w:lineRule="auto"/>
        <w:rPr>
          <w:sz w:val="20"/>
          <w:szCs w:val="20"/>
          <w:color w:val="auto"/>
        </w:rPr>
      </w:pPr>
      <w:r>
        <w:rPr>
          <w:rFonts w:ascii="Times New Roman" w:cs="Times New Roman" w:eastAsia="Times New Roman" w:hAnsi="Times New Roman"/>
          <w:sz w:val="22"/>
          <w:szCs w:val="22"/>
          <w:color w:val="auto"/>
        </w:rPr>
        <w:t>This Agreement may be executed in two or more counterparts, each of which is deemed an original and all of which constitute one document.</w:t>
      </w:r>
    </w:p>
    <w:p>
      <w:pPr>
        <w:spacing w:after="0" w:line="14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TRIMAS CORPORATION</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as of: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w:t>
      </w:r>
    </w:p>
    <w:p>
      <w:pPr>
        <w:spacing w:after="0" w:line="204" w:lineRule="auto"/>
        <w:rPr>
          <w:sz w:val="20"/>
          <w:szCs w:val="20"/>
          <w:color w:val="auto"/>
        </w:rPr>
      </w:pPr>
      <w:r>
        <w:rPr>
          <w:rFonts w:ascii="Times New Roman" w:cs="Times New Roman" w:eastAsia="Times New Roman" w:hAnsi="Times New Roman"/>
          <w:sz w:val="22"/>
          <w:szCs w:val="22"/>
          <w:color w:val="auto"/>
        </w:rPr>
        <w:t>Name: Thomas A. Amato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ectPr>
          <w:pgSz w:w="11900" w:h="16838" w:orient="portrait"/>
          <w:cols w:equalWidth="0" w:num="2">
            <w:col w:w="4220" w:space="720"/>
            <w:col w:w="6300"/>
          </w:cols>
          <w:pgMar w:left="320" w:top="1395" w:right="339" w:bottom="1440" w:gutter="0" w:footer="0" w:header="0"/>
          <w:type w:val="continuous"/>
        </w:sectPr>
      </w:pPr>
    </w:p>
    <w:p>
      <w:pPr>
        <w:spacing w:after="0" w:line="37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4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type w:val="continuous"/>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2022</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Mell, certify that:</w:t>
      </w:r>
    </w:p>
    <w:p>
      <w:pPr>
        <w:spacing w:after="0" w:line="225" w:lineRule="exact"/>
        <w:rPr>
          <w:sz w:val="20"/>
          <w:szCs w:val="20"/>
          <w:color w:val="auto"/>
        </w:rPr>
      </w:pPr>
    </w:p>
    <w:p>
      <w:pPr>
        <w:ind w:left="320" w:hanging="312"/>
        <w:spacing w:after="0"/>
        <w:tabs>
          <w:tab w:leader="none" w:pos="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2022</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Scott A. Mell</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March 31, 2022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2022</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March 31, 2022 as filed with the Securities and Exchange Commission on the date hereof (the “Report”), I, Scott A. Mell, Chief Financial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2022</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Scott A. Mell</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1)"/>
      <w:numFmt w:val="lowerLetter"/>
      <w:start w:val="1"/>
    </w:lvl>
  </w:abstractNum>
  <w:abstractNum w:abstractNumId="3">
    <w:nsid w:val="1381823A"/>
    <w:multiLevelType w:val="hybridMultilevel"/>
    <w:lvl w:ilvl="0">
      <w:lvlJc w:val="left"/>
      <w:lvlText w:val="(%1)"/>
      <w:numFmt w:val="lowerLetter"/>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1)"/>
      <w:numFmt w:val="lowerLetter"/>
      <w:start w:val="1"/>
    </w:lvl>
  </w:abstractNum>
  <w:abstractNum w:abstractNumId="6">
    <w:nsid w:val="6590700B"/>
    <w:multiLevelType w:val="hybridMultilevel"/>
    <w:lvl w:ilvl="0">
      <w:lvlJc w:val="left"/>
      <w:lvlText w:val="(%1)"/>
      <w:numFmt w:val="lowerLetter"/>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1)"/>
      <w:numFmt w:val="decimal"/>
      <w:start w:val="1"/>
    </w:lvl>
  </w:abstractNum>
  <w:abstractNum w:abstractNumId="10">
    <w:nsid w:val="799D0247"/>
    <w:multiLevelType w:val="hybridMultilevel"/>
    <w:lvl w:ilvl="0">
      <w:lvlJc w:val="left"/>
      <w:lvlText w:val="&amp;"/>
      <w:numFmt w:val="bullet"/>
      <w:start w:val="1"/>
    </w:lvl>
  </w:abstractNum>
  <w:abstractNum w:abstractNumId="11">
    <w:nsid w:val="6B94764"/>
    <w:multiLevelType w:val="hybridMultilevel"/>
    <w:lvl w:ilvl="0">
      <w:lvlJc w:val="left"/>
      <w:lvlText w:val="(%1)"/>
      <w:numFmt w:val="decimal"/>
      <w:start w:val="1"/>
    </w:lvl>
  </w:abstractNum>
  <w:abstractNum w:abstractNumId="12">
    <w:nsid w:val="42C296BD"/>
    <w:multiLevelType w:val="hybridMultilevel"/>
    <w:lvl w:ilvl="0">
      <w:lvlJc w:val="left"/>
      <w:lvlText w:val="(%1)"/>
      <w:numFmt w:val="lowerRoman"/>
      <w:start w:val="5"/>
    </w:lvl>
  </w:abstractNum>
  <w:abstractNum w:abstractNumId="13">
    <w:nsid w:val="168E121F"/>
    <w:multiLevelType w:val="hybridMultilevel"/>
    <w:lvl w:ilvl="0">
      <w:lvlJc w:val="left"/>
      <w:lvlText w:val="%1."/>
      <w:numFmt w:val="upperLetter"/>
      <w:start w:val="9"/>
    </w:lvl>
  </w:abstractNum>
  <w:abstractNum w:abstractNumId="14">
    <w:nsid w:val="1EBA5D23"/>
    <w:multiLevelType w:val="hybridMultilevel"/>
    <w:lvl w:ilvl="0">
      <w:lvlJc w:val="left"/>
      <w:lvlText w:val="%1."/>
      <w:numFmt w:val="upperLetter"/>
      <w:start w:val="35"/>
    </w:lvl>
    <w:lvl w:ilvl="1">
      <w:lvlJc w:val="left"/>
      <w:lvlText w:val="%2"/>
      <w:numFmt w:val="upperLetter"/>
      <w:start w:val="1"/>
    </w:lvl>
  </w:abstractNum>
  <w:abstractNum w:abstractNumId="15">
    <w:nsid w:val="661E3F1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6">
    <w:nsid w:val="5DC79EA8"/>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lvl w:ilvl="3">
      <w:lvlJc w:val="left"/>
      <w:lvlText w:val="%4."/>
      <w:numFmt w:val="decimal"/>
      <w:start w:val="4"/>
    </w:lvl>
  </w:abstractNum>
  <w:abstractNum w:abstractNumId="17">
    <w:nsid w:val="540A471C"/>
    <w:multiLevelType w:val="hybridMultilevel"/>
    <w:lvl w:ilvl="0">
      <w:lvlJc w:val="left"/>
      <w:lvlText w:val="%1."/>
      <w:numFmt w:val="decimal"/>
      <w:start w:val="5"/>
    </w:lvl>
  </w:abstractNum>
  <w:abstractNum w:abstractNumId="18">
    <w:nsid w:val="7BD3EE7B"/>
    <w:multiLevelType w:val="hybridMultilevel"/>
    <w:lvl w:ilvl="0">
      <w:lvlJc w:val="left"/>
      <w:lvlText w:val="(%1)"/>
      <w:numFmt w:val="lowerLetter"/>
      <w:start w:val="1"/>
    </w:lvl>
  </w:abstractNum>
  <w:abstractNum w:abstractNumId="19">
    <w:nsid w:val="51D9C56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20">
    <w:nsid w:val="613EFDC5"/>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4"/>
    </w:lvl>
    <w:lvl w:ilvl="4">
      <w:lvlJc w:val="left"/>
      <w:lvlText w:val="(%5)"/>
      <w:numFmt w:val="lowerLetter"/>
      <w:start w:val="5"/>
    </w:lvl>
    <w:lvl w:ilvl="5">
      <w:lvlJc w:val="left"/>
      <w:lvlText w:val="%6"/>
      <w:numFmt w:val="lowerLetter"/>
      <w:start w:val="1"/>
    </w:lvl>
  </w:abstractNum>
  <w:abstractNum w:abstractNumId="21">
    <w:nsid w:val="BF72B14"/>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9"/>
    </w:lvl>
  </w:abstractNum>
  <w:abstractNum w:abstractNumId="22">
    <w:nsid w:val="11447B73"/>
    <w:multiLevelType w:val="hybridMultilevel"/>
    <w:lvl w:ilvl="0">
      <w:lvlJc w:val="left"/>
      <w:lvlText w:val="(%1)"/>
      <w:numFmt w:val="lowerRoman"/>
      <w:start w:val="2"/>
    </w:lvl>
  </w:abstractNum>
  <w:abstractNum w:abstractNumId="23">
    <w:nsid w:val="42963E5A"/>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24">
    <w:nsid w:val="A0382C5"/>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5">
    <w:nsid w:val="8F2B15E"/>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lowerLetter"/>
      <w:start w:val="1"/>
    </w:lvl>
  </w:abstractNum>
  <w:abstractNum w:abstractNumId="26">
    <w:nsid w:val="1A32234B"/>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27">
    <w:nsid w:val="3B0FD37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2"/>
    </w:lvl>
    <w:lvl w:ilvl="3">
      <w:lvlJc w:val="left"/>
      <w:lvlText w:val="(%4)"/>
      <w:numFmt w:val="lowerRoman"/>
      <w:start w:val="2"/>
    </w:lvl>
  </w:abstractNum>
  <w:abstractNum w:abstractNumId="28">
    <w:nsid w:val="68EB2F63"/>
    <w:multiLevelType w:val="hybridMultilevel"/>
    <w:lvl w:ilvl="0">
      <w:lvlJc w:val="left"/>
      <w:lvlText w:val="(%1)"/>
      <w:numFmt w:val="lowerLetter"/>
      <w:start w:val="4"/>
    </w:lvl>
    <w:lvl w:ilvl="1">
      <w:lvlJc w:val="left"/>
      <w:lvlText w:val="(%2)"/>
      <w:numFmt w:val="lowerRoman"/>
      <w:start w:val="1"/>
    </w:lvl>
  </w:abstractNum>
  <w:abstractNum w:abstractNumId="29">
    <w:nsid w:val="4962813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7"/>
    </w:lvl>
  </w:abstractNum>
  <w:abstractNum w:abstractNumId="30">
    <w:nsid w:val="60B6DF70"/>
    <w:multiLevelType w:val="hybridMultilevel"/>
    <w:lvl w:ilvl="0">
      <w:lvlJc w:val="left"/>
      <w:lvlText w:val="%1"/>
      <w:numFmt w:val="decimal"/>
      <w:start w:val="1"/>
    </w:lvl>
    <w:lvl w:ilvl="1">
      <w:lvlJc w:val="left"/>
      <w:lvlText w:val="%2."/>
      <w:numFmt w:val="decimal"/>
      <w:start w:val="4"/>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31">
    <w:nsid w:val="6A5EE64"/>
    <w:multiLevelType w:val="hybridMultilevel"/>
    <w:lvl w:ilvl="0">
      <w:lvlJc w:val="left"/>
      <w:lvlText w:val="%1."/>
      <w:numFmt w:val="decimal"/>
      <w:start w:val="6"/>
    </w:lvl>
    <w:lvl w:ilvl="1">
      <w:lvlJc w:val="left"/>
      <w:lvlText w:val="%2"/>
      <w:numFmt w:val="decimal"/>
      <w:start w:val="1"/>
    </w:lvl>
    <w:lvl w:ilvl="2">
      <w:lvlJc w:val="left"/>
      <w:lvlText w:val="%3."/>
      <w:numFmt w:val="decimal"/>
      <w:start w:val="7"/>
    </w:lvl>
    <w:lvl w:ilvl="3">
      <w:lvlJc w:val="left"/>
      <w:lvlText w:val="%4."/>
      <w:numFmt w:val="decimal"/>
      <w:start w:val="7"/>
    </w:lvl>
    <w:lvl w:ilvl="4">
      <w:lvlJc w:val="left"/>
      <w:lvlText w:val="%5"/>
      <w:numFmt w:val="lowerLetter"/>
      <w:start w:val="1"/>
    </w:lvl>
  </w:abstractNum>
  <w:abstractNum w:abstractNumId="32">
    <w:nsid w:val="14330624"/>
    <w:multiLevelType w:val="hybridMultilevel"/>
    <w:lvl w:ilvl="0">
      <w:lvlJc w:val="left"/>
      <w:lvlText w:val="%1."/>
      <w:numFmt w:val="decimal"/>
      <w:start w:val="9"/>
    </w:lvl>
  </w:abstractNum>
  <w:abstractNum w:abstractNumId="33">
    <w:nsid w:val="7FFFCA11"/>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34">
    <w:nsid w:val="1A27709E"/>
    <w:multiLevelType w:val="hybridMultilevel"/>
    <w:lvl w:ilvl="0">
      <w:lvlJc w:val="left"/>
      <w:lvlText w:val="%1."/>
      <w:numFmt w:val="decimal"/>
      <w:start w:val="11"/>
    </w:lvl>
    <w:lvl w:ilvl="1">
      <w:lvlJc w:val="left"/>
      <w:lvlText w:val="%2"/>
      <w:numFmt w:val="decimal"/>
      <w:start w:val="1"/>
    </w:lvl>
    <w:lvl w:ilvl="2">
      <w:lvlJc w:val="left"/>
      <w:lvlText w:val="(%3)"/>
      <w:numFmt w:val="lowerLetter"/>
      <w:start w:val="2"/>
    </w:lvl>
    <w:lvl w:ilvl="3">
      <w:lvlJc w:val="left"/>
      <w:lvlText w:val="(%4)"/>
      <w:numFmt w:val="lowerLetter"/>
      <w:start w:val="1"/>
    </w:lvl>
    <w:lvl w:ilvl="4">
      <w:lvlJc w:val="left"/>
      <w:lvlText w:val="(%5)"/>
      <w:numFmt w:val="lowerLetter"/>
      <w:start w:val="2"/>
    </w:lvl>
    <w:lvl w:ilvl="5">
      <w:lvlJc w:val="left"/>
      <w:lvlText w:val="%6"/>
      <w:numFmt w:val="lowerLetter"/>
      <w:start w:val="1"/>
    </w:lvl>
    <w:lvl w:ilvl="6">
      <w:lvlJc w:val="left"/>
      <w:lvlText w:val="(%7)"/>
      <w:numFmt w:val="lowerLetter"/>
      <w:start w:val="5"/>
    </w:lvl>
  </w:abstractNum>
  <w:abstractNum w:abstractNumId="35">
    <w:nsid w:val="71EA110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7"/>
    </w:lvl>
    <w:lvl w:ilvl="4">
      <w:lvlJc w:val="left"/>
      <w:lvlText w:val="%5"/>
      <w:numFmt w:val="lowerLetter"/>
      <w:start w:val="1"/>
    </w:lvl>
    <w:lvl w:ilvl="5">
      <w:lvlJc w:val="left"/>
      <w:lvlText w:val="(%6)"/>
      <w:numFmt w:val="lowerLetter"/>
      <w:start w:val="8"/>
    </w:lvl>
    <w:lvl w:ilvl="6">
      <w:lvlJc w:val="left"/>
      <w:lvlText w:val="%7"/>
      <w:numFmt w:val="lowerLetter"/>
      <w:start w:val="1"/>
    </w:lvl>
  </w:abstractNum>
  <w:abstractNum w:abstractNumId="36">
    <w:nsid w:val="100F59DC"/>
    <w:multiLevelType w:val="hybridMultilevel"/>
    <w:lvl w:ilvl="0">
      <w:lvlJc w:val="left"/>
      <w:lvlText w:val="(%1)"/>
      <w:numFmt w:val="lowerRoman"/>
      <w:start w:val="1"/>
    </w:lvl>
  </w:abstractNum>
  <w:abstractNum w:abstractNumId="37">
    <w:nsid w:val="7FB7E0A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10"/>
    </w:lvl>
    <w:lvl w:ilvl="5">
      <w:lvlJc w:val="left"/>
      <w:lvlText w:val="%6"/>
      <w:numFmt w:val="lowerLetter"/>
      <w:start w:val="1"/>
    </w:lvl>
  </w:abstractNum>
  <w:abstractNum w:abstractNumId="38">
    <w:nsid w:val="6EB5BD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2"/>
    </w:lvl>
    <w:lvl w:ilvl="4">
      <w:lvlJc w:val="left"/>
      <w:lvlText w:val="%5"/>
      <w:numFmt w:val="lowerLetter"/>
      <w:start w:val="1"/>
    </w:lvl>
    <w:lvl w:ilvl="5">
      <w:lvlJc w:val="left"/>
      <w:lvlText w:val="(%6)"/>
      <w:numFmt w:val="lowerLetter"/>
      <w:start w:val="1"/>
    </w:lvl>
  </w:abstractNum>
  <w:abstractNum w:abstractNumId="39">
    <w:nsid w:val="6F6DD9AC"/>
    <w:multiLevelType w:val="hybridMultilevel"/>
    <w:lvl w:ilvl="0">
      <w:lvlJc w:val="left"/>
      <w:lvlText w:val="%1"/>
      <w:numFmt w:val="decimal"/>
      <w:start w:val="1"/>
    </w:lvl>
    <w:lvl w:ilvl="1">
      <w:lvlJc w:val="left"/>
      <w:lvlText w:val="%2"/>
      <w:numFmt w:val="decimal"/>
      <w:start w:val="1"/>
    </w:lvl>
    <w:lvl w:ilvl="2">
      <w:lvlJc w:val="left"/>
      <w:lvlText w:val="%3."/>
      <w:numFmt w:val="decimal"/>
      <w:start w:val="13"/>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40">
    <w:nsid w:val="94211F2"/>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41">
    <w:nsid w:val="885E1B"/>
    <w:multiLevelType w:val="hybridMultilevel"/>
    <w:lvl w:ilvl="0">
      <w:lvlJc w:val="left"/>
      <w:lvlText w:val="%1."/>
      <w:numFmt w:val="decimal"/>
      <w:start w:val="15"/>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1"/>
    </w:lvl>
    <w:lvl w:ilvl="5">
      <w:lvlJc w:val="left"/>
      <w:lvlText w:val="%6"/>
      <w:numFmt w:val="lowerLetter"/>
      <w:start w:val="1"/>
    </w:lvl>
  </w:abstractNum>
  <w:abstractNum w:abstractNumId="42">
    <w:nsid w:val="76272110"/>
    <w:multiLevelType w:val="hybridMultilevel"/>
    <w:lvl w:ilvl="0">
      <w:lvlJc w:val="left"/>
      <w:lvlText w:val="%1."/>
      <w:numFmt w:val="decimal"/>
      <w:start w:val="16"/>
    </w:lvl>
    <w:lvl w:ilvl="1">
      <w:lvlJc w:val="left"/>
      <w:lvlText w:val="(%2)"/>
      <w:numFmt w:val="lowerLetter"/>
    </w:lvl>
    <w:lvl w:ilvl="2">
      <w:lvlJc w:val="left"/>
      <w:lvlText w:val="(%3)"/>
      <w:numFmt w:val="lowerLetter"/>
      <w:start w:val="1"/>
    </w:lvl>
  </w:abstractNum>
  <w:abstractNum w:abstractNumId="43">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4">
    <w:nsid w:val="1716703B"/>
    <w:multiLevelType w:val="hybridMultilevel"/>
    <w:lvl w:ilvl="0">
      <w:lvlJc w:val="left"/>
      <w:lvlText w:val="%1."/>
      <w:numFmt w:val="decimal"/>
      <w:start w:val="1"/>
    </w:lvl>
    <w:lvl w:ilvl="1">
      <w:lvlJc w:val="left"/>
      <w:lvlText w:val="(%2)"/>
      <w:numFmt w:val="upperLetter"/>
      <w:start w:val="1"/>
    </w:lvl>
  </w:abstractNum>
  <w:abstractNum w:abstractNumId="45">
    <w:nsid w:val="14E17E33"/>
    <w:multiLevelType w:val="hybridMultilevel"/>
    <w:lvl w:ilvl="0">
      <w:lvlJc w:val="left"/>
      <w:lvlText w:val="%1"/>
      <w:numFmt w:val="decimal"/>
      <w:start w:val="1"/>
    </w:lvl>
    <w:lvl w:ilvl="1">
      <w:lvlJc w:val="left"/>
      <w:lvlText w:val="(%2)"/>
      <w:numFmt w:val="upperLetter"/>
      <w:start w:val="4"/>
    </w:lvl>
  </w:abstractNum>
  <w:abstractNum w:abstractNumId="46">
    <w:nsid w:val="3222E7CD"/>
    <w:multiLevelType w:val="hybridMultilevel"/>
    <w:lvl w:ilvl="0">
      <w:lvlJc w:val="left"/>
      <w:lvlText w:val="%1."/>
      <w:numFmt w:val="decimal"/>
      <w:start w:val="5"/>
    </w:lvl>
    <w:lvl w:ilvl="1">
      <w:lvlJc w:val="left"/>
      <w:lvlText w:val="%2"/>
      <w:numFmt w:val="upperLetter"/>
      <w:start w:val="1"/>
    </w:lvl>
  </w:abstractNum>
  <w:abstractNum w:abstractNumId="47">
    <w:nsid w:val="74DE0EE3"/>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2"/>
    </w:lvl>
  </w:abstractNum>
  <w:abstractNum w:abstractNumId="48">
    <w:nsid w:val="68EBC550"/>
    <w:multiLevelType w:val="hybridMultilevel"/>
    <w:lvl w:ilvl="0">
      <w:lvlJc w:val="left"/>
      <w:lvlText w:val="%1."/>
      <w:numFmt w:val="decimal"/>
      <w:start w:val="7"/>
    </w:lvl>
  </w:abstractNum>
  <w:abstractNum w:abstractNumId="49">
    <w:nsid w:val="2DF6D648"/>
    <w:multiLevelType w:val="hybridMultilevel"/>
    <w:lvl w:ilvl="0">
      <w:lvlJc w:val="left"/>
      <w:lvlText w:val="%1."/>
      <w:numFmt w:val="decimal"/>
      <w:start w:val="8"/>
    </w:lvl>
    <w:lvl w:ilvl="1">
      <w:lvlJc w:val="left"/>
      <w:lvlText w:val="(%2)"/>
      <w:numFmt w:val="upperLetter"/>
      <w:start w:val="1"/>
    </w:lvl>
    <w:lvl w:ilvl="2">
      <w:lvlJc w:val="left"/>
      <w:lvlText w:val="(%3)"/>
      <w:numFmt w:val="upperLetter"/>
      <w:start w:val="2"/>
    </w:lvl>
  </w:abstractNum>
  <w:abstractNum w:abstractNumId="50">
    <w:nsid w:val="46B7D447"/>
    <w:multiLevelType w:val="hybridMultilevel"/>
    <w:lvl w:ilvl="0">
      <w:lvlJc w:val="left"/>
      <w:lvlText w:val="(%1)"/>
      <w:numFmt w:val="upperLetter"/>
      <w:start w:val="6"/>
    </w:lvl>
  </w:abstractNum>
  <w:abstractNum w:abstractNumId="51">
    <w:nsid w:val="4A2AC315"/>
    <w:multiLevelType w:val="hybridMultilevel"/>
    <w:lvl w:ilvl="0">
      <w:lvlJc w:val="left"/>
      <w:lvlText w:val="(%1)"/>
      <w:numFmt w:val="lowerLetter"/>
      <w:start w:val="1"/>
    </w:lvl>
  </w:abstractNum>
  <w:abstractNum w:abstractNumId="52">
    <w:nsid w:val="39EE015C"/>
    <w:multiLevelType w:val="hybridMultilevel"/>
    <w:lvl w:ilvl="0">
      <w:lvlJc w:val="left"/>
      <w:lvlText w:val="(%1)"/>
      <w:numFmt w:val="lowerLetter"/>
      <w:start w:val="1"/>
    </w:lvl>
  </w:abstractNum>
  <w:abstractNum w:abstractNumId="53">
    <w:nsid w:val="57FC4FBB"/>
    <w:multiLevelType w:val="hybridMultilevel"/>
    <w:lvl w:ilvl="0">
      <w:lvlJc w:val="left"/>
      <w:lvlText w:val="%1"/>
      <w:numFmt w:val="lowerRoman"/>
      <w:start w:val="1"/>
    </w:lvl>
    <w:lvl w:ilvl="1">
      <w:lvlJc w:val="left"/>
      <w:lvlText w:val="(%2)"/>
      <w:numFmt w:val="lowerRoman"/>
      <w:start w:val="1"/>
    </w:lvl>
  </w:abstractNum>
  <w:abstractNum w:abstractNumId="54">
    <w:nsid w:val="CC1016F"/>
    <w:multiLevelType w:val="hybridMultilevel"/>
    <w:lvl w:ilvl="0">
      <w:lvlJc w:val="left"/>
      <w:lvlText w:val="(%1)"/>
      <w:numFmt w:val="lowerRoman"/>
      <w:start w:val="4"/>
    </w:lvl>
    <w:lvl w:ilvl="1">
      <w:lvlJc w:val="left"/>
      <w:lvlText w:val="%2"/>
      <w:numFmt w:val="lowerRoman"/>
      <w:start w:val="1"/>
    </w:lvl>
  </w:abstractNum>
  <w:abstractNum w:abstractNumId="55">
    <w:nsid w:val="43F18422"/>
    <w:multiLevelType w:val="hybridMultilevel"/>
    <w:lvl w:ilvl="0">
      <w:lvlJc w:val="left"/>
      <w:lvlText w:val="(%1)"/>
      <w:numFmt w:val="lowerRoman"/>
      <w:start w:val="1"/>
    </w:lvl>
  </w:abstractNum>
  <w:abstractNum w:abstractNumId="56">
    <w:nsid w:val="60EF0119"/>
    <w:multiLevelType w:val="hybridMultilevel"/>
    <w:lvl w:ilvl="0">
      <w:lvlJc w:val="left"/>
      <w:lvlText w:val="(%1)"/>
      <w:numFmt w:val="lowerRoman"/>
      <w:start w:val="1"/>
    </w:lvl>
  </w:abstractNum>
  <w:abstractNum w:abstractNumId="57">
    <w:nsid w:val="26F324BA"/>
    <w:multiLevelType w:val="hybridMultilevel"/>
    <w:lvl w:ilvl="0">
      <w:lvlJc w:val="left"/>
      <w:lvlText w:val="(%1)"/>
      <w:numFmt w:val="lowerRoman"/>
      <w:start w:val="4"/>
    </w:lvl>
  </w:abstractNum>
  <w:abstractNum w:abstractNumId="58">
    <w:nsid w:val="7F01579B"/>
    <w:multiLevelType w:val="hybridMultilevel"/>
    <w:lvl w:ilvl="0">
      <w:lvlJc w:val="left"/>
      <w:lvlText w:val="(%1)"/>
      <w:numFmt w:val="decimal"/>
      <w:start w:val="2"/>
    </w:lvl>
  </w:abstractNum>
  <w:abstractNum w:abstractNumId="59">
    <w:nsid w:val="49DA307D"/>
    <w:multiLevelType w:val="hybridMultilevel"/>
    <w:lvl w:ilvl="0">
      <w:lvlJc w:val="left"/>
      <w:lvlText w:val="(%1)"/>
      <w:numFmt w:val="decimal"/>
      <w:start w:val="8"/>
    </w:lvl>
  </w:abstractNum>
  <w:abstractNum w:abstractNumId="60">
    <w:nsid w:val="7055A5F5"/>
    <w:multiLevelType w:val="hybridMultilevel"/>
    <w:lvl w:ilvl="0">
      <w:lvlJc w:val="left"/>
      <w:lvlText w:val="•"/>
      <w:numFmt w:val="bullet"/>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
      <w:numFmt w:val="bullet"/>
      <w:start w:val="1"/>
    </w:lvl>
  </w:abstractNum>
  <w:abstractNum w:abstractNumId="65">
    <w:nsid w:val="6AA78F7F"/>
    <w:multiLevelType w:val="hybridMultilevel"/>
    <w:lvl w:ilvl="0">
      <w:lvlJc w:val="left"/>
      <w:lvlText w:val="•"/>
      <w:numFmt w:val="bullet"/>
      <w:start w:val="1"/>
    </w:lvl>
  </w:abstractNum>
  <w:abstractNum w:abstractNumId="66">
    <w:nsid w:val="7672BD23"/>
    <w:multiLevelType w:val="hybridMultilevel"/>
    <w:lvl w:ilvl="0">
      <w:lvlJc w:val="left"/>
      <w:lvlText w:val="•"/>
      <w:numFmt w:val="bullet"/>
      <w:start w:val="1"/>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1)"/>
      <w:numFmt w:val="lowerLetter"/>
      <w:start w:val="1"/>
    </w:lvl>
  </w:abstractNum>
  <w:abstractNum w:abstractNumId="69">
    <w:nsid w:val="7D5E18F8"/>
    <w:multiLevelType w:val="hybridMultilevel"/>
    <w:lvl w:ilvl="0">
      <w:lvlJc w:val="left"/>
      <w:lvlText w:val="(%1)"/>
      <w:numFmt w:val="lowerLetter"/>
      <w:start w:val="3"/>
    </w:lvl>
    <w:lvl w:ilvl="1">
      <w:lvlJc w:val="left"/>
      <w:lvlText w:val="(%2)"/>
      <w:numFmt w:val="decimal"/>
      <w:start w:val="1"/>
    </w:lvl>
  </w:abstractNum>
  <w:abstractNum w:abstractNumId="70">
    <w:nsid w:val="5F3534A4"/>
    <w:multiLevelType w:val="hybridMultilevel"/>
    <w:lvl w:ilvl="0">
      <w:lvlJc w:val="left"/>
      <w:lvlText w:val="(%1)"/>
      <w:numFmt w:val="lowerLetter"/>
      <w:start w:val="6"/>
    </w:lvl>
  </w:abstractNum>
  <w:abstractNum w:abstractNumId="71">
    <w:nsid w:val="73A1821B"/>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72">
    <w:nsid w:val="7DE6771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3">
    <w:nsid w:val="555C55B5"/>
    <w:multiLevelType w:val="hybridMultilevel"/>
    <w:lvl w:ilvl="0">
      <w:lvlJc w:val="left"/>
      <w:lvlText w:val="%1"/>
      <w:numFmt w:val="decimal"/>
      <w:start w:val="1"/>
    </w:lvl>
    <w:lvl w:ilvl="1">
      <w:lvlJc w:val="left"/>
      <w:lvlText w:val="(%2)"/>
      <w:numFmt w:val="upperLetter"/>
      <w:start w:val="2"/>
    </w:lvl>
  </w:abstractNum>
  <w:abstractNum w:abstractNumId="74">
    <w:nsid w:val="3FA62ACA"/>
    <w:multiLevelType w:val="hybridMultilevel"/>
    <w:lvl w:ilvl="0">
      <w:lvlJc w:val="left"/>
      <w:lvlText w:val="(%1)"/>
      <w:numFmt w:val="decimal"/>
      <w:start w:val="2"/>
    </w:lvl>
    <w:lvl w:ilvl="1">
      <w:lvlJc w:val="left"/>
      <w:lvlText w:val="(%2)"/>
      <w:numFmt w:val="upperLetter"/>
      <w:start w:val="4"/>
    </w:lvl>
  </w:abstractNum>
  <w:abstractNum w:abstractNumId="75">
    <w:nsid w:val="14FCE74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76">
    <w:nsid w:val="6A3DD3E8"/>
    <w:multiLevelType w:val="hybridMultilevel"/>
    <w:lvl w:ilvl="0">
      <w:lvlJc w:val="left"/>
      <w:lvlText w:val="%1"/>
      <w:numFmt w:val="upperLetter"/>
      <w:start w:val="1"/>
    </w:lvl>
    <w:lvl w:ilvl="1">
      <w:lvlJc w:val="left"/>
      <w:lvlText w:val="%2"/>
      <w:numFmt w:val="decimal"/>
      <w:start w:val="1"/>
    </w:lvl>
    <w:lvl w:ilvl="2">
      <w:lvlJc w:val="left"/>
      <w:lvlText w:val="%3."/>
      <w:numFmt w:val="decimal"/>
      <w:start w:val="4"/>
    </w:lvl>
    <w:lvl w:ilvl="3">
      <w:lvlJc w:val="left"/>
      <w:lvlText w:val="%4"/>
      <w:numFmt w:val="decimal"/>
      <w:start w:val="1"/>
    </w:lvl>
    <w:lvl w:ilvl="4">
      <w:lvlJc w:val="left"/>
      <w:lvlText w:val="%5"/>
      <w:numFmt w:val="decimal"/>
      <w:start w:val="1"/>
    </w:lvl>
    <w:lvl w:ilvl="5">
      <w:lvlJc w:val="left"/>
      <w:lvlText w:val="%6"/>
      <w:numFmt w:val="lowerLetter"/>
      <w:start w:val="1"/>
    </w:lvl>
    <w:lvl w:ilvl="6">
      <w:lvlJc w:val="left"/>
      <w:lvlText w:val="%7"/>
      <w:numFmt w:val="lowerLetter"/>
      <w:start w:val="1"/>
    </w:lvl>
  </w:abstractNum>
  <w:abstractNum w:abstractNumId="77">
    <w:nsid w:val="71C91298"/>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lvl w:ilvl="3">
      <w:lvlJc w:val="left"/>
      <w:lvlText w:val="%4."/>
      <w:numFmt w:val="decimal"/>
      <w:start w:val="1"/>
    </w:lvl>
    <w:lvl w:ilvl="4">
      <w:lvlJc w:val="left"/>
      <w:lvlText w:val="%5."/>
      <w:numFmt w:val="decimal"/>
      <w:start w:val="2"/>
    </w:lvl>
    <w:lvl w:ilvl="5">
      <w:lvlJc w:val="left"/>
      <w:lvlText w:val="%6"/>
      <w:numFmt w:val="lowerLetter"/>
      <w:start w:val="1"/>
    </w:lvl>
    <w:lvl w:ilvl="6">
      <w:lvlJc w:val="left"/>
      <w:lvlText w:val="%7"/>
      <w:numFmt w:val="lowerLetter"/>
      <w:start w:val="1"/>
    </w:lvl>
  </w:abstractNum>
  <w:abstractNum w:abstractNumId="78">
    <w:nsid w:val="9DAF632"/>
    <w:multiLevelType w:val="hybridMultilevel"/>
    <w:lvl w:ilvl="0">
      <w:lvlJc w:val="left"/>
      <w:lvlText w:val="%1"/>
      <w:numFmt w:val="upperLetter"/>
      <w:start w:val="1"/>
    </w:lvl>
    <w:lvl w:ilvl="1">
      <w:lvlJc w:val="left"/>
      <w:lvlText w:val="%2."/>
      <w:numFmt w:val="decimal"/>
      <w:start w:val="3"/>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lowerLetter"/>
      <w:start w:val="1"/>
    </w:lvl>
    <w:lvl w:ilvl="6">
      <w:lvlJc w:val="left"/>
      <w:lvlText w:val="(%7)"/>
      <w:numFmt w:val="lowerLetter"/>
      <w:start w:val="2"/>
    </w:lvl>
  </w:abstractNum>
  <w:abstractNum w:abstractNumId="79">
    <w:nsid w:val="53299938"/>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35"/>
    </w:lvl>
  </w:abstractNum>
  <w:abstractNum w:abstractNumId="80">
    <w:nsid w:val="1FBFE8E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lowerRoman"/>
      <w:start w:val="1"/>
    </w:lvl>
  </w:abstractNum>
  <w:abstractNum w:abstractNumId="81">
    <w:nsid w:val="5092CA79"/>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82">
    <w:nsid w:val="1D545C4D"/>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83">
    <w:nsid w:val="59ADEA3D"/>
    <w:multiLevelType w:val="hybridMultilevel"/>
    <w:lvl w:ilvl="0">
      <w:lvlJc w:val="left"/>
      <w:lvlText w:val="(%1)"/>
      <w:numFmt w:val="lowerRoman"/>
      <w:start w:val="2"/>
    </w:lvl>
  </w:abstractNum>
  <w:abstractNum w:abstractNumId="84">
    <w:nsid w:val="288F1A3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6"/>
    </w:lvl>
  </w:abstractNum>
  <w:abstractNum w:abstractNumId="85">
    <w:nsid w:val="2A155DBC"/>
    <w:multiLevelType w:val="hybridMultilevel"/>
    <w:lvl w:ilvl="0">
      <w:lvlJc w:val="left"/>
      <w:lvlText w:val="%1"/>
      <w:numFmt w:val="decimal"/>
      <w:start w:val="1"/>
    </w:lvl>
    <w:lvl w:ilvl="1">
      <w:lvlJc w:val="left"/>
      <w:lvlText w:val="%2."/>
      <w:numFmt w:val="decimal"/>
      <w:start w:val="4"/>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86">
    <w:nsid w:val="1D9F6E5F"/>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lvl w:ilvl="3">
      <w:lvlJc w:val="left"/>
      <w:lvlText w:val="%4."/>
      <w:numFmt w:val="decimal"/>
      <w:start w:val="7"/>
    </w:lvl>
    <w:lvl w:ilvl="4">
      <w:lvlJc w:val="left"/>
      <w:lvlText w:val="%5"/>
      <w:numFmt w:val="lowerLetter"/>
      <w:start w:val="1"/>
    </w:lvl>
  </w:abstractNum>
  <w:abstractNum w:abstractNumId="87">
    <w:nsid w:val="97E1B4E"/>
    <w:multiLevelType w:val="hybridMultilevel"/>
    <w:lvl w:ilvl="0">
      <w:lvlJc w:val="left"/>
      <w:lvlText w:val="%1"/>
      <w:numFmt w:val="decimal"/>
      <w:start w:val="1"/>
    </w:lvl>
    <w:lvl w:ilvl="1">
      <w:lvlJc w:val="left"/>
      <w:lvlText w:val="%2."/>
      <w:numFmt w:val="decimal"/>
      <w:start w:val="8"/>
    </w:lvl>
    <w:lvl w:ilvl="2">
      <w:lvlJc w:val="left"/>
      <w:lvlText w:val="%3."/>
      <w:numFmt w:val="decimal"/>
      <w:start w:val="9"/>
    </w:lvl>
  </w:abstractNum>
  <w:abstractNum w:abstractNumId="88">
    <w:nsid w:val="51088277"/>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89">
    <w:nsid w:val="1CA0C5FA"/>
    <w:multiLevelType w:val="hybridMultilevel"/>
    <w:lvl w:ilvl="0">
      <w:lvlJc w:val="left"/>
      <w:lvlText w:val="%1."/>
      <w:numFmt w:val="decimal"/>
      <w:start w:val="10"/>
    </w:lvl>
    <w:lvl w:ilvl="1">
      <w:lvlJc w:val="left"/>
      <w:lvlText w:val="(%2)"/>
      <w:numFmt w:val="lowerLetter"/>
      <w:start w:val="5"/>
    </w:lvl>
    <w:lvl w:ilvl="2">
      <w:lvlJc w:val="left"/>
      <w:lvlText w:val="(%3)"/>
      <w:numFmt w:val="lowerLetter"/>
      <w:start w:val="1"/>
    </w:lvl>
    <w:lvl w:ilvl="3">
      <w:lvlJc w:val="left"/>
      <w:lvlText w:val="(%4)"/>
      <w:numFmt w:val="lowerLetter"/>
      <w:start w:val="3"/>
    </w:lvl>
    <w:lvl w:ilvl="4">
      <w:lvlJc w:val="left"/>
      <w:lvlText w:val="(%5)"/>
      <w:numFmt w:val="lowerLetter"/>
      <w:start w:val="2"/>
    </w:lvl>
    <w:lvl w:ilvl="5">
      <w:lvlJc w:val="left"/>
      <w:lvlText w:val="(%6)"/>
      <w:numFmt w:val="lowerLetter"/>
      <w:start w:val="3"/>
    </w:lvl>
  </w:abstractNum>
  <w:abstractNum w:abstractNumId="90">
    <w:nsid w:val="53584BC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8"/>
    </w:lvl>
  </w:abstractNum>
  <w:abstractNum w:abstractNumId="91">
    <w:nsid w:val="415E286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9"/>
    </w:lvl>
    <w:lvl w:ilvl="5">
      <w:lvlJc w:val="left"/>
      <w:lvlText w:val="%6"/>
      <w:numFmt w:val="lowerLetter"/>
      <w:start w:val="1"/>
    </w:lvl>
  </w:abstractNum>
  <w:abstractNum w:abstractNumId="92">
    <w:nsid w:val="7C58FD0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0"/>
    </w:lvl>
    <w:lvl w:ilvl="4">
      <w:lvlJc w:val="left"/>
      <w:lvlText w:val="%5"/>
      <w:numFmt w:val="lowerLetter"/>
      <w:start w:val="1"/>
    </w:lvl>
    <w:lvl w:ilvl="5">
      <w:lvlJc w:val="left"/>
      <w:lvlText w:val="%6"/>
      <w:numFmt w:val="lowerLetter"/>
      <w:start w:val="1"/>
    </w:lvl>
  </w:abstractNum>
  <w:abstractNum w:abstractNumId="93">
    <w:nsid w:val="23D86AAC"/>
    <w:multiLevelType w:val="hybridMultilevel"/>
    <w:lvl w:ilvl="0">
      <w:lvlJc w:val="left"/>
      <w:lvlText w:val="%1."/>
      <w:numFmt w:val="decimal"/>
      <w:start w:val="11"/>
    </w:lvl>
    <w:lvl w:ilvl="1">
      <w:lvlJc w:val="left"/>
      <w:lvlText w:val="%2."/>
      <w:numFmt w:val="decimal"/>
      <w:start w:val="12"/>
    </w:lvl>
    <w:lvl w:ilvl="2">
      <w:lvlJc w:val="left"/>
      <w:lvlText w:val="%3."/>
      <w:numFmt w:val="decimal"/>
      <w:start w:val="1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94">
    <w:nsid w:val="45E6D486"/>
    <w:multiLevelType w:val="hybridMultilevel"/>
    <w:lvl w:ilvl="0">
      <w:lvlJc w:val="left"/>
      <w:lvlText w:val="%1."/>
      <w:numFmt w:val="decimal"/>
      <w:start w:val="14"/>
    </w:lvl>
    <w:lvl w:ilvl="1">
      <w:lvlJc w:val="left"/>
      <w:lvlText w:val="(%2)"/>
      <w:numFmt w:val="lowerLetter"/>
      <w:start w:val="1"/>
    </w:lvl>
  </w:abstractNum>
  <w:abstractNum w:abstractNumId="95">
    <w:nsid w:val="5C10FE21"/>
    <w:multiLevelType w:val="hybridMultilevel"/>
    <w:lvl w:ilvl="0">
      <w:lvlJc w:val="left"/>
      <w:lvlText w:val="(%1)"/>
      <w:numFmt w:val="lowerLetter"/>
      <w:start w:val="1"/>
    </w:lvl>
  </w:abstractNum>
  <w:abstractNum w:abstractNumId="96">
    <w:nsid w:val="E7FFA2B"/>
    <w:multiLevelType w:val="hybridMultilevel"/>
    <w:lvl w:ilvl="0">
      <w:lvlJc w:val="left"/>
      <w:lvlText w:val="(%1)"/>
      <w:numFmt w:val="lowerLetter"/>
      <w:start w:val="1"/>
    </w:lvl>
  </w:abstractNum>
  <w:abstractNum w:abstractNumId="97">
    <w:nsid w:val="3C5991AA"/>
    <w:multiLevelType w:val="hybridMultilevel"/>
    <w:lvl w:ilvl="0">
      <w:lvlJc w:val="left"/>
      <w:lvlText w:val="(%1)"/>
      <w:numFmt w:val="lowerRoman"/>
      <w:start w:val="1"/>
    </w:lvl>
  </w:abstractNum>
  <w:abstractNum w:abstractNumId="98">
    <w:nsid w:val="4BD8591A"/>
    <w:multiLevelType w:val="hybridMultilevel"/>
    <w:lvl w:ilvl="0">
      <w:lvlJc w:val="left"/>
      <w:lvlText w:val="(%1)"/>
      <w:numFmt w:val="lowerRoman"/>
      <w:start w:val="1"/>
    </w:lvl>
  </w:abstractNum>
  <w:abstractNum w:abstractNumId="99">
    <w:nsid w:val="78DF6A55"/>
    <w:multiLevelType w:val="hybridMultilevel"/>
    <w:lvl w:ilvl="0">
      <w:lvlJc w:val="left"/>
      <w:lvlText w:val="(%1)"/>
      <w:numFmt w:val="lowerRoman"/>
      <w:start w:val="1"/>
    </w:lvl>
  </w:abstractNum>
  <w:abstractNum w:abstractNumId="100">
    <w:nsid w:val="39B7AAA2"/>
    <w:multiLevelType w:val="hybridMultilevel"/>
    <w:lvl w:ilvl="0">
      <w:lvlJc w:val="left"/>
      <w:lvlText w:val="(%1)"/>
      <w:numFmt w:val="lowerRoman"/>
      <w:start w:val="2"/>
    </w:lvl>
  </w:abstractNum>
  <w:abstractNum w:abstractNumId="101">
    <w:nsid w:val="2B0D8DBE"/>
    <w:multiLevelType w:val="hybridMultilevel"/>
    <w:lvl w:ilvl="0">
      <w:lvlJc w:val="left"/>
      <w:lvlText w:val="(%1)"/>
      <w:numFmt w:val="decimal"/>
      <w:start w:val="2"/>
    </w:lvl>
  </w:abstractNum>
  <w:abstractNum w:abstractNumId="102">
    <w:nsid w:val="6C80EC70"/>
    <w:multiLevelType w:val="hybridMultilevel"/>
    <w:lvl w:ilvl="0">
      <w:lvlJc w:val="left"/>
      <w:lvlText w:val="(%1)"/>
      <w:numFmt w:val="decimal"/>
      <w:start w:val="7"/>
    </w:lvl>
  </w:abstractNum>
  <w:abstractNum w:abstractNumId="103">
    <w:nsid w:val="379E21B5"/>
    <w:multiLevelType w:val="hybridMultilevel"/>
    <w:lvl w:ilvl="0">
      <w:lvlJc w:val="left"/>
      <w:lvlText w:val="•"/>
      <w:numFmt w:val="bullet"/>
      <w:start w:val="1"/>
    </w:lvl>
  </w:abstractNum>
  <w:abstractNum w:abstractNumId="104">
    <w:nsid w:val="69E373"/>
    <w:multiLevelType w:val="hybridMultilevel"/>
    <w:lvl w:ilvl="0">
      <w:lvlJc w:val="left"/>
      <w:lvlText w:val="•"/>
      <w:numFmt w:val="bullet"/>
      <w:start w:val="1"/>
    </w:lvl>
  </w:abstractNum>
  <w:abstractNum w:abstractNumId="105">
    <w:nsid w:val="2C27173B"/>
    <w:multiLevelType w:val="hybridMultilevel"/>
    <w:lvl w:ilvl="0">
      <w:lvlJc w:val="left"/>
      <w:lvlText w:val="•"/>
      <w:numFmt w:val="bullet"/>
      <w:start w:val="1"/>
    </w:lvl>
  </w:abstractNum>
  <w:abstractNum w:abstractNumId="106">
    <w:nsid w:val="4C9B0904"/>
    <w:multiLevelType w:val="hybridMultilevel"/>
    <w:lvl w:ilvl="0">
      <w:lvlJc w:val="left"/>
      <w:lvlText w:val="•"/>
      <w:numFmt w:val="bullet"/>
      <w:start w:val="1"/>
    </w:lvl>
  </w:abstractNum>
  <w:abstractNum w:abstractNumId="107">
    <w:nsid w:val="6AA7B75C"/>
    <w:multiLevelType w:val="hybridMultilevel"/>
    <w:lvl w:ilvl="0">
      <w:lvlJc w:val="left"/>
      <w:lvlText w:val="•"/>
      <w:numFmt w:val="bullet"/>
      <w:start w:val="1"/>
    </w:lvl>
  </w:abstractNum>
  <w:abstractNum w:abstractNumId="108">
    <w:nsid w:val="1DF029D3"/>
    <w:multiLevelType w:val="hybridMultilevel"/>
    <w:lvl w:ilvl="0">
      <w:lvlJc w:val="left"/>
      <w:lvlText w:val="•"/>
      <w:numFmt w:val="bullet"/>
      <w:start w:val="1"/>
    </w:lvl>
  </w:abstractNum>
  <w:abstractNum w:abstractNumId="109">
    <w:nsid w:val="5675FF36"/>
    <w:multiLevelType w:val="hybridMultilevel"/>
    <w:lvl w:ilvl="0">
      <w:lvlJc w:val="left"/>
      <w:lvlText w:val="•"/>
      <w:numFmt w:val="bullet"/>
      <w:start w:val="1"/>
    </w:lvl>
  </w:abstractNum>
  <w:abstractNum w:abstractNumId="110">
    <w:nsid w:val="3DD15094"/>
    <w:multiLevelType w:val="hybridMultilevel"/>
    <w:lvl w:ilvl="0">
      <w:lvlJc w:val="left"/>
      <w:lvlText w:val="•"/>
      <w:numFmt w:val="bullet"/>
      <w:start w:val="1"/>
    </w:lvl>
  </w:abstractNum>
  <w:abstractNum w:abstractNumId="111">
    <w:nsid w:val="3DB012B3"/>
    <w:multiLevelType w:val="hybridMultilevel"/>
    <w:lvl w:ilvl="0">
      <w:lvlJc w:val="left"/>
      <w:lvlText w:val="•"/>
      <w:numFmt w:val="bullet"/>
      <w:start w:val="1"/>
    </w:lvl>
  </w:abstractNum>
  <w:abstractNum w:abstractNumId="112">
    <w:nsid w:val="2708C9AF"/>
    <w:multiLevelType w:val="hybridMultilevel"/>
    <w:lvl w:ilvl="0">
      <w:lvlJc w:val="left"/>
      <w:lvlText w:val="(%1)"/>
      <w:numFmt w:val="lowerLetter"/>
      <w:start w:val="1"/>
    </w:lvl>
  </w:abstractNum>
  <w:abstractNum w:abstractNumId="113">
    <w:nsid w:val="5B25ACE2"/>
    <w:multiLevelType w:val="hybridMultilevel"/>
    <w:lvl w:ilvl="0">
      <w:lvlJc w:val="left"/>
      <w:lvlText w:val="(%1)"/>
      <w:numFmt w:val="lowerLetter"/>
      <w:start w:val="3"/>
    </w:lvl>
    <w:lvl w:ilvl="1">
      <w:lvlJc w:val="left"/>
      <w:lvlText w:val="(%2)"/>
      <w:numFmt w:val="decimal"/>
      <w:start w:val="1"/>
    </w:lvl>
  </w:abstractNum>
  <w:abstractNum w:abstractNumId="114">
    <w:nsid w:val="175DFCF0"/>
    <w:multiLevelType w:val="hybridMultilevel"/>
    <w:lvl w:ilvl="0">
      <w:lvlJc w:val="left"/>
      <w:lvlText w:val="(%1)"/>
      <w:numFmt w:val="lowerLetter"/>
      <w:start w:val="6"/>
    </w:lvl>
  </w:abstractNum>
  <w:abstractNum w:abstractNumId="115">
    <w:nsid w:val="4F97E3E4"/>
    <w:multiLevelType w:val="hybridMultilevel"/>
    <w:lvl w:ilvl="0">
      <w:lvlJc w:val="left"/>
      <w:lvlText w:val="%1."/>
      <w:numFmt w:val="upperLetter"/>
      <w:start w:val="35"/>
    </w:lvl>
  </w:abstractNum>
  <w:abstractNum w:abstractNumId="116">
    <w:nsid w:val="53B0A9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17">
    <w:nsid w:val="34FD6B4F"/>
    <w:multiLevelType w:val="hybridMultilevel"/>
    <w:lvl w:ilvl="0">
      <w:lvlJc w:val="left"/>
      <w:lvlText w:val="(%1)"/>
      <w:numFmt w:val="lowerLetter"/>
      <w:start w:val="2"/>
    </w:lvl>
    <w:lvl w:ilvl="1">
      <w:lvlJc w:val="left"/>
      <w:lvlText w:val="(%2)"/>
      <w:numFmt w:val="decimal"/>
      <w:start w:val="1"/>
    </w:lvl>
  </w:abstractNum>
  <w:abstractNum w:abstractNumId="118">
    <w:nsid w:val="5915FF32"/>
    <w:multiLevelType w:val="hybridMultilevel"/>
    <w:lvl w:ilvl="0">
      <w:lvlJc w:val="left"/>
      <w:lvlText w:val="(%1)"/>
      <w:numFmt w:val="lowerLetter"/>
      <w:start w:val="4"/>
    </w:lvl>
  </w:abstractNum>
  <w:abstractNum w:abstractNumId="119">
    <w:nsid w:val="56438D15"/>
    <w:multiLevelType w:val="hybridMultilevel"/>
    <w:lvl w:ilvl="0">
      <w:lvlJc w:val="left"/>
      <w:lvlText w:val="%1."/>
      <w:numFmt w:val="decimal"/>
      <w:start w:val="2"/>
    </w:lvl>
    <w:lvl w:ilvl="1">
      <w:lvlJc w:val="left"/>
      <w:lvlText w:val="%2."/>
      <w:numFmt w:val="decimal"/>
      <w:start w:val="2"/>
    </w:lvl>
    <w:lvl w:ilvl="2">
      <w:lvlJc w:val="left"/>
      <w:lvlText w:val="%3."/>
      <w:numFmt w:val="decimal"/>
      <w:start w:val="4"/>
    </w:lvl>
    <w:lvl w:ilvl="3">
      <w:lvlJc w:val="left"/>
      <w:lvlText w:val="(%4)"/>
      <w:numFmt w:val="lowerLetter"/>
      <w:start w:val="1"/>
    </w:lvl>
  </w:abstractNum>
  <w:abstractNum w:abstractNumId="120">
    <w:nsid w:val="519E3149"/>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lvl w:ilvl="3">
      <w:lvlJc w:val="left"/>
      <w:lvlText w:val="%4"/>
      <w:numFmt w:val="decimal"/>
      <w:start w:val="1"/>
    </w:lvl>
  </w:abstractNum>
  <w:abstractNum w:abstractNumId="121">
    <w:nsid w:val="2C6E4AFD"/>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22">
    <w:nsid w:val="17A1B582"/>
    <w:multiLevelType w:val="hybridMultilevel"/>
    <w:lvl w:ilvl="0">
      <w:lvlJc w:val="left"/>
      <w:lvlText w:val="(%1)"/>
      <w:numFmt w:val="lowerLetter"/>
      <w:start w:val="1"/>
    </w:lvl>
    <w:lvl w:ilvl="1">
      <w:lvlJc w:val="left"/>
      <w:lvlText w:val="(%2)"/>
      <w:numFmt w:val="decimal"/>
      <w:start w:val="1"/>
    </w:lvl>
  </w:abstractNum>
  <w:abstractNum w:abstractNumId="123">
    <w:nsid w:val="4DF72E4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4"/>
    </w:lvl>
    <w:lvl w:ilvl="4">
      <w:lvlJc w:val="left"/>
      <w:lvlText w:val="%5"/>
      <w:numFmt w:val="decimal"/>
      <w:start w:val="1"/>
    </w:lvl>
    <w:lvl w:ilvl="5">
      <w:lvlJc w:val="left"/>
      <w:lvlText w:val="%6."/>
      <w:numFmt w:val="decimal"/>
      <w:start w:val="5"/>
    </w:lvl>
  </w:abstractNum>
  <w:abstractNum w:abstractNumId="124">
    <w:nsid w:val="5046B5A9"/>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lvl w:ilvl="3">
      <w:lvlJc w:val="left"/>
      <w:lvlText w:val="%4"/>
      <w:numFmt w:val="decimal"/>
      <w:start w:val="1"/>
    </w:lvl>
    <w:lvl w:ilvl="4">
      <w:lvlJc w:val="left"/>
      <w:lvlText w:val="%5."/>
      <w:numFmt w:val="decimal"/>
      <w:start w:val="7"/>
    </w:lvl>
    <w:lvl w:ilvl="5">
      <w:lvlJc w:val="left"/>
      <w:lvlText w:val="%6"/>
      <w:numFmt w:val="decimal"/>
      <w:start w:val="1"/>
    </w:lvl>
  </w:abstractNum>
  <w:abstractNum w:abstractNumId="125">
    <w:nsid w:val="5D888A08"/>
    <w:multiLevelType w:val="hybridMultilevel"/>
    <w:lvl w:ilvl="0">
      <w:lvlJc w:val="left"/>
      <w:lvlText w:val="%1"/>
      <w:numFmt w:val="decimal"/>
      <w:start w:val="1"/>
    </w:lvl>
    <w:lvl w:ilvl="1">
      <w:lvlJc w:val="left"/>
      <w:lvlText w:val="%2."/>
      <w:numFmt w:val="decimal"/>
      <w:start w:val="8"/>
    </w:lvl>
    <w:lvl w:ilvl="2">
      <w:lvlJc w:val="left"/>
      <w:lvlText w:val="%3."/>
      <w:numFmt w:val="decimal"/>
      <w:start w:val="9"/>
    </w:lvl>
    <w:lvl w:ilvl="3">
      <w:lvlJc w:val="left"/>
      <w:lvlText w:val="%4"/>
      <w:numFmt w:val="decimal"/>
      <w:start w:val="1"/>
    </w:lvl>
    <w:lvl w:ilvl="4">
      <w:lvlJc w:val="left"/>
      <w:lvlText w:val="%5"/>
      <w:numFmt w:val="decimal"/>
      <w:start w:val="1"/>
    </w:lvl>
    <w:lvl w:ilvl="5">
      <w:lvlJc w:val="left"/>
      <w:lvlText w:val="%6"/>
      <w:numFmt w:val="decimal"/>
      <w:start w:val="1"/>
    </w:lvl>
  </w:abstractNum>
  <w:abstractNum w:abstractNumId="126">
    <w:nsid w:val="2A082C70"/>
    <w:multiLevelType w:val="hybridMultilevel"/>
    <w:lvl w:ilvl="0">
      <w:lvlJc w:val="left"/>
      <w:lvlText w:val="%1."/>
      <w:numFmt w:val="decimal"/>
      <w:start w:val="10"/>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6" Type="http://schemas.openxmlformats.org/officeDocument/2006/relationships/hyperlink" Target="http://www.sec.gov/Archives/edgar/data/842633/000110465907058776/a07-19157_1ex3d1.htm" TargetMode="External"/><Relationship Id="rId47" Type="http://schemas.openxmlformats.org/officeDocument/2006/relationships/hyperlink" Target="http://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2022-04-28T13:06:10Z</dcterms:created>
  <dcterms:modified xsi:type="dcterms:W3CDTF">2022-04-28T13:06:10Z</dcterms:modified>
</cp:coreProperties>
</file>