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70" w:lineRule="exact"/>
        <w:rPr>
          <w:sz w:val="24"/>
          <w:szCs w:val="24"/>
          <w:color w:val="auto"/>
        </w:rPr>
      </w:pPr>
    </w:p>
    <w:p>
      <w:pPr>
        <w:ind w:left="1800" w:hanging="1049"/>
        <w:spacing w:after="0"/>
        <w:tabs>
          <w:tab w:leader="none" w:pos="18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1800" w:hanging="1049"/>
        <w:spacing w:after="0"/>
        <w:tabs>
          <w:tab w:leader="none" w:pos="18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Arial" w:cs="Arial" w:eastAsia="Arial" w:hAnsi="Arial"/>
                <w:sz w:val="18"/>
                <w:szCs w:val="18"/>
                <w:b w:val="1"/>
                <w:bCs w:val="1"/>
                <w:color w:val="auto"/>
                <w:w w:val="91"/>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4500" w:type="dxa"/>
            <w:vAlign w:val="bottom"/>
            <w:gridSpan w:val="4"/>
          </w:tcPr>
          <w:p>
            <w:pPr>
              <w:jc w:val="center"/>
              <w:ind w:left="381"/>
              <w:spacing w:after="0"/>
              <w:rPr>
                <w:sz w:val="20"/>
                <w:szCs w:val="20"/>
                <w:color w:val="auto"/>
              </w:rPr>
            </w:pPr>
            <w:r>
              <w:rPr>
                <w:rFonts w:ascii="Arial" w:cs="Arial" w:eastAsia="Arial" w:hAnsi="Arial"/>
                <w:sz w:val="18"/>
                <w:szCs w:val="18"/>
                <w:b w:val="1"/>
                <w:bCs w:val="1"/>
                <w:color w:val="auto"/>
                <w:w w:val="8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5"/>
        </w:trPr>
        <w:tc>
          <w:tcPr>
            <w:tcW w:w="4500" w:type="dxa"/>
            <w:vAlign w:val="bottom"/>
            <w:gridSpan w:val="4"/>
          </w:tcPr>
          <w:p>
            <w:pPr>
              <w:jc w:val="center"/>
              <w:ind w:left="381"/>
              <w:spacing w:after="0"/>
              <w:rPr>
                <w:sz w:val="20"/>
                <w:szCs w:val="20"/>
                <w:color w:val="auto"/>
              </w:rPr>
            </w:pPr>
            <w:r>
              <w:rPr>
                <w:rFonts w:ascii="Arial" w:cs="Arial" w:eastAsia="Arial" w:hAnsi="Arial"/>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3"/>
        </w:trPr>
        <w:tc>
          <w:tcPr>
            <w:tcW w:w="4500" w:type="dxa"/>
            <w:vAlign w:val="bottom"/>
            <w:gridSpan w:val="4"/>
          </w:tcPr>
          <w:p>
            <w:pPr>
              <w:jc w:val="center"/>
              <w:ind w:left="401"/>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6"/>
        </w:trPr>
        <w:tc>
          <w:tcPr>
            <w:tcW w:w="2780" w:type="dxa"/>
            <w:vAlign w:val="bottom"/>
          </w:tcPr>
          <w:p>
            <w:pPr>
              <w:jc w:val="center"/>
              <w:ind w:right="521"/>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1"/>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80" w:type="dxa"/>
            <w:vAlign w:val="bottom"/>
          </w:tcPr>
          <w:p>
            <w:pPr>
              <w:jc w:val="center"/>
              <w:ind w:right="521"/>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5"/>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4500" w:type="dxa"/>
            <w:vAlign w:val="bottom"/>
            <w:gridSpan w:val="4"/>
          </w:tcPr>
          <w:p>
            <w:pPr>
              <w:jc w:val="center"/>
              <w:ind w:left="401"/>
              <w:spacing w:after="0"/>
              <w:rPr>
                <w:sz w:val="20"/>
                <w:szCs w:val="20"/>
                <w:color w:val="auto"/>
              </w:rPr>
            </w:pPr>
            <w:r>
              <w:rPr>
                <w:rFonts w:ascii="Arial" w:cs="Arial" w:eastAsia="Arial" w:hAnsi="Arial"/>
                <w:sz w:val="18"/>
                <w:szCs w:val="18"/>
                <w:b w:val="1"/>
                <w:bCs w:val="1"/>
                <w:color w:val="auto"/>
                <w:w w:val="90"/>
              </w:rPr>
              <w:t>39400 Woodward Avenue, Suite 130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Bloomfield Hills, Michigan 48304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(248) 631-5450</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27"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174" w:lineRule="exact"/>
        <w:rPr>
          <w:sz w:val="24"/>
          <w:szCs w:val="24"/>
          <w:color w:val="auto"/>
        </w:rPr>
      </w:pPr>
    </w:p>
    <w:p>
      <w:pPr>
        <w:jc w:val="center"/>
        <w:ind w:left="8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4">
            <w:col w:w="2820" w:space="720"/>
            <w:col w:w="1460" w:space="720"/>
            <w:col w:w="1920" w:space="720"/>
            <w:col w:w="3060"/>
          </w:cols>
          <w:pgMar w:left="240" w:top="233" w:right="239" w:bottom="1440" w:gutter="0" w:footer="0" w:header="0"/>
          <w:type w:val="continuous"/>
        </w:sectPr>
      </w:pPr>
    </w:p>
    <w:p>
      <w:pPr>
        <w:jc w:val="center"/>
        <w:ind w:left="1700"/>
        <w:spacing w:after="0"/>
        <w:rPr>
          <w:sz w:val="20"/>
          <w:szCs w:val="20"/>
          <w:color w:val="auto"/>
        </w:rPr>
      </w:pPr>
      <w:r>
        <w:rPr>
          <w:rFonts w:ascii="Arial" w:cs="Arial" w:eastAsia="Arial" w:hAnsi="Arial"/>
          <w:sz w:val="13"/>
          <w:szCs w:val="13"/>
          <w:color w:val="auto"/>
        </w:rPr>
        <w:t>(Do not check if a</w:t>
      </w:r>
    </w:p>
    <w:p>
      <w:pPr>
        <w:jc w:val="center"/>
        <w:ind w:left="1700"/>
        <w:spacing w:after="0"/>
        <w:rPr>
          <w:sz w:val="20"/>
          <w:szCs w:val="20"/>
          <w:color w:val="auto"/>
        </w:rPr>
      </w:pPr>
      <w:r>
        <w:rPr>
          <w:rFonts w:ascii="Arial" w:cs="Arial" w:eastAsia="Arial" w:hAnsi="Arial"/>
          <w:sz w:val="11"/>
          <w:szCs w:val="11"/>
          <w:color w:val="auto"/>
        </w:rPr>
        <w:t>smaller reporting company)</w:t>
      </w:r>
    </w:p>
    <w:p>
      <w:pPr>
        <w:sectPr>
          <w:pgSz w:w="11900" w:h="16838" w:orient="portrait"/>
          <w:cols w:equalWidth="0" w:num="1">
            <w:col w:w="11420"/>
          </w:cols>
          <w:pgMar w:left="240" w:top="233" w:right="239" w:bottom="1440" w:gutter="0" w:footer="0" w:header="0"/>
          <w:type w:val="continuous"/>
        </w:sectPr>
      </w:pPr>
    </w:p>
    <w:p>
      <w:pPr>
        <w:spacing w:after="0" w:line="106" w:lineRule="exact"/>
        <w:rPr>
          <w:sz w:val="24"/>
          <w:szCs w:val="24"/>
          <w:color w:val="auto"/>
        </w:rPr>
      </w:pPr>
    </w:p>
    <w:p>
      <w:pPr>
        <w:spacing w:after="0"/>
        <w:tabs>
          <w:tab w:leader="none" w:pos="87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No x</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21, 2016, the number of outstanding shares of the Registrant's common stock, $0.01 par value, was 45,500,944 shares.</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00" w:type="dxa"/>
            <w:vAlign w:val="bottom"/>
            <w:gridSpan w:val="14"/>
          </w:tcPr>
          <w:p>
            <w:pPr>
              <w:jc w:val="center"/>
              <w:ind w:right="3240"/>
              <w:spacing w:after="0"/>
              <w:rPr>
                <w:sz w:val="20"/>
                <w:szCs w:val="20"/>
                <w:color w:val="auto"/>
              </w:rPr>
            </w:pPr>
            <w:r>
              <w:rPr>
                <w:rFonts w:ascii="Arial" w:cs="Arial" w:eastAsia="Arial" w:hAnsi="Arial"/>
                <w:sz w:val="18"/>
                <w:szCs w:val="18"/>
                <w:b w:val="1"/>
                <w:bCs w:val="1"/>
                <w:color w:val="auto"/>
                <w:w w:val="95"/>
              </w:rPr>
              <w:t>TriMas Corporation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11"/>
          </w:tcPr>
          <w:p>
            <w:pPr>
              <w:jc w:val="center"/>
              <w:ind w:right="3780"/>
              <w:spacing w:after="0"/>
              <w:rPr>
                <w:sz w:val="20"/>
                <w:szCs w:val="20"/>
                <w:color w:val="auto"/>
              </w:rPr>
            </w:pPr>
            <w:r>
              <w:rPr>
                <w:rFonts w:ascii="Arial" w:cs="Arial" w:eastAsia="Arial" w:hAnsi="Arial"/>
                <w:sz w:val="18"/>
                <w:szCs w:val="18"/>
                <w:b w:val="1"/>
                <w:bCs w:val="1"/>
                <w:color w:val="auto"/>
                <w:w w:val="93"/>
              </w:rPr>
              <w:t>Index</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10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78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4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86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4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 as of September 30, 2016 and December 31, 2015</w:t>
              </w:r>
            </w:hyperlink>
          </w:p>
        </w:tc>
        <w:tc>
          <w:tcPr>
            <w:tcW w:w="1200" w:type="dxa"/>
            <w:vAlign w:val="bottom"/>
            <w:gridSpan w:val="6"/>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 of Income for the Three and Nine Months Ended September 30,</w:t>
              </w:r>
            </w:hyperlink>
          </w:p>
        </w:tc>
        <w:tc>
          <w:tcPr>
            <w:tcW w:w="50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2016 and 2015</w:t>
              </w:r>
            </w:hyperlink>
          </w:p>
        </w:tc>
        <w:tc>
          <w:tcPr>
            <w:tcW w:w="4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Comprehensive Income for the Three and Nine Months Ended</w:t>
              </w:r>
            </w:hyperlink>
          </w:p>
        </w:tc>
        <w:tc>
          <w:tcPr>
            <w:tcW w:w="4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2016 and 2015</w:t>
              </w:r>
            </w:hyperlink>
          </w:p>
        </w:tc>
        <w:tc>
          <w:tcPr>
            <w:tcW w:w="4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gridSpan w:val="2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Cash Flows for the Nine Months Ended September 30, 2016 and</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2015</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gridSpan w:val="22"/>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Consolidated Statement of Shareholders' Equity for the Nine Months Ended September 30,</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2016</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44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6860" w:type="dxa"/>
            <w:vAlign w:val="bottom"/>
            <w:gridSpan w:val="22"/>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Management's Discussion and Analysis of Financial Condition and Results of Operations</w:t>
              </w:r>
            </w:hyperlink>
          </w:p>
        </w:tc>
        <w:tc>
          <w:tcPr>
            <w:tcW w:w="4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686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44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686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44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420" w:type="dxa"/>
            <w:vAlign w:val="bottom"/>
          </w:tcPr>
          <w:p>
            <w:pPr>
              <w:spacing w:after="0"/>
              <w:rPr>
                <w:sz w:val="24"/>
                <w:szCs w:val="24"/>
                <w:color w:val="auto"/>
              </w:rPr>
            </w:pPr>
          </w:p>
        </w:tc>
        <w:tc>
          <w:tcPr>
            <w:tcW w:w="1440" w:type="dxa"/>
            <w:vAlign w:val="bottom"/>
            <w:tcBorders>
              <w:bottom w:val="single" w:sz="8" w:color="0000EE"/>
            </w:tcBorders>
            <w:gridSpan w:val="7"/>
          </w:tcPr>
          <w:p>
            <w:pPr>
              <w:spacing w:after="0"/>
              <w:rPr>
                <w:rFonts w:ascii="Arial" w:cs="Arial" w:eastAsia="Arial" w:hAnsi="Arial"/>
                <w:sz w:val="18"/>
                <w:szCs w:val="18"/>
                <w:b w:val="1"/>
                <w:bCs w:val="1"/>
                <w:color w:val="0000EE"/>
                <w:w w:val="93"/>
              </w:rPr>
            </w:pPr>
            <w:hyperlink w:anchor="page42">
              <w:r>
                <w:rPr>
                  <w:rFonts w:ascii="Arial" w:cs="Arial" w:eastAsia="Arial" w:hAnsi="Arial"/>
                  <w:sz w:val="18"/>
                  <w:szCs w:val="18"/>
                  <w:b w:val="1"/>
                  <w:bCs w:val="1"/>
                  <w:color w:val="0000EE"/>
                  <w:w w:val="93"/>
                </w:rPr>
                <w:t>Other Information</w:t>
              </w:r>
            </w:hyperlink>
          </w:p>
        </w:tc>
        <w:tc>
          <w:tcPr>
            <w:tcW w:w="6340" w:type="dxa"/>
            <w:vAlign w:val="bottom"/>
            <w:gridSpan w:val="20"/>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686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4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1A.</w:t>
              </w:r>
            </w:hyperlink>
          </w:p>
        </w:tc>
        <w:tc>
          <w:tcPr>
            <w:tcW w:w="280" w:type="dxa"/>
            <w:vAlign w:val="bottom"/>
            <w:gridSpan w:val="3"/>
          </w:tcPr>
          <w:p>
            <w:pPr>
              <w:spacing w:after="0"/>
              <w:rPr>
                <w:sz w:val="24"/>
                <w:szCs w:val="24"/>
                <w:color w:val="auto"/>
              </w:rPr>
            </w:pPr>
          </w:p>
        </w:tc>
        <w:tc>
          <w:tcPr>
            <w:tcW w:w="900" w:type="dxa"/>
            <w:vAlign w:val="bottom"/>
            <w:gridSpan w:val="5"/>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5960" w:type="dxa"/>
            <w:vAlign w:val="bottom"/>
            <w:gridSpan w:val="17"/>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686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4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24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2520" w:type="dxa"/>
            <w:vAlign w:val="bottom"/>
            <w:gridSpan w:val="7"/>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686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4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100" w:type="dxa"/>
            <w:vAlign w:val="bottom"/>
            <w:gridSpan w:val="1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5.</w:t>
              </w:r>
            </w:hyperlink>
          </w:p>
        </w:tc>
        <w:tc>
          <w:tcPr>
            <w:tcW w:w="686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4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560" w:type="dxa"/>
            <w:vAlign w:val="bottom"/>
            <w:gridSpan w:val="1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6.</w:t>
              </w:r>
            </w:hyperlink>
          </w:p>
        </w:tc>
        <w:tc>
          <w:tcPr>
            <w:tcW w:w="686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44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723"/>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13"/>
          </w:tcPr>
          <w:p>
            <w:pPr>
              <w:jc w:val="center"/>
              <w:ind w:left="215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320"/>
          </w:cols>
          <w:pgMar w:left="240" w:top="108" w:right="1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forward-looking statements are subject to numerous assumptions, risks and uncertainties which could materially affect our business, financial condition or future results including, but not limited to: the Company's leverage; liabilities imposed by the Company's debt instruments; market demand; competitive factors; supply constraints; material and energy costs; risks and uncertainties associated with intangible assets, including goodwill or other intangible asset impairment charges; technology factors; litigation; government and regulatory actions; the Company's accounting policies; future trends; general economic and currency conditions; various conditions specific to the Company's business and industry; the Company’s ability to identify attractive acquisition candidates, successfully integrate acquired operations or realize the intended benefits of such acquisitions; future prospects of the Company; and other risks that are discussed in Part I, Item 1A, "Risk Factors," in our Annual Report on Form 10-K for the year ended December 31, 2015.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4"/>
              </w:rPr>
              <w:t>Receivables, net of reserves of approximately $4.3 million and $3.7 million as of September 30, 2016</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and December 31, 2015, respectively</w:t>
            </w:r>
          </w:p>
        </w:tc>
        <w:tc>
          <w:tcPr>
            <w:tcW w:w="2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130,440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121,990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167,370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17,810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181,130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258,400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273,870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9,760</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1,158,400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1,170,300</w:t>
            </w:r>
          </w:p>
        </w:tc>
      </w:tr>
      <w:tr>
        <w:trPr>
          <w:trHeight w:val="237"/>
        </w:trPr>
        <w:tc>
          <w:tcPr>
            <w:tcW w:w="790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76,140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88,420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50,480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135,930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152,750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11,260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53,320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591,390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623,110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w w:val="91"/>
              </w:rPr>
              <w:t>Issued and outstanding: 45,500,944 shares at September 30, 2016 and 45,322,527 shares at December 31,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815,920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812,160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(226,560)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(254,120)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567,010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547,190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1,158,400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1,170,300</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56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81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202,290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222,190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608,490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671,220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(437,440)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(484,110)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187,110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(123,320)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63,790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Debt financing and extinguishment costs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8,780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27,400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45,435,936</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45,157,412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45,381,592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45,102,067</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45,760,455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45,499,104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45,713,873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45,439,618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2015</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27,560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27,400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postretirement plans (Note 13)</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(10,420)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8)</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16,050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16,020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57" w:lineRule="exact"/>
        <w:rPr>
          <w:sz w:val="20"/>
          <w:szCs w:val="20"/>
          <w:color w:val="auto"/>
        </w:rPr>
      </w:pPr>
    </w:p>
    <w:p>
      <w:pPr>
        <w:jc w:val="center"/>
        <w:ind w:left="9080"/>
        <w:spacing w:after="0"/>
        <w:rPr>
          <w:sz w:val="20"/>
          <w:szCs w:val="20"/>
          <w:color w:val="auto"/>
        </w:rPr>
      </w:pPr>
      <w:r>
        <w:rPr>
          <w:rFonts w:ascii="Arial" w:cs="Arial" w:eastAsia="Arial" w:hAnsi="Arial"/>
          <w:sz w:val="15"/>
          <w:szCs w:val="15"/>
          <w:b w:val="1"/>
          <w:bCs w:val="1"/>
          <w:color w:val="auto"/>
        </w:rPr>
        <w:t>Nine months ended September</w:t>
      </w:r>
    </w:p>
    <w:p>
      <w:pPr>
        <w:spacing w:after="0" w:line="38" w:lineRule="exact"/>
        <w:rPr>
          <w:sz w:val="20"/>
          <w:szCs w:val="20"/>
          <w:color w:val="auto"/>
        </w:rPr>
      </w:pPr>
    </w:p>
    <w:p>
      <w:pPr>
        <w:jc w:val="center"/>
        <w:ind w:left="9080"/>
        <w:spacing w:after="0"/>
        <w:rPr>
          <w:sz w:val="20"/>
          <w:szCs w:val="20"/>
          <w:color w:val="auto"/>
        </w:rPr>
      </w:pP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33020</wp:posOffset>
            </wp:positionV>
            <wp:extent cx="15093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27,560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27,400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32,140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Loss on dispositions of property and equipment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Excess tax benefits from stock based compensation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financing and extinguishment costs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Increase in receivables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28,740</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(14,030)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14,710</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Net proceeds from disposition of property and equipment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 of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Net cash used for investing activities of discontinued operations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on term loan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(441,410)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995,620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(1,006,490)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deferred purchase price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Debt financing fees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surrendered upon vesting of options and restricted stock awards to cover tax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 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Cash transferred to the Cequent businesses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(17,050)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financing activities of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(203,880)</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208,400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for the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At beginning of period</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24,420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22,460</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12,320</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040" w:type="dxa"/>
            <w:vAlign w:val="bottom"/>
          </w:tcPr>
          <w:p>
            <w:pPr>
              <w:ind w:left="500"/>
              <w:spacing w:after="0"/>
              <w:rPr>
                <w:sz w:val="20"/>
                <w:szCs w:val="20"/>
                <w:color w:val="auto"/>
              </w:rPr>
            </w:pPr>
            <w:r>
              <w:rPr>
                <w:rFonts w:ascii="Arial" w:cs="Arial" w:eastAsia="Arial" w:hAnsi="Arial"/>
                <w:sz w:val="18"/>
                <w:szCs w:val="18"/>
                <w:color w:val="auto"/>
              </w:rPr>
              <w:t>Cash paid for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547,190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27,560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27,560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5"/>
              </w:rPr>
              <w:t>Shares surrendered upon vesting of options and restricted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stock awards to cover tax obligations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exercises and restricted stock vestings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Tax effect from stock based compensation</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Balances, September 30,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815,920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567,010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Corporation ("TriMas" or the "Company"), and its consolidated subsidiaries, is a global manufacturer and distributor of products for commercial, industrial and consumer markets. The Company is principally engaged in the following reportable segments with diverse products and market channels: Packaging, Aerospace, Energy and Engineered Components. See Note 10,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30, 2015, the Company completed the spin-off of its Cequent businesses, creating a new independent publicly traded company, Horizon Global Corporation ("Horizon"). In addition, on June 30, 2015, immediately prior to the effective time of the spin-off, Horizon paid a cash distribution to the Company of $214.5 million using the proceeds of its new debt financing arrangement and cash on hand. The Company incurred approximately $30 million of one-time, pre-tax costs associated with the spin-off, of which approximately $29 million was incurred during 2015. These costs primarily related to financing, legal, tax and accounting services rendered by third parties. Of the $30 million in costs, approximately $18 million was included in the loss from discontinued operations, $9 million was capitalized as deferred financing fees associated with Horizon's debt issuance coincident with the spin-off and was included in the balance sheet of the discontinued operations and approximately $3 million relates to fees associated with the Company's refinancing of long-term debt, of which approximately $2 million was included in the income from continuing operations as debt financing and extinguishment costs and approximately $1 million was capitalized as deferred financing fees in the accompanying consolidated balance sheet.</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and cash flows of the Cequent businesses are reflected as discontinued operations for all periods presented through the date of the spin-off. See Note 3,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further details regarding the spin-off.</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The accompanying consolidated financial statements and notes thereto should be read in conjunction with the Company's 2015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August 2016, the Financial Accounting Standards Board ("FASB") issued Accounting Standards Update ("ASU") 2016-15, "Statement of Cash Flows (Topic 230): Classification of Certain Cash Receipts and Cash Payments" ("ASU 2016-15"). ASU 2016-15 clarifies how certain cash receipts and cash payments are presented and classified in the statement of cash flows, with the objective of reducing existing diversity in practice. ASU 2016-15 is effective for fiscal years, and interim periods within those years, beginning after December 15, 2017 and is to be applied using a retrospective approach with early adoption permitted. The Company is in the process of assessing the impact of adoption of ASU 2016-15 on its consolidated financial statements.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("ASU 2016-09"). ASU 2016-09 simplifies several aspects of accounting for share-based payment award transactions, including income tax consequences, classification of awards as either equity or liabilities and classification on the statement of cash flows. ASU 2016-09 is effective for fiscal years, and interim periods within those years, beginning after December 15, 2016, with early adoption permitted. The Company is in the process of assessing the impact of adoption of ASU 2016-09 on its consolidated financial statements.</w:t>
      </w: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("ASU 2016-02"). ASU 2016-02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of ASU 2016-02 on its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ASU 2015-11 requires an entity to measure inventory at the lower of cost and net realizable value, thereby simplifying the current guidance under which an entity must measure inventory at the lower of cost or market. The ASU defines net realizable value as the estimated selling prices in the ordinary course of business, less reasonably predictable costs of completion, disposal and transportation. ASU 2015-11 is effective for fiscal years, and interim periods within those years, beginning after December 15, 2016 and is to be applied prospectively with early adoption permitted. The Company is in the process of assessing the impact of adoption of ASU 2015-11 on its consolidated financial statements.</w:t>
      </w:r>
    </w:p>
    <w:p>
      <w:pPr>
        <w:spacing w:after="0" w:line="2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("ASU 2014-09"). ASU 2014-09 requires that an entity recognize revenue to depict the transfer of promised goods or services to customers in an amount that reflects the consideration to which the company expects to be entitled in exchange for those goods or services. Since the issuance of the original standard, the FASB has issued several subsequent updates including the following: 1) the deferral of ASU 2014-09 by one year, making it effective for annual reporting periods beginning on or after December 15, 2017 while also providing for early adoption, but not before the original effective date (ASU 2015-14); 2) clarification of the implementation guidance on principal versus agent considerations (ASU 2016-08); 3) further guidance on identifying performance obligations in a contract as well as clarifications on the licensing implementation guidance (ASU 2016-10); 4) rescission of several SEC Staff Announcements that are codified in Topic 605, including, among other items, guidance related to accounting for shipping and handling fees and costs, freight services and consideration given by a vendor to a customer (ASU 2016-11); and 5) additional guidance and practical expedients in response to identified implementation issues (ASU 2016-12). The Company is in the process of assessing the impact of the adoption of these ASUs on its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30, 2015, the Company completed the spin-off of its Cequent businesses (comprised of the former Cequent Americas and Cequent Asia Pacific Europe Africa ("Cequent APEA") reportable segments), creating a new independent publicly traded company, Horizon, through the distribution of 100% of the Company's interest in Horizon to holders of the Company's common stock. On June 30, 2015, each of the Company's shareholders of record as of the close of business on the record date of June 25, 2015 received two shares of Horizon common stock for every five shares of TriMas common stock held. In addition, on June 30, 2015, immediately prior to the effective time of the spin-off, Horizon entered into a new debt financing arrangement and used the proceeds to make a cash distribution of approximately $214.5 million to the Company.</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the spin-off, there were no assets or liabilities remaining from the Cequent operations. The Cequent businesses are presented as discontinued operations in the Company's consolidated statement of income and cash flows for all periods presented.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Results of discontinued operations are summarized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4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center"/>
              <w:ind w:right="132"/>
              <w:spacing w:after="0"/>
              <w:rPr>
                <w:sz w:val="20"/>
                <w:szCs w:val="20"/>
                <w:color w:val="auto"/>
              </w:rPr>
            </w:pPr>
            <w:r>
              <w:rPr>
                <w:rFonts w:ascii="Arial" w:cs="Arial" w:eastAsia="Arial" w:hAnsi="Arial"/>
                <w:sz w:val="16"/>
                <w:szCs w:val="16"/>
                <w:b w:val="1"/>
                <w:bCs w:val="1"/>
                <w:color w:val="auto"/>
                <w:w w:val="90"/>
              </w:rPr>
              <w:t>Nine months ended</w:t>
            </w:r>
          </w:p>
        </w:tc>
      </w:tr>
      <w:tr>
        <w:trPr>
          <w:trHeight w:val="210"/>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September 30,</w:t>
            </w:r>
          </w:p>
        </w:tc>
      </w:tr>
      <w:tr>
        <w:trPr>
          <w:trHeight w:val="33"/>
        </w:trPr>
        <w:tc>
          <w:tcPr>
            <w:tcW w:w="5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132"/>
              <w:spacing w:after="0"/>
              <w:rPr>
                <w:sz w:val="20"/>
                <w:szCs w:val="20"/>
                <w:color w:val="auto"/>
              </w:rPr>
            </w:pPr>
            <w:r>
              <w:rPr>
                <w:rFonts w:ascii="Arial" w:cs="Arial" w:eastAsia="Arial" w:hAnsi="Arial"/>
                <w:sz w:val="16"/>
                <w:szCs w:val="16"/>
                <w:b w:val="1"/>
                <w:bCs w:val="1"/>
                <w:color w:val="auto"/>
                <w:w w:val="95"/>
              </w:rPr>
              <w:t>2015</w:t>
            </w:r>
          </w:p>
        </w:tc>
      </w:tr>
      <w:tr>
        <w:trPr>
          <w:trHeight w:val="33"/>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300,900</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(227,860)</w:t>
            </w: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73,040</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(72,360)</w:t>
            </w: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profit</w:t>
            </w: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w:t>
            </w: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w:t>
            </w: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37"/>
        </w:trPr>
        <w:tc>
          <w:tcPr>
            <w:tcW w:w="5860" w:type="dxa"/>
            <w:vAlign w:val="bottom"/>
          </w:tcPr>
          <w:p>
            <w:pPr>
              <w:ind w:left="140"/>
              <w:spacing w:after="0"/>
              <w:rPr>
                <w:sz w:val="20"/>
                <w:szCs w:val="20"/>
                <w:color w:val="auto"/>
              </w:rPr>
            </w:pPr>
            <w:r>
              <w:rPr>
                <w:rFonts w:ascii="Arial" w:cs="Arial" w:eastAsia="Arial" w:hAnsi="Arial"/>
                <w:sz w:val="18"/>
                <w:szCs w:val="18"/>
                <w:color w:val="auto"/>
              </w:rPr>
              <w:t>Other expense, net</w:t>
            </w: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(4,510)</w:t>
            </w: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September 30, 2016 are summarized as follows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Engineered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Energy</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Components</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206,630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378,920</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September 30, 2016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164,190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206,630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377,380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amortizes its other intangible assets over periods ranging from one to 30 years. The gross carrying amounts and accumulated amortization of the Company's other intangibles as of September 30, 2016 and December 31, 2015 are summarized below (dollars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680"/>
              <w:spacing w:after="0"/>
              <w:rPr>
                <w:sz w:val="20"/>
                <w:szCs w:val="20"/>
                <w:color w:val="auto"/>
              </w:rPr>
            </w:pPr>
            <w:r>
              <w:rPr>
                <w:rFonts w:ascii="Arial" w:cs="Arial" w:eastAsia="Arial" w:hAnsi="Arial"/>
                <w:sz w:val="16"/>
                <w:szCs w:val="16"/>
                <w:b w:val="1"/>
                <w:bCs w:val="1"/>
                <w:color w:val="auto"/>
              </w:rPr>
              <w:t>As of September 30, 2016</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As of December 31, 2015</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 5 – 12 years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74,730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(31,770)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74,890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(25,960)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 15 – 25 years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(38,060)</w:t>
            </w:r>
          </w:p>
        </w:tc>
      </w:tr>
      <w:tr>
        <w:trPr>
          <w:trHeight w:val="23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206,960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207,120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(64,020)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(22,770)</w:t>
            </w:r>
          </w:p>
        </w:tc>
      </w:tr>
      <w:tr>
        <w:trPr>
          <w:trHeight w:val="243"/>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4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(29,250)</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Trademark/Trade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81,630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389,670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389,910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(116,040)</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w w:val="93"/>
              </w:rPr>
              <w:t>Three months ended 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6"/>
          </w:tcPr>
          <w:p>
            <w:pPr>
              <w:jc w:val="center"/>
              <w:ind w:right="133"/>
              <w:spacing w:after="0"/>
              <w:rPr>
                <w:sz w:val="20"/>
                <w:szCs w:val="20"/>
                <w:color w:val="auto"/>
              </w:rPr>
            </w:pPr>
            <w:r>
              <w:rPr>
                <w:rFonts w:ascii="Arial" w:cs="Arial" w:eastAsia="Arial" w:hAnsi="Arial"/>
                <w:sz w:val="16"/>
                <w:szCs w:val="16"/>
                <w:b w:val="1"/>
                <w:bCs w:val="1"/>
                <w:color w:val="auto"/>
                <w:w w:val="89"/>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4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4,230</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11,100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5,140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15,330</w:t>
            </w: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Inventories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160" w:type="dxa"/>
            <w:vAlign w:val="bottom"/>
          </w:tcPr>
          <w:p>
            <w:pPr>
              <w:spacing w:after="0"/>
              <w:rPr>
                <w:sz w:val="20"/>
                <w:szCs w:val="20"/>
                <w:color w:val="auto"/>
              </w:rPr>
            </w:pPr>
            <w:r>
              <w:rPr>
                <w:rFonts w:ascii="Arial" w:cs="Arial" w:eastAsia="Arial" w:hAnsi="Arial"/>
                <w:sz w:val="18"/>
                <w:szCs w:val="18"/>
                <w:color w:val="auto"/>
                <w:w w:val="91"/>
              </w:rPr>
              <w:t>Inventories consist of the following components (dollars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5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101,480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28,820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23,620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44,640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42,270</w:t>
            </w:r>
          </w:p>
        </w:tc>
        <w:tc>
          <w:tcPr>
            <w:tcW w:w="0" w:type="dxa"/>
            <w:vAlign w:val="bottom"/>
          </w:tcPr>
          <w:p>
            <w:pPr>
              <w:spacing w:after="0"/>
              <w:rPr>
                <w:sz w:val="1"/>
                <w:szCs w:val="1"/>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171,260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167,370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2015</w:t>
            </w: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69,390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67,790</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286,580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274,650</w:t>
            </w:r>
          </w:p>
        </w:tc>
      </w:tr>
      <w:tr>
        <w:trPr>
          <w:trHeight w:val="237"/>
        </w:trPr>
        <w:tc>
          <w:tcPr>
            <w:tcW w:w="8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371,010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357,260</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176,130</w:t>
            </w: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182,000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181,130</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3100" w:type="dxa"/>
            <w:vAlign w:val="bottom"/>
            <w:gridSpan w:val="6"/>
          </w:tcPr>
          <w:p>
            <w:pPr>
              <w:ind w:left="28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5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5,120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15,590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selling, general and</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420" w:type="dxa"/>
            <w:vAlign w:val="bottom"/>
            <w:gridSpan w:val="5"/>
          </w:tcPr>
          <w:p>
            <w:pPr>
              <w:spacing w:after="0"/>
              <w:rPr>
                <w:sz w:val="20"/>
                <w:szCs w:val="20"/>
                <w:color w:val="auto"/>
              </w:rPr>
            </w:pPr>
            <w:r>
              <w:rPr>
                <w:rFonts w:ascii="Arial" w:cs="Arial" w:eastAsia="Arial" w:hAnsi="Arial"/>
                <w:sz w:val="18"/>
                <w:szCs w:val="18"/>
                <w:color w:val="auto"/>
              </w:rPr>
              <w:t>The Company's long-term debt consists of the following (dollars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358,480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371,820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Receivables facility and other</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48,990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53,860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402,420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419,630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388,580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405,780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party to a credit agreement (the "Credit Agreement"), consisting of a $500.0 million senior secured revolving credit facility, which permits borrowings denominated in specific foreign currencies ("Foreign Currency Loans"), subject to a $75.0 million sub limit, which matures on June 30, 2020 and is subject to interest at London Interbank Offered Rates ("LIBOR") plus 1.75%, and a $275.0 million senior secured term loan A facility ("Term Loan A Facility"), which matures on June 30, 2020 and is subject to interest at LIBOR plus 1.75%. The interest rate spread is based upon the leverage ratio, as defined, as of the most recent determination date.</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term loan and/or revolving credit facility commitments in an amount not to exceed the greater of $300.0 million and an amount such that, after giving effect to such incremental commitments and the incurrence of any other indebtedness substantially simultaneously with the making of such commitments, the senior secured net leverage ratio, as defined, is no greater than 2.50 to 1.00. The terms and conditions of any incremental term loan and/or revolving credit facility commitments must be no more favorable than the existing credit facility.</w:t>
      </w:r>
    </w:p>
    <w:p>
      <w:pPr>
        <w:sectPr>
          <w:pgSz w:w="11900" w:h="16838" w:orient="portrait"/>
          <w:cols w:equalWidth="0" w:num="1">
            <w:col w:w="11420"/>
          </w:cols>
          <w:pgMar w:left="240" w:top="125"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may be required to prepay a portion of its Term Loan A Facility in an amount equal to a percentage of the Company's excess cash flow, as defined, with such percentage based on the Company's leverage ratio, as defined. As of September 30, 2016, no amounts are due under this provision.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also able to issue letters of credit, not to exceed $40.0 million in aggregate, against its revolving credit facility commitments. At September 30, 2016 and December 31, 2015, the Company had letters of credit of approximately $16.3 million and $21.6 million, respectively, issued and outstanding.</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2016, the Company had approximately $97.2 million outstanding under its revolving credit facility and had approximately $386.5 million potentially available after giving effect to approximately $16.3 million of letters of credit issued and outstanding. At December 31, 2015, the Company had approximately $100.3 million outstanding under its revolving credit facility and had approximately $378.1 million potentially available after giving effect to approximately $21.6 million of letters of credit issued and outstanding. However, including availability under its accounts receivable facility and after consideration of leverage restrictions contained in the Credit Agreement, the Company had approximately $78.3 million and $107.4 million at September 30, 2016 and December 31, 2015, respectively, of borrowing capacity available for general corporate purposes.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approximately $3.4 million due each fiscal quarter from December 2015 through September 2018 and approximately $5.2 million due each fiscal quarter from December 2018 through March 2020, with final payment of approximately $202.8 million due on June 30, 2020.</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$75.0 million foreign currency sub limit of the $500.0 million senior secured revolving credit facility are secured by a pledge of the assets of the foreign subsidiary borrowers that are a party to the agreement. The Credit Agreement also contains various negative and affirmative covenants and other requirements affecting the Company and its subsidiaries, including restrictions on the incurrence of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At September 30, 2016, the Company was in compliance with its financial covenants contained in the Credit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2015, the Company amended its Credit Agreement, pursuant to which the Company was able to extend maturities and resize its credit facilities following the spin-off of the Cequent businesses. In connection with entering into the amended Credit Agreement, the Company incurred approximately $1.8 million in fees to complete the Credit Agreement, of which approximately $1.4 million was capitalized as deferred financing fees as of June 30, 2015 and $0.4 million was recorded as debt financing fees in the accompanying consolidated statement of income during the three months ended June 30, 2015. The Company also recorded non-cash debt extinguishment costs of $1.5 million related to the write-off of deferred financing fees associated with the previous term loan during the three months ended June 30, 2015.</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2016 and December 31, 2015, the Company's Term Loan A Facility traded at approximately 99.6% of par value and the Company's revolving credit facility traded at approximately 99.3% of par value. The valuations of the Credit Agreement were determined based on Level 2 inputs under the fair value hierarchy, as defined.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party to an accounts receivable facility through TSPC, Inc. ("TSPC"), a wholly-owned subsidiary, to sell trade accounts receivable of substantially all of the Company's domestic business operations. Under this facility, TSPC, from time to time, may sell an undivided fractional ownership interest in the pool of receivables up to $75.0 million to a third-party multi-seller receivables funding company. The net amount financed under the facility is less than the face amount of accounts receivable by an amount that approximates the purchaser's financing costs. The cost of funds under this facility consisted of a 1-month LIBOR-based rate plus a usage fee of 1.00% and a fee on the unused portion of the facility of 0.35% as of September 30, 2016 and 2015.</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approximately $48.8 million and $53.6 million outstanding under the facility as of September 30, 2016 and December 31, 2015, respectively, and approximately $8.6 million and $7.1 million available but not utilized as of September 30, 2016 and December 31, 2015, respectively. Aggregate costs incurred under the facility were approximately $0.2 million for the three months ended September 30, 2016 and 2015, and $0.7 million for the nine months ended September 30, 2016 and 2015, respectively, and are included in interest expense in the accompanying consolidated statement of income. The facility expires on June 30, 2020.</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funds fees incurred are determined by calculating the estimated present value of the receivables sold compared to their carrying amount. The estimated present value factor is based on historical collection experience and a discount rate based on a 1-month LIBOR-based rate plus the usage fee discussed above and is computed in accordance with the terms of the agreement. As of September 30, 2016, the cost of funds under the facility was based on an average liquidation period of the portfolio of approximately 1.7 months and an average discount rate of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utilizes interest rate swap agreements to fix the LIBOR-based variable portion of the interest rate on its long-term debt. Terms of the interest rate swap agreements require the Company to receive a variable interest rate and pay a fixed interest rate. As of September 30, 2016, the Company had interest rate swap agreements in place that hedge a declining notional value of debt ranging from approximately $248.2 million to approximately $192.7 million, amortizing consistent with future scheduled debt principal payments. The interest rate swap agreements establish fixed interest rates in a range of 0.74% to 2.68% with various expiration terms extending to June 30, 2020. At inception, the interest rate swaps were and continue to be designated as cash flow hedges.</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2016 and December 31, 2015, the fair value carrying amount of the Company's derivative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20" w:type="dxa"/>
            <w:vAlign w:val="bottom"/>
            <w:gridSpan w:val="2"/>
          </w:tcPr>
          <w:p>
            <w:pPr>
              <w:ind w:left="460"/>
              <w:spacing w:after="0"/>
              <w:rPr>
                <w:sz w:val="20"/>
                <w:szCs w:val="20"/>
                <w:color w:val="auto"/>
              </w:rPr>
            </w:pPr>
            <w:r>
              <w:rPr>
                <w:rFonts w:ascii="Arial" w:cs="Arial" w:eastAsia="Arial" w:hAnsi="Arial"/>
                <w:sz w:val="16"/>
                <w:szCs w:val="16"/>
                <w:b w:val="1"/>
                <w:bCs w:val="1"/>
                <w:color w:val="auto"/>
              </w:rPr>
              <w:t>Balance Sheet Caption</w:t>
            </w:r>
          </w:p>
        </w:tc>
        <w:tc>
          <w:tcPr>
            <w:tcW w:w="140" w:type="dxa"/>
            <w:vAlign w:val="bottom"/>
          </w:tcPr>
          <w:p>
            <w:pPr>
              <w:spacing w:after="0"/>
              <w:rPr>
                <w:sz w:val="18"/>
                <w:szCs w:val="18"/>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2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2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2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2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13</w:t>
            </w: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summarizes the loss recognized in accumulated other comprehensive income or loss ("AOCI") as of September 30, 2016 and December 31, 2015, and the amounts reclassified from AOCI into earnings for the three and nine months ended September 30, 2016 and 2015 (dollars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89"/>
              </w:rPr>
              <w:t>Amount of Loss Reclassified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vMerge w:val="restart"/>
          </w:tcPr>
          <w:p>
            <w:pPr>
              <w:jc w:val="center"/>
              <w:ind w:right="300"/>
              <w:spacing w:after="0"/>
              <w:rPr>
                <w:sz w:val="20"/>
                <w:szCs w:val="20"/>
                <w:color w:val="auto"/>
              </w:rPr>
            </w:pPr>
            <w:r>
              <w:rPr>
                <w:rFonts w:ascii="Arial" w:cs="Arial" w:eastAsia="Arial" w:hAnsi="Arial"/>
                <w:sz w:val="16"/>
                <w:szCs w:val="16"/>
                <w:b w:val="1"/>
                <w:bCs w:val="1"/>
                <w:color w:val="auto"/>
                <w:w w:val="89"/>
              </w:rPr>
              <w:t>Amount of Loss Recognized</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6"/>
              </w:rPr>
              <w:t>from AOCI into Earnings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gridSpan w:val="5"/>
            <w:vMerge w:val="continue"/>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6"/>
              </w:rPr>
              <w:t>in AOCI on Derivative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9"/>
              </w:rPr>
              <w:t>Three months ended</w:t>
            </w:r>
          </w:p>
        </w:tc>
        <w:tc>
          <w:tcPr>
            <w:tcW w:w="240" w:type="dxa"/>
            <w:vAlign w:val="bottom"/>
          </w:tcPr>
          <w:p>
            <w:pPr>
              <w:spacing w:after="0"/>
              <w:rPr>
                <w:sz w:val="18"/>
                <w:szCs w:val="18"/>
                <w:color w:val="auto"/>
              </w:rPr>
            </w:pPr>
          </w:p>
        </w:tc>
        <w:tc>
          <w:tcPr>
            <w:tcW w:w="192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(Effective Portion, net of tax)</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2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Location of Loss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Reclassified from AOCI</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of</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into Earnings (Effective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8"/>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2015</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Portion)</w:t>
            </w:r>
          </w:p>
        </w:tc>
        <w:tc>
          <w:tcPr>
            <w:tcW w:w="22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Derivatives designated as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hedging instruments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discontinued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 the next 12 months, the Company expects to reclassify approximately $1.0 million of pre-tax deferred losses from AOCI to interest expense as the related interest payments for the designated interest rate swaps are funded.</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derivatives are estimated using an income approach based on valuation techniques to convert future amounts to a single, discounted amount. Estimates of the fair value of the Company's interest rate swaps use observable inputs such as interest rate yield curves. Fair value measurements and the fair value hierarchy level for the Company's assets and liabilities measured at fair value on a recurring basis as of September 30, 2016 and December 31, 2015 are shown below (dollars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840" w:type="dxa"/>
            <w:vAlign w:val="bottom"/>
          </w:tcPr>
          <w:p>
            <w:pPr>
              <w:spacing w:after="0"/>
              <w:rPr>
                <w:sz w:val="18"/>
                <w:szCs w:val="18"/>
                <w:color w:val="auto"/>
              </w:rPr>
            </w:pPr>
          </w:p>
        </w:tc>
        <w:tc>
          <w:tcPr>
            <w:tcW w:w="2140" w:type="dxa"/>
            <w:vAlign w:val="bottom"/>
          </w:tcPr>
          <w:p>
            <w:pPr>
              <w:ind w:left="360"/>
              <w:spacing w:after="0"/>
              <w:rPr>
                <w:sz w:val="20"/>
                <w:szCs w:val="20"/>
                <w:color w:val="auto"/>
              </w:rPr>
            </w:pPr>
            <w:r>
              <w:rPr>
                <w:rFonts w:ascii="Arial" w:cs="Arial" w:eastAsia="Arial" w:hAnsi="Arial"/>
                <w:sz w:val="16"/>
                <w:szCs w:val="16"/>
                <w:b w:val="1"/>
                <w:bCs w:val="1"/>
                <w:color w:val="auto"/>
              </w:rPr>
              <w:t>Description</w:t>
            </w:r>
          </w:p>
        </w:tc>
        <w:tc>
          <w:tcPr>
            <w:tcW w:w="1520" w:type="dxa"/>
            <w:vAlign w:val="bottom"/>
          </w:tcPr>
          <w:p>
            <w:pPr>
              <w:ind w:left="660"/>
              <w:spacing w:after="0"/>
              <w:rPr>
                <w:sz w:val="20"/>
                <w:szCs w:val="20"/>
                <w:color w:val="auto"/>
              </w:rPr>
            </w:pPr>
            <w:r>
              <w:rPr>
                <w:rFonts w:ascii="Arial" w:cs="Arial" w:eastAsia="Arial" w:hAnsi="Arial"/>
                <w:sz w:val="16"/>
                <w:szCs w:val="16"/>
                <w:b w:val="1"/>
                <w:bCs w:val="1"/>
                <w:color w:val="auto"/>
              </w:rPr>
              <w:t>Frequency</w:t>
            </w:r>
          </w:p>
        </w:tc>
        <w:tc>
          <w:tcPr>
            <w:tcW w:w="1620" w:type="dxa"/>
            <w:vAlign w:val="bottom"/>
            <w:gridSpan w:val="3"/>
          </w:tcPr>
          <w:p>
            <w:pPr>
              <w:ind w:left="28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8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2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Recurring</w:t>
            </w:r>
          </w:p>
        </w:tc>
        <w:tc>
          <w:tcPr>
            <w:tcW w:w="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214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520" w:type="dxa"/>
            <w:vAlign w:val="bottom"/>
          </w:tcPr>
          <w:p>
            <w:pPr>
              <w:ind w:left="420"/>
              <w:spacing w:after="0"/>
              <w:rPr>
                <w:sz w:val="20"/>
                <w:szCs w:val="20"/>
                <w:color w:val="auto"/>
              </w:rPr>
            </w:pPr>
            <w:r>
              <w:rPr>
                <w:rFonts w:ascii="Arial" w:cs="Arial" w:eastAsia="Arial" w:hAnsi="Arial"/>
                <w:sz w:val="18"/>
                <w:szCs w:val="18"/>
                <w:color w:val="auto"/>
              </w:rPr>
              <w:t>Recurring</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621"/>
        </w:trPr>
        <w:tc>
          <w:tcPr>
            <w:tcW w:w="1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2016, the Company was a party to 800 pending cases involving an aggregate of 5,714 claimants alleging personal injury from exposure to asbestos containing materials formerly used in gaskets (both encapsulated and otherwise) manufactured or distributed by certain of the Company's subsidiaries for use primarily in the petrochemical refining and exploration industries. The following chart summarizes the number of claimants, number of claims filed, number of claims dismissed, number of claims settled, the average settlement amount per claim and the total defense costs, exclusive of amounts reimbursed under the Company's primary insurance, at the applicable date and for the applicable periods: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36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Claims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pending at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settled</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beginning of</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during</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37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period</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6"/>
                <w:szCs w:val="16"/>
                <w:b w:val="1"/>
                <w:bCs w:val="1"/>
                <w:color w:val="auto"/>
              </w:rPr>
              <w:t>period</w:t>
            </w:r>
          </w:p>
        </w:tc>
      </w:tr>
      <w:tr>
        <w:trPr>
          <w:trHeight w:val="33"/>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December 31, 2015</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3,160,000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Nine Months Ended September 30, 2016</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6,242</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23,969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2,187,040</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5,714 claims pending at September 30, 2016, 96 set forth specific amounts of damages (other than those stating the statutory minimum or maximum). At September 30, 2016, of the 96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38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asbestos-related cases, some of which were filed over 20 years ago, have been approximately $8.2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coverage available to the Company that might otherwise be disputed by the carriers and provides a methodology for the administration of such expenses. Nonetheless, the Company believes it is likely there will be a period within the next 6 to 18 months, prior to the commencement of coverage under this agreement and following exhaustion of the Company's primary insurance coverage, during which the Company will be solely responsible for defense costs and indemnity payments, the duration of which would be subject to the scope of damage awards and settlements paid.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other claims and litigation in the ordinary course of business which the Company does not believe are material. During the second quarter of 2015, the Company resolved a matter related to a claim made against the Company by a competitor alleging false advertising for approximately $2.8 million, inclusive of attorney fees and expenses.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believe claims and litigation will have a material adverse effect on its financial position and results of operations or cash flows.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TriMas groups its operating segments into reportable segments that provide similar products and services. Each operating segment has discrete financial information evaluated regularly by the Company's chief operating decision maker in determining resource allocation and assessing performance. Within these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Highly engineered closure and dispensing systems for a range of end markets, using steel and plastic within industrial and consumer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Permanent blind bolts, temporary fasteners, highly engineered specialty fasteners and other precision machined parts used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military aerospace industries.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Energy – </w:t>
      </w:r>
      <w:r>
        <w:rPr>
          <w:rFonts w:ascii="Arial" w:cs="Arial" w:eastAsia="Arial" w:hAnsi="Arial"/>
          <w:sz w:val="17"/>
          <w:szCs w:val="17"/>
          <w:color w:val="auto"/>
        </w:rPr>
        <w:t>Metallic and non-metallic industrial sealant products and fasteners for the petroleum refining, petrochemical and other industrial markets.</w:t>
      </w:r>
    </w:p>
    <w:p>
      <w:pPr>
        <w:spacing w:after="0" w:line="29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Engineered Components – </w:t>
      </w:r>
      <w:r>
        <w:rPr>
          <w:rFonts w:ascii="Arial" w:cs="Arial" w:eastAsia="Arial" w:hAnsi="Arial"/>
          <w:sz w:val="17"/>
          <w:szCs w:val="17"/>
          <w:color w:val="auto"/>
        </w:rPr>
        <w:t>High-pressure and low-pressure cylinders for the transportation, storage and dispensing of compressed gases, and natural gas</w:t>
      </w:r>
      <w:r>
        <w:rPr>
          <w:rFonts w:ascii="Arial" w:cs="Arial" w:eastAsia="Arial" w:hAnsi="Arial"/>
          <w:sz w:val="17"/>
          <w:szCs w:val="17"/>
          <w:b w:val="1"/>
          <w:bCs w:val="1"/>
          <w:color w:val="auto"/>
        </w:rPr>
        <w:t xml:space="preserve"> </w:t>
      </w:r>
      <w:r>
        <w:rPr>
          <w:rFonts w:ascii="Arial" w:cs="Arial" w:eastAsia="Arial" w:hAnsi="Arial"/>
          <w:sz w:val="17"/>
          <w:szCs w:val="17"/>
          <w:color w:val="auto"/>
        </w:rPr>
        <w:t>engines, compressors, gas production equipment and chemical pumps engineered for use at well sites for the oil and gas industry.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70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87,930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258,550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256,470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47,430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45,380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132,020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134,340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51,600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152,910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26,300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37,280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94,990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127,500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202,290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222,190</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608,490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671,220</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21,870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60,090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6,660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7,110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22,410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4,380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(24,890)</w:t>
            </w:r>
          </w:p>
        </w:tc>
        <w:tc>
          <w:tcPr>
            <w:tcW w:w="0" w:type="dxa"/>
            <w:vAlign w:val="bottom"/>
          </w:tcPr>
          <w:p>
            <w:pPr>
              <w:spacing w:after="0"/>
              <w:rPr>
                <w:sz w:val="1"/>
                <w:szCs w:val="1"/>
                <w:color w:val="auto"/>
              </w:rPr>
            </w:pPr>
          </w:p>
        </w:tc>
      </w:tr>
      <w:tr>
        <w:trPr>
          <w:trHeight w:val="257"/>
        </w:trPr>
        <w:tc>
          <w:tcPr>
            <w:tcW w:w="5040" w:type="dxa"/>
            <w:vAlign w:val="bottom"/>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17,790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21,560</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52,900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63,790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67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Awards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maintains the following long-term equity incentive plans: the TriMas Corporation Director Retainer Share Election Program, the 2011 TriMas Corporation Omnibus Incentive Compensation Plan, the TriMas Corporation 2006 Long Term Equity Incentive Plan and the TriMas Corporation 2002 Long Term Equity Incentive Plan (collectively, the "Plans"). The 2002 Long Term Equity Incentive Plan expired in 2012, such that, while existing grants will remain outstanding until exercised, vested or cancelled, no new shares may be issued under the plan. See below for details of awards under the Plans by type.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granted 150,000 stock option awards during the nine months ended September 30, 2016. The Company estimated the grant-date fair value of the awards using the Black-Scholes option pricing model using the following weighted-average assumptions: risk-free interest rate of 1.1%, expected volatility of 32.3% and an expected term of 6 years. Information related to stock options at September 30, 2016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Option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September 30, 2016</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211,079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1,123,709</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2016, there was approximately $1.0 million of unrecognized compensation cost related to stock options that is expected to be recorded over a weighted-average period of 2.8 years.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approximately $0.1 million of stock-based compensation related to stock options during the nine months ended September 30, 2016 and no stock-based compensation during the nine months ended September 30, 2015. The stock-based compensation expense is included in selling, general and administrative expenses in the accompanying consolidated statement of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shares during the nine months ended September 30, 2016:</w:t>
      </w:r>
    </w:p>
    <w:p>
      <w:pPr>
        <w:spacing w:after="0" w:line="279"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2,800 restricted shares of common stock to certain employees that are subject only to a service condition and vest on the first anniversary date of the award so long as the employee remains with the Company;</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235,251 restricted shares of common stock to certain employees which are subject only to a service condition and vest ratably over three years so long as the employee remains with the Company;</w:t>
      </w:r>
    </w:p>
    <w:p>
      <w:pPr>
        <w:spacing w:after="0" w:line="224" w:lineRule="exact"/>
        <w:rPr>
          <w:rFonts w:ascii="Arial" w:cs="Arial" w:eastAsia="Arial" w:hAnsi="Arial"/>
          <w:sz w:val="18"/>
          <w:szCs w:val="18"/>
          <w:color w:val="auto"/>
        </w:rPr>
      </w:pPr>
    </w:p>
    <w:p>
      <w:pPr>
        <w:jc w:val="both"/>
        <w:ind w:left="660" w:hanging="247"/>
        <w:spacing w:after="0" w:line="279"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granted 42,740 restricted shares of common stock to certain employees which are subject only to a service condition and vest on the first anniversary date of the award. The awards were made to participants in the Company's short-term incentive compensation plan ("STI"), where all STI participants whose target annual award exceeds $20 thousand receive 80% of the value in earned cash and 20% in the form of a restricted stock award upon finalization of the award amount in the first quarter each year following the previous plan year; and</w:t>
      </w:r>
    </w:p>
    <w:p>
      <w:pPr>
        <w:spacing w:after="0" w:line="225" w:lineRule="exact"/>
        <w:rPr>
          <w:rFonts w:ascii="Arial" w:cs="Arial" w:eastAsia="Arial" w:hAnsi="Arial"/>
          <w:sz w:val="17"/>
          <w:szCs w:val="17"/>
          <w:color w:val="auto"/>
        </w:rPr>
      </w:pPr>
    </w:p>
    <w:p>
      <w:pPr>
        <w:ind w:left="660" w:right="20" w:hanging="247"/>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granted 41,174 restricted shares of common stock to its non-employee independent directors, which vest one year from date of grant so long as the director and/or Company does not terminate their service prior to the vesting date.</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during the nine months ended September 30, 2016, the Company issued 12,525 shares related to director fee deferrals.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nine months ended September 30, 2016, the Company awarded 198,956 performance-based shares of common stock to certain Company key employees which vest three years from the grant date so long as the employee remains with the Company. The performance criteria for these awards is based on the Company's total shareholder return ("TSR") relative to the TSR of the common stock of a pre-defined industry peer-group, measured over a period beginning January 1, 2016 and ending December 31, 2018. TSR is calculated as the Company's average closing stock price for the 20-trading days at the end of the performance period plus Company dividends, divided by the Company's average closing stock price for the 20-trading days prior to the start of the performance period. Depending on the performance achieved, the amount of shares earned can vary from 0% of the target award to a maximum of 200% of the target award. The Company estimated the grant-date fair value and term of the awards subject to a market condition using a Monte Carlo simulation model, using the following weighted-average assumptions: risk-free interest rate of 0.96% and annualized volatility of 35.8%.</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2013, the Company awarded performance-based shares of common stock to certain Company key employees which were earned based upon the achievement of earnings per share compound annual growth rate and cash generation performance metrics over a period of three calendar years, beginning January 1, 2013 and ending on December 31, 2015. The Company attained 50% of the target on a weighted average basis, resulting in a reduction of 35,850 shares during the nine months ended September 30, 2016.</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at September 30, 2016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Restricted Shares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533,446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(342,919)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2016</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704,705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13,114,560</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2016, there was approximately $6.3 million of unrecognized compensation cost related to unvested restricted shares that is expected to be recorded over a weighted-average period of 1.9 years.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approximately $1.0 million and $1.7 million of stock-based compensation expense related to restricted shares during the three months ended September 30, 2016 and 2015, respectively, and approximately $5.1 million and $4.6 million for the nine months ended September 30, 2016 and 2015, respectively. The stock-based compensation expense is included in selling, general and administrative expenses in the accompanying consolidated statement of income.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restricted share awards. The following table summarizes the dilutive effect of restricted shares and options to purchase common stock for the three and nine months ended September 30, 2016 and 2015.</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800" w:type="dxa"/>
            <w:vAlign w:val="bottom"/>
            <w:gridSpan w:val="3"/>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1940" w:type="dxa"/>
            <w:vAlign w:val="bottom"/>
            <w:gridSpan w:val="3"/>
          </w:tcPr>
          <w:p>
            <w:pPr>
              <w:jc w:val="center"/>
              <w:ind w:left="854"/>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3"/>
          </w:tcPr>
          <w:p>
            <w:pPr>
              <w:jc w:val="right"/>
              <w:ind w:right="812"/>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45,435,936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45,157,412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45,381,592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45,102,067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Dilutive effect of restricted share awards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244,757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216,642</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248,942</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218,949</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79,762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125,050</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83,339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118,602</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45,760,455</w:t>
            </w: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45,499,104</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45,713,873</w:t>
            </w: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45,439,618</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Plans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periodic pension and postretirement benefit costs for the Company's defined benefit pension plans and postretirement benefit plans cover certain foreign employees, union hourly employees and salaried employees. The components of net periodic pension and postretirement benefit costs for the three and nine months ended September 30, 2016 and 2015 are as follows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5"/>
          </w:tcPr>
          <w:p>
            <w:pPr>
              <w:ind w:left="260"/>
              <w:spacing w:after="0"/>
              <w:rPr>
                <w:sz w:val="20"/>
                <w:szCs w:val="20"/>
                <w:color w:val="auto"/>
              </w:rPr>
            </w:pPr>
            <w:r>
              <w:rPr>
                <w:rFonts w:ascii="Arial" w:cs="Arial" w:eastAsia="Arial" w:hAnsi="Arial"/>
                <w:sz w:val="16"/>
                <w:szCs w:val="16"/>
                <w:b w:val="1"/>
                <w:bCs w:val="1"/>
                <w:color w:val="auto"/>
              </w:rPr>
              <w:t>Pension Plans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gridSpan w:val="7"/>
          </w:tcPr>
          <w:p>
            <w:pPr>
              <w:ind w:left="40"/>
              <w:spacing w:after="0"/>
              <w:rPr>
                <w:sz w:val="20"/>
                <w:szCs w:val="20"/>
                <w:color w:val="auto"/>
              </w:rPr>
            </w:pPr>
            <w:r>
              <w:rPr>
                <w:rFonts w:ascii="Arial" w:cs="Arial" w:eastAsia="Arial" w:hAnsi="Arial"/>
                <w:sz w:val="16"/>
                <w:szCs w:val="16"/>
                <w:b w:val="1"/>
                <w:bCs w:val="1"/>
                <w:color w:val="auto"/>
                <w:w w:val="91"/>
              </w:rPr>
              <w:t>Other Postretirement Benefits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8"/>
              </w:rPr>
              <w:t>Nine months ended</w:t>
            </w:r>
          </w:p>
        </w:tc>
        <w:tc>
          <w:tcPr>
            <w:tcW w:w="180" w:type="dxa"/>
            <w:vAlign w:val="bottom"/>
          </w:tcPr>
          <w:p>
            <w:pPr>
              <w:spacing w:after="0"/>
              <w:rPr>
                <w:sz w:val="18"/>
                <w:szCs w:val="18"/>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Three months ended</w:t>
            </w:r>
          </w:p>
        </w:tc>
        <w:tc>
          <w:tcPr>
            <w:tcW w:w="200" w:type="dxa"/>
            <w:vAlign w:val="bottom"/>
          </w:tcPr>
          <w:p>
            <w:pPr>
              <w:spacing w:after="0"/>
              <w:rPr>
                <w:sz w:val="18"/>
                <w:szCs w:val="18"/>
                <w:color w:val="auto"/>
              </w:rPr>
            </w:pPr>
          </w:p>
        </w:tc>
        <w:tc>
          <w:tcPr>
            <w:tcW w:w="172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w w:val="95"/>
              </w:rPr>
              <w:t>Nine months ended</w:t>
            </w: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172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1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2015</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2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Settlement/curtailment loss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net (gain)/loss</w:t>
            </w:r>
          </w:p>
        </w:tc>
        <w:tc>
          <w:tcPr>
            <w:tcW w:w="2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months ended June 30, 2015, the Company settled the defined benefit obligation for certain current and former Cequent employees through purchasing annuities with an insurance company. The Company recognized a one-time settlement charge of approximately $2.8 million, which is included in loss from discontinued operations in the accompanying consolidated statement of income.</w:t>
      </w:r>
    </w:p>
    <w:p>
      <w:pPr>
        <w:spacing w:after="0" w:line="2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contributed approximately $0.5 million and $1.6 million to its defined benefit pension plans during the three and nine months ended September 30, 2016, respectively. The Company expects to contribute approximately $2.0 million to its defined benefit pension plans for the full year 2016.</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nine months ended September 30, 2016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(12,240)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2016</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$2.4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4"/>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$0.2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$0.2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nine months ended September 30, 2015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(15,140)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(11,380)</w:t>
            </w:r>
          </w:p>
        </w:tc>
      </w:tr>
      <w:tr>
        <w:trPr>
          <w:trHeight w:val="27"/>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Distribution of the Cequent businesses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r>
      <w:tr>
        <w:trPr>
          <w:trHeight w:val="257"/>
        </w:trPr>
        <w:tc>
          <w:tcPr>
            <w:tcW w:w="5980" w:type="dxa"/>
            <w:vAlign w:val="bottom"/>
          </w:tcPr>
          <w:p>
            <w:pPr>
              <w:ind w:left="40"/>
              <w:spacing w:after="0"/>
              <w:rPr>
                <w:sz w:val="20"/>
                <w:szCs w:val="20"/>
                <w:color w:val="auto"/>
              </w:rPr>
            </w:pPr>
            <w:r>
              <w:rPr>
                <w:rFonts w:ascii="Arial" w:cs="Arial" w:eastAsia="Arial" w:hAnsi="Arial"/>
                <w:sz w:val="18"/>
                <w:szCs w:val="18"/>
                <w:color w:val="auto"/>
              </w:rPr>
              <w:t>Balance, September 30, 2015</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4,810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$2.6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5"/>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$1.7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$0.3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global manufacturer and distributor of products for commercial, industrial and consumer markets. We are principally engaged in four reportable segments: Packaging, Aerospace, Energy and Engineered Components.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2015, we completed the spin-off of our Cequent businesses, creating a new independent publicly-traded company, Horizon Global Corporation ("Horizon"). On June 30, 2015, our stockholders received two shares of Horizon common stock for every five shares of TriMas common stock that they held as of the close of business on June 25, 2015. The financial position, results of operations and cash flows of Horizon are included as discontinued operations for all periods presented through the date of the spin-off.</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Key Factors and Risks Affecting Our Reported Results. </w:t>
      </w:r>
      <w:r>
        <w:rPr>
          <w:rFonts w:ascii="Arial" w:cs="Arial" w:eastAsia="Arial" w:hAnsi="Arial"/>
          <w:sz w:val="18"/>
          <w:szCs w:val="18"/>
          <w:color w:val="auto"/>
        </w:rPr>
        <w:t>Our businesses and results of operations depend upon general economic conditions and we serve</w:t>
      </w:r>
      <w:r>
        <w:rPr>
          <w:rFonts w:ascii="Arial" w:cs="Arial" w:eastAsia="Arial" w:hAnsi="Arial"/>
          <w:sz w:val="18"/>
          <w:szCs w:val="18"/>
          <w:i w:val="1"/>
          <w:iCs w:val="1"/>
          <w:color w:val="auto"/>
        </w:rPr>
        <w:t xml:space="preserve"> </w:t>
      </w:r>
      <w:r>
        <w:rPr>
          <w:rFonts w:ascii="Arial" w:cs="Arial" w:eastAsia="Arial" w:hAnsi="Arial"/>
          <w:sz w:val="18"/>
          <w:szCs w:val="18"/>
          <w:color w:val="auto"/>
        </w:rPr>
        <w:t>some customers in cyclical industries that are highly competitive and are themselves significantly impacted by changes in economic conditions. There has been low overall economic growth, particularly in the United States, and global economic conditions appear to have been relatively stable over the past couple of years. The most significant external factor impacting us recently is the impact of lower oil prices, which began to decline in the fourth quarter of 2014, declined throughout 2015 and remained at low levels during the first nine months of 2016. This decline directly impacts our Arrow Engine business within our Engineered Components reportable segment (which serves the upstream oil and natural gas markets at the well site) and our Energy reportable segment, which primarily serves petrochemical and other refineries in the downstream oil and gas markets, as well as having a smaller portion of the business dedicated to upstream activity.</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Arrow Engine business' revenue declined more than 50% during 2015 as compared to 2014, and again in the first nine months of 2016 compared with first nine months of 2015, and is expected to remain at a low level until the price of oil increases over a sustained period where its customers decide to increase their activity levels and related well-site investments. The Arrow Engine business reacted aggressively in cutting costs and structuring its business in response to the lower demand levels, and was able to remain at an approximately break-even profit level in 2015, and near break-even the first nine months of 2016 despite these significant reductions in revenue.</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Energy business, the impact of the lower oil prices was muted in 2015 due to market share gains and adding product content to our product portfolio. We were able to essentially hold 2015 sales levels flat with 2014 until the fourth quarter, when capital spending was significantly reduced at many of our customers, and sales levels dropped more than 20% on a sequential basis. The sales level has remained at a lower level during the first nine months of 2016, as customers tightly manage spending initiatives.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impact of lower oil prices, there has been a shift over the past two to three years in our Energy reportable segment from historical demand and activity, both in the United States and internationally. Petrochemical plants and refinery customers deferred shutdown activity, and we experienced decreases in engineering and construction ("E&amp;C") customer activity. As noted above, we were able to hold sales levels essentially flat on a sequential quarterly basis in 2014 and until fourth quarter of 2015 with market share gains and additional product content; however, our margins declined significantly due to the mix of product sales and inefficiencies that resulted from the shift in activity levels. The current lower oil prices have continued to place further pressure on the top-line and predictability of customer order patterns. Given these factors, we have been restructuring the business and its fixed cost structure to better align with the current business environment. We closed as well as consolidated certain facilities during 2014 and 2015, and opened a new lower-cost facility in Mexico, which began production in the fourth quarter of 2015. We have begun, and expect to continue, to realize the cost savings and operational efficiencies associated with leveraging the new lower fixed cost structure and other initiatives.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the impact of lower oil prices, the other significant external factor impacting our recent results is supply chain disruption within our Aerospace reportable segment. Beginning in the second quarter of 2015, our two largest Aerospace distribution customers began reducing their investment in on-hand inventory levels of fastener products, which we believe was partially in response to the decision of airframe original equipment ("OE") customers to source more product directly from the manufacturer. This trend has continued through the third quarter of 2016. While this has impacted our net sales, it has also had a significant impact on margin levels, as certain of these products historically command higher profit margins. In addition to the reduction in distribution customer sales, we also have experienced production and scheduling challenges in one of our Aerospace fastener facilities that has contributed to significantly lower margins in the first nine months of 2016 versus prior quarters and years. We established plans to address these matters and have been executing against those plans, as evidenced by our improved margins on a sequential quarterly basis during the second and third quarters of 2016. We will continue to monitor our operating results related to these matters and to determine if a trend develops that is other than temporary, in which case we may need to assess the potential for impairment of this reporting unit's long-lived assets, including goodwill and indefinite-lived intangible assets.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third quarter of 2015, given the uncertain economic environment and the impact on net sales and profitability of lower oil prices, a stronger U.S. dollar and slowing industrial production, we announced a Financial Improvement Plan ("FIP") to improve our profitability, cash flow conversion and operational efficiency. As part of the FIP, we targeted cost actions to yield $15 million of annual savings, accelerating an additional $5 million of savings initiatives in the Energy business, with the remaining $10 million of savings expected to be spread relatively evenly across the remainder of the Company. In February 2016, we added $7 million of cost savings actions, increasing the expected annual run-rate cost savings to $22 million. By implementing the FIP, we believe we have lowered the cost structure of our engine-related business, allowing it to achieve break-even operating profit despite the more than 50% decline in sales as a result of the impact of lower oil prices. The FIP consisted of headcount reductions, manufacturing and administrative cost reduction and facility closures or consolidations. We believe the FIP was necessary to help mitigate the external factors pressuring our revenue, and position the Company for improved profitability and operating leverage across a lower fixed cost structure in the future. The FIP is substantially complete, and the resulting savings is significantly helping to mitigate the impact of the reduction in year-over-year sales levels.</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third quarter of 2016, given continued year-over-year net sales reductions, we accelerated additional facility consolidation actions in each of our reportable segments to more efficiently utilize our existing locations while better serving our customers. While each of the consolidation actions is not individually significant to the results of operations, they were enacted as part of our continuous improvement initiatives to optimize our manufacturing footprint and adapt to changing markets while remaining responsive to our customers. We continue to evaluate further actions as merited based on business performance, considering additional cost reductions or facility closures should sales and profitability levels continue below historical levels.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 If we are unable to do any of the foregoing successfully, our financial condition and results of operations could be materially and adversely impacted.</w:t>
      </w: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businesses do not experience significant seasonal fluctuation, other than our fourth quarter has tended to be the lowest net sales quarter of the year given holiday shutdowns in certain customers or other customers deferring capital spending to the new year. We do not consider sales order backlog to be a material factor in our business. A growing portion of our sales is derived from international sources, which exposes us to certain risks, including currency risks.</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sensitive to price movements in our raw materials supply base. Our largest material purchases are for steel, aluminum, polyethylene and other resins and utility-related inputs. Historically, we have experienced volatility in costs of steel and resin and have worked with our suppliers to manage costs and disruptions in supply. We also utilize pricing programs to pass increased steel, aluminum and resin costs to customers. Although we may experience delays in our ability to implement price increases, we have been generally able to recover such increased costs. We may experience disruptions in supply in the future and may not be able to pass along higher costs associated with such disruptions to our customers in the form of price increases.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businesses are sensitive to oil price movements. As noted earlier, our Arrow Engine business is most directly impacted by significant volatility in oil prices. Arrow's pumpjack and other engine sales and related parts, which comprise a significant portion of the business, are impacted by oil drilling levels, rig counts and commodity pricing. In addition, a portion of our Energy reportable segment serves upstream customers at oil well sites that have been impacted by changes in oil prices. The majority of this segment provides parts for refineries and chemical plants, which may or may not decide to incur capital expenditures or changeover production stock, both of which require retooling with our gaskets and bolts, in times of fluctuating oil prices. Our Packaging reportable segment may be impacted by oil prices, as it is a significant driver of resin pricing, although we generally are able to maintain profit levels when oil prices change due to escalator/de-escalator clauses in contracts with many of our customers.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September 30, 2016 and 2015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a Percentage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of Net Sales</w:t>
            </w: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148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90,330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44.7 %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87,930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45,380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38,230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51,600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37,280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202,290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222,190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32,180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35.6 %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31,980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7,990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58,050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62,470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12,090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13.4 %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9,540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11,550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10,270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8,240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40,260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40,910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21,870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3,180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4,380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17,790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21,560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5,240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10,870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10,810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nine months ended September 30, 2016 and 2015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420"/>
              <w:spacing w:after="0"/>
              <w:rPr>
                <w:sz w:val="20"/>
                <w:szCs w:val="20"/>
                <w:color w:val="auto"/>
              </w:rPr>
            </w:pPr>
            <w:r>
              <w:rPr>
                <w:rFonts w:ascii="Arial" w:cs="Arial" w:eastAsia="Arial" w:hAnsi="Arial"/>
                <w:sz w:val="16"/>
                <w:szCs w:val="16"/>
                <w:b w:val="1"/>
                <w:bCs w:val="1"/>
                <w:color w:val="auto"/>
              </w:rPr>
              <w:t>Nine months ended September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a Percentage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of Net Sales</w:t>
            </w: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148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258,550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42.5 %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256,470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134,340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122,930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20.2 %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152,910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94,990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127,500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608,490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671,220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92,300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35.7 %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91,640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32,730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46,070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26,470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21.5 %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23,510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25,890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171,050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187,110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32,960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31,550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23,660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35,040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28.5 %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33,900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24,160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24,890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118,150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123,320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60,090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22,410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12,620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16,570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(24,160)</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52,900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63,790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15,590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3,380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33,040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32,220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The principal factors impacting us during the three months ended September 30, 2016, compared with the three months ended September 30, 2015, were:</w:t>
      </w:r>
    </w:p>
    <w:p>
      <w:pPr>
        <w:spacing w:after="0" w:line="316"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lower oil prices, primarily impacting sales and profit levels in our Engineered Components and Energy reportable segments;</w:t>
      </w:r>
    </w:p>
    <w:p>
      <w:pPr>
        <w:spacing w:after="0" w:line="302" w:lineRule="exact"/>
        <w:rPr>
          <w:rFonts w:ascii="Arial" w:cs="Arial" w:eastAsia="Arial" w:hAnsi="Arial"/>
          <w:sz w:val="16"/>
          <w:szCs w:val="16"/>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incurred and savings achieved from our FIP and other cost savings actions, spread across all of our reportable segments, with the largest amounts within our Energy reportable segment;</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production and scheduling costs and inefficiencies, as well as the impact of lower distribution customer sales, all within our Aerospace reportable segment;</w:t>
      </w:r>
    </w:p>
    <w:p>
      <w:pPr>
        <w:spacing w:after="0" w:line="224"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our November 2015 acquisition of the Tolleson, Arizona machined components facility from Parker-Hannifin within our Aerospace reportable segment; and</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stronger U.S. dollar, primarily in our Packaging and Energy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Compared with Three Months Ended September 30, 2015</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net sales decreased approximately $19.9 million, or 9.0%, to $202.3 million for the three months ended September 30, 2016, as compared with $222.2 million in the three months ended September 30, 2015. This year-over-year decrease was primarily driven by our Energy and Engineered Components reportable segments, for which combined sales decreased by approximately $24.2 million (excluding the effects of foreign currency exchange), primarily as a result of lower oil prices and weakness in the energy-facing and industrial end markets. Our sales also decreased by approximately $2.5 million due to net unfavorable currency exchange, primarily in our Packaging reportable segment, as our reported results in U.S. dollars were negatively impacted as a result of the stronger U.S. dollar relative to foreign currencies. Excluding the effects of foreign currency exchange, sales within our Packaging reportable segment increased by approximately $4.7 million. Sales within our Aerospace reportable segment increased approximately $2.0 million, as the approximate $3.1 million increase resulting from the machined components facility acquisition in November 2015 was partially offset by lower sales to our distribution customers.</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margin (gross profit as a percentage of sales) approximated 28.7% and 28.1% for the three months ended September 30, 2016 and 2015, respectively. Gross profit margin increased primarily due to lower restructuring-related costs as compared to the prior year, primarily within our Energy reportable segment, and overall costs savings as a result of execution of our FIP and other cost savings actions. The impact of these savings more than offset the margin impact of lower net sales levels and related lower fixed cost absorption. In addition, gross profit decreased approximately $1.2 million as a result of the year-over-year impact of our reduction of an estimated acquisition liability in our Packaging segment in the third quarter of 2015, which did not recur in the current year. Gross profit also decreased over the prior year by approximately $1.0 million as a result of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profit margin (operating profit as a percentage of sales) approximated 8.8% and 9.7% for the three months ended September 30, 2016 and 2015, respectively. Operating profit decreased approximately $3.8 million, or 17.5%, to $17.8 million for the three months ended September 30, 2016, from $21.6 million for the three months ended September 30, 2015. Operating profit decreased primarily due to lower sales levels in our Energy and Engineered Components reportable segments and costs related to the change in our President and Chief Executive Officer. These declines were mostly offset by savings as a result of our FIP, other cost savings initiatives and continued productivity initiatives.</w:t>
      </w: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expense increased approximately $0.1 million, to $3.5 million for the three months ended September 30, 2016, as compared to $3.4 million for the three months ended September 30, 2015. Our weighted-average variable rate borrowings decreased to approximately $446.3 million in the three months ended September 30, 2016, from approximately $519.5 million in the three months ended September 30, 2015. The effective weighted-average interest rate on our outstanding variable rate borrowings, including our credit agreement ("Credit Agreement") and accounts receivable facilities, increased to approximately 2.1% for three months ended September 30, 2016, from approximately 1.8% for the three months ended September 30, 2015.</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net decreased approximately $0.5 million, to $0.2 million for the three months ended September 30, 2016, from $0.7 million for the three months ended September 30, 2015, primarily due to reductions of certain indemnification assets related to uncertain tax liabilities in 2015 that did not recur in 2016, partially offset by a decrease in gains on transactions denominated in foreign currencies.</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rates for the three months ended September 30, 2016 and 2015 were 37.8% and 32.7%, respectively. The increase in the rate was primarily a result of losses at certain foreign subsidiaries where no tax benefit could be recorded in the third quarter of 2016, and the year-over-year impact of recognizing certain tax benefits resulting from the reduction of certain tax positions due to a lapse of statutory limitations in the third quarter of 2015, partially offset by earnings in foreign jurisdictions where the effective tax rate was less than 35%.</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from continuing operations decreased by approximately $2.9 million, to $8.8 million for the three months ended September 30, 2016, compared to $11.7 million for the three months ended September 30, 2015. The decrease was primarily the result of a $3.8 million decrease in operating profit, partially offset by a $0.5 million decrease in other expense, net and a $0.4 million decrease in income tax expense.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$2.4 million, or 2.7%, to $90.3 million in the three months ended September 30, 2016, as compared to $87.9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September 30, 2015. Sales increased in our health, beauty and home care end markets by approximately $3.9 million, primarily due to growth in all regions. Sales of our industrial closures increased by approximately $0.7 million due to higher demand in North America. These increases were partially offset by approximately $2.3 million of unfavorable currency exchange, as our reported results in U.S. dollars were negatively impacted as a result of the stronger U.S. dollar relative to foreign currencies.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gross profit increased approximately $0.2 million to $32.2 million, or 35.6% of sales, in the three months ended September 30, 2016, as compared to $32.0 million, or 36.4% of sales, in the three months ended September 30, 2015. Gross profit increased approximately $1.7 million due to higher sales levels, excluding the impact of unfavorable foreign exchange, and by approximately $0.7 million due to a combination of improved overhead cost absorption and a more favorable product sales mix. These increases were partially offset by the year-over-year impact of our reduction of an estimated acquisition liability in the third quarter of 2015 by approximately $1.2 million, which did not recur in 2016, and approximately $1.0 million due to unfavorable currency exchange, as our reported results in U.S. dollars were negatively impacted as a result of the stronger U.S. dollar relative to foreign currencies.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Packaging's selling, general and administrative expenses increased approximately $2.0 million to $12.1 million, or 13.4% of sales, in the three months ended September 30, 2016, as compared to $10.1 million, or 11.5% of sales, in the three months ended September 30, 2015. The increase was primarily due to approximately $1.1 million of severance and other costs related to the closure of our existing Mexico manufacturing facility and establishment and move to the new manufacturing facility in Mexico, which is planned to begin production during the fourth quarter of 2016. In addition, there was an approximate $1.1 million reduction in the Arminak &amp; Associates (“Arminak”) contingent liability in the three months ended September 30, 2015. These increases, along with approximately $0.6 million higher professional fee expenses year-over-year, were partially offset by a decrease in selling, general and administrative expenses of approximately $0.6 million due to the impact of foreign currency, and lower employee related costs as a result of execution of the FIP.</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operating profit decreased approximately $1.8 million to $20.1 million, or 22.2% of sales, in the three months ended September 30, 2016, as compared to $21.9 million, or 24.9% of sales, in the three months ended September 30, 2015. Although sales levels increased, operating profit and related margin declined as a result of the reduction in previously estimated acquisition-related liabilities, which did not recur in the current year, costs related to the closure of our current facility in Mexico and move to a new facility and an increase in professional fees. In addition, operating profit decreased approximately $0.4 million due to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Aerospace. </w:t>
      </w:r>
      <w:r>
        <w:rPr>
          <w:rFonts w:ascii="Arial" w:cs="Arial" w:eastAsia="Arial" w:hAnsi="Arial"/>
          <w:sz w:val="16"/>
          <w:szCs w:val="16"/>
          <w:color w:val="auto"/>
        </w:rPr>
        <w:t>Net sales for the three months ended September 30, 2016 increased approximately $2.0 million, or 4.5%, to $47.4 million, as compared to $45.4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three months ended September 30, 2015. Sales increased approximately $3.1 million as a result of the machined components facility acquisition from Parker Hannifin in November 2015. Sales to OE customers increased approximately $0.7 million, while sales to distribution customers declined by approximately $1.8 million, primarily as a result of large customers continuing planned reductions of their investment in on-hand inventory levels of certain fastener products. Although Aerospace continued to improve its scheduling and throughput levels during the third quarter of 2016 on a sequential basis as compared with the first and second quarters of 2016, order demand from OE customers would have supported higher sales levels in the third quarter of 2016.</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Aerospace decreased approximately $2.1 million to $13.1 million, or 27.6% of sales, in the three months ended September 30, 2016, from $15.2 million, or 33.5% of sales, in the three months ended September 30, 2015. Gross profit decreased by approximately $0.9 million due to manufacturing inefficiencies and related lower fixed cost absorption, approximately $0.8 million as a result of a less favorable product sales mix and approximately $0.4 million due to lower organic sales levels.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decreased approximately $1.7 million to $6.4 million, or 13.5% of sales, in the three months ended September 30, 2016, as compared to $8.1 million, or 17.9% of sales, in the three months ended September 30, 2015, primarily due to charges related to operational and leadership changes incurred in the three months ended September 30, 2015 that did not repeat in 2016 as well as cost savings associated with the FIP.</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profit within Aerospace decreased approximately $0.4 million to $6.7 million, or 14.0% of sales, in the three months ended September 30, 2016, as compared to $7.1 million, or 15.7% of sales, in the three months ended September 30, 2015. The decline in operating profit and operating profit margin was attributable to manufacturing inefficiencies, lower fixed cost absorption, lower organic sales levels and less favorable product sales mix, which were partially offset by cost savings achieved as part of the FIP and lower selling, general and administrative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Net sales for the three months ended September 30, 2016 decreased approximately $13.4 million, or 25.9%, to $38.2 million, as compared to $51.6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September 30, 2015. Sales decreased by approximately $11.8 million in the United States, primarily due to lower downstream demand from petrochemical refinery and distribution customers, as well as lower E&amp;C activity. Net sales also declined by approximately $1.4 million in our international branches, due both to weaker upstream and downstream demand. Additionally, sales decreased by approximately $0.2 million due to net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within Energy decreased approximately $0.3 million to $7.7 million, or 20.1% of sales, in the three months ended September 30, 2016, as compared to $8.0 million, or 15.5% of sales, in the three months ended September 30, 2015. Gross profit decreased by approximately $2.1 million as a result of lower sales levels. The decrease in gross profit related to sales levels was partially offset by approximately $1.5 million lower restructuring-related costs as compared to the prior year, and lower labor and fixed costs as a result of the cost savings actions as part of the FIP.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within Energy decreased approximately $2.0 million to $9.5 million, or 25.0% of sales, in the three months ended September 30, 2016, as compared to $11.6 million, or 22.4% of sales, in the three months ended September 30, 2015, primarily as a result of cost savings as a result of the FIP. In addition, Energy incurred approximately $0.7 million lower restructuring-related costs in the three months ended September 30, 2016 as compared to the three months ended September 30, 2015.</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operating loss within Energy decreased approximately $1.7 million to an approximate $1.9 million loss, or 4.9% of sales, in the three months ended September 30, 2016, as compared to a loss of $3.6 million, or 6.9% of sales, in the three months ended September 30, 2015. The operating loss decreased as a result of lower costs in connection with the execution of the restructuring and related FIP and lower restructuring-related costs during the third quarter of 2016.</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Engineered Components. </w:t>
      </w:r>
      <w:r>
        <w:rPr>
          <w:rFonts w:ascii="Arial" w:cs="Arial" w:eastAsia="Arial" w:hAnsi="Arial"/>
          <w:sz w:val="16"/>
          <w:szCs w:val="16"/>
          <w:color w:val="auto"/>
        </w:rPr>
        <w:t>Net sales for the three months ended September 30, 2016 decreased approximately $11.0 million, or 29.5%, to $26.3 million,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$37.3 million in the three months ended September 30, 2015. Sales of our industrial cylinders decreased by approximately $6.1 million, primarily due to lower demand for large high pressure gas cylinders in industrial applications. Sales of our engines and compression-related products declined approximately $4.9 million as a result of reduced levels of oil and gas drilling and well completions in the U.S. and Canada in response to lower oil prices.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Engineered Components decreased approximately $2.2 million to $5.1 million, or 19.5% of sales, in the three months ended September 30, 2016, from $7.3 million, or 19.5% of sales, in the three months ended September 30, 2015, primarily as a result of the lower sales levels. Gross profit margin remained consistent with the prior year level, as savings resulting from the FIP and additional cost reductions during third quarter 2016 to align our cost structure with current end market demand business, lower input costs and additional productivity initiatives offset the impact of lower absorption of fixed costs.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decreased approximately $1.0 million to $1.9 million, or 7.4% of sales, in the three months ended September 30, 2016, as compared to $2.9 million, or 7.8% of sales, in the three months ended September 30, 2015. The decrease in selling, general and administrative expenses was largely the result of cost savings initiatives to better align our cost structure with current demand levels.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Engineered Components decreased approximately $1.2 million to $3.2 million, or 12.1% of sales, in the three months ended September 30, 2016, as compared to $4.4 million, or 11.7% of sales, in the three months ended September 30, 2015. Operating profit declined primarily due to lower sales levels; however, operating profit margin increased due to execution of our FIP and other cost savings actions, which allowed the engine business to remain near break-even levels despite the reduction in net sales.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73"/>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costs and related benefits</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Corporate expenses increased approximately $2.1 million to $10.3 million for the three months ended September 30, 2016, from $8.2 million for the three months ended September 30, 2015. Corporate operating expenses increased approximately $2.9 million, primarily due to approximately $3.5 million of costs related to the July 2016 change in our President and Chief Executive Officer. These costs were partially offset by approximately $0.3 million of FIP related costs that were incurred in 2015 that did not repeat in 2016, and a decrease in third party professional fees of approximately $0.2 million. Employee costs and related benefits decreased approximately $0.8 million, primarily due to a decrease in expenses related to the timing and estimated attainment of our long-term incentive compensation, as well as lower employee levels following the FIP.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Compared with Nine Months Ended September 30, 2015</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Overall, net sales decreased approximately $62.7 million, or approximately 9.3%, to $608.5 million for the nine months ended September 30, 2016, as compared with $671.2 million in the nine months ended September 30, 2015. This year-over-year decrease was primarily driven by our Energy and Engineered Components reportable segments, for which combined sales decreased by approximately $61.6 million (excluding the effects of foreign currency exchange), primarily as a result of lower oil prices and weakness in the energy-facing end markets. In addition, sales within our Aerospace reportable segment declined approximately $2.3 million, as a decline in OE and distribution customer sales more than offset increased sales of approximately $9.2 million related to the November 2015 machined components facility acquisition. Foreign currency exchange resulted in an approximate $5.7 million reduction in sales due to net unfavorable currency exchange, primarily in our Packaging reportable segment, as our reported results in U.S. dollars were negatively impacted as a result of the stronger U.S. dollar relative to foreign currencies. These declines were partially offset by approximately $6.9 million in increased sales within our Packaging reportable segment, excluding the impact of currency exchange, primarily due to sales growth in our European and Asian markets of our health, beauty and home care end markets products and strength of the North American market in sales of our industrial end market products.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Gross profit margin (gross profit as a percentage of sales) approximated 28.1% and 27.9% for the nine months ended September 30, 2016 and 2015, respectively. Gross profit margin improved primarily due to lower restructuring-related costs as compared to the prior year, primarily within our Energy reportable segment, and overall cost savings as a result of execution of our FIP and other cost savings actions. We incurred approximately $4.0 million lower material costs and direct labor in the nine months ended September 30, 2016 compared to the prior year as a result of the year-over-year impact of the 2015 U.S. West Coast port delays, which caused us to temporarily produce certain products in higher cost facilities to meet demand levels. The impact of these savings more than offset the margin impact of lower net sales levels and related lower fixed cost absorption, as well as the impact of manufacturing inefficiencies incurred in our Aerospace segment. In addition, gross profit decreased approximately $1.2 million as a result of the year-over-year impact of our reduction of an estimated acquisition liability in our Packaging segment in the third quarter of 2015, which did not recur in the current year. Gross profit also decreased over the prior year by approximately $2.0 million as a result of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profit margin (operating profit as a percentage of sales) approximated 8.7% and 9.5% for the nine months ended September 30, 2016 and 2015, respectively. Operating profit decreased approximately $10.9 million, or 17.1%, to $52.9 million for the nine months ended September 30, 2016, compared to $63.8 million for the nine months ended September 30, 2015. Operating profit decreased primarily due to lower sales year-over-year and due to manufacturing inefficiencies, lower fixed cost absorption and costs incurred to improve throughput and better support customer demand levels in our Aerospace segment, and the impact of lower sales and related fixed cost absorption in our Engineered Components segment. These impacts were partially offset by cost savings associated with the execution of our FIP and other cost savings actions and lower material and labor spending in our Energy reportable segment.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decreased approximately $0.4 million, to $10.2 million, for the nine months ended September 30, 2016, as compared to $10.6 million for the nine months ended September 30, 2015. The decrease in interest expense was primarily due to a decrease in our weighted-average variable rate borrowings to approximately $461.6 million in the nine months ended September 30, 2016, from approximately $676.8 million in the nine months ended September 30, 2015, primarily due to the distribution from Horizon to the Company in connection with the Cequent spin-off in June 2015, which the Company used to reduce outstanding borrowings. The effective weighted average interest rate on our outstanding variable rate borrowings, including our Credit Agreement and accounts receivable facilities, increased to approximately 2.1% for the nine months ended September 30, 2016, from approximately 1.8% for the nine months ended September 30, 2015. In addition, a portion of our 2015 interest expense was allocated to the Cequent businesses as part of the spin-off and was reclassified as discontinued operations.</w:t>
      </w:r>
    </w:p>
    <w:p>
      <w:pPr>
        <w:spacing w:after="0" w:line="2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incurred debt financing and extinguishment costs of approximately $2.0 million during the nine months ended September 30, 2015 related to the amendment of our Credit Agreement in conjunction with the spin-off of the Cequent businesses. For more information on the amendment of our Credit Agreement, see Note 7, "</w:t>
      </w:r>
      <w:r>
        <w:rPr>
          <w:rFonts w:ascii="Arial" w:cs="Arial" w:eastAsia="Arial" w:hAnsi="Arial"/>
          <w:sz w:val="17"/>
          <w:szCs w:val="17"/>
          <w:i w:val="1"/>
          <w:iCs w:val="1"/>
          <w:color w:val="auto"/>
        </w:rPr>
        <w:t>Long-term Debt</w:t>
      </w:r>
      <w:r>
        <w:rPr>
          <w:rFonts w:ascii="Arial" w:cs="Arial" w:eastAsia="Arial" w:hAnsi="Arial"/>
          <w:sz w:val="17"/>
          <w:szCs w:val="17"/>
          <w:color w:val="auto"/>
        </w:rPr>
        <w:t>," to our consolidated financial statements included in Part I, Item 1 of this quarterly report on Form 10-Q.</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net decreased approximately $2.2 million, to $0.1 million for the nine months ended September 30, 2016, from $2.3 million for the nine months ended September 30, 2015, primarily due to the year-over-year impact of realized foreign currency gains and losses and reductions of certain indemnification assets related to uncertain tax liabilities in 2015 that did not recur in 2016.</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rates for the nine months ended September 30, 2016 and 2015 were 35.2% and 34.2%, respectively. The increase in the rate was primarily a result of losses at certain foreign subsidiaries where no tax benefit could be recorded, and the year-over-year impact of recognizing certain tax benefits resulting from the reduction of certain tax positions due to a lapse of statutory limitations in the nine months ended September 30, 2015, partially offset by earnings in foreign jurisdictions where the effective tax rate was less than 35%.</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from continuing operations decreased by approximately $4.5 million, to $27.6 million for the nine months ended September 30, 2016, compared to $32.1 million for the nine months ended September 30, 2015. The decrease was primarily the result of a $10.9 million decrease in operating profit, partially offset by a $2.2 million decrease in other expense, net, a $2.0 million decrease in debt extinguishment costs, a $1.8 million decrease in income tax expense and a $0.4 million decrease in interest expense.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increased approximately $2.1 million, or 0.8%, to $258.6 million in the nine months ended September 30, 2016,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$256.5 million in the nine months ended September 30, 2015. Sales of our health, beauty and home care products increased approximately $4.3 million due to growth in our European and Asian markets, and sales of our industrial products increased approximately $2.4 million primarily due to increased demand in the North American market. Food and beverage products also increased approximately $0.2 million due to increased demand in the United States. These increases were partially offset by approximately $4.8 million of unfavorable currency exchange, as our reported results in U.S. dollars were negatively impacted as a result of the stronger U.S. dollar relative to foreign currencies.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gross profit increased approximately $0.7 million to $92.3 million, or 35.7% of sales, in the nine months ended September 30, 2016, as compared to $91.6 million, or 35.7% of sales, in the nine months ended September 30, 2015. Gross profit increased approximately $2.5 million due to higher sales levels, excluding the impact of unfavorable foreign exchange, as well as an increase of approximately $1.5 million due to a combination of improved overhead cost absorption and a more favorable product sales mix. These increases were partially offset by the year-over-year impact of the reduction of an estimated acquisition liability in the third quarter of 2015 by approximately $1.2 million, which did not recur in the current year, and approximately $2.1 million of unfavorable currency exchange, as our reported results in U.S. dollars were negatively impacted as a result of the stronger U.S. dollar relative to foreign currencies.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Packaging's selling, general and administrative expenses increased approximately $1.4 million to $33.0 million, or 12.7% of sales, in the nine months ended September 30, 2016, as compared to $31.6 million, or 12.3% of sales, in the nine months ended September 30, 2015. The increase was primarily due to approximately $1.1 million of severance and other costs related to the closure of our existing Mexico manufacturing facility and establishment and move to the new manufacturing facility in Mexico, which is planned to begin production during the fourth quarter of 2016, and an approximate $1.1 million reduction in the Arminak contingent liability in the nine months ended September 30, 2015. In addition, professional fees increased approximately $1.2 million as a result of our front end reorganization to operate on a global versus regional basis, combined with other growth and product initiatives. These increases were partially offset by a decrease in selling, general and administrative expenses of approximately $1.1 million due the impact of foreign currency, with the remaining decrease primarily related to lower employee related costs as a result of execution of the FIP.</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Packaging's operating profit decreased approximately $0.8 million to $59.3 million, or 23.0% of sales, in the nine months ended September 30, 2016, as compared to $60.1 million, or 23.4% of sales, in the nine months ended September 30, 2015. Although sales levels increased, operating profit and related margin declined primarily due to the reduction in the Arminak contingent liability in 2015, which did not reoccur in the current year, costs related to the closure and move from our existing facility in Mexico to a new facility and higher professional fees. In addition, operating profit decreased approximately $0.9 million due to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nine months ended September 30, 2016 decreased approximately $2.3 million, or 1.7%, to $132.0 million,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$134.3 million in the nine months ended September 30, 2015. Sales to distribution customers declined by approximately $9.0 million, primarily as a result of certain large customers continuing planned reductions of their investment in on-hand inventory levels of certain fastener products. Sales to OE customers decreased approximately $2.5 million, and while demand continued at expected levels, we experienced scheduling and production constraints which impacted our ability to meet current demand. These decreases were partially offset by approximately $9.2 million of sales related to the November 2015 machined components facility acquisition.</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Aerospace decreased approximately $13.4 million to $32.7 million, or 24.8% of sales, in the nine months ended September 30, 2016, from $46.1 million, or 34.3% of sales, in the nine months ended September 30, 2015. Of this decrease in gross profit, approximately $5.5 million is a result of manufacturing inefficiencies and lower fixed cost absorption, primarily due to additional costs incurred to improve manufacturing throughput and better support customer demand levels. Gross profit also decreased by approximately $4.1 million due to the lower organic sales levels, by approximately $2.3 million due to a less favorable product sales mix and approximately $1.4 million related to integration and new product qualification costs for the acquired machined components facility.</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approximately $4.6 million to $19.1 million, or 14.4% of sales, in the nine months ended September 30, 2016, as compared to $23.7 million, or 17.6% of sales, in the nine months ended September 30, 2015, primarily due to cost savings associated with the FIP, as well as charges related to operational and leadership changes incurred in the nine months ended September 30, 2015 that did not repeat in 2016.</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within Aerospace decreased approximately $8.7 million to $13.7 million, or 10.4% of sales, in the nine months ended September 30, 2016, as compared to $22.4 million, or 16.7% of sales, in the nine months ended September 30, 2015. The decline in operating profit and operating profit margin is primarily attributable to manufacturing inefficiencies and lower fixed cost absorption, a less favorable product sales mix and integration and new product qualification costs, which were partially offset by cost savings associated with the FIP and lower selling, general and administrative expenses as a result of charges in 2015 related to operational and leadership changes.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Net sales for the nine months ended September 30, 2016 decreased approximately $30.0 million, or 19.6%, to $122.9 million,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$152.9 million in the nine months ended September 30, 2015. Sales decreased by approximately $22.5 million in the United States and by approximately $5.1 million in our international branches, due to weaker upstream and downstream demand, primarily from the major oil and petrochemical refinery customers. Sales further declined by approximately $1.4 million due to lower sales resulting from branch closures in Brazil, China and the Netherlands, and approximately $0.9 million of net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within Energy increased approximately $3.0 million to $26.5 million, or 21.5% of sales, in the nine months ended September 30, 2016, as compared to $23.5 million, or 15.4% of sales, in the nine months ended September 30, 2015. While sales declined year-over-year, resulting in approximately $4.8 million lower gross profit, gross profit increased in total primarily due to approximately $4.0 million lower material costs as a result of costs incurred in 2015 as part of the U.S. West Coast port delays, which caused us to temporarily produce certain products in higher cost facilities to meet demand levels. Additionally, gross profit increased by approximately $2.1 million as a result of lower restructuring-related costs as compared to the prior year. The remainder of the increase in gross profit is primarily due to lower labor and fixed costs as a result of the cost savings actions as part of the FIP.</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within Energy increased approximately $1.1 million to $35.0 million, or 28.5% of sales, in the nine months ended September 30, 2016, as compared to $33.9 million, or 22.2% of sales, in the nine months ended September 30, 2015, primarily due to approximately $5.5 million of higher professional fees and other costs associated with our restructuring efforts. In addition, we incurred approximately $1.0 million related to potentially uncollectable accounts receivable. These increases were partially offset by approximately $2.8 million of expenses incurred during the second quarter of 2015 to resolve a previous legal claim, which did not repeat in 2016, as well as lower ongoing costs as a result of the FIP and other cost cutting measures.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operating loss within Energy decreased approximately $1.8 million to a $8.6 million loss, or 7.0% of sales, in the nine months ended September 30, 2016, as compared to a $10.4 million loss, or 6.8% of sales, in the nine months ended September 30, 2015, as the improvements in year-over-year operating performance as a result of the restructuring and FIP savings, as well as the impact of the 2015 legal claim and 2015 U.S. West Coast port delays, were mostly offset by the impact of the decrease in net sales.</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Engineered Components. </w:t>
      </w:r>
      <w:r>
        <w:rPr>
          <w:rFonts w:ascii="Arial" w:cs="Arial" w:eastAsia="Arial" w:hAnsi="Arial"/>
          <w:sz w:val="16"/>
          <w:szCs w:val="16"/>
          <w:color w:val="auto"/>
        </w:rPr>
        <w:t>Net sales for the nine months ended September 30, 2016 decreased approximately $32.5 million, or 25.5%, to $95.0 million,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$127.5 million in the nine months ended September 30, 2015. Sales of our engines and compression-related products declined approximately $18.2 million as a result of reduced levels of oil and gas drilling and well completions in the U.S. and Canada in response to lower oil prices. Sales of our industrial cylinders decreased by approximately $14.3 million, primarily due to lower demand for large high pressure gas cylinders in industrial applications.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within Engineered Components decreased approximately $6.3 million to $19.6 million, or 20.6% of sales, in the nine months ended September 30, 2016, from $25.9 million, or 20.3% of sales, in the nine months ended September 30, 2015, primarily as a result of the decreased sales levels. Gross profit margin from sales of our industrial cylinders increased as a result of lower input costs and ongoing productivity initiatives, which more than offset the impact of lower sales levels and lower fixed cost absorption. This was partially offset by decreased gross profit margin from sales of our engine and compression-related products as a result of lower fixed cost absorption despite cost reductions to better align our cost structure with current demand levels.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expenses decreased approximately $2.4 million to $6.9 million, or 7.3% of sales, in the nine months ended September 30, 2016, as compared to $9.3 million, or 7.3% of sales, in the nine months ended September 30, 2015. The decrease in selling, general and administrative expenses was primarily a result of our FIP and other cost savings initiatives for engine and compression-related products, as we reduced costs given the low oil-related activity to better align our cost structure with current demand levels. In addition, selling, general and administrative expenses were lowered for industrial cylinder products as a result of lower demand for gas cylinders in industrial applications.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Engineered Components decreased approximately $4.0 million to $12.6 million, or 13.3% of sales, in the nine months ended September 30, 2016, as compared to operating profit of $16.6 million, or 13.0% of sales, in the nine months ended September 30, 2015. Operating profit declined primarily due to lower sales levels; however, operating profit margin increased due to execution of our FIP and other cost savings actions, which allowed the engine business to remain near break-even levels despite the reduction in net sales.</w:t>
      </w:r>
    </w:p>
    <w:p>
      <w:pPr>
        <w:spacing w:after="0" w:line="24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84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4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93"/>
              <w:spacing w:after="0"/>
              <w:rPr>
                <w:sz w:val="20"/>
                <w:szCs w:val="20"/>
                <w:color w:val="auto"/>
              </w:rPr>
            </w:pPr>
            <w:r>
              <w:rPr>
                <w:rFonts w:ascii="Arial" w:cs="Arial" w:eastAsia="Arial" w:hAnsi="Arial"/>
                <w:sz w:val="16"/>
                <w:szCs w:val="16"/>
                <w:b w:val="1"/>
                <w:bCs w:val="1"/>
                <w:color w:val="auto"/>
              </w:rPr>
              <w:t>2015</w:t>
            </w:r>
          </w:p>
        </w:tc>
        <w:tc>
          <w:tcPr>
            <w:tcW w:w="4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Corporate operating expenses</w:t>
            </w:r>
          </w:p>
        </w:tc>
        <w:tc>
          <w:tcPr>
            <w:tcW w:w="1060" w:type="dxa"/>
            <w:vAlign w:val="bottom"/>
          </w:tcPr>
          <w:p>
            <w:pPr>
              <w:jc w:val="right"/>
              <w:ind w:right="87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140" w:type="dxa"/>
            <w:vAlign w:val="bottom"/>
          </w:tcPr>
          <w:p>
            <w:pPr>
              <w:jc w:val="right"/>
              <w:ind w:right="95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8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costs and related benefits</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15.8</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06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95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24.9</w:t>
            </w:r>
          </w:p>
        </w:tc>
      </w:tr>
      <w:tr>
        <w:trPr>
          <w:trHeight w:val="27"/>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Corporate expenses decreased approximately $0.7 million to $24.2 million for the nine months ended September 30, 2016, from $24.9 million for the nine months ended September 30, 2015. Corporate operating expenses increased approximately $1.3 million, primarily due to approximately $3.5 million of costs related to the July 2016 change in our President and Chief Executive Officer, which were partially offset by a decrease in third-party professional fees and other corporate costs of approximately $1.5 million, a favorable property tax assessment settlement in 2016 of approximately $0.4 million for a former business unit and approximately $0.3 million of FIP related costs that were incurred in 2015 that did not repeat in 2016. Employee costs and related benefits decreased approximately $2.0 million, primarily due to lower headcount following the Cequent spin-off as well as lower employee levels following the FIP, which were partially offset by an increase in expense related to the timing and estimated attainment of our long-term incentive compensation.</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The results of discontinued operations consist of our former Cequent businesses, which were spun-off on June 30, 2015.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nine months ended September 30, 2015, loss from discontinued operations, net of income tax expense, was approximately $4.7 million. See Note 3, "</w:t>
      </w:r>
      <w:r>
        <w:rPr>
          <w:rFonts w:ascii="Arial" w:cs="Arial" w:eastAsia="Arial" w:hAnsi="Arial"/>
          <w:sz w:val="17"/>
          <w:szCs w:val="17"/>
          <w:i w:val="1"/>
          <w:iCs w:val="1"/>
          <w:color w:val="auto"/>
        </w:rPr>
        <w:t>Discontinued Operations,</w:t>
      </w:r>
      <w:r>
        <w:rPr>
          <w:rFonts w:ascii="Arial" w:cs="Arial" w:eastAsia="Arial" w:hAnsi="Arial"/>
          <w:sz w:val="17"/>
          <w:szCs w:val="17"/>
          <w:color w:val="auto"/>
        </w:rPr>
        <w:t>" to our consolidated financial statements included in Part I, Item 1 of this quarterly report on Form 10-Q.</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provided by operating activities of continuing operations were approximately $46.4 million for the nine months ended September 30, 2016, as compared to $28.7 million for the nine months ended September 30, 2015. Significant changes in cash flows used for and provided by operating activities of continuing operations and the reasons for such changes are as follows:</w:t>
      </w:r>
    </w:p>
    <w:p>
      <w:pPr>
        <w:spacing w:after="0" w:line="235" w:lineRule="exact"/>
        <w:rPr>
          <w:sz w:val="20"/>
          <w:szCs w:val="20"/>
          <w:color w:val="auto"/>
        </w:rPr>
      </w:pPr>
    </w:p>
    <w:p>
      <w:pPr>
        <w:jc w:val="both"/>
        <w:ind w:left="980" w:hanging="324"/>
        <w:spacing w:after="0" w:line="27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nine months ended September 30, 2016, the Company generated approximately $67.1 million of cash, based on the reported net income of approximately $27.6 million and after considering the effects of non-cash items related to losses on dispositions of property and equipment, depreciation, amortization, changes in deferred income taxes, stock-based compensation and related tax effect and other, net. For the nine months ended September 30, 2015, the Company generated approximately $68.1 million in cash flows based on the reported income from continuing operations of approximately $32.1 million and after considering the effects of similar non-cash items.</w:t>
      </w:r>
    </w:p>
    <w:p>
      <w:pPr>
        <w:spacing w:after="0" w:line="22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Increases in accounts receivable resulted in a use of cash of approximately $9.8 million and $15.8 million for the nine months ended September 30, 2016 and 2015, respectively. The increased use of cash for each of the nine month periods is due primarily to the timing of sales and collection of cash within the periods. Days sales outstanding of receivables remained flat period-over-period.</w:t>
      </w:r>
    </w:p>
    <w:p>
      <w:pPr>
        <w:spacing w:after="0" w:line="219"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inventory resulted in a use of cash of approximately $4.6 million and $7.0 million for the nine months ended September 30, 2016 and 2015, respectively. For the nine months ended September 30, 2016, the increase in our gross inventory levels is primarily as a result of lower than expected sales, as we operated at higher production levels earlier in the year in anticipation of higher customer demand. For the nine months ended September 30, 2015, the increase was primarily due to higher material sourcing costs and increased purchases related to U.S. West Coast port delays, mainly in our Energy reportable segment.</w:t>
      </w:r>
    </w:p>
    <w:p>
      <w:pPr>
        <w:spacing w:after="0" w:line="242"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cash source of approximately $10.8 million for the nine months ended September 30, 2016, primarily as a result of the timing of certain domestic tax payments. Increases in prepaid expenses and other assets resulted in a cash use of approximately $1.0 million for the nine months ended September 30, 2015, primarily as a result of the timing of payments made for certain operating prepaid expenses.</w:t>
      </w:r>
    </w:p>
    <w:p>
      <w:pPr>
        <w:spacing w:after="0" w:line="24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cash use of approximately $17.2 million and $15.5 million for the nine months ended September 30, 2016 and 2015, respectively. The change in cash used for accounts payable and accrued liabilities is primarily a result of the timing of payments made to suppliers and mix of vendors and related terms. Our days accounts payable on hand remained flat period-over-period.</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of continuing operations for the nine months ended September 30, 2016 and 2015 was approximately $22.3 million and $18.7 million, respectively. During the first nine months of 2016, we incurred approximately $22.4 million in capital expenditures, as we have continued our investment in growth, capacity and productivity-related capital projects. Cash received from the disposition of property and equipment was approximately $0.1 million. During the first nine months of 2015, we incurred approximately $20.4 million in capital expenditures and received cash from the disposition of property and equipment of approximately $1.7 million.</w:t>
      </w:r>
    </w:p>
    <w:p>
      <w:pPr>
        <w:spacing w:after="0" w:line="2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for financing activities of continuing operations for the nine months ended September 30, 2016 was approximately $21.0 million, as compared to $203.9 million for the nine months ended September 30, 2015. During the first nine months of 2016, we made net repayments of $9.9 million on our receivables and revolving credit facilities, and repaid approximately $10.4 million on our term loan. We also used a net cash amount of approximately $0.7 million related to our stock compensation arrangements. During the first nine months of 2015, in conjunction with the spin-off of our former Cequent businesses, Horizon made a cash distribution to us of $214.5 million. We used the distribution received from Horizon to amend and pay down our term loan facilities. During the first nine months of 2015, we had net additional repayments of approximately $10.9 million on our receivables and revolving credit facilities, and net additional repayments of approximately $166.4 million on our term loan facilities. We transferred cash of approximately $17.1 million during the period to Horizon, in connection with the spin-off. We also made deferred purchase price payments related to our previous acquisitions of approximately $5.8 million, we used approximately $1.9 million related to debt financing fees and used a net cash amount of approximately $1.9 million related to our stock compensation arrangements.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party to a Credit Agreement, consisting of a $500.0 million senior secured revolving credit facility, which permits borrowings denominated in specific foreign currencies ("Foreign Currency Loans"), subject to a $75.0 million sub limit, and a $275.0 million senior secured term loan A facility ("Term Loan A Facility"). The Credit Agreement matures on June 30, 2020 and is subject to interest at London Interbank Offered Rates ("LIBOR") plus 1.75%. The interest rate spread is based upon the leverage ratio, as defined, as of the most recent determination 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2016, approximately $261.2 million was outstanding on the Term Loan A Facility and approximately $97.2 million was outstanding on the revolving credit facility. The Credit Agreement allows issuance of letters of credit, not to exceed $40.0 million in aggregate, against revolving credit facility commitments, of which approximately $16.3 million was outstanding at September 30, 2016.</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Credit Agreement also provides for incremental term loan facility and/or revolving credit commitments, not to exceed the greater of $300.0 million and an amount such that, after giving effect to the making of such commitments and the incurrence of any other indebtedness substantially simultaneously with the making of such commitments, the senior secured net leverage ratio, as defined in the Credit Agreement, is no greater than 2.50 to 1.00. The terms and conditions of any incremental term loan and/or revolving credit facility commitments must be no more favorable than the existing credit facility.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required to prepay a portion of our Term Loan A Facility in an amount equal to a percentage of our excess cash flow, as defined, which such percentage will be based on our leverage ratio, as defined. As of September 30, 2016, no amounts are due under this provision.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restrictions on incurrence of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Our permitted leverage ratio under the Credit Agreement is 3.50 to 1.00 as of September 30, 2016. If we were to complete an acquisition which qualifies for a Covenant Holiday Period, as defined in our Credit Agreement, then our permitted leverage ratio cannot exceed 4.00 to 1.00 during that period. Our actual leverage ratio was 2.94 to 1.00 at September 30, 2016. Our permitted interest expense coverage ratio under the Credit Agreement is 3.00 to 1.00 as of September 30, 2016. Our actual interest expense coverage ratio was 11.65 to 1.00 at September 30, 2016. At September 30, 2016, we were in compliance with our financial covenants.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September 30, 2016 (dollars in thousands). We present Consolidated Bank EBITDA to show our performance under our financial covenants.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86"/>
              </w:rPr>
              <w:t>Less: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Add: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92"/>
              </w:rPr>
              <w:t>Twelve Months</w:t>
            </w:r>
          </w:p>
        </w:tc>
      </w:tr>
      <w:tr>
        <w:trPr>
          <w:trHeight w:val="203"/>
        </w:trPr>
        <w:tc>
          <w:tcPr>
            <w:tcW w:w="11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Year Ended</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Ended September 30,</w:t>
            </w: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2015</w:t>
            </w:r>
          </w:p>
        </w:tc>
        <w:tc>
          <w:tcPr>
            <w:tcW w:w="120" w:type="dxa"/>
            <w:vAlign w:val="bottom"/>
          </w:tcPr>
          <w:p>
            <w:pPr>
              <w:spacing w:after="0"/>
              <w:rPr>
                <w:sz w:val="18"/>
                <w:szCs w:val="18"/>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September 30, 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September 30, 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150"/>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11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27,400</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27,560</w:t>
            </w:r>
          </w:p>
        </w:tc>
        <w:tc>
          <w:tcPr>
            <w:tcW w:w="3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(33,240)</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13,680</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16,740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4,780</w:t>
            </w: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44,370</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Extraordinary non-cash charges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75,680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75,680</w:t>
            </w: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4,590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6,990</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Other non-cash expenses or losses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17,830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8,730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11,710</w:t>
            </w: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Non-recurring expenses or costs relating to cost saving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482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projects</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11,540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14,860</w:t>
            </w:r>
          </w:p>
        </w:tc>
      </w:tr>
      <w:tr>
        <w:trPr>
          <w:trHeight w:val="270"/>
        </w:trPr>
        <w:tc>
          <w:tcPr>
            <w:tcW w:w="482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1,240</w:t>
            </w:r>
          </w:p>
        </w:tc>
      </w:tr>
      <w:tr>
        <w:trPr>
          <w:trHeight w:val="270"/>
        </w:trPr>
        <w:tc>
          <w:tcPr>
            <w:tcW w:w="48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Debt financing and extinguishment costs</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1,970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820" w:type="dxa"/>
            <w:vAlign w:val="bottom"/>
            <w:tcBorders>
              <w:bottom w:val="single" w:sz="8" w:color="CCEEFF"/>
            </w:tcBorders>
            <w:gridSpan w:val="2"/>
          </w:tcPr>
          <w:p>
            <w:pPr>
              <w:ind w:left="280"/>
              <w:spacing w:after="0" w:line="270" w:lineRule="exact"/>
              <w:rPr>
                <w:sz w:val="20"/>
                <w:szCs w:val="20"/>
                <w:color w:val="auto"/>
              </w:rPr>
            </w:pPr>
            <w:r>
              <w:rPr>
                <w:rFonts w:ascii="Arial" w:cs="Arial" w:eastAsia="Arial" w:hAnsi="Arial"/>
                <w:sz w:val="18"/>
                <w:szCs w:val="18"/>
                <w:color w:val="auto"/>
              </w:rPr>
              <w:t>Permitted dispositions</w:t>
            </w:r>
            <w:r>
              <w:rPr>
                <w:rFonts w:ascii="Arial" w:cs="Arial" w:eastAsia="Arial" w:hAnsi="Arial"/>
                <w:sz w:val="25"/>
                <w:szCs w:val="25"/>
                <w:color w:val="auto"/>
                <w:vertAlign w:val="superscript"/>
              </w:rPr>
              <w:t>(5)</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4,740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4,740</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154,180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120,330</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106,220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140,070</w:t>
            </w: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32"/>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right"/>
              <w:ind w:right="194"/>
              <w:spacing w:after="0"/>
              <w:rPr>
                <w:sz w:val="20"/>
                <w:szCs w:val="20"/>
                <w:color w:val="auto"/>
              </w:rPr>
            </w:pPr>
            <w:r>
              <w:rPr>
                <w:rFonts w:ascii="Arial" w:cs="Arial" w:eastAsia="Arial" w:hAnsi="Arial"/>
                <w:sz w:val="16"/>
                <w:szCs w:val="16"/>
                <w:b w:val="1"/>
                <w:bCs w:val="1"/>
                <w:color w:val="auto"/>
              </w:rPr>
              <w:t>September 30, 2016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
        </w:trPr>
        <w:tc>
          <w:tcPr>
            <w:tcW w:w="11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1140" w:type="dxa"/>
            <w:vAlign w:val="bottom"/>
          </w:tcPr>
          <w:p>
            <w:pPr>
              <w:spacing w:after="0"/>
              <w:rPr>
                <w:sz w:val="22"/>
                <w:szCs w:val="22"/>
                <w:color w:val="auto"/>
              </w:rPr>
            </w:pPr>
          </w:p>
        </w:tc>
        <w:tc>
          <w:tcPr>
            <w:tcW w:w="36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w w:val="96"/>
              </w:rPr>
              <w:t>Total Consolidated Indebtedness, as defined</w:t>
            </w:r>
            <w:r>
              <w:rPr>
                <w:rFonts w:ascii="Arial" w:cs="Arial" w:eastAsia="Arial" w:hAnsi="Arial"/>
                <w:sz w:val="25"/>
                <w:szCs w:val="25"/>
                <w:color w:val="auto"/>
                <w:w w:val="96"/>
                <w:vertAlign w:val="superscript"/>
              </w:rPr>
              <w:t>(6)</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411,920</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140,070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64"/>
        </w:trPr>
        <w:tc>
          <w:tcPr>
            <w:tcW w:w="1140" w:type="dxa"/>
            <w:vAlign w:val="bottom"/>
          </w:tcPr>
          <w:p>
            <w:pPr>
              <w:spacing w:after="0"/>
              <w:rPr>
                <w:sz w:val="22"/>
                <w:szCs w:val="22"/>
                <w:color w:val="auto"/>
              </w:rPr>
            </w:pPr>
          </w:p>
        </w:tc>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leverage ratio</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48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2.94</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112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3.50</w:t>
            </w:r>
          </w:p>
        </w:tc>
        <w:tc>
          <w:tcPr>
            <w:tcW w:w="60" w:type="dxa"/>
            <w:vAlign w:val="bottom"/>
            <w:tcBorders>
              <w:top w:val="single" w:sz="8" w:color="auto"/>
              <w:bottom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x</w:t>
            </w: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86"/>
              </w:rPr>
              <w:t>Less: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Add: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9"/>
        </w:trPr>
        <w:tc>
          <w:tcPr>
            <w:tcW w:w="11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130"/>
              <w:spacing w:after="0"/>
              <w:rPr>
                <w:sz w:val="20"/>
                <w:szCs w:val="20"/>
                <w:color w:val="auto"/>
              </w:rPr>
            </w:pPr>
            <w:r>
              <w:rPr>
                <w:rFonts w:ascii="Arial" w:cs="Arial" w:eastAsia="Arial" w:hAnsi="Arial"/>
                <w:sz w:val="16"/>
                <w:szCs w:val="16"/>
                <w:b w:val="1"/>
                <w:bCs w:val="1"/>
                <w:color w:val="auto"/>
                <w:w w:val="92"/>
              </w:rPr>
              <w:t>Twelve Months</w:t>
            </w:r>
          </w:p>
        </w:tc>
      </w:tr>
      <w:tr>
        <w:trPr>
          <w:trHeight w:val="203"/>
        </w:trPr>
        <w:tc>
          <w:tcPr>
            <w:tcW w:w="11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Year Ended</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Ended September 30,</w:t>
            </w: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2015</w:t>
            </w:r>
          </w:p>
        </w:tc>
        <w:tc>
          <w:tcPr>
            <w:tcW w:w="120" w:type="dxa"/>
            <w:vAlign w:val="bottom"/>
          </w:tcPr>
          <w:p>
            <w:pPr>
              <w:spacing w:after="0"/>
              <w:rPr>
                <w:sz w:val="18"/>
                <w:szCs w:val="18"/>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September 30, 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September 30, 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150"/>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48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10,610</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10,230</w:t>
            </w:r>
          </w:p>
        </w:tc>
        <w:tc>
          <w:tcPr>
            <w:tcW w:w="3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13,680</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9"/>
        </w:trPr>
        <w:tc>
          <w:tcPr>
            <w:tcW w:w="4820" w:type="dxa"/>
            <w:vAlign w:val="bottom"/>
            <w:gridSpan w:val="2"/>
          </w:tcPr>
          <w:p>
            <w:pPr>
              <w:ind w:left="280"/>
              <w:spacing w:after="0"/>
              <w:rPr>
                <w:sz w:val="20"/>
                <w:szCs w:val="20"/>
                <w:color w:val="auto"/>
              </w:rPr>
            </w:pPr>
            <w:r>
              <w:rPr>
                <w:rFonts w:ascii="Arial" w:cs="Arial" w:eastAsia="Arial" w:hAnsi="Arial"/>
                <w:sz w:val="18"/>
                <w:szCs w:val="18"/>
                <w:color w:val="auto"/>
                <w:w w:val="97"/>
              </w:rPr>
              <w:t>Non-cash amounts attributable to amortization of financing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(1,330)</w:t>
            </w:r>
          </w:p>
        </w:tc>
      </w:tr>
      <w:tr>
        <w:trPr>
          <w:trHeight w:val="27"/>
        </w:trPr>
        <w:tc>
          <w:tcPr>
            <w:tcW w:w="4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 forma adjustment for acquisitions and dispositions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9,130</w:t>
            </w:r>
          </w:p>
        </w:tc>
        <w:tc>
          <w:tcPr>
            <w:tcW w:w="10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12,020</w:t>
            </w: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81"/>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252"/>
              <w:spacing w:after="0"/>
              <w:rPr>
                <w:sz w:val="20"/>
                <w:szCs w:val="20"/>
                <w:color w:val="auto"/>
              </w:rPr>
            </w:pPr>
            <w:r>
              <w:rPr>
                <w:rFonts w:ascii="Arial" w:cs="Arial" w:eastAsia="Arial" w:hAnsi="Arial"/>
                <w:sz w:val="16"/>
                <w:szCs w:val="16"/>
                <w:b w:val="1"/>
                <w:bCs w:val="1"/>
                <w:color w:val="auto"/>
                <w:w w:val="96"/>
              </w:rPr>
              <w:t>September 30, 2016</w:t>
            </w:r>
          </w:p>
        </w:tc>
        <w:tc>
          <w:tcPr>
            <w:tcW w:w="180" w:type="dxa"/>
            <w:vAlign w:val="bottom"/>
          </w:tcPr>
          <w:p>
            <w:pPr>
              <w:spacing w:after="0"/>
              <w:rPr>
                <w:sz w:val="18"/>
                <w:szCs w:val="18"/>
                <w:color w:val="auto"/>
              </w:rPr>
            </w:pPr>
          </w:p>
        </w:tc>
      </w:tr>
      <w:tr>
        <w:trPr>
          <w:trHeight w:val="33"/>
        </w:trPr>
        <w:tc>
          <w:tcPr>
            <w:tcW w:w="6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140,070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12,020</w:t>
            </w:r>
          </w:p>
        </w:tc>
        <w:tc>
          <w:tcPr>
            <w:tcW w:w="180" w:type="dxa"/>
            <w:vAlign w:val="bottom"/>
          </w:tcPr>
          <w:p>
            <w:pPr>
              <w:spacing w:after="0"/>
              <w:rPr>
                <w:sz w:val="21"/>
                <w:szCs w:val="2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6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r>
      <w:tr>
        <w:trPr>
          <w:trHeight w:val="257"/>
        </w:trPr>
        <w:tc>
          <w:tcPr>
            <w:tcW w:w="6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2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0"/>
        </w:trPr>
        <w:tc>
          <w:tcPr>
            <w:tcW w:w="6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restricted shares and units of common stock and common stock options.</w:t>
      </w:r>
    </w:p>
    <w:p>
      <w:pPr>
        <w:spacing w:after="0" w:line="271" w:lineRule="exact"/>
        <w:rPr>
          <w:rFonts w:ascii="Arial" w:cs="Arial" w:eastAsia="Arial" w:hAnsi="Arial"/>
          <w:sz w:val="9"/>
          <w:szCs w:val="9"/>
          <w:color w:val="auto"/>
        </w:rPr>
      </w:pPr>
    </w:p>
    <w:p>
      <w:pPr>
        <w:ind w:left="180" w:hanging="172"/>
        <w:spacing w:after="0" w:line="273" w:lineRule="auto"/>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Non-recurring costs and expenses relating to cost savings projects, including restructuring and severance expenses, not to exceed $15.0 million in any fiscal year and $40.0 million in aggregate, subsequent to June 30, 2015.</w:t>
      </w:r>
    </w:p>
    <w:p>
      <w:pPr>
        <w:spacing w:after="0" w:line="227"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Costs and expenses arising from the integration of any business acquired not to exceed $15.0 million in any fiscal year and $40.0 million in the aggregate.</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Costs incurred with refinancing our credit facilities.</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EBITDA from permitted dispositions, as defined.</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$4.5 million of acquisition deferred purchase price.</w:t>
      </w: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Another important source of liquidity is our $75.0 million accounts receivable facility, under which we have the ability to sell eligible accounts receivable to a third-party multi-seller receivables funding company. Our available liquidity under our accounts receivable facility has ranged from approximately $54 million to $69 million over the twelve months following the Cequent spin-off, depending on the level of our receivables outstanding at a given point in time during that period. We had approximately $48.8 million and $53.6 million outstanding under the facility as of September 30, 2016 and December 31, 2015, respectively, and approximately $8.6 million and $7.1 million available but not utilized as of September 30, 2016 and December 31, 2015, respectively. At September 30, 2016, we had approximately $97.2 million outstanding under our revolving credit facility and had approximately $386.5 million potentially available after giving effect to approximately $16.3 million of letters of credit issued and outstanding. At December 31, 2015, we had approximately $100.3 million outstanding under our revolving credit facility and had approximately $378.1 million potentially available after giving effect to approximately $21.6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September 30, 2016 and December 31, 2015, we had approximately $78.3 million and $107.4 million, respectively, of borrowing capacity available for general corporate purposes.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rely upon our cash flow from operations and available liquidity under our revolving credit and accounts receivable facilities to fund our debt service obligations and other contractual commitments, working capital and capital expenditure requirements. At the end of each quarter, we use cash on hand from our domestic and foreign subsidiaries to pay down amounts outstanding under our revolving credit and accounts receivable facilities.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combined weighted average monthly amounts outstanding on our Credit Agreement and our accounts receivable facility during the first nine months of 2016 approximated $461.6 million, compared to the weighted average monthly amounts outstanding during the first nine months of 2015 of approximately $676.8 million. The overall decrease is due primarily to the distribution received from the Cequent spin-off in June 2015.</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management related to our revolving credit and accounts receivable facilities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September 30, 2016 is located in jurisdictions outside the U.S., given aggregate available funding under our revolving credit and accounts receivable facilities of $78.3 million at September 30, 2016,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exposure to interest rate risk results from the variable rates under our Credit Agreement. Borrowings under the Credit Agreement bear interest, at various rates, as more fully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to our consolidated financial statements included in Part I, Item 1 of this quarterly report on Form 10-Q. We use interest rate swap agreements to fix the LIBOR-based variable portion of the interest rates on our term loan facility. As of September 30, 2016, we had interest rate swap agreements in place that hedge a declining notional value of debt ranging from approximately $248.2 million to approximately $192.7 million, with established fixed interest rates in a range of 0.74% to 2.68%, with various expiration terms extending to June 30, 2020.</w:t>
      </w:r>
    </w:p>
    <w:p>
      <w:pPr>
        <w:spacing w:after="0" w:line="2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subject to variable interest rates on our term loan and revolving credit facility. At September 30, 2016, 1-Month LIBOR approximated 0.53%. Based on our variable rate-based borrowings outstanding at September 30, 2016, and after consideration of the interest rate swap agreement associated with our term loan A, a 1% increase in the per annum interest rate would increase our interest expense by approximately $1.6 million annually.</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$3.4 million due each fiscal quarter from December 2015 through September 2018 and approximately $5.2 million due each fiscal quarter from December 2018 through March 2020, with final payment of $202.8 million due on June 30, 2020.</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$17.2 million in 2015. We expect to continue to utilize leasing as a financing strategy in the future to meet capital expenditure needs and to reduce debt levels.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may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use interest rate swap agreements to fix a portion of our variable rate debt to manage this risk. See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9, 2016, Moody's affirmed a rating of Ba3 to our senior secured credit facilities, as presented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Item 1,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within this quarterly report on Form 10-Q. Moody's also affirmed a Ba3 to our Corporate Family Rating and maintained our outlook as stable. On June 1, 2015, Standard &amp; Poor's affirmed a BB- corporate credit rating to our amended credit facilities and maintained our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experienced significant year-over-year top-line pressure across all of our end markets during 2016, primarily in our energy-facing businesses. We managed to mitigate much of the impact of an approximate 9% year-over-year net sales decline with cost savings resulting from of our $22 million Financial Improvement Plan implemented during the back half of 2015 and via continued cost management and productivity initiatives. While we expect fourth quarter of 2016 to be reasonably comparable to fourth quarter 2015, we believe the current uncertain macroeconomic environment will continue to persist.</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continue to attempt to mitigate the challenging external factors impacting our top-line, we also continue to execute on internal projects that we control, including continued execution of our Aerospace production and scheduling improvements, optimizing our footprint to move more production to our lower-cost facilities while remaining responsive to our customers, pruning our product portfolios to deemphasize or no longer sell certain lower-margin products, seeking lower-cost sources for input costs and continuously assessing our fixed cost footprints. We plan to execute on these internal initiatives which we believe will enable us to navigate through the current challenging environment until demand levels and activity increase, and position us for improved profitability and ability to leverage our lower fixed cost structure with higher sales levels.</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tactics we employ may differ between years, our strategic priorities remain consistent: drive profitable growth, enhance margins, optimize resource and capital allocations and be a workplace of choice for great people.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September 30, 2016,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2015.</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and Note 8,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September 30, 2016,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2016, the Company's disclosure controls and procedures are effective to provide reasonable assurance that they would meet their objectives.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September 30, 2016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2015, which could materially affect our business, financial condition or future results. There have been no significant changes in our risk factors as disclosed in our 2015 Form 10-K except for the following, which we also disclosed in our quarterly report on Form 10-Q for the quarterly period ended June 30, 2016:</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June 2016, a majority of voters in the United Kingdom elected to withdraw from the European Union in a national referendum. The referendum was advisory, and the terms of any withdrawal are subject to a negotiation period that could last at least two years after the government of the United Kingdom formally initiates a withdrawal process. Nevertheless, the referendum has created significant uncertainty about the future relationship between the United Kingdom and the European Union, including with respect to the laws and regulations that will apply as the United Kingdom determines which European Union laws to replace or replicate in the event of a withdrawal. The results of the referendum have adversely impacted the British Pound and may continue to have an impact on other foreign currencies. The referendum has given rise to calls for the governments of other European Union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equity shares. Additionally, our Packaging business is dual headquartered in the United Kingdom and Indiana, and we operate other manufacturing facilities internationally, including in the United Kingdom. Accordingly, the results of the referendum may have an adverse impact on our international operations, particularly in the United Kingdom.</w:t>
      </w:r>
    </w:p>
    <w:p>
      <w:pPr>
        <w:spacing w:after="0" w:line="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40" w:type="dxa"/>
            <w:vAlign w:val="bottom"/>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0460" w:type="dxa"/>
            <w:vAlign w:val="bottom"/>
            <w:gridSpan w:val="2"/>
          </w:tcPr>
          <w:p>
            <w:pPr>
              <w:spacing w:after="0"/>
              <w:rPr>
                <w:sz w:val="20"/>
                <w:szCs w:val="20"/>
                <w:color w:val="auto"/>
              </w:rPr>
            </w:pPr>
            <w:r>
              <w:rPr>
                <w:rFonts w:ascii="Arial" w:cs="Arial" w:eastAsia="Arial" w:hAnsi="Arial"/>
                <w:sz w:val="18"/>
                <w:szCs w:val="18"/>
                <w:b w:val="1"/>
                <w:bCs w:val="1"/>
                <w:color w:val="auto"/>
              </w:rPr>
              <w:t>Exhibits Index:</w:t>
            </w:r>
          </w:p>
        </w:tc>
      </w:tr>
      <w:tr>
        <w:trPr>
          <w:trHeight w:val="594"/>
        </w:trPr>
        <w:tc>
          <w:tcPr>
            <w:tcW w:w="720" w:type="dxa"/>
            <w:vAlign w:val="bottom"/>
          </w:tcPr>
          <w:p>
            <w:pPr>
              <w:ind w:left="40"/>
              <w:spacing w:after="0"/>
              <w:rPr>
                <w:sz w:val="20"/>
                <w:szCs w:val="20"/>
                <w:color w:val="auto"/>
              </w:rPr>
            </w:pPr>
            <w:r>
              <w:rPr>
                <w:rFonts w:ascii="Arial" w:cs="Arial" w:eastAsia="Arial" w:hAnsi="Arial"/>
                <w:sz w:val="18"/>
                <w:szCs w:val="18"/>
                <w:color w:val="auto"/>
              </w:rPr>
              <w:t>3.1(a)</w:t>
            </w:r>
          </w:p>
        </w:tc>
        <w:tc>
          <w:tcPr>
            <w:tcW w:w="9740" w:type="dxa"/>
            <w:vAlign w:val="bottom"/>
          </w:tcPr>
          <w:p>
            <w:pPr>
              <w:ind w:left="1040"/>
              <w:spacing w:after="0"/>
              <w:rPr>
                <w:sz w:val="20"/>
                <w:szCs w:val="20"/>
                <w:color w:val="auto"/>
              </w:rPr>
            </w:pPr>
            <w:r>
              <w:rPr>
                <w:rFonts w:ascii="Arial" w:cs="Arial" w:eastAsia="Arial" w:hAnsi="Arial"/>
                <w:sz w:val="18"/>
                <w:szCs w:val="18"/>
                <w:color w:val="auto"/>
              </w:rPr>
              <w:t>Fourth Amended and Restated Certificate of Incorporation of TriMas Corporation.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3.2(b)</w:t>
            </w:r>
          </w:p>
        </w:tc>
        <w:tc>
          <w:tcPr>
            <w:tcW w:w="9740" w:type="dxa"/>
            <w:vAlign w:val="bottom"/>
          </w:tcPr>
          <w:p>
            <w:pPr>
              <w:ind w:left="1040"/>
              <w:spacing w:after="0"/>
              <w:rPr>
                <w:sz w:val="20"/>
                <w:szCs w:val="20"/>
                <w:color w:val="auto"/>
              </w:rPr>
            </w:pPr>
            <w:r>
              <w:rPr>
                <w:rFonts w:ascii="Arial" w:cs="Arial" w:eastAsia="Arial" w:hAnsi="Arial"/>
                <w:sz w:val="18"/>
                <w:szCs w:val="18"/>
                <w:color w:val="auto"/>
              </w:rPr>
              <w:t>Third Amended and Restated By-laws of TriMas Corporation.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w:t>
            </w:r>
          </w:p>
        </w:tc>
        <w:tc>
          <w:tcPr>
            <w:tcW w:w="9740" w:type="dxa"/>
            <w:vAlign w:val="bottom"/>
          </w:tcPr>
          <w:p>
            <w:pPr>
              <w:ind w:left="1040"/>
              <w:spacing w:after="0"/>
              <w:rPr>
                <w:sz w:val="20"/>
                <w:szCs w:val="20"/>
                <w:color w:val="auto"/>
              </w:rPr>
            </w:pPr>
            <w:r>
              <w:rPr>
                <w:rFonts w:ascii="Arial" w:cs="Arial" w:eastAsia="Arial" w:hAnsi="Arial"/>
                <w:sz w:val="18"/>
                <w:szCs w:val="18"/>
                <w:color w:val="auto"/>
                <w:w w:val="98"/>
              </w:rPr>
              <w:t>Separation and Release Agreement between TriMas Corporation and David M. Wathen dated August 8, 2016.</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10.2</w:t>
            </w:r>
          </w:p>
        </w:tc>
        <w:tc>
          <w:tcPr>
            <w:tcW w:w="9740" w:type="dxa"/>
            <w:vAlign w:val="bottom"/>
          </w:tcPr>
          <w:p>
            <w:pPr>
              <w:ind w:left="1040"/>
              <w:spacing w:after="0"/>
              <w:rPr>
                <w:sz w:val="20"/>
                <w:szCs w:val="20"/>
                <w:color w:val="auto"/>
              </w:rPr>
            </w:pPr>
            <w:r>
              <w:rPr>
                <w:rFonts w:ascii="Arial" w:cs="Arial" w:eastAsia="Arial" w:hAnsi="Arial"/>
                <w:sz w:val="18"/>
                <w:szCs w:val="18"/>
                <w:color w:val="auto"/>
              </w:rPr>
              <w:t>Offer Letter between TriMas Corporation and Thomas A. Amato dated July 23, 2016.</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10.3</w:t>
            </w:r>
          </w:p>
        </w:tc>
        <w:tc>
          <w:tcPr>
            <w:tcW w:w="9740" w:type="dxa"/>
            <w:vAlign w:val="bottom"/>
          </w:tcPr>
          <w:p>
            <w:pPr>
              <w:ind w:left="1040"/>
              <w:spacing w:after="0"/>
              <w:rPr>
                <w:sz w:val="20"/>
                <w:szCs w:val="20"/>
                <w:color w:val="auto"/>
              </w:rPr>
            </w:pPr>
            <w:r>
              <w:rPr>
                <w:rFonts w:ascii="Arial" w:cs="Arial" w:eastAsia="Arial" w:hAnsi="Arial"/>
                <w:sz w:val="18"/>
                <w:szCs w:val="18"/>
                <w:color w:val="auto"/>
              </w:rPr>
              <w:t>Form of Non-Qualified Stock Option Agreement under the 2011 Omnibus Incentive Compensation Plan.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31.1</w:t>
            </w:r>
          </w:p>
        </w:tc>
        <w:tc>
          <w:tcPr>
            <w:tcW w:w="9740" w:type="dxa"/>
            <w:vAlign w:val="bottom"/>
          </w:tcPr>
          <w:p>
            <w:pPr>
              <w:ind w:left="1040"/>
              <w:spacing w:after="0" w:line="207" w:lineRule="exact"/>
              <w:rPr>
                <w:sz w:val="20"/>
                <w:szCs w:val="20"/>
                <w:color w:val="auto"/>
              </w:rPr>
            </w:pPr>
            <w:r>
              <w:rPr>
                <w:rFonts w:ascii="Arial" w:cs="Arial" w:eastAsia="Arial" w:hAnsi="Arial"/>
                <w:sz w:val="18"/>
                <w:szCs w:val="18"/>
                <w:color w:val="auto"/>
                <w:w w:val="90"/>
              </w:rPr>
              <w:t>Certification pursuant to 18 U.S.C. Section 1350, as adopted pursuant to Section 302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31.2</w:t>
            </w:r>
          </w:p>
        </w:tc>
        <w:tc>
          <w:tcPr>
            <w:tcW w:w="9740" w:type="dxa"/>
            <w:vAlign w:val="bottom"/>
          </w:tcPr>
          <w:p>
            <w:pPr>
              <w:ind w:left="1040"/>
              <w:spacing w:after="0" w:line="207" w:lineRule="exact"/>
              <w:rPr>
                <w:sz w:val="20"/>
                <w:szCs w:val="20"/>
                <w:color w:val="auto"/>
              </w:rPr>
            </w:pPr>
            <w:r>
              <w:rPr>
                <w:rFonts w:ascii="Arial" w:cs="Arial" w:eastAsia="Arial" w:hAnsi="Arial"/>
                <w:sz w:val="18"/>
                <w:szCs w:val="18"/>
                <w:color w:val="auto"/>
                <w:w w:val="90"/>
              </w:rPr>
              <w:t>Certification pursuant to 18 U.S.C. Section 1350, as adopted pursuant to Section 302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32.1</w:t>
            </w:r>
          </w:p>
        </w:tc>
        <w:tc>
          <w:tcPr>
            <w:tcW w:w="9740" w:type="dxa"/>
            <w:vAlign w:val="bottom"/>
          </w:tcPr>
          <w:p>
            <w:pPr>
              <w:ind w:left="1040"/>
              <w:spacing w:after="0" w:line="207" w:lineRule="exact"/>
              <w:rPr>
                <w:sz w:val="20"/>
                <w:szCs w:val="20"/>
                <w:color w:val="auto"/>
              </w:rPr>
            </w:pPr>
            <w:r>
              <w:rPr>
                <w:rFonts w:ascii="Arial" w:cs="Arial" w:eastAsia="Arial" w:hAnsi="Arial"/>
                <w:sz w:val="18"/>
                <w:szCs w:val="18"/>
                <w:color w:val="auto"/>
                <w:w w:val="90"/>
              </w:rPr>
              <w:t>Certification pursuant to 18 U.S.C. Section 1350, as adopted pursuant to Section 906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32.2</w:t>
            </w:r>
          </w:p>
        </w:tc>
        <w:tc>
          <w:tcPr>
            <w:tcW w:w="9740" w:type="dxa"/>
            <w:vAlign w:val="bottom"/>
          </w:tcPr>
          <w:p>
            <w:pPr>
              <w:ind w:left="1040"/>
              <w:spacing w:after="0" w:line="207" w:lineRule="exact"/>
              <w:rPr>
                <w:sz w:val="20"/>
                <w:szCs w:val="20"/>
                <w:color w:val="auto"/>
              </w:rPr>
            </w:pPr>
            <w:r>
              <w:rPr>
                <w:rFonts w:ascii="Arial" w:cs="Arial" w:eastAsia="Arial" w:hAnsi="Arial"/>
                <w:sz w:val="18"/>
                <w:szCs w:val="18"/>
                <w:color w:val="auto"/>
                <w:w w:val="90"/>
              </w:rPr>
              <w:t>Certification pursuant to 18 U.S.C. Section 1350, as adopted pursuant to Section 906 of the Sarbanes</w:t>
            </w:r>
            <w:r>
              <w:rPr>
                <w:rFonts w:ascii="MS PGothic" w:cs="MS PGothic" w:eastAsia="MS PGothic" w:hAnsi="MS PGothic"/>
                <w:sz w:val="18"/>
                <w:szCs w:val="18"/>
                <w:color w:val="auto"/>
                <w:w w:val="90"/>
              </w:rPr>
              <w:t>‑</w:t>
            </w:r>
            <w:r>
              <w:rPr>
                <w:rFonts w:ascii="Arial" w:cs="Arial" w:eastAsia="Arial" w:hAnsi="Arial"/>
                <w:sz w:val="18"/>
                <w:szCs w:val="18"/>
                <w:color w:val="auto"/>
                <w:w w:val="90"/>
              </w:rPr>
              <w:t>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Pr>
          <w:p>
            <w:pPr>
              <w:ind w:left="1040"/>
              <w:spacing w:after="0"/>
              <w:rPr>
                <w:sz w:val="20"/>
                <w:szCs w:val="20"/>
                <w:color w:val="auto"/>
              </w:rPr>
            </w:pPr>
            <w:r>
              <w:rPr>
                <w:rFonts w:ascii="Arial" w:cs="Arial" w:eastAsia="Arial" w:hAnsi="Arial"/>
                <w:sz w:val="18"/>
                <w:szCs w:val="18"/>
                <w:color w:val="auto"/>
              </w:rPr>
              <w:t>XBRL Instance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0"/>
              </w:rPr>
              <w:t>101.SCH</w:t>
            </w:r>
          </w:p>
        </w:tc>
        <w:tc>
          <w:tcPr>
            <w:tcW w:w="9740" w:type="dxa"/>
            <w:vAlign w:val="bottom"/>
          </w:tcPr>
          <w:p>
            <w:pPr>
              <w:ind w:left="10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4"/>
              </w:rPr>
              <w:t>101.CAL</w:t>
            </w:r>
          </w:p>
        </w:tc>
        <w:tc>
          <w:tcPr>
            <w:tcW w:w="9740" w:type="dxa"/>
            <w:vAlign w:val="bottom"/>
          </w:tcPr>
          <w:p>
            <w:pPr>
              <w:ind w:left="10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2"/>
              </w:rPr>
              <w:t>101.DEF</w:t>
            </w:r>
          </w:p>
        </w:tc>
        <w:tc>
          <w:tcPr>
            <w:tcW w:w="9740" w:type="dxa"/>
            <w:vAlign w:val="bottom"/>
          </w:tcPr>
          <w:p>
            <w:pPr>
              <w:ind w:left="10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5"/>
              </w:rPr>
              <w:t>101.LAB</w:t>
            </w:r>
          </w:p>
        </w:tc>
        <w:tc>
          <w:tcPr>
            <w:tcW w:w="9740" w:type="dxa"/>
            <w:vAlign w:val="bottom"/>
          </w:tcPr>
          <w:p>
            <w:pPr>
              <w:ind w:left="10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1"/>
              </w:rPr>
              <w:t>101.PRE</w:t>
            </w:r>
          </w:p>
        </w:tc>
        <w:tc>
          <w:tcPr>
            <w:tcW w:w="9740" w:type="dxa"/>
            <w:vAlign w:val="bottom"/>
          </w:tcPr>
          <w:p>
            <w:pPr>
              <w:ind w:left="10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1360" w:hanging="832"/>
        <w:spacing w:after="0" w:line="277"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360" w:hanging="832"/>
        <w:spacing w:after="0" w:line="277"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December 18, 2015 (File No. 001-10716).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00"/>
          </w:cols>
          <w:pgMar w:left="240" w:top="125" w:right="7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4040" w:type="dxa"/>
            <w:vAlign w:val="bottom"/>
            <w:gridSpan w:val="2"/>
          </w:tcPr>
          <w:p>
            <w:pPr>
              <w:ind w:left="92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Date:  October 27, 2016</w:t>
            </w:r>
          </w:p>
        </w:tc>
        <w:tc>
          <w:tcPr>
            <w:tcW w:w="4040" w:type="dxa"/>
            <w:vAlign w:val="bottom"/>
            <w:gridSpan w:val="2"/>
          </w:tcPr>
          <w:p>
            <w:pPr>
              <w:ind w:left="92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740" w:type="dxa"/>
            <w:vAlign w:val="bottom"/>
          </w:tcPr>
          <w:p>
            <w:pPr>
              <w:spacing w:after="0"/>
              <w:rPr>
                <w:sz w:val="24"/>
                <w:szCs w:val="24"/>
                <w:color w:val="auto"/>
              </w:rPr>
            </w:pPr>
          </w:p>
        </w:tc>
        <w:tc>
          <w:tcPr>
            <w:tcW w:w="4040" w:type="dxa"/>
            <w:vAlign w:val="bottom"/>
            <w:gridSpan w:val="2"/>
          </w:tcPr>
          <w:p>
            <w:pPr>
              <w:jc w:val="right"/>
              <w:ind w:right="1020"/>
              <w:spacing w:after="0"/>
              <w:rPr>
                <w:sz w:val="20"/>
                <w:szCs w:val="20"/>
                <w:color w:val="auto"/>
              </w:rPr>
            </w:pPr>
            <w:r>
              <w:rPr>
                <w:rFonts w:ascii="Arial" w:cs="Arial" w:eastAsia="Arial" w:hAnsi="Arial"/>
                <w:sz w:val="18"/>
                <w:szCs w:val="18"/>
                <w:color w:val="auto"/>
              </w:rPr>
              <w:t>43</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AND RELEASE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Separation and Release Agreement (this “Separation Agreement”) between TRIMAS CORPORATION (the “Company”) and David M. Wathen (“you” and similar words) sets forth certain terms of your separation from the Company, including certain waivers and releases by you required under the Company’s Executive Severance/Change of Control Policy, effective as of August 13, 2013 (the “Severance Policy”), in order to receive certain separation payments and benefits, as set forth in detail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signing this Separation Agreement, you and the Company agree as follows:</w:t>
      </w:r>
    </w:p>
    <w:p>
      <w:pPr>
        <w:spacing w:after="0" w:line="248" w:lineRule="exact"/>
        <w:rPr>
          <w:sz w:val="20"/>
          <w:szCs w:val="20"/>
          <w:color w:val="auto"/>
        </w:rPr>
      </w:pPr>
    </w:p>
    <w:p>
      <w:pPr>
        <w:ind w:left="1440" w:hanging="784"/>
        <w:spacing w:after="0"/>
        <w:tabs>
          <w:tab w:leader="none" w:pos="1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Status of Employment</w:t>
      </w:r>
    </w:p>
    <w:p>
      <w:pPr>
        <w:spacing w:after="0" w:line="243"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You agree that you will terminate from your positions as President and Chief Executive Officer of the Company and as a member of the Board of Directors of the Company effective July 25, 2016 (the “Separation Date”) and such termination shall be treated as set forth in Paragraph 2 of this Separation Agreement. You also agree that, as of the Separation Date, you will terminate from all other positions you hold as an officer, employee or director of the Company’s subsidiaries and affiliates, and that you will promptly execute any documents and take any actions as may be necessary or reasonably requested by the Company to effectuate or memorialize your termination from all positions with the Company and its subsidiaries and affiliates.</w:t>
      </w:r>
    </w:p>
    <w:p>
      <w:pPr>
        <w:spacing w:after="0" w:line="216" w:lineRule="exact"/>
        <w:rPr>
          <w:sz w:val="20"/>
          <w:szCs w:val="20"/>
          <w:color w:val="auto"/>
        </w:rPr>
      </w:pPr>
    </w:p>
    <w:p>
      <w:pPr>
        <w:ind w:left="1440" w:hanging="784"/>
        <w:spacing w:after="0"/>
        <w:tabs>
          <w:tab w:leader="none" w:pos="1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Benefits</w:t>
      </w:r>
    </w:p>
    <w:p>
      <w:pPr>
        <w:spacing w:after="0" w:line="243"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 xml:space="preserve">In consideration for you signing this Separation Agreement no earlier than the Separation Date and no later than 52 days following the Separation Date, and letting this Separation Agreement become effective as set forth in Paragraph 8 below, for purposes of the Severance Policy and this Agreement, your separation from the Company will be deemed a termination of employment without Cause (as defined in the Severance Policy), and you will receive the payments and benefits as specified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all subject to applicable tax withholding (the “Severance Benefits”). The Severance Benefits will be in full satisfaction of any amounts due under the Severance Policy and other compensation arrangements of the Company.</w:t>
      </w:r>
    </w:p>
    <w:p>
      <w:pPr>
        <w:spacing w:after="0" w:line="216" w:lineRule="exact"/>
        <w:rPr>
          <w:sz w:val="20"/>
          <w:szCs w:val="20"/>
          <w:color w:val="auto"/>
        </w:rPr>
      </w:pPr>
    </w:p>
    <w:p>
      <w:pPr>
        <w:ind w:left="1440" w:hanging="784"/>
        <w:spacing w:after="0"/>
        <w:tabs>
          <w:tab w:leader="none" w:pos="1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Covenants</w:t>
      </w:r>
    </w:p>
    <w:p>
      <w:pPr>
        <w:spacing w:after="0" w:line="243"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By signing this Separation Agreement, you reaffirm that you will continue to abide by the covenants set forth in Section 7 of the Severance Policy, which expressly survive the termination of your employment without Cause.</w:t>
      </w:r>
    </w:p>
    <w:p>
      <w:pPr>
        <w:spacing w:after="0" w:line="193" w:lineRule="exact"/>
        <w:rPr>
          <w:sz w:val="20"/>
          <w:szCs w:val="20"/>
          <w:color w:val="auto"/>
        </w:rPr>
      </w:pPr>
    </w:p>
    <w:p>
      <w:pPr>
        <w:ind w:left="1440" w:hanging="784"/>
        <w:spacing w:after="0"/>
        <w:tabs>
          <w:tab w:leader="none" w:pos="1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w:t>
      </w:r>
    </w:p>
    <w:p>
      <w:pPr>
        <w:spacing w:after="0" w:line="243"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 xml:space="preserve">Nothing in this Separation Agreement or the Severance Policy shall be binding upon the parties to the extent it is void or unenforceable for any reason, including, without limitation, as a result of any law regulating competition or proscribing unlawful business practices;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that any provision in this Separation Agreement or the Severance Policy could be modified to render it</w:t>
      </w:r>
      <w:r>
        <w:rPr>
          <w:rFonts w:ascii="Arial" w:cs="Arial" w:eastAsia="Arial" w:hAnsi="Arial"/>
          <w:sz w:val="16"/>
          <w:szCs w:val="16"/>
          <w:i w:val="1"/>
          <w:iCs w:val="1"/>
          <w:color w:val="auto"/>
        </w:rPr>
        <w:t xml:space="preserve"> </w:t>
      </w:r>
      <w:r>
        <w:rPr>
          <w:rFonts w:ascii="Arial" w:cs="Arial" w:eastAsia="Arial" w:hAnsi="Arial"/>
          <w:sz w:val="16"/>
          <w:szCs w:val="16"/>
          <w:color w:val="auto"/>
        </w:rPr>
        <w:t>enforceable under applicable law, it shall be deemed so modified and enforced to the fullest extent allowed by law.</w:t>
      </w:r>
    </w:p>
    <w:p>
      <w:pPr>
        <w:spacing w:after="0" w:line="177" w:lineRule="exact"/>
        <w:rPr>
          <w:sz w:val="20"/>
          <w:szCs w:val="20"/>
          <w:color w:val="auto"/>
        </w:rPr>
      </w:pPr>
    </w:p>
    <w:p>
      <w:pPr>
        <w:ind w:left="1440" w:hanging="784"/>
        <w:spacing w:after="0"/>
        <w:tabs>
          <w:tab w:leader="none" w:pos="1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and Release</w:t>
      </w:r>
    </w:p>
    <w:p>
      <w:pPr>
        <w:spacing w:after="0" w:line="243"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In exchange for the Severance Benefits the Company will provide you under this Separation Agreement, you release and forever discharge the Company, any and all past, present or future parents,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5" w:name="page46"/>
    <w:bookmarkEnd w:id="45"/>
    <w:p>
      <w:pPr>
        <w:jc w:val="both"/>
        <w:ind w:left="644"/>
        <w:spacing w:after="0" w:line="286" w:lineRule="auto"/>
        <w:rPr>
          <w:sz w:val="20"/>
          <w:szCs w:val="20"/>
          <w:color w:val="auto"/>
        </w:rPr>
      </w:pPr>
      <w:r>
        <w:rPr>
          <w:rFonts w:ascii="Arial" w:cs="Arial" w:eastAsia="Arial" w:hAnsi="Arial"/>
          <w:sz w:val="16"/>
          <w:szCs w:val="16"/>
          <w:color w:val="auto"/>
        </w:rPr>
        <w:t xml:space="preserve">subsidiaries and affiliates (the “TriMas Companies”), and any and all past, present, or future related persons or entities, including but not limited to the Company’s and the TriMas Companies’ officers, directors, managers, employees, shareholders, agents, attorneys, successors and assigns, specifically including without limitation TriMas Corporation (the “Released Parties”), from any and all actions, claims, demands and damages, whether actual or potential, known or unknown, and specifically but not exclusively, which you may have or claim to have against the Released Parties as of the date you sign this Separation Agreement including, without limitation, any and all claims related or in any manner incidental to your employment with the Company or termination of that employment relationship (“claims”) which you or your heirs, successors, executors, or other representatives may have. All such claims are forever barred by this Separation Agreement regardless of the forum in which such claims might be brought, including, but not limited to, claims (a) under any federal, state or local law governing the employment relationship or its termination (including, but not limited to, Title VII of the Civil Rights Acts of 1964 and 1991; the Age Discrimination in Employment Act of 1967; the Americans with Disabilities Act; the Family Medical Leave Act; the Employee Retirement Income Security Act of 1974; the Rehabilitation Act; the Worker Adjustment and Retraining Notification Act; any state, local, and other federal employment laws; and any amendments to any of the foregoing) and/or (b) under the common law for breach of contract, wrongful discharge, personal injuries and/or torts. </w:t>
      </w:r>
      <w:r>
        <w:rPr>
          <w:rFonts w:ascii="Arial" w:cs="Arial" w:eastAsia="Arial" w:hAnsi="Arial"/>
          <w:sz w:val="16"/>
          <w:szCs w:val="16"/>
          <w:b w:val="1"/>
          <w:bCs w:val="1"/>
          <w:color w:val="auto"/>
        </w:rPr>
        <w:t>You understand that this is a general waiver and release of all</w:t>
      </w:r>
      <w:r>
        <w:rPr>
          <w:rFonts w:ascii="Arial" w:cs="Arial" w:eastAsia="Arial" w:hAnsi="Arial"/>
          <w:sz w:val="16"/>
          <w:szCs w:val="16"/>
          <w:color w:val="auto"/>
        </w:rPr>
        <w:t xml:space="preserve"> </w:t>
      </w:r>
      <w:r>
        <w:rPr>
          <w:rFonts w:ascii="Arial" w:cs="Arial" w:eastAsia="Arial" w:hAnsi="Arial"/>
          <w:sz w:val="16"/>
          <w:szCs w:val="16"/>
          <w:b w:val="1"/>
          <w:bCs w:val="1"/>
          <w:color w:val="auto"/>
        </w:rPr>
        <w:t>claims, known or unknown, that you may have against the Released Parties based on any act, omission, matter, cause or thing that occurred through the date of your execution of this Separation Agreement.</w:t>
      </w:r>
    </w:p>
    <w:p>
      <w:pPr>
        <w:spacing w:after="0" w:line="169" w:lineRule="exact"/>
        <w:rPr>
          <w:sz w:val="20"/>
          <w:szCs w:val="20"/>
          <w:color w:val="auto"/>
        </w:rPr>
      </w:pPr>
    </w:p>
    <w:p>
      <w:pPr>
        <w:jc w:val="both"/>
        <w:ind w:left="644"/>
        <w:spacing w:after="0" w:line="291" w:lineRule="auto"/>
        <w:rPr>
          <w:sz w:val="20"/>
          <w:szCs w:val="20"/>
          <w:color w:val="auto"/>
        </w:rPr>
      </w:pPr>
      <w:r>
        <w:rPr>
          <w:rFonts w:ascii="Arial" w:cs="Arial" w:eastAsia="Arial" w:hAnsi="Arial"/>
          <w:sz w:val="16"/>
          <w:szCs w:val="16"/>
          <w:color w:val="auto"/>
        </w:rPr>
        <w:t>The above release does not waive claims (i) for vested rights under employee benefit plans as applicable on the date you sign this Separation Agreement, (ii) that may arise after you sign this Separation Agreement, (iii) which cannot be released by private agreement or</w:t>
      </w:r>
    </w:p>
    <w:p>
      <w:pPr>
        <w:ind w:left="944" w:hanging="295"/>
        <w:spacing w:after="0"/>
        <w:tabs>
          <w:tab w:leader="none" w:pos="944"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to enforce the terms of this Separation Agreement, including the payment of the compensation and benefits specified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45" w:lineRule="exact"/>
        <w:rPr>
          <w:rFonts w:ascii="Arial" w:cs="Arial" w:eastAsia="Arial" w:hAnsi="Arial"/>
          <w:sz w:val="17"/>
          <w:szCs w:val="17"/>
          <w:color w:val="auto"/>
        </w:rPr>
      </w:pPr>
    </w:p>
    <w:p>
      <w:pPr>
        <w:ind w:left="784" w:hanging="784"/>
        <w:spacing w:after="0"/>
        <w:tabs>
          <w:tab w:leader="none" w:pos="78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Acknowledgements</w:t>
      </w:r>
    </w:p>
    <w:p>
      <w:pPr>
        <w:spacing w:after="0" w:line="243" w:lineRule="exact"/>
        <w:rPr>
          <w:sz w:val="20"/>
          <w:szCs w:val="20"/>
          <w:color w:val="auto"/>
        </w:rPr>
      </w:pPr>
    </w:p>
    <w:p>
      <w:pPr>
        <w:jc w:val="both"/>
        <w:ind w:left="644"/>
        <w:spacing w:after="0" w:line="286" w:lineRule="auto"/>
        <w:rPr>
          <w:sz w:val="20"/>
          <w:szCs w:val="20"/>
          <w:color w:val="auto"/>
        </w:rPr>
      </w:pPr>
      <w:r>
        <w:rPr>
          <w:rFonts w:ascii="Arial" w:cs="Arial" w:eastAsia="Arial" w:hAnsi="Arial"/>
          <w:sz w:val="16"/>
          <w:szCs w:val="16"/>
          <w:color w:val="auto"/>
        </w:rPr>
        <w:t>You understand that following the Effective Date (as defined in Paragraph 8 of this Separation Agreement) this release will be final and binding. You further understand that nothing in this release generally prevents you from filing a charge or complaint with or from participating in an investigation or proceeding conducted by the EEOC, NLRB, or any other federal, state or local agency charged with the enforcement of any employment laws, although by signing this release you are waiving your right to individual relief based on claims asserted in such a charge or complaint. By executing this Separation Agreement you represent that, as of the date you sign this Separation Agreement, no claims, lawsuits, or charges have been filed by you or on your behalf against the Released Parties. The Company agrees that this Separation Agreement does not extend to, release or modify any rights to indemnification or advancement of expenses to which you are entitled from the Company or its insurers under the Company’s Certificate of Incorporation, By-Laws, or other corporate governing law or instruments. You and the Company also acknowledge and agree that, with respect to the performance stock unit awards (“PSUs”) previously granted by the Company to you under the TriMas Corporation 2011 Omnibus Incentive Compensation Plan (the “2011 Equity Plan”), because of the award grant limitations contained in the 2011 Equity Plan, the Compensation Committee of the Company’s Board of Directors (the “Committee”) has determined that such PSUs were, automatically by operation of the terms of the 2011 Equity Plan, limited at the time of grant so that the maximum award opportunity levels for the PSUs would not cause such award grant limitations to be exceeded, and that the Committee has taken action to reflect the effective terms of such PSUs.</w:t>
      </w:r>
    </w:p>
    <w:p>
      <w:pPr>
        <w:spacing w:after="0" w:line="195" w:lineRule="exact"/>
        <w:rPr>
          <w:sz w:val="20"/>
          <w:szCs w:val="20"/>
          <w:color w:val="auto"/>
        </w:rPr>
      </w:pPr>
    </w:p>
    <w:p>
      <w:pPr>
        <w:ind w:left="784" w:hanging="784"/>
        <w:spacing w:after="0"/>
        <w:tabs>
          <w:tab w:leader="none" w:pos="78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Material Breach</w:t>
      </w:r>
    </w:p>
    <w:p>
      <w:pPr>
        <w:spacing w:after="0" w:line="243" w:lineRule="exact"/>
        <w:rPr>
          <w:sz w:val="20"/>
          <w:szCs w:val="20"/>
          <w:color w:val="auto"/>
        </w:rPr>
      </w:pPr>
    </w:p>
    <w:p>
      <w:pPr>
        <w:ind w:left="644"/>
        <w:spacing w:after="0" w:line="277" w:lineRule="auto"/>
        <w:rPr>
          <w:sz w:val="20"/>
          <w:szCs w:val="20"/>
          <w:color w:val="auto"/>
        </w:rPr>
      </w:pPr>
      <w:r>
        <w:rPr>
          <w:rFonts w:ascii="Arial" w:cs="Arial" w:eastAsia="Arial" w:hAnsi="Arial"/>
          <w:sz w:val="18"/>
          <w:szCs w:val="18"/>
          <w:color w:val="auto"/>
        </w:rPr>
        <w:t>You agree that in the event of any breach of any provision of Section 7 of the Severance Policy, the Company will be entitled to equitable and/or injunctive relief and, because the damages for such a</w:t>
      </w:r>
    </w:p>
    <w:p>
      <w:pPr>
        <w:spacing w:after="0" w:line="200" w:lineRule="exact"/>
        <w:rPr>
          <w:sz w:val="20"/>
          <w:szCs w:val="20"/>
          <w:color w:val="auto"/>
        </w:rPr>
      </w:pPr>
    </w:p>
    <w:p>
      <w:pPr>
        <w:spacing w:after="0" w:line="214"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584" w:right="239" w:bottom="1440" w:gutter="0" w:footer="0" w:header="0"/>
        </w:sectPr>
      </w:pPr>
    </w:p>
    <w:bookmarkStart w:id="46" w:name="page47"/>
    <w:bookmarkEnd w:id="46"/>
    <w:p>
      <w:pPr>
        <w:jc w:val="both"/>
        <w:ind w:left="644"/>
        <w:spacing w:after="0" w:line="255" w:lineRule="auto"/>
        <w:rPr>
          <w:sz w:val="20"/>
          <w:szCs w:val="20"/>
          <w:color w:val="auto"/>
        </w:rPr>
      </w:pPr>
      <w:r>
        <w:rPr>
          <w:rFonts w:ascii="Arial" w:cs="Arial" w:eastAsia="Arial" w:hAnsi="Arial"/>
          <w:sz w:val="18"/>
          <w:szCs w:val="18"/>
          <w:color w:val="auto"/>
        </w:rPr>
        <w:t>breach will be impossible or impractical to determine and will not therefore provide a full and adequate remedy, the Company or TriMas Companies will also be entitled to specific performance by you. No amount owing to you under this Separation Agreement shall be subject to set-off or reduction by reason of any claims which the Company has or may have against you. You will be entitled to recover actual damages if the Company breaches this Separation Agreement, including any unexcused late or non-payment of any amounts owed under this Separation Agreement, or any unexcused failure to provide any other benefits specified in this Separation Agreement. Failure by either party to enforce any term of condition of this Separation Agreement at any time shall not preclude that party from enforcing that provision, or any other provision, at a later time.</w:t>
      </w:r>
    </w:p>
    <w:p>
      <w:pPr>
        <w:spacing w:after="0" w:line="212" w:lineRule="exact"/>
        <w:rPr>
          <w:sz w:val="20"/>
          <w:szCs w:val="20"/>
          <w:color w:val="auto"/>
        </w:rPr>
      </w:pPr>
    </w:p>
    <w:p>
      <w:pPr>
        <w:ind w:left="784" w:hanging="784"/>
        <w:spacing w:after="0"/>
        <w:tabs>
          <w:tab w:leader="none" w:pos="78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Review of Separation Agreement</w:t>
      </w:r>
    </w:p>
    <w:p>
      <w:pPr>
        <w:spacing w:after="0" w:line="243" w:lineRule="exact"/>
        <w:rPr>
          <w:sz w:val="20"/>
          <w:szCs w:val="20"/>
          <w:color w:val="auto"/>
        </w:rPr>
      </w:pPr>
    </w:p>
    <w:p>
      <w:pPr>
        <w:jc w:val="both"/>
        <w:ind w:left="644"/>
        <w:spacing w:after="0" w:line="269" w:lineRule="auto"/>
        <w:rPr>
          <w:sz w:val="20"/>
          <w:szCs w:val="20"/>
          <w:color w:val="auto"/>
        </w:rPr>
      </w:pPr>
      <w:r>
        <w:rPr>
          <w:rFonts w:ascii="Arial" w:cs="Arial" w:eastAsia="Arial" w:hAnsi="Arial"/>
          <w:sz w:val="17"/>
          <w:szCs w:val="17"/>
          <w:color w:val="auto"/>
        </w:rPr>
        <w:t>This Separation Agreement is important. You are advised to review it carefully and consult an attorney before signing it, as well as any other professional whose advice you value, such as an accountant or financial advisor. If you agree to the terms of this Separation Agreement, sign in the space below where your agreement is indicated. The payments and benefits specified in this Separation Agreement are contingent on your signing this Separation Agreement no earlier than the Separation Date and no later than 52 calendar days following the Separation Date, and not revoking this Separation Agreement. You will have 52 calendar days following your Separation Date to consider this Separation Agreement. If you choose to sign the Separation Agreement before the end of that 52-day period, you certify that you did so voluntarily for your own benefit and waived the right to consider this Separation Agreement for the entire 52-day period. After you have signed this Separation Agreement, you may revoke your consent to it by delivering written notice signed by you to Joshua A. Sherbin, Senior Vice President, General Counsel, Chief Compliance Officer, and Corporate Secretary, TriMas Corporation, 39400 Woodward Avenue, Suite 130, Bloomfield Hills, Michigan 48304, on or before the seventh calendar day after you sign it. If you do not revoke this Separation Agreement within seven calendar days after you sign it, it will be final, binding, and irrevocable on the eighth day following your execution of this Separation Agreement (the “Effective Date”).</w:t>
      </w:r>
    </w:p>
    <w:p>
      <w:pPr>
        <w:spacing w:after="0" w:line="203" w:lineRule="exact"/>
        <w:rPr>
          <w:sz w:val="20"/>
          <w:szCs w:val="20"/>
          <w:color w:val="auto"/>
        </w:rPr>
      </w:pPr>
    </w:p>
    <w:p>
      <w:pPr>
        <w:ind w:left="784" w:hanging="784"/>
        <w:spacing w:after="0"/>
        <w:tabs>
          <w:tab w:leader="none" w:pos="78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Return of Property</w:t>
      </w:r>
    </w:p>
    <w:p>
      <w:pPr>
        <w:spacing w:after="0" w:line="243" w:lineRule="exact"/>
        <w:rPr>
          <w:sz w:val="20"/>
          <w:szCs w:val="20"/>
          <w:color w:val="auto"/>
        </w:rPr>
      </w:pPr>
    </w:p>
    <w:p>
      <w:pPr>
        <w:jc w:val="both"/>
        <w:ind w:left="644"/>
        <w:spacing w:after="0" w:line="272" w:lineRule="auto"/>
        <w:rPr>
          <w:sz w:val="20"/>
          <w:szCs w:val="20"/>
          <w:color w:val="auto"/>
        </w:rPr>
      </w:pPr>
      <w:r>
        <w:rPr>
          <w:rFonts w:ascii="Arial" w:cs="Arial" w:eastAsia="Arial" w:hAnsi="Arial"/>
          <w:sz w:val="17"/>
          <w:szCs w:val="17"/>
          <w:color w:val="auto"/>
        </w:rPr>
        <w:t>You affirm that you have, or will within a reasonable time after the date of this Separation Agreement, returned to the Company all Company Property, as described more fully below. “Company Property” includes company-owned motor vehicles, equipment, supplies and documents.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 from, whether such documents are embodied on “hard copies” or contained on computer disk or any other medium. You further agree that you will not retain any copies or duplicates of any such Company Property.</w:t>
      </w:r>
    </w:p>
    <w:p>
      <w:pPr>
        <w:spacing w:after="0" w:line="201" w:lineRule="exact"/>
        <w:rPr>
          <w:sz w:val="20"/>
          <w:szCs w:val="20"/>
          <w:color w:val="auto"/>
        </w:rPr>
      </w:pPr>
    </w:p>
    <w:p>
      <w:pPr>
        <w:ind w:left="864" w:hanging="864"/>
        <w:spacing w:after="0"/>
        <w:tabs>
          <w:tab w:leader="none" w:pos="86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Future Cooperation</w:t>
      </w:r>
    </w:p>
    <w:p>
      <w:pPr>
        <w:spacing w:after="0" w:line="243" w:lineRule="exact"/>
        <w:rPr>
          <w:sz w:val="20"/>
          <w:szCs w:val="20"/>
          <w:color w:val="auto"/>
        </w:rPr>
      </w:pPr>
    </w:p>
    <w:p>
      <w:pPr>
        <w:jc w:val="both"/>
        <w:ind w:left="644"/>
        <w:spacing w:after="0" w:line="272" w:lineRule="auto"/>
        <w:rPr>
          <w:sz w:val="20"/>
          <w:szCs w:val="20"/>
          <w:color w:val="auto"/>
        </w:rPr>
      </w:pPr>
      <w:r>
        <w:rPr>
          <w:rFonts w:ascii="Arial" w:cs="Arial" w:eastAsia="Arial" w:hAnsi="Arial"/>
          <w:sz w:val="17"/>
          <w:szCs w:val="17"/>
          <w:color w:val="auto"/>
        </w:rPr>
        <w:t>You agree that you shall, without any additional compensation, respond to reasonable requests for information from the Company regarding matters that may arise in the Company’s business. You further agree to fully and completely cooperate with the Company, its advisors and its legal counsel with respect to any litigation that is pending against the Company and any claim or action that may be filed against the Company in the future. Such cooperation shall include making yourself available at reasonable times and places for interviews, reviewing documents, testifying in a deposition or a legal or administrative proceeding, and providing advice to the Company in preparing defenses to any pending or potential future claims against the Company. The Company agrees to pay/reimburse you for any approved travel expenses reasonably incurred as a result of your cooperation with the</w:t>
      </w:r>
    </w:p>
    <w:p>
      <w:pPr>
        <w:spacing w:after="0" w:line="200" w:lineRule="exact"/>
        <w:rPr>
          <w:sz w:val="20"/>
          <w:szCs w:val="20"/>
          <w:color w:val="auto"/>
        </w:rPr>
      </w:pPr>
    </w:p>
    <w:p>
      <w:pPr>
        <w:spacing w:after="0" w:line="221"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84" w:right="239" w:bottom="1440" w:gutter="0" w:footer="0" w:header="0"/>
        </w:sectPr>
      </w:pPr>
    </w:p>
    <w:bookmarkStart w:id="47" w:name="page48"/>
    <w:bookmarkEnd w:id="47"/>
    <w:p>
      <w:pPr>
        <w:ind w:left="644"/>
        <w:spacing w:after="0" w:line="277" w:lineRule="auto"/>
        <w:rPr>
          <w:sz w:val="20"/>
          <w:szCs w:val="20"/>
          <w:color w:val="auto"/>
        </w:rPr>
      </w:pPr>
      <w:r>
        <w:rPr>
          <w:rFonts w:ascii="Arial" w:cs="Arial" w:eastAsia="Arial" w:hAnsi="Arial"/>
          <w:sz w:val="18"/>
          <w:szCs w:val="18"/>
          <w:color w:val="auto"/>
        </w:rPr>
        <w:t>Company, with any such payments/reimbursements to be made in accordance with the Company's expense reimbursement policy as in effect from time to time.</w:t>
      </w:r>
    </w:p>
    <w:p>
      <w:pPr>
        <w:spacing w:after="0" w:line="193" w:lineRule="exact"/>
        <w:rPr>
          <w:sz w:val="20"/>
          <w:szCs w:val="20"/>
          <w:color w:val="auto"/>
        </w:rPr>
      </w:pPr>
    </w:p>
    <w:p>
      <w:pPr>
        <w:ind w:left="864" w:hanging="864"/>
        <w:spacing w:after="0"/>
        <w:tabs>
          <w:tab w:leader="none" w:pos="86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p>
    <w:p>
      <w:pPr>
        <w:spacing w:after="0" w:line="243" w:lineRule="exact"/>
        <w:rPr>
          <w:sz w:val="20"/>
          <w:szCs w:val="20"/>
          <w:color w:val="auto"/>
        </w:rPr>
      </w:pPr>
    </w:p>
    <w:p>
      <w:pPr>
        <w:jc w:val="both"/>
        <w:ind w:left="644"/>
        <w:spacing w:after="0" w:line="302" w:lineRule="auto"/>
        <w:rPr>
          <w:sz w:val="20"/>
          <w:szCs w:val="20"/>
          <w:color w:val="auto"/>
        </w:rPr>
      </w:pPr>
      <w:r>
        <w:rPr>
          <w:rFonts w:ascii="Arial" w:cs="Arial" w:eastAsia="Arial" w:hAnsi="Arial"/>
          <w:sz w:val="16"/>
          <w:szCs w:val="16"/>
          <w:color w:val="auto"/>
        </w:rPr>
        <w:t>You agree that you will not make or issue, or procure any person, firm, or entity to make or issue, any statement in any form, including written, oral and electronic communications of any kind, which conveys negative or adverse information concerning the Released Parties, the Company or TriMas Companies, their business, their actions or their officers or directors, to any person or entity, regardless of the truth or falsity of such statement. This Paragraph does not apply to truthful testimony compelled by applicable law or legal process.</w:t>
      </w:r>
    </w:p>
    <w:p>
      <w:pPr>
        <w:spacing w:after="0" w:line="177" w:lineRule="exact"/>
        <w:rPr>
          <w:sz w:val="20"/>
          <w:szCs w:val="20"/>
          <w:color w:val="auto"/>
        </w:rPr>
      </w:pPr>
    </w:p>
    <w:p>
      <w:pPr>
        <w:ind w:left="864" w:hanging="864"/>
        <w:spacing w:after="0"/>
        <w:tabs>
          <w:tab w:leader="none" w:pos="86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p>
    <w:p>
      <w:pPr>
        <w:spacing w:after="0" w:line="243" w:lineRule="exact"/>
        <w:rPr>
          <w:sz w:val="20"/>
          <w:szCs w:val="20"/>
          <w:color w:val="auto"/>
        </w:rPr>
      </w:pPr>
    </w:p>
    <w:p>
      <w:pPr>
        <w:jc w:val="both"/>
        <w:ind w:left="644"/>
        <w:spacing w:after="0" w:line="279" w:lineRule="auto"/>
        <w:rPr>
          <w:sz w:val="20"/>
          <w:szCs w:val="20"/>
          <w:color w:val="auto"/>
        </w:rPr>
      </w:pPr>
      <w:r>
        <w:rPr>
          <w:rFonts w:ascii="Arial" w:cs="Arial" w:eastAsia="Arial" w:hAnsi="Arial"/>
          <w:sz w:val="17"/>
          <w:szCs w:val="17"/>
          <w:color w:val="auto"/>
        </w:rPr>
        <w:t>By signing this Separation Agreement, you acknowledge that you will be solely responsible for any taxes which may be imposed on you as a result of the Severance Benefits, all amounts payable to you under this Separation Agreement will be subject to applicable tax withholding by the Company, and the Company has not made any representations or guarantees regarding the tax result for you with respect to any income recognized by you in connection with this Separation Agreement or the Severance Benefits.</w:t>
      </w:r>
    </w:p>
    <w:p>
      <w:pPr>
        <w:spacing w:after="0" w:line="194" w:lineRule="exact"/>
        <w:rPr>
          <w:sz w:val="20"/>
          <w:szCs w:val="20"/>
          <w:color w:val="auto"/>
        </w:rPr>
      </w:pPr>
    </w:p>
    <w:p>
      <w:pPr>
        <w:ind w:left="864" w:hanging="864"/>
        <w:spacing w:after="0"/>
        <w:tabs>
          <w:tab w:leader="none" w:pos="86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Agreement</w:t>
      </w:r>
    </w:p>
    <w:p>
      <w:pPr>
        <w:spacing w:after="0" w:line="243" w:lineRule="exact"/>
        <w:rPr>
          <w:sz w:val="20"/>
          <w:szCs w:val="20"/>
          <w:color w:val="auto"/>
        </w:rPr>
      </w:pPr>
    </w:p>
    <w:p>
      <w:pPr>
        <w:jc w:val="both"/>
        <w:ind w:left="644"/>
        <w:spacing w:after="0" w:line="286" w:lineRule="auto"/>
        <w:rPr>
          <w:sz w:val="20"/>
          <w:szCs w:val="20"/>
          <w:color w:val="auto"/>
        </w:rPr>
      </w:pPr>
      <w:r>
        <w:rPr>
          <w:rFonts w:ascii="Arial" w:cs="Arial" w:eastAsia="Arial" w:hAnsi="Arial"/>
          <w:sz w:val="16"/>
          <w:szCs w:val="16"/>
          <w:color w:val="auto"/>
        </w:rPr>
        <w:t>By signing this Separation Agreement, you acknowledge that you are doing so freely, knowingly and voluntarily. You acknowledge that in signing this Separation Agreement you have relied only on the promises written in this Separation Agreement and not on any other promise made by the Company or TriMas Companies. This Separation Agreement is not, and will not be considered, an admission of liability or of a violation of any applicable contract, law, rule, regulation, or order of any kind. This Separation Agreement contains the entire agreement between the Company, other TriMas Companies and you regarding your departure from the Company, except that all post-employment covenants contained in the Severance Policy remain in full force and effect. The Severance Benefits are in full satisfaction of any severance benefits under the Severance Policy and of any other compensation arrangements between you and the Company. This Separation Agreement may not be altered, modified, waived or amended except by a written document signed by a duly authorized representative of the Company and you. Except as otherwise explicitly provided, this Separation Agreement will be interpreted and enforced in accordance with the laws of the state of Michigan, and the parties hereto, including their successors and assigns, consent to the jurisdiction of the state and federal courts of Michigan. The headings in this document are for reference only, and shall not in any way affect the meaning or interpretation of this Separation Agreement. Nothing in this Separation Agreement shall be binding on the parties to the extent it is void or unenforceable. The provisions of this Separation Agreement are severable. If any provision of this Separation Agreement is ruled unenforceable or invalid, such ruling shall not affect the enforceability or validity of other provisions of this Separation Agreement.</w:t>
      </w:r>
    </w:p>
    <w:p>
      <w:pPr>
        <w:spacing w:after="0" w:line="388" w:lineRule="exact"/>
        <w:rPr>
          <w:sz w:val="20"/>
          <w:szCs w:val="20"/>
          <w:color w:val="auto"/>
        </w:rPr>
      </w:pPr>
    </w:p>
    <w:p>
      <w:pPr>
        <w:ind w:left="3804"/>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68"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584"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IN WITNESS WHEREOF, you and the Company have executed this Separation Agreement as of the dates set forth below.</w:t>
      </w:r>
    </w:p>
    <w:p>
      <w:pPr>
        <w:sectPr>
          <w:pgSz w:w="11900" w:h="16838" w:orient="portrait"/>
          <w:cols w:equalWidth="0" w:num="1">
            <w:col w:w="10219"/>
          </w:cols>
          <w:pgMar w:left="240" w:top="5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DAVID M. WATHEN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 David M. Wathen</w:t>
      </w:r>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Date: Aug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TRIMAS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 /s/ Samuel Valenti III</w:t>
      </w:r>
    </w:p>
    <w:p>
      <w:pPr>
        <w:spacing w:after="0" w:line="117" w:lineRule="exact"/>
        <w:rPr>
          <w:sz w:val="20"/>
          <w:szCs w:val="20"/>
          <w:color w:val="auto"/>
        </w:rPr>
      </w:pPr>
    </w:p>
    <w:p>
      <w:pPr>
        <w:jc w:val="right"/>
        <w:ind w:right="3539"/>
        <w:spacing w:after="0"/>
        <w:rPr>
          <w:sz w:val="20"/>
          <w:szCs w:val="20"/>
          <w:color w:val="auto"/>
        </w:rPr>
      </w:pPr>
      <w:r>
        <w:rPr>
          <w:rFonts w:ascii="Arial" w:cs="Arial" w:eastAsia="Arial" w:hAnsi="Arial"/>
          <w:sz w:val="18"/>
          <w:szCs w:val="18"/>
          <w:color w:val="auto"/>
        </w:rPr>
        <w:t>Name: Samuel Valenti III</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Chairman</w:t>
      </w:r>
    </w:p>
    <w:p>
      <w:pPr>
        <w:spacing w:after="0" w:line="200" w:lineRule="exact"/>
        <w:rPr>
          <w:sz w:val="20"/>
          <w:szCs w:val="20"/>
          <w:color w:val="auto"/>
        </w:rPr>
      </w:pPr>
    </w:p>
    <w:p>
      <w:pPr>
        <w:spacing w:after="0" w:line="33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Date: Aug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584" w:right="1440" w:bottom="1440" w:gutter="0" w:footer="0" w:header="0"/>
          <w:type w:val="continuous"/>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Severance and Other Benefits*</w:t>
      </w:r>
    </w:p>
    <w:p>
      <w:pPr>
        <w:spacing w:after="0" w:line="211" w:lineRule="exact"/>
        <w:rPr>
          <w:sz w:val="20"/>
          <w:szCs w:val="20"/>
          <w:color w:val="auto"/>
        </w:rPr>
      </w:pPr>
    </w:p>
    <w:p>
      <w:pPr>
        <w:ind w:left="660" w:right="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Severance benefits under the Severance Policy, which severance benefits consist of the following (as further described in, and qualified by reference to, the Severance Policy):</w:t>
      </w:r>
    </w:p>
    <w:p>
      <w:pPr>
        <w:spacing w:after="0" w:line="170" w:lineRule="exact"/>
        <w:rPr>
          <w:rFonts w:ascii="Arial" w:cs="Arial" w:eastAsia="Arial" w:hAnsi="Arial"/>
          <w:sz w:val="18"/>
          <w:szCs w:val="18"/>
          <w:color w:val="auto"/>
        </w:rPr>
      </w:pPr>
    </w:p>
    <w:p>
      <w:pPr>
        <w:ind w:left="1300" w:hanging="320"/>
        <w:spacing w:after="0" w:line="273"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Payment of an amount equal to the product of (a) two, multiplied by (b) the sum of (i) $765,000 (representing your annual base salary (as in effect on the Separation Date)) plus (ii) $860,600 (representing your target short-term incentive award for the 2016 calendar year). This amount will be payable in equal installments in accordance with the Company’s payroll practices as in effect from time to time, commencing on the 60th day following the Separation Date and ending on the last payroll date of the Company in the last month of the 24-month period following the Separation Date, provided that the first such payment shall include all amounts that would have been paid to you in accordance with the Company’s payroll practices if such payments had begun on the Separation Date;</w:t>
      </w:r>
    </w:p>
    <w:p>
      <w:pPr>
        <w:spacing w:after="0" w:line="178" w:lineRule="exact"/>
        <w:rPr>
          <w:rFonts w:ascii="Arial" w:cs="Arial" w:eastAsia="Arial" w:hAnsi="Arial"/>
          <w:sz w:val="17"/>
          <w:szCs w:val="17"/>
          <w:color w:val="auto"/>
        </w:rPr>
      </w:pPr>
    </w:p>
    <w:p>
      <w:pPr>
        <w:ind w:left="1300" w:right="2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Payment of (a) all accrued but unpaid base salary through the Separation Date and (b) earned but unused vacation through the Separation Date. These amounts will be payable by the next payroll date following the Separation Date;</w:t>
      </w:r>
    </w:p>
    <w:p>
      <w:pPr>
        <w:spacing w:after="0" w:line="170"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Payment of your short-term incentive award for the 2016 calendar year, based on actual performance results for the full year and pro-rated based on your Separation Date. This amount will be payable in accordance with the terms of the Company’s applicable short-term incentive program;</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Treatment of outstanding equity awards as follows, subject in all cases to the terms and provisions of the Equity Plan (as defined below):</w:t>
      </w:r>
    </w:p>
    <w:p>
      <w:pPr>
        <w:spacing w:after="0" w:line="248" w:lineRule="exact"/>
        <w:rPr>
          <w:rFonts w:ascii="Arial" w:cs="Arial" w:eastAsia="Arial" w:hAnsi="Arial"/>
          <w:sz w:val="16"/>
          <w:szCs w:val="16"/>
          <w:color w:val="auto"/>
        </w:rPr>
      </w:pPr>
    </w:p>
    <w:p>
      <w:pPr>
        <w:ind w:left="1960" w:hanging="331"/>
        <w:spacing w:after="0" w:line="293" w:lineRule="auto"/>
        <w:tabs>
          <w:tab w:leader="none" w:pos="1960" w:val="left"/>
        </w:tabs>
        <w:numPr>
          <w:ilvl w:val="2"/>
          <w:numId w:val="24"/>
        </w:numPr>
        <w:rPr>
          <w:rFonts w:ascii="Arial" w:cs="Arial" w:eastAsia="Arial" w:hAnsi="Arial"/>
          <w:sz w:val="16"/>
          <w:szCs w:val="16"/>
          <w:color w:val="auto"/>
        </w:rPr>
      </w:pPr>
      <w:r>
        <w:rPr>
          <w:rFonts w:ascii="Arial" w:cs="Arial" w:eastAsia="Arial" w:hAnsi="Arial"/>
          <w:sz w:val="16"/>
          <w:szCs w:val="16"/>
          <w:color w:val="auto"/>
        </w:rPr>
        <w:t>Your unvested equity awards that are outstanding under the 2011 Equity Plan (including any other applicable equity plans, the “Equity Plan”), other than equity awards that are subject to vesting upon the attainment of performance goals, shall vest in an amount equal to (a) the product of (i) the total number of shares subject to such award multiplied by (ii) a fraction, the numerator of which is equal to the number of whole calendar months that have elapsed from the grant date of the applicable award to the Separation Date and the denominator of which is equal to the full number of calendar months in the original vesting period of such award, less (b) the number of shares that had already become vested as of the Separation Date in respect of such award.</w:t>
      </w:r>
    </w:p>
    <w:p>
      <w:pPr>
        <w:spacing w:after="0" w:line="164" w:lineRule="exact"/>
        <w:rPr>
          <w:rFonts w:ascii="Arial" w:cs="Arial" w:eastAsia="Arial" w:hAnsi="Arial"/>
          <w:sz w:val="16"/>
          <w:szCs w:val="16"/>
          <w:color w:val="auto"/>
        </w:rPr>
      </w:pPr>
    </w:p>
    <w:p>
      <w:pPr>
        <w:ind w:left="1960" w:hanging="331"/>
        <w:spacing w:after="0" w:line="284" w:lineRule="auto"/>
        <w:tabs>
          <w:tab w:leader="none" w:pos="1960" w:val="left"/>
        </w:tabs>
        <w:numPr>
          <w:ilvl w:val="2"/>
          <w:numId w:val="24"/>
        </w:numPr>
        <w:rPr>
          <w:rFonts w:ascii="Arial" w:cs="Arial" w:eastAsia="Arial" w:hAnsi="Arial"/>
          <w:sz w:val="16"/>
          <w:szCs w:val="16"/>
          <w:color w:val="auto"/>
        </w:rPr>
      </w:pPr>
      <w:r>
        <w:rPr>
          <w:rFonts w:ascii="Arial" w:cs="Arial" w:eastAsia="Arial" w:hAnsi="Arial"/>
          <w:sz w:val="16"/>
          <w:szCs w:val="16"/>
          <w:color w:val="auto"/>
        </w:rPr>
        <w:t>Notwithstanding the foregoing, any equity awards granted under the Equity Plan that are subject to vesting upon the attainment of performance goals shall become payable in an amount equal to (a) the product of (i) the total number of shares that would be earned at the end of the performance period based on actual performance in accordance with the terms of the governing arrangements under which such performance- based awards were granted multiplied by (ii) a fraction, the numerator of which is equal to the number of whole calendar months that have elapsed from the grant date of the applicable award to the Separation Date and the denominator of which is equal to the full number of calendar months in the vesting period of such award, less (b) the number of shares that had already become vested as of the Separation Date in respect of such award, provided that such award will be settled at the time when awards are settled under the terms of the Equity Plan and applicable award agreements for individuals</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who remain employed through the end of the applicable performance period.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w:t>
      </w:r>
    </w:p>
    <w:p>
      <w:pPr>
        <w:spacing w:after="0" w:line="151" w:lineRule="exact"/>
        <w:rPr>
          <w:sz w:val="20"/>
          <w:szCs w:val="20"/>
          <w:color w:val="auto"/>
        </w:rPr>
      </w:pPr>
    </w:p>
    <w:p>
      <w:pPr>
        <w:ind w:right="560" w:firstLine="656"/>
        <w:spacing w:after="0" w:line="273"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Except as otherwise expressly provided, all benefits are to be paid or provided in the manner and at the time specified in the applicable plan or agreement, or as required under applicable law. All benefits will remain subject to Section 8(B) of the Severance Policy.</w:t>
      </w:r>
    </w:p>
    <w:p>
      <w:pPr>
        <w:sectPr>
          <w:pgSz w:w="11900" w:h="16838" w:orient="portrait"/>
          <w:cols w:equalWidth="0" w:num="1">
            <w:col w:w="11380"/>
          </w:cols>
          <w:pgMar w:left="240" w:top="580" w:right="279" w:bottom="1440" w:gutter="0" w:footer="0" w:header="0"/>
        </w:sectPr>
      </w:pPr>
    </w:p>
    <w:bookmarkStart w:id="50" w:name="page51"/>
    <w:bookmarkEnd w:id="50"/>
    <w:p>
      <w:pPr>
        <w:ind w:left="887" w:hanging="320"/>
        <w:spacing w:after="0" w:line="271" w:lineRule="auto"/>
        <w:tabs>
          <w:tab w:leader="none" w:pos="887" w:val="left"/>
        </w:tabs>
        <w:numPr>
          <w:ilvl w:val="1"/>
          <w:numId w:val="26"/>
        </w:numPr>
        <w:rPr>
          <w:rFonts w:ascii="Arial" w:cs="Arial" w:eastAsia="Arial" w:hAnsi="Arial"/>
          <w:sz w:val="17"/>
          <w:szCs w:val="17"/>
          <w:color w:val="auto"/>
        </w:rPr>
      </w:pPr>
      <w:r>
        <w:rPr>
          <w:rFonts w:ascii="Arial" w:cs="Arial" w:eastAsia="Arial" w:hAnsi="Arial"/>
          <w:sz w:val="17"/>
          <w:szCs w:val="17"/>
          <w:color w:val="auto"/>
        </w:rPr>
        <w:t>If you timely elect to continue group health care coverage under the Consolidated Omnibus Budget Reconciliation Act of 1985 (“COBRA”), and subject to the Company’s COBRA policies, the Company will reimburse you for the employer’s portion of premiums for continued group health coverage under COBRA until the earliest of (a) the termination of your COBRA period, (b) 24 months after the Separation Date, or (c) the date you become eligible to receive any medical benefits under any plan or program of any other employer. In the event that your COBRA period expires, the Company will pay you a monthly amount equal to the monthly contribution that the Company would have paid for your coverage under the applicable group health plan of the Company if you had continued as an employee of the Company until the earlier of (x) 24 months after the Separation Date or (y) the date on which you become eligible to receive any medical benefits under any plan or program of any other employer; and</w:t>
      </w:r>
    </w:p>
    <w:p>
      <w:pPr>
        <w:spacing w:after="0" w:line="178" w:lineRule="exact"/>
        <w:rPr>
          <w:rFonts w:ascii="Arial" w:cs="Arial" w:eastAsia="Arial" w:hAnsi="Arial"/>
          <w:sz w:val="17"/>
          <w:szCs w:val="17"/>
          <w:color w:val="auto"/>
        </w:rPr>
      </w:pPr>
    </w:p>
    <w:p>
      <w:pPr>
        <w:ind w:left="887" w:right="600" w:hanging="320"/>
        <w:spacing w:after="0" w:line="277" w:lineRule="auto"/>
        <w:tabs>
          <w:tab w:leader="none" w:pos="887"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Executive-level outplacement services through a provider of the Company’s choice until the earlier of (a) 12 months following the Separation Date or (b) the date on which you become employed by a subsequent employer.</w:t>
      </w:r>
    </w:p>
    <w:p>
      <w:pPr>
        <w:spacing w:after="0" w:line="170" w:lineRule="exact"/>
        <w:rPr>
          <w:rFonts w:ascii="Arial" w:cs="Arial" w:eastAsia="Arial" w:hAnsi="Arial"/>
          <w:sz w:val="18"/>
          <w:szCs w:val="18"/>
          <w:color w:val="auto"/>
        </w:rPr>
      </w:pPr>
    </w:p>
    <w:p>
      <w:pPr>
        <w:ind w:left="247" w:right="240" w:hanging="247"/>
        <w:spacing w:after="0" w:line="277" w:lineRule="auto"/>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exercisability of vested stock options granted to you under the Equity Plan for 90 days following the Separation Date (but in no event later than the expiration date of the term of the stock option as set forth in the applicable award agreement).</w:t>
      </w:r>
    </w:p>
    <w:p>
      <w:pPr>
        <w:spacing w:after="0" w:line="170" w:lineRule="exact"/>
        <w:rPr>
          <w:rFonts w:ascii="Arial" w:cs="Arial" w:eastAsia="Arial" w:hAnsi="Arial"/>
          <w:sz w:val="18"/>
          <w:szCs w:val="18"/>
          <w:color w:val="auto"/>
        </w:rPr>
      </w:pPr>
    </w:p>
    <w:p>
      <w:pPr>
        <w:ind w:left="247" w:right="660" w:hanging="247"/>
        <w:spacing w:after="0" w:line="308" w:lineRule="auto"/>
        <w:tabs>
          <w:tab w:leader="none" w:pos="247"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Accrued vested benefits under any other benefit plans, programs or arrangements of the Company (including any vested benefits under the Company’s qualified and nonqualified retirement plans), subject to the terms of such plans, programs or arrangements.</w:t>
      </w:r>
    </w:p>
    <w:p>
      <w:pPr>
        <w:sectPr>
          <w:pgSz w:w="11900" w:h="16838" w:orient="portrait"/>
          <w:cols w:equalWidth="0" w:num="1">
            <w:col w:w="10887"/>
          </w:cols>
          <w:pgMar w:left="653" w:top="800"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05803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80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July 22, 2016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Mr. Thomas Amato</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Dear Tom,</w:t>
      </w:r>
    </w:p>
    <w:p>
      <w:pPr>
        <w:spacing w:after="0" w:line="200" w:lineRule="exact"/>
        <w:rPr>
          <w:sz w:val="20"/>
          <w:szCs w:val="20"/>
          <w:color w:val="auto"/>
        </w:rPr>
      </w:pPr>
    </w:p>
    <w:p>
      <w:pPr>
        <w:spacing w:after="0" w:line="25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behalf of the TriMas Board of Directors, we are delighted to extend to you an offer of employment as President and Chief Executive Officer of TriMas Corporation.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you return a signed copy of this letter to us by July 25, 2016, then, subject to the Board's acceptance of this letter, your employment with TriMas will begin on [ ], 2016, or such later date as may be set by the Board ("Start Date").</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also intend to elect you as a member of TriMas Corporation's Board of Directors. As President and CEO, you will report to the Board of Directors. The general terms and conditions of this offer are as follows: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Salary:</w:t>
      </w:r>
      <w:r>
        <w:rPr>
          <w:sz w:val="20"/>
          <w:szCs w:val="20"/>
          <w:color w:val="auto"/>
        </w:rPr>
        <w:tab/>
      </w:r>
      <w:r>
        <w:rPr>
          <w:rFonts w:ascii="Arial" w:cs="Arial" w:eastAsia="Arial" w:hAnsi="Arial"/>
          <w:sz w:val="18"/>
          <w:szCs w:val="18"/>
          <w:color w:val="auto"/>
        </w:rPr>
        <w:t>$625,000 annually; compensation is paid bi-weekly; subject to annual review</w:t>
      </w:r>
    </w:p>
    <w:p>
      <w:pPr>
        <w:spacing w:after="0" w:line="225" w:lineRule="exact"/>
        <w:rPr>
          <w:sz w:val="20"/>
          <w:szCs w:val="20"/>
          <w:color w:val="auto"/>
        </w:rPr>
      </w:pPr>
    </w:p>
    <w:p>
      <w:pPr>
        <w:ind w:left="1300" w:right="180" w:hanging="1296"/>
        <w:spacing w:after="0" w:line="274" w:lineRule="auto"/>
        <w:rPr>
          <w:sz w:val="20"/>
          <w:szCs w:val="20"/>
          <w:color w:val="auto"/>
        </w:rPr>
      </w:pPr>
      <w:r>
        <w:rPr>
          <w:rFonts w:ascii="Arial" w:cs="Arial" w:eastAsia="Arial" w:hAnsi="Arial"/>
          <w:sz w:val="17"/>
          <w:szCs w:val="17"/>
          <w:b w:val="1"/>
          <w:bCs w:val="1"/>
          <w:color w:val="auto"/>
        </w:rPr>
        <w:t xml:space="preserve">Annual Bonus: </w:t>
      </w:r>
      <w:r>
        <w:rPr>
          <w:rFonts w:ascii="Arial" w:cs="Arial" w:eastAsia="Arial" w:hAnsi="Arial"/>
          <w:sz w:val="17"/>
          <w:szCs w:val="17"/>
          <w:color w:val="auto"/>
        </w:rPr>
        <w:t>You will be eligible to participate in the TriMas Short Term Incentive Plan (the “STI Plan”) beginning for fiscal year 2017. Your annual</w:t>
      </w:r>
      <w:r>
        <w:rPr>
          <w:rFonts w:ascii="Arial" w:cs="Arial" w:eastAsia="Arial" w:hAnsi="Arial"/>
          <w:sz w:val="17"/>
          <w:szCs w:val="17"/>
          <w:b w:val="1"/>
          <w:bCs w:val="1"/>
          <w:color w:val="auto"/>
        </w:rPr>
        <w:t xml:space="preserve"> </w:t>
      </w:r>
      <w:r>
        <w:rPr>
          <w:rFonts w:ascii="Arial" w:cs="Arial" w:eastAsia="Arial" w:hAnsi="Arial"/>
          <w:sz w:val="17"/>
          <w:szCs w:val="17"/>
          <w:color w:val="auto"/>
        </w:rPr>
        <w:t>target award will be one hundred percent (100%) of base salary for each year with the potential to achieve two hundred percent (200%) of your base salary. Achievement of this award will be determined by both the performance of TriMas Corporation and your personal performance. It will be one of your responsibilities to recommend to the Compensation Committee and the Board the appropriate metrics and payout ranges for all other executives under the STI Plan, and it is understood that the Board may choose to apply certain specific metrics to evaluate your performance that are different from those for other corporate executives.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Incentives</w:t>
      </w:r>
    </w:p>
    <w:p>
      <w:pPr>
        <w:spacing w:after="0" w:line="27" w:lineRule="exact"/>
        <w:rPr>
          <w:sz w:val="20"/>
          <w:szCs w:val="20"/>
          <w:color w:val="auto"/>
        </w:rPr>
      </w:pPr>
    </w:p>
    <w:p>
      <w:pPr>
        <w:ind w:left="1300" w:right="40" w:hanging="1299"/>
        <w:spacing w:after="0" w:line="255" w:lineRule="auto"/>
        <w:tabs>
          <w:tab w:leader="none" w:pos="1280" w:val="left"/>
        </w:tabs>
        <w:rPr>
          <w:sz w:val="20"/>
          <w:szCs w:val="20"/>
          <w:color w:val="auto"/>
        </w:rPr>
      </w:pPr>
      <w:r>
        <w:rPr>
          <w:rFonts w:ascii="Arial" w:cs="Arial" w:eastAsia="Arial" w:hAnsi="Arial"/>
          <w:sz w:val="18"/>
          <w:szCs w:val="18"/>
          <w:b w:val="1"/>
          <w:bCs w:val="1"/>
          <w:color w:val="auto"/>
        </w:rPr>
        <w:t>Transition:</w:t>
      </w:r>
      <w:r>
        <w:rPr>
          <w:sz w:val="20"/>
          <w:szCs w:val="20"/>
          <w:color w:val="auto"/>
        </w:rPr>
        <w:tab/>
      </w:r>
      <w:r>
        <w:rPr>
          <w:rFonts w:ascii="Arial" w:cs="Arial" w:eastAsia="Arial" w:hAnsi="Arial"/>
          <w:sz w:val="18"/>
          <w:szCs w:val="18"/>
          <w:color w:val="auto"/>
        </w:rPr>
        <w:t>Given that you have not been responsible for setting the targets for the STI Plan or Long Term Incentive Plan (“LTIP”) grants for fiscal year 2016, you will not participate in those programs for plan year 2016. In lieu of that participation, you will receive the long term compensation outlined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w:t>
      </w:r>
    </w:p>
    <w:p>
      <w:pPr>
        <w:spacing w:after="0" w:line="9" w:lineRule="exact"/>
        <w:rPr>
          <w:sz w:val="20"/>
          <w:szCs w:val="20"/>
          <w:color w:val="auto"/>
        </w:rPr>
      </w:pPr>
    </w:p>
    <w:p>
      <w:pPr>
        <w:jc w:val="both"/>
        <w:ind w:left="1300" w:right="60" w:hanging="1299"/>
        <w:spacing w:after="0" w:line="277" w:lineRule="auto"/>
        <w:tabs>
          <w:tab w:leader="none" w:pos="1280" w:val="left"/>
        </w:tabs>
        <w:rPr>
          <w:sz w:val="20"/>
          <w:szCs w:val="20"/>
          <w:color w:val="auto"/>
        </w:rPr>
      </w:pPr>
      <w:r>
        <w:rPr>
          <w:rFonts w:ascii="Arial" w:cs="Arial" w:eastAsia="Arial" w:hAnsi="Arial"/>
          <w:sz w:val="17"/>
          <w:szCs w:val="17"/>
          <w:b w:val="1"/>
          <w:bCs w:val="1"/>
          <w:color w:val="auto"/>
        </w:rPr>
        <w:t>Compensation:</w:t>
      </w:r>
      <w:r>
        <w:rPr>
          <w:sz w:val="20"/>
          <w:szCs w:val="20"/>
          <w:color w:val="auto"/>
        </w:rPr>
        <w:tab/>
      </w:r>
      <w:r>
        <w:rPr>
          <w:rFonts w:ascii="Arial" w:cs="Arial" w:eastAsia="Arial" w:hAnsi="Arial"/>
          <w:sz w:val="17"/>
          <w:szCs w:val="17"/>
          <w:color w:val="auto"/>
        </w:rPr>
        <w:t>On the date of your initial employment with TriMas, you will be granted 150,000 stock options with an exercise price set by the fair market value of TriMas’ stock on the grant date (generally annual vesting in equal increments over a 3 year period, subject to the terms of TriMas’ standard stock option award agreement).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Subsequent Annual LTIP Grants:</w:t>
      </w:r>
    </w:p>
    <w:p>
      <w:pPr>
        <w:spacing w:after="0" w:line="229" w:lineRule="exact"/>
        <w:rPr>
          <w:sz w:val="20"/>
          <w:szCs w:val="20"/>
          <w:color w:val="auto"/>
        </w:rPr>
      </w:pPr>
    </w:p>
    <w:p>
      <w:pPr>
        <w:ind w:left="1300" w:right="40"/>
        <w:spacing w:after="0" w:line="342" w:lineRule="auto"/>
        <w:rPr>
          <w:sz w:val="20"/>
          <w:szCs w:val="20"/>
          <w:color w:val="auto"/>
        </w:rPr>
      </w:pPr>
      <w:r>
        <w:rPr>
          <w:rFonts w:ascii="Arial" w:cs="Arial" w:eastAsia="Arial" w:hAnsi="Arial"/>
          <w:sz w:val="16"/>
          <w:szCs w:val="16"/>
          <w:color w:val="auto"/>
        </w:rPr>
        <w:t>Assuming satisfactory performance and continued employment, it is the Board's intention that starting for plan year 2017, you will receive annual LTIP grants. It will be one of your responsibilities to recommend to the Compensation Committee and the Board appropriate metrics</w:t>
      </w:r>
    </w:p>
    <w:p>
      <w:pPr>
        <w:sectPr>
          <w:pgSz w:w="11900" w:h="16838" w:orient="portrait"/>
          <w:cols w:equalWidth="0" w:num="1">
            <w:col w:w="11420"/>
          </w:cols>
          <w:pgMar w:left="240" w:top="580" w:right="239" w:bottom="1440" w:gutter="0" w:footer="0" w:header="0"/>
        </w:sectPr>
      </w:pPr>
    </w:p>
    <w:bookmarkStart w:id="52" w:name="page53"/>
    <w:bookmarkEnd w:id="52"/>
    <w:p>
      <w:pPr>
        <w:ind w:left="1300" w:right="420"/>
        <w:spacing w:after="0" w:line="277" w:lineRule="auto"/>
        <w:rPr>
          <w:sz w:val="20"/>
          <w:szCs w:val="20"/>
          <w:color w:val="auto"/>
        </w:rPr>
      </w:pPr>
      <w:r>
        <w:rPr>
          <w:rFonts w:ascii="Arial" w:cs="Arial" w:eastAsia="Arial" w:hAnsi="Arial"/>
          <w:sz w:val="18"/>
          <w:szCs w:val="18"/>
          <w:color w:val="auto"/>
        </w:rPr>
        <w:t>for TriMas' LTIP target grants. The Board will make future grants based on individual and company performance targets and in a form established by the Board.</w:t>
      </w:r>
    </w:p>
    <w:p>
      <w:pPr>
        <w:spacing w:after="0" w:line="170" w:lineRule="exact"/>
        <w:rPr>
          <w:sz w:val="20"/>
          <w:szCs w:val="20"/>
          <w:color w:val="auto"/>
        </w:rPr>
      </w:pPr>
    </w:p>
    <w:p>
      <w:pPr>
        <w:ind w:left="1300" w:right="160"/>
        <w:spacing w:after="0" w:line="259" w:lineRule="auto"/>
        <w:rPr>
          <w:sz w:val="20"/>
          <w:szCs w:val="20"/>
          <w:color w:val="auto"/>
        </w:rPr>
      </w:pPr>
      <w:r>
        <w:rPr>
          <w:rFonts w:ascii="Arial" w:cs="Arial" w:eastAsia="Arial" w:hAnsi="Arial"/>
          <w:sz w:val="18"/>
          <w:szCs w:val="18"/>
          <w:color w:val="auto"/>
        </w:rPr>
        <w:t>Subject to the approval of the Compensation Committee, you will be eligible for a target annual LTIP grant with an expected value of $2,000,000, starting with the March 2017 grant, which will be made in the form of at least 50% in Performance Stock Units (same plan design as other executives which currently uses relative total shareholder return vs. peers) with the balance in time-based Restricted Stock Units.</w:t>
      </w:r>
    </w:p>
    <w:p>
      <w:pPr>
        <w:spacing w:after="0" w:line="183" w:lineRule="exact"/>
        <w:rPr>
          <w:sz w:val="20"/>
          <w:szCs w:val="20"/>
          <w:color w:val="auto"/>
        </w:rPr>
      </w:pPr>
    </w:p>
    <w:p>
      <w:pPr>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Benefits:</w:t>
      </w:r>
      <w:r>
        <w:rPr>
          <w:sz w:val="20"/>
          <w:szCs w:val="20"/>
          <w:color w:val="auto"/>
        </w:rPr>
        <w:tab/>
      </w:r>
      <w:r>
        <w:rPr>
          <w:rFonts w:ascii="Arial" w:cs="Arial" w:eastAsia="Arial" w:hAnsi="Arial"/>
          <w:sz w:val="18"/>
          <w:szCs w:val="18"/>
          <w:color w:val="auto"/>
        </w:rPr>
        <w:t>You will be eligible to participate in the TriMas benefits program for senior executives. Additionally, TriMas will provide health care, group life insurance, short &amp; long-term disability coverage, accidental death &amp; dismemberment insurance and executive retirement benefits that are available to all employees. TriMas requires dependent verification be provided for each dependent covered under the TriMas plans to confirm dependent eligibility. TriMas does not allow personal use of corporate aircraft.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w:t>
      </w:r>
    </w:p>
    <w:p>
      <w:pPr>
        <w:spacing w:after="0" w:line="27" w:lineRule="exact"/>
        <w:rPr>
          <w:sz w:val="20"/>
          <w:szCs w:val="20"/>
          <w:color w:val="auto"/>
        </w:rPr>
      </w:pPr>
    </w:p>
    <w:p>
      <w:pPr>
        <w:ind w:left="1300" w:right="220" w:hanging="1299"/>
        <w:spacing w:after="0" w:line="295" w:lineRule="auto"/>
        <w:tabs>
          <w:tab w:leader="none" w:pos="1280" w:val="left"/>
        </w:tabs>
        <w:rPr>
          <w:sz w:val="20"/>
          <w:szCs w:val="20"/>
          <w:color w:val="auto"/>
        </w:rPr>
      </w:pPr>
      <w:r>
        <w:rPr>
          <w:rFonts w:ascii="Arial" w:cs="Arial" w:eastAsia="Arial" w:hAnsi="Arial"/>
          <w:sz w:val="16"/>
          <w:szCs w:val="16"/>
          <w:b w:val="1"/>
          <w:bCs w:val="1"/>
          <w:color w:val="auto"/>
        </w:rPr>
        <w:t>Savings:</w:t>
      </w:r>
      <w:r>
        <w:rPr>
          <w:sz w:val="20"/>
          <w:szCs w:val="20"/>
          <w:color w:val="auto"/>
        </w:rPr>
        <w:tab/>
      </w:r>
      <w:r>
        <w:rPr>
          <w:rFonts w:ascii="Arial" w:cs="Arial" w:eastAsia="Arial" w:hAnsi="Arial"/>
          <w:sz w:val="16"/>
          <w:szCs w:val="16"/>
          <w:color w:val="auto"/>
        </w:rPr>
        <w:t>Participation in the Company’s 401(k) program at the same level of all other employees and inclusion in any other retirement program approved by the Board that is open to other executives and top officers. A few of our existing senior executives are participants in a Supplemental Executive Retirement Program (“SERP”). It is the Board’s intention to phase out these plans, and consequently, SERPs are not being offered to new executives. You will, however, participate in the Compensation Limit Restoration Plan.</w:t>
      </w:r>
    </w:p>
    <w:p>
      <w:pPr>
        <w:spacing w:after="0" w:line="158" w:lineRule="exact"/>
        <w:rPr>
          <w:sz w:val="20"/>
          <w:szCs w:val="20"/>
          <w:color w:val="auto"/>
        </w:rPr>
      </w:pPr>
    </w:p>
    <w:p>
      <w:pPr>
        <w:ind w:left="1300" w:right="200" w:hanging="1299"/>
        <w:spacing w:after="0" w:line="277" w:lineRule="auto"/>
        <w:tabs>
          <w:tab w:leader="none" w:pos="1280" w:val="left"/>
        </w:tabs>
        <w:rPr>
          <w:sz w:val="20"/>
          <w:szCs w:val="20"/>
          <w:color w:val="auto"/>
        </w:rPr>
      </w:pPr>
      <w:r>
        <w:rPr>
          <w:rFonts w:ascii="Arial" w:cs="Arial" w:eastAsia="Arial" w:hAnsi="Arial"/>
          <w:sz w:val="18"/>
          <w:szCs w:val="18"/>
          <w:b w:val="1"/>
          <w:bCs w:val="1"/>
          <w:color w:val="auto"/>
        </w:rPr>
        <w:t>Perquisites:</w:t>
      </w:r>
      <w:r>
        <w:rPr>
          <w:sz w:val="20"/>
          <w:szCs w:val="20"/>
          <w:color w:val="auto"/>
        </w:rPr>
        <w:tab/>
      </w:r>
      <w:r>
        <w:rPr>
          <w:rFonts w:ascii="Arial" w:cs="Arial" w:eastAsia="Arial" w:hAnsi="Arial"/>
          <w:sz w:val="18"/>
          <w:szCs w:val="18"/>
          <w:color w:val="auto"/>
        </w:rPr>
        <w:t>Existing executives have the benefit of a cash perquisite plan that replaced a package of prior benefits. It is the Board’s intention to phase out these plans, and, consequently, such perquisites are not being offered to new executives.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w:t>
      </w:r>
    </w:p>
    <w:p>
      <w:pPr>
        <w:spacing w:after="0" w:line="27" w:lineRule="exact"/>
        <w:rPr>
          <w:sz w:val="20"/>
          <w:szCs w:val="20"/>
          <w:color w:val="auto"/>
        </w:rPr>
      </w:pPr>
    </w:p>
    <w:p>
      <w:pPr>
        <w:ind w:left="1300" w:right="240" w:hanging="1299"/>
        <w:spacing w:after="0" w:line="253" w:lineRule="auto"/>
        <w:tabs>
          <w:tab w:leader="none" w:pos="1280" w:val="left"/>
        </w:tabs>
        <w:rPr>
          <w:sz w:val="20"/>
          <w:szCs w:val="20"/>
          <w:color w:val="auto"/>
        </w:rPr>
      </w:pPr>
      <w:r>
        <w:rPr>
          <w:rFonts w:ascii="Arial" w:cs="Arial" w:eastAsia="Arial" w:hAnsi="Arial"/>
          <w:sz w:val="18"/>
          <w:szCs w:val="18"/>
          <w:b w:val="1"/>
          <w:bCs w:val="1"/>
          <w:color w:val="auto"/>
        </w:rPr>
        <w:t>Policy:</w:t>
      </w:r>
      <w:r>
        <w:rPr>
          <w:sz w:val="20"/>
          <w:szCs w:val="20"/>
          <w:color w:val="auto"/>
        </w:rPr>
        <w:tab/>
      </w:r>
      <w:r>
        <w:rPr>
          <w:rFonts w:ascii="Arial" w:cs="Arial" w:eastAsia="Arial" w:hAnsi="Arial"/>
          <w:sz w:val="18"/>
          <w:szCs w:val="18"/>
          <w:color w:val="auto"/>
        </w:rPr>
        <w:t>The protections of the TriMas Executive Severance/Change of Control Policy will be applicable to you as President and Chief Executive Officer. However, the Board intends to make some modifications to these provisions. In the event of a “Termination without Cause” (as described in such policy), you will receive cash severance equal to 1x the sum of base salary and target bonus, and in the event of a “Termination Following a Change of Control” (as described in such policy), you will receive cash severance equal to 2x the sum of base salary and target bonus.</w:t>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Vacation:</w:t>
      </w:r>
      <w:r>
        <w:rPr>
          <w:sz w:val="20"/>
          <w:szCs w:val="20"/>
          <w:color w:val="auto"/>
        </w:rPr>
        <w:tab/>
      </w:r>
      <w:r>
        <w:rPr>
          <w:rFonts w:ascii="Arial" w:cs="Arial" w:eastAsia="Arial" w:hAnsi="Arial"/>
          <w:sz w:val="18"/>
          <w:szCs w:val="18"/>
          <w:color w:val="auto"/>
        </w:rPr>
        <w:t>You will be entitled to four (4) weeks of vacation annually.</w:t>
      </w:r>
    </w:p>
    <w:p>
      <w:pPr>
        <w:sectPr>
          <w:pgSz w:w="11900" w:h="16838" w:orient="portrait"/>
          <w:cols w:equalWidth="0" w:num="1">
            <w:col w:w="11400"/>
          </w:cols>
          <w:pgMar w:left="240" w:top="584" w:right="259" w:bottom="1440" w:gutter="0" w:footer="0" w:header="0"/>
        </w:sectPr>
      </w:pPr>
    </w:p>
    <w:bookmarkStart w:id="53" w:name="page54"/>
    <w:bookmarkEnd w:id="53"/>
    <w:p>
      <w:pPr>
        <w:ind w:left="1220" w:right="200"/>
        <w:spacing w:after="0" w:line="277" w:lineRule="auto"/>
        <w:rPr>
          <w:sz w:val="20"/>
          <w:szCs w:val="20"/>
          <w:color w:val="auto"/>
        </w:rPr>
      </w:pPr>
      <w:r>
        <w:rPr>
          <w:rFonts w:ascii="Arial" w:cs="Arial" w:eastAsia="Arial" w:hAnsi="Arial"/>
          <w:sz w:val="18"/>
          <w:szCs w:val="18"/>
          <w:color w:val="auto"/>
        </w:rPr>
        <w:t>We are looking forward to having you become President and Chief Executive Officer of TriMas Corporation. We are highly confident in your ability to lead the organization in the successful growth and performance of the business.</w:t>
      </w:r>
    </w:p>
    <w:p>
      <w:pPr>
        <w:spacing w:after="0" w:line="197" w:lineRule="exact"/>
        <w:rPr>
          <w:sz w:val="20"/>
          <w:szCs w:val="20"/>
          <w:color w:val="auto"/>
        </w:rPr>
      </w:pPr>
    </w:p>
    <w:p>
      <w:pPr>
        <w:jc w:val="both"/>
        <w:ind w:left="1220"/>
        <w:spacing w:after="0" w:line="257" w:lineRule="auto"/>
        <w:rPr>
          <w:sz w:val="20"/>
          <w:szCs w:val="20"/>
          <w:color w:val="auto"/>
        </w:rPr>
      </w:pPr>
      <w:r>
        <w:rPr>
          <w:rFonts w:ascii="Arial" w:cs="Arial" w:eastAsia="Arial" w:hAnsi="Arial"/>
          <w:sz w:val="18"/>
          <w:szCs w:val="18"/>
          <w:color w:val="auto"/>
        </w:rPr>
        <w:t>This letter is not intended to be a contract of employment. It describes the initial terms of employment that will apply. The Board reserves the right to modify the terms of your employment at any time, and your employment can be terminated by you or the company at any time with or without reason, subject to the TriMas Executive Severance/Change of Control policy (as that policy may be modified from time to time). If this letter accurately reflects your understanding of the offer, please indicate your understanding and acceptance by signing a copy of this letter and returning it to us.</w:t>
      </w: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/s/ Samuel Valenti, III</w:t>
            </w:r>
          </w:p>
        </w:tc>
        <w:tc>
          <w:tcPr>
            <w:tcW w:w="3740" w:type="dxa"/>
            <w:vAlign w:val="bottom"/>
          </w:tcPr>
          <w:p>
            <w:pPr>
              <w:ind w:left="20"/>
              <w:spacing w:after="0"/>
              <w:rPr>
                <w:sz w:val="20"/>
                <w:szCs w:val="20"/>
                <w:color w:val="auto"/>
              </w:rPr>
            </w:pPr>
            <w:r>
              <w:rPr>
                <w:rFonts w:ascii="Arial" w:cs="Arial" w:eastAsia="Arial" w:hAnsi="Arial"/>
                <w:sz w:val="18"/>
                <w:szCs w:val="18"/>
                <w:color w:val="auto"/>
              </w:rPr>
              <w:t>/s/ Daniel P. Tredwell</w:t>
            </w:r>
          </w:p>
        </w:tc>
      </w:tr>
      <w:tr>
        <w:trPr>
          <w:trHeight w:val="27"/>
        </w:trPr>
        <w:tc>
          <w:tcPr>
            <w:tcW w:w="3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Samuel Valenti, III</w:t>
            </w:r>
          </w:p>
        </w:tc>
        <w:tc>
          <w:tcPr>
            <w:tcW w:w="37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3740" w:type="dxa"/>
            <w:vAlign w:val="bottom"/>
          </w:tcPr>
          <w:p>
            <w:pPr>
              <w:ind w:left="20"/>
              <w:spacing w:after="0"/>
              <w:rPr>
                <w:sz w:val="20"/>
                <w:szCs w:val="20"/>
                <w:color w:val="auto"/>
              </w:rPr>
            </w:pPr>
            <w:r>
              <w:rPr>
                <w:rFonts w:ascii="Arial" w:cs="Arial" w:eastAsia="Arial" w:hAnsi="Arial"/>
                <w:sz w:val="18"/>
                <w:szCs w:val="18"/>
                <w:color w:val="auto"/>
              </w:rPr>
              <w:t>TriMas Corporation</w:t>
            </w:r>
          </w:p>
        </w:tc>
      </w:tr>
      <w:tr>
        <w:trPr>
          <w:trHeight w:val="27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TriMas Corporation</w:t>
            </w:r>
          </w:p>
        </w:tc>
        <w:tc>
          <w:tcPr>
            <w:tcW w:w="3740" w:type="dxa"/>
            <w:vAlign w:val="bottom"/>
          </w:tcPr>
          <w:p>
            <w:pPr>
              <w:spacing w:after="0"/>
              <w:rPr>
                <w:sz w:val="23"/>
                <w:szCs w:val="23"/>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387"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 Thomas A. Amato</w:t>
            </w:r>
          </w:p>
        </w:tc>
        <w:tc>
          <w:tcPr>
            <w:tcW w:w="3960" w:type="dxa"/>
            <w:vAlign w:val="bottom"/>
          </w:tcPr>
          <w:p>
            <w:pPr>
              <w:ind w:left="20"/>
              <w:spacing w:after="0"/>
              <w:rPr>
                <w:sz w:val="20"/>
                <w:szCs w:val="20"/>
                <w:color w:val="auto"/>
              </w:rPr>
            </w:pPr>
            <w:r>
              <w:rPr>
                <w:rFonts w:ascii="Arial" w:cs="Arial" w:eastAsia="Arial" w:hAnsi="Arial"/>
                <w:sz w:val="18"/>
                <w:szCs w:val="18"/>
                <w:color w:val="auto"/>
              </w:rPr>
              <w:t>July 23, 2016</w:t>
            </w:r>
          </w:p>
        </w:tc>
      </w:tr>
      <w:tr>
        <w:trPr>
          <w:trHeight w:val="27"/>
        </w:trPr>
        <w:tc>
          <w:tcPr>
            <w:tcW w:w="4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Thomas A. Amato</w:t>
            </w:r>
          </w:p>
        </w:tc>
        <w:tc>
          <w:tcPr>
            <w:tcW w:w="396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240"/>
          </w:cols>
          <w:pgMar w:left="320" w:top="598" w:right="339" w:bottom="1440" w:gutter="0" w:footer="0" w:header="0"/>
        </w:sectPr>
      </w:pPr>
    </w:p>
    <w:bookmarkStart w:id="54" w:name="page55"/>
    <w:bookmarkEnd w:id="54"/>
    <w:p>
      <w:pPr>
        <w:ind w:left="104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COMPENSATION PLAN, AS AMENDED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00" w:lineRule="exact"/>
        <w:rPr>
          <w:sz w:val="20"/>
          <w:szCs w:val="20"/>
          <w:color w:val="auto"/>
        </w:rPr>
      </w:pPr>
    </w:p>
    <w:p>
      <w:pPr>
        <w:spacing w:after="0" w:line="24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TriMas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pursuant to its 2011 Omnibus Incentive Compensation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Optionee listed below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a Non-Qualified Option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to purchase the number of shares of Stock set forth below, subject to the terms and conditions of the Plan and this Non-Qualified Stock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in this Agreement, the terms defined in the Plan shall have the same defined meanings in this Agreement.</w:t>
      </w:r>
    </w:p>
    <w:p>
      <w:pPr>
        <w:spacing w:after="0" w:line="22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OF NON-QUALIFIED STOCK OPTION GRANT (“</w:t>
      </w:r>
      <w:r>
        <w:rPr>
          <w:rFonts w:ascii="Arial" w:cs="Arial" w:eastAsia="Arial" w:hAnsi="Arial"/>
          <w:sz w:val="18"/>
          <w:szCs w:val="18"/>
          <w:b w:val="1"/>
          <w:bCs w:val="1"/>
          <w:i w:val="1"/>
          <w:iCs w:val="1"/>
          <w:u w:val="single" w:color="auto"/>
          <w:color w:val="auto"/>
        </w:rPr>
        <w:t>NOTICE OF GRANT</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Optionee:</w:t>
      </w:r>
      <w:r>
        <w:rPr>
          <w:sz w:val="20"/>
          <w:szCs w:val="20"/>
          <w:color w:val="auto"/>
        </w:rPr>
        <w:tab/>
      </w:r>
      <w:r>
        <w:rPr>
          <w:rFonts w:ascii="Arial" w:cs="Arial" w:eastAsia="Arial" w:hAnsi="Arial"/>
          <w:sz w:val="18"/>
          <w:szCs w:val="18"/>
          <w:b w:val="1"/>
          <w:bCs w:val="1"/>
          <w:color w:val="auto"/>
        </w:rPr>
        <w:t>[insert Optionee]</w:t>
      </w:r>
    </w:p>
    <w:p>
      <w:pPr>
        <w:spacing w:after="0" w:line="27" w:lineRule="exact"/>
        <w:rPr>
          <w:sz w:val="20"/>
          <w:szCs w:val="20"/>
          <w:color w:val="auto"/>
        </w:rPr>
      </w:pPr>
    </w:p>
    <w:p>
      <w:pPr>
        <w:spacing w:after="0"/>
        <w:tabs>
          <w:tab w:leader="none" w:pos="2220" w:val="left"/>
        </w:tabs>
        <w:rPr>
          <w:sz w:val="20"/>
          <w:szCs w:val="20"/>
          <w:color w:val="auto"/>
        </w:rPr>
      </w:pPr>
      <w:r>
        <w:rPr>
          <w:rFonts w:ascii="Arial" w:cs="Arial" w:eastAsia="Arial" w:hAnsi="Arial"/>
          <w:sz w:val="18"/>
          <w:szCs w:val="18"/>
          <w:b w:val="1"/>
          <w:bCs w:val="1"/>
          <w:color w:val="auto"/>
        </w:rPr>
        <w:t>Date of Agreement:</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insert date of Agreement]</w:t>
      </w:r>
    </w:p>
    <w:p>
      <w:pPr>
        <w:spacing w:after="0" w:line="9"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b w:val="1"/>
          <w:bCs w:val="1"/>
          <w:color w:val="auto"/>
        </w:rPr>
        <w:t>Grant Date (“</w:t>
      </w:r>
      <w:r>
        <w:rPr>
          <w:rFonts w:ascii="Arial" w:cs="Arial" w:eastAsia="Arial" w:hAnsi="Arial"/>
          <w:sz w:val="18"/>
          <w:szCs w:val="18"/>
          <w:b w:val="1"/>
          <w:bCs w:val="1"/>
          <w:i w:val="1"/>
          <w:iCs w:val="1"/>
          <w:color w:val="auto"/>
        </w:rPr>
        <w:t>Date of Grant</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[insert grant date]</w:t>
      </w:r>
    </w:p>
    <w:p>
      <w:pPr>
        <w:spacing w:after="0" w:line="9"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b w:val="1"/>
          <w:bCs w:val="1"/>
          <w:color w:val="auto"/>
        </w:rPr>
        <w:t>Option Price per share of Stock (“</w:t>
      </w:r>
      <w:r>
        <w:rPr>
          <w:rFonts w:ascii="Arial" w:cs="Arial" w:eastAsia="Arial" w:hAnsi="Arial"/>
          <w:sz w:val="18"/>
          <w:szCs w:val="18"/>
          <w:b w:val="1"/>
          <w:bCs w:val="1"/>
          <w:i w:val="1"/>
          <w:iCs w:val="1"/>
          <w:color w:val="auto"/>
        </w:rPr>
        <w:t>Share</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[insert option price]</w:t>
      </w:r>
    </w:p>
    <w:p>
      <w:pPr>
        <w:spacing w:after="0" w:line="9" w:lineRule="exact"/>
        <w:rPr>
          <w:sz w:val="20"/>
          <w:szCs w:val="20"/>
          <w:color w:val="auto"/>
        </w:rPr>
      </w:pPr>
    </w:p>
    <w:p>
      <w:pPr>
        <w:spacing w:after="0"/>
        <w:tabs>
          <w:tab w:leader="none" w:pos="3460" w:val="left"/>
        </w:tabs>
        <w:rPr>
          <w:sz w:val="20"/>
          <w:szCs w:val="20"/>
          <w:color w:val="auto"/>
        </w:rPr>
      </w:pPr>
      <w:r>
        <w:rPr>
          <w:rFonts w:ascii="Arial" w:cs="Arial" w:eastAsia="Arial" w:hAnsi="Arial"/>
          <w:sz w:val="18"/>
          <w:szCs w:val="18"/>
          <w:b w:val="1"/>
          <w:bCs w:val="1"/>
          <w:color w:val="auto"/>
        </w:rPr>
        <w:t>Total Number of Shares Subject to Option:</w:t>
      </w:r>
      <w:r>
        <w:rPr>
          <w:sz w:val="20"/>
          <w:szCs w:val="20"/>
          <w:color w:val="auto"/>
        </w:rPr>
        <w:tab/>
      </w:r>
      <w:r>
        <w:rPr>
          <w:rFonts w:ascii="Arial" w:cs="Arial" w:eastAsia="Arial" w:hAnsi="Arial"/>
          <w:sz w:val="16"/>
          <w:szCs w:val="16"/>
          <w:b w:val="1"/>
          <w:bCs w:val="1"/>
          <w:color w:val="auto"/>
        </w:rPr>
        <w:t>[insert number of shares]</w:t>
      </w:r>
    </w:p>
    <w:p>
      <w:pPr>
        <w:spacing w:after="0" w:line="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b w:val="1"/>
          <w:bCs w:val="1"/>
          <w:color w:val="auto"/>
        </w:rPr>
        <w:t>Term/Expiration Date:</w:t>
      </w:r>
      <w:r>
        <w:rPr>
          <w:sz w:val="20"/>
          <w:szCs w:val="20"/>
          <w:color w:val="auto"/>
        </w:rPr>
        <w:tab/>
      </w:r>
      <w:r>
        <w:rPr>
          <w:rFonts w:ascii="Arial" w:cs="Arial" w:eastAsia="Arial" w:hAnsi="Arial"/>
          <w:sz w:val="16"/>
          <w:szCs w:val="16"/>
          <w:b w:val="1"/>
          <w:bCs w:val="1"/>
          <w:color w:val="auto"/>
        </w:rPr>
        <w:t>[insert term/expiration date]</w:t>
      </w:r>
    </w:p>
    <w:p>
      <w:pPr>
        <w:spacing w:after="0" w:line="207"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Type of Option:</w:t>
      </w:r>
      <w:r>
        <w:rPr>
          <w:sz w:val="20"/>
          <w:szCs w:val="20"/>
          <w:color w:val="auto"/>
        </w:rPr>
        <w:tab/>
      </w:r>
      <w:r>
        <w:rPr>
          <w:rFonts w:ascii="Arial" w:cs="Arial" w:eastAsia="Arial" w:hAnsi="Arial"/>
          <w:sz w:val="17"/>
          <w:szCs w:val="17"/>
          <w:color w:val="auto"/>
        </w:rPr>
        <w:t>Non-Qualified Option</w:t>
      </w:r>
    </w:p>
    <w:p>
      <w:pPr>
        <w:spacing w:after="0" w:line="225" w:lineRule="exact"/>
        <w:rPr>
          <w:sz w:val="20"/>
          <w:szCs w:val="20"/>
          <w:color w:val="auto"/>
        </w:rPr>
      </w:pPr>
    </w:p>
    <w:p>
      <w:pPr>
        <w:ind w:left="1960" w:right="140" w:hanging="1944"/>
        <w:spacing w:after="0" w:line="264" w:lineRule="auto"/>
        <w:tabs>
          <w:tab w:leader="none" w:pos="194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color w:val="auto"/>
        </w:rPr>
        <w:t>Subject to the terms of the Plan and this Agreement, this Option shall vest and become exercisable with respect to 33-1/3% of the Shares subject hereto on each of the first three anniversaries of the Date of Grant, subject to Optionee’s continued status as a Service Provider through each such date.</w:t>
      </w:r>
    </w:p>
    <w:p>
      <w:pPr>
        <w:spacing w:after="0" w:line="181" w:lineRule="exact"/>
        <w:rPr>
          <w:sz w:val="20"/>
          <w:szCs w:val="20"/>
          <w:color w:val="auto"/>
        </w:rPr>
      </w:pPr>
    </w:p>
    <w:p>
      <w:pPr>
        <w:ind w:left="1960" w:hanging="1944"/>
        <w:spacing w:after="0" w:line="255" w:lineRule="auto"/>
        <w:tabs>
          <w:tab w:leader="none" w:pos="1940" w:val="left"/>
        </w:tabs>
        <w:rPr>
          <w:sz w:val="20"/>
          <w:szCs w:val="20"/>
          <w:color w:val="auto"/>
        </w:rPr>
      </w:pPr>
      <w:r>
        <w:rPr>
          <w:rFonts w:ascii="Arial" w:cs="Arial" w:eastAsia="Arial" w:hAnsi="Arial"/>
          <w:sz w:val="18"/>
          <w:szCs w:val="18"/>
          <w:b w:val="1"/>
          <w:bCs w:val="1"/>
          <w:color w:val="auto"/>
        </w:rPr>
        <w:t>Termination Period:</w:t>
      </w:r>
      <w:r>
        <w:rPr>
          <w:sz w:val="20"/>
          <w:szCs w:val="20"/>
          <w:color w:val="auto"/>
        </w:rPr>
        <w:tab/>
      </w:r>
      <w:r>
        <w:rPr>
          <w:rFonts w:ascii="Arial" w:cs="Arial" w:eastAsia="Arial" w:hAnsi="Arial"/>
          <w:sz w:val="18"/>
          <w:szCs w:val="18"/>
          <w:color w:val="auto"/>
        </w:rPr>
        <w:t>Except in the event of a termination of Optionee’s continued status as a Service Provider by the Corporation for Cause, this Option may be exercised, to the extent vested, for ninety (90) days after Optionee ceases to be a Service Provider, or such longer period as may be applicable upon the death or Disability of Optionee as provided herein, but in no event later than the Term/Expiration Date as provided above. In the event that Optionee’s service with the Corporation is terminated by the Corporation for Cause, the Option shall terminate without consideration with respect to all Shares subject hereto (whether vested or unvested) as of the start of business on the date of such termination.</w:t>
      </w:r>
    </w:p>
    <w:p>
      <w:pPr>
        <w:spacing w:after="0" w:line="200" w:lineRule="exact"/>
        <w:rPr>
          <w:sz w:val="20"/>
          <w:szCs w:val="20"/>
          <w:color w:val="auto"/>
        </w:rPr>
      </w:pPr>
    </w:p>
    <w:p>
      <w:pPr>
        <w:spacing w:after="0" w:line="20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52" w:lineRule="exact"/>
        <w:rPr>
          <w:rFonts w:ascii="Arial" w:cs="Arial" w:eastAsia="Arial" w:hAnsi="Arial"/>
          <w:sz w:val="18"/>
          <w:szCs w:val="18"/>
          <w:b w:val="1"/>
          <w:bCs w:val="1"/>
          <w:color w:val="auto"/>
        </w:rPr>
      </w:pPr>
    </w:p>
    <w:p>
      <w:pPr>
        <w:ind w:right="120" w:firstLine="656"/>
        <w:spacing w:after="0" w:line="308" w:lineRule="auto"/>
        <w:tabs>
          <w:tab w:leader="none" w:pos="1471"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The Corporation has granted to Optionee an Option to purchase the number of Shares set forth in the Notice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at the Option Price set forth in the Notice of Grant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Notwithstanding anything to the contrary anywhere else in this Agreement, the Option is subject to the terms, definitions and provisions of the Plan, which are incorporated herein by reference. This Option is not intended to constitute an incentive stock option under Section 422 of the Code.</w:t>
      </w:r>
    </w:p>
    <w:p>
      <w:pPr>
        <w:spacing w:after="0" w:line="179" w:lineRule="exact"/>
        <w:rPr>
          <w:rFonts w:ascii="Arial" w:cs="Arial" w:eastAsia="Arial" w:hAnsi="Arial"/>
          <w:sz w:val="18"/>
          <w:szCs w:val="18"/>
          <w:b w:val="1"/>
          <w:bCs w:val="1"/>
          <w:color w:val="auto"/>
        </w:rPr>
      </w:pPr>
    </w:p>
    <w:p>
      <w:pPr>
        <w:ind w:left="1460" w:hanging="804"/>
        <w:spacing w:after="0"/>
        <w:tabs>
          <w:tab w:leader="none" w:pos="1460"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color w:val="auto"/>
        </w:rPr>
        <w:t>. This Option is exercisable as follows:</w:t>
      </w:r>
    </w:p>
    <w:p>
      <w:pPr>
        <w:spacing w:after="0" w:line="269" w:lineRule="exact"/>
        <w:rPr>
          <w:rFonts w:ascii="Arial" w:cs="Arial" w:eastAsia="Arial" w:hAnsi="Arial"/>
          <w:sz w:val="18"/>
          <w:szCs w:val="18"/>
          <w:b w:val="1"/>
          <w:bCs w:val="1"/>
          <w:color w:val="auto"/>
        </w:rPr>
      </w:pPr>
    </w:p>
    <w:p>
      <w:pPr>
        <w:ind w:left="2160" w:hanging="855"/>
        <w:spacing w:after="0"/>
        <w:tabs>
          <w:tab w:leader="none" w:pos="2160"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5" w:name="page56"/>
    <w:bookmarkEnd w:id="55"/>
    <w:p>
      <w:pPr>
        <w:ind w:right="260" w:firstLine="1953"/>
        <w:spacing w:after="0" w:line="324" w:lineRule="auto"/>
        <w:tabs>
          <w:tab w:leader="none" w:pos="27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Option shall be exercisable cumulatively according to the vesting schedule set forth in the Notice of Grant. For purposes of this Agreement, this Option shall vest based on Optionee’s continued status as a Service Provider.</w:t>
      </w:r>
    </w:p>
    <w:p>
      <w:pPr>
        <w:spacing w:after="0" w:line="170" w:lineRule="exact"/>
        <w:rPr>
          <w:rFonts w:ascii="Arial" w:cs="Arial" w:eastAsia="Arial" w:hAnsi="Arial"/>
          <w:sz w:val="18"/>
          <w:szCs w:val="18"/>
          <w:color w:val="auto"/>
        </w:rPr>
      </w:pPr>
    </w:p>
    <w:p>
      <w:pPr>
        <w:ind w:left="2820" w:hanging="867"/>
        <w:spacing w:after="0"/>
        <w:tabs>
          <w:tab w:leader="none" w:pos="2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Option may not be exercised for a fraction of a Share.</w:t>
      </w:r>
    </w:p>
    <w:p>
      <w:pPr>
        <w:spacing w:after="0" w:line="265" w:lineRule="exact"/>
        <w:rPr>
          <w:rFonts w:ascii="Arial" w:cs="Arial" w:eastAsia="Arial" w:hAnsi="Arial"/>
          <w:sz w:val="18"/>
          <w:szCs w:val="18"/>
          <w:color w:val="auto"/>
        </w:rPr>
      </w:pPr>
    </w:p>
    <w:p>
      <w:pPr>
        <w:ind w:right="680" w:firstLine="1953"/>
        <w:spacing w:after="0" w:line="324" w:lineRule="auto"/>
        <w:tabs>
          <w:tab w:leader="none" w:pos="27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event of Optionee’s death, Disability or other termination of Optionee’s status as a Service Provider, the exercisability of the Option shall be governed as set forth in E through H below.</w:t>
      </w:r>
    </w:p>
    <w:p>
      <w:pPr>
        <w:spacing w:after="0" w:line="170" w:lineRule="exact"/>
        <w:rPr>
          <w:rFonts w:ascii="Arial" w:cs="Arial" w:eastAsia="Arial" w:hAnsi="Arial"/>
          <w:sz w:val="18"/>
          <w:szCs w:val="18"/>
          <w:color w:val="auto"/>
        </w:rPr>
      </w:pPr>
    </w:p>
    <w:p>
      <w:pPr>
        <w:ind w:left="2820" w:hanging="867"/>
        <w:spacing w:after="0"/>
        <w:tabs>
          <w:tab w:leader="none" w:pos="28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In no event may this Option be exercised after the date of expiration of the term of this Option as set forth in the Notice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Grant.</w:t>
      </w:r>
    </w:p>
    <w:p>
      <w:pPr>
        <w:spacing w:after="0" w:line="261" w:lineRule="exact"/>
        <w:rPr>
          <w:rFonts w:ascii="Arial" w:cs="Arial" w:eastAsia="Arial" w:hAnsi="Arial"/>
          <w:sz w:val="16"/>
          <w:szCs w:val="16"/>
          <w:color w:val="auto"/>
        </w:rPr>
      </w:pPr>
    </w:p>
    <w:p>
      <w:pPr>
        <w:ind w:right="20" w:firstLine="1305"/>
        <w:spacing w:after="0" w:line="351" w:lineRule="auto"/>
        <w:tabs>
          <w:tab w:leader="none" w:pos="2155"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Exercise</w:t>
      </w:r>
      <w:r>
        <w:rPr>
          <w:rFonts w:ascii="Arial" w:cs="Arial" w:eastAsia="Arial" w:hAnsi="Arial"/>
          <w:sz w:val="16"/>
          <w:szCs w:val="16"/>
          <w:color w:val="auto"/>
        </w:rPr>
        <w:t>. This Option shall be exercisable by written notice (substantially in a form acceptable to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xml:space="preserve">”). The Exercise Notice must state the number of Shares for which the Option is being exercised and contain such other representations and agreements with respect to such Shares as may be required by the Corporation pursuant to the provisions of the Plan. The Exercise Notice must be accompanied by payment of the Exercise Price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payment of any applicable income and employment withholding taxes. This Option shall be deemed to be exercised upon receipt by the Corporation of such Exercise Notice accompanied by the Exercise Price and payment of any applicable withholding taxes.</w:t>
      </w:r>
    </w:p>
    <w:p>
      <w:pPr>
        <w:spacing w:after="0" w:line="131" w:lineRule="exact"/>
        <w:rPr>
          <w:sz w:val="20"/>
          <w:szCs w:val="20"/>
          <w:color w:val="auto"/>
        </w:rPr>
      </w:pPr>
    </w:p>
    <w:p>
      <w:pPr>
        <w:jc w:val="both"/>
        <w:ind w:right="220" w:firstLine="1297"/>
        <w:spacing w:after="0" w:line="286" w:lineRule="auto"/>
        <w:rPr>
          <w:sz w:val="20"/>
          <w:szCs w:val="20"/>
          <w:color w:val="auto"/>
        </w:rPr>
      </w:pPr>
      <w:r>
        <w:rPr>
          <w:rFonts w:ascii="Arial" w:cs="Arial" w:eastAsia="Arial" w:hAnsi="Arial"/>
          <w:sz w:val="17"/>
          <w:szCs w:val="17"/>
          <w:color w:val="auto"/>
        </w:rPr>
        <w:t>No Shares shall be issued pursuant to the exercise of the Option unless such issuance and exercise comply with all relevant provisions of law and the requirements of any stock exchange upon which the Shares may then be listed. Assuming such compliance, for income tax purposes the Shares shall be considered transferred to Optionee on the date on which the Option is exercised with respect to such Shares.</w:t>
      </w:r>
    </w:p>
    <w:p>
      <w:pPr>
        <w:spacing w:after="0" w:line="189" w:lineRule="exact"/>
        <w:rPr>
          <w:sz w:val="20"/>
          <w:szCs w:val="20"/>
          <w:color w:val="auto"/>
        </w:rPr>
      </w:pPr>
    </w:p>
    <w:p>
      <w:pPr>
        <w:ind w:left="1480" w:hanging="824"/>
        <w:spacing w:after="0"/>
        <w:tabs>
          <w:tab w:leader="none" w:pos="148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Method of Payment</w:t>
      </w:r>
      <w:r>
        <w:rPr>
          <w:rFonts w:ascii="Arial" w:cs="Arial" w:eastAsia="Arial" w:hAnsi="Arial"/>
          <w:sz w:val="17"/>
          <w:szCs w:val="17"/>
          <w:color w:val="auto"/>
        </w:rPr>
        <w:t>. Payment of the Exercise Price shall be by any of the following, or a combination thereof, at the election of</w:t>
      </w:r>
    </w:p>
    <w:p>
      <w:pPr>
        <w:spacing w:after="0" w:line="65"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Optionee:</w:t>
      </w:r>
    </w:p>
    <w:p>
      <w:pPr>
        <w:spacing w:after="0" w:line="265" w:lineRule="exact"/>
        <w:rPr>
          <w:rFonts w:ascii="Arial" w:cs="Arial" w:eastAsia="Arial" w:hAnsi="Arial"/>
          <w:sz w:val="17"/>
          <w:szCs w:val="17"/>
          <w:b w:val="1"/>
          <w:bCs w:val="1"/>
          <w:color w:val="auto"/>
        </w:rPr>
      </w:pPr>
    </w:p>
    <w:p>
      <w:pPr>
        <w:ind w:left="2160" w:hanging="855"/>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cash;</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w:t>
      </w:r>
    </w:p>
    <w:p>
      <w:pPr>
        <w:spacing w:after="0" w:line="265" w:lineRule="exact"/>
        <w:rPr>
          <w:rFonts w:ascii="Arial" w:cs="Arial" w:eastAsia="Arial" w:hAnsi="Arial"/>
          <w:sz w:val="18"/>
          <w:szCs w:val="18"/>
          <w:color w:val="auto"/>
        </w:rPr>
      </w:pPr>
    </w:p>
    <w:p>
      <w:pPr>
        <w:ind w:right="120" w:firstLine="1305"/>
        <w:spacing w:after="0" w:line="324" w:lineRule="auto"/>
        <w:tabs>
          <w:tab w:leader="none" w:pos="21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subject to any conditions or limitations established by the Committee, the Corporation’s withholding Shares otherwise issuable upon exercise of the Option pursuant to a “net exercise” arrangement; or</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pacing w:after="0" w:line="261" w:lineRule="exact"/>
        <w:rPr>
          <w:rFonts w:ascii="Arial" w:cs="Arial" w:eastAsia="Arial" w:hAnsi="Arial"/>
          <w:sz w:val="18"/>
          <w:szCs w:val="18"/>
          <w:color w:val="auto"/>
        </w:rPr>
      </w:pPr>
    </w:p>
    <w:p>
      <w:pPr>
        <w:ind w:right="140" w:firstLine="656"/>
        <w:spacing w:after="0" w:line="367" w:lineRule="auto"/>
        <w:tabs>
          <w:tab w:leader="none" w:pos="1471"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Restrictions on Exercise</w:t>
      </w:r>
      <w:r>
        <w:rPr>
          <w:rFonts w:ascii="Arial" w:cs="Arial" w:eastAsia="Arial" w:hAnsi="Arial"/>
          <w:sz w:val="16"/>
          <w:szCs w:val="16"/>
          <w:color w:val="auto"/>
        </w:rPr>
        <w:t>. If the issuance of Shares upon exercise or if the method of payment for such Shares would constitute a</w:t>
      </w:r>
      <w:r>
        <w:rPr>
          <w:rFonts w:ascii="Arial" w:cs="Arial" w:eastAsia="Arial" w:hAnsi="Arial"/>
          <w:sz w:val="16"/>
          <w:szCs w:val="16"/>
          <w:b w:val="1"/>
          <w:bCs w:val="1"/>
          <w:color w:val="auto"/>
        </w:rPr>
        <w:t xml:space="preserve"> </w:t>
      </w:r>
      <w:r>
        <w:rPr>
          <w:rFonts w:ascii="Arial" w:cs="Arial" w:eastAsia="Arial" w:hAnsi="Arial"/>
          <w:sz w:val="16"/>
          <w:szCs w:val="16"/>
          <w:color w:val="auto"/>
        </w:rPr>
        <w:t>violation of any applicable federal or state securities or other law or regulation, the Option may not be exercised. The Corporation may require Optionee to make any representation and warranty to the Corporation as may be required by any applicable law or regulation before allowing the Option to be exercised.</w:t>
      </w:r>
    </w:p>
    <w:p>
      <w:pPr>
        <w:spacing w:after="0" w:line="141" w:lineRule="exact"/>
        <w:rPr>
          <w:rFonts w:ascii="Arial" w:cs="Arial" w:eastAsia="Arial" w:hAnsi="Arial"/>
          <w:sz w:val="16"/>
          <w:szCs w:val="16"/>
          <w:b w:val="1"/>
          <w:bCs w:val="1"/>
          <w:color w:val="auto"/>
        </w:rPr>
      </w:pPr>
    </w:p>
    <w:p>
      <w:pPr>
        <w:jc w:val="both"/>
        <w:ind w:right="60" w:firstLine="656"/>
        <w:spacing w:after="0" w:line="351" w:lineRule="auto"/>
        <w:tabs>
          <w:tab w:leader="none" w:pos="1462"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of Relationship</w:t>
      </w:r>
      <w:r>
        <w:rPr>
          <w:rFonts w:ascii="Arial" w:cs="Arial" w:eastAsia="Arial" w:hAnsi="Arial"/>
          <w:sz w:val="16"/>
          <w:szCs w:val="16"/>
          <w:color w:val="auto"/>
        </w:rPr>
        <w:t>. If Optionee ceases to be a Service Provider (other than by reason of a termination by the Corporation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or Optionee’s death or Disability), to the extent vested as of the date on which Optionee ceases to be a Service Provider (taking into consideration any vesting that may occur in connection with such termination), the Option shall remain exercisable for ninety (90) days following such date of termination (but in no event later than the expiration date of the term of the Option as set forth in the Notice of Grant). To the extent that the Option is not vested as of the date on which Optionee ceases to be a Service Provider, or if Optionee does not exercise the Option within the time specified herein, the Option shall terminate.</w:t>
      </w:r>
    </w:p>
    <w:p>
      <w:pPr>
        <w:spacing w:after="0" w:line="153" w:lineRule="exact"/>
        <w:rPr>
          <w:rFonts w:ascii="Arial" w:cs="Arial" w:eastAsia="Arial" w:hAnsi="Arial"/>
          <w:sz w:val="16"/>
          <w:szCs w:val="16"/>
          <w:b w:val="1"/>
          <w:bCs w:val="1"/>
          <w:color w:val="auto"/>
        </w:rPr>
      </w:pPr>
    </w:p>
    <w:p>
      <w:pPr>
        <w:ind w:firstLine="656"/>
        <w:spacing w:after="0" w:line="313" w:lineRule="auto"/>
        <w:tabs>
          <w:tab w:leader="none" w:pos="14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If Optionee ceases to be a Service Provider by reason of a termination by the Corporation for Cause,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terminate as of the start of business on the date of Optionee’s termination, regardless of whether the Option is then vested and/or exercisable with respect to any Shares.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7" w:right="239" w:bottom="1440" w:gutter="0" w:footer="0" w:header="0"/>
        </w:sectPr>
      </w:pPr>
    </w:p>
    <w:bookmarkStart w:id="56" w:name="page57"/>
    <w:bookmarkEnd w:id="56"/>
    <w:p>
      <w:pPr>
        <w:ind w:left="-20" w:firstLine="656"/>
        <w:spacing w:after="0" w:line="330" w:lineRule="auto"/>
        <w:tabs>
          <w:tab w:leader="none" w:pos="1461"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Disability of Optionee</w:t>
      </w:r>
      <w:r>
        <w:rPr>
          <w:rFonts w:ascii="Arial" w:cs="Arial" w:eastAsia="Arial" w:hAnsi="Arial"/>
          <w:sz w:val="17"/>
          <w:szCs w:val="17"/>
          <w:color w:val="auto"/>
        </w:rPr>
        <w:t>. If Optionee ceases to be a Service Provider as a result of Disability, the Option, to the extent vested as of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on which Optionee ceases to be a Service Provider, shall remain exercisable for twelve (12) months from such date (but in no event later than the expiration date of the term of the Option as set forth in the Notice of Grant). To the extent that the Option is not vested as of the date on which Optionee ceases to be a Service Provider, or if Optionee does not exercise such Option within the time specified herein, the Option shall terminate.</w:t>
      </w:r>
    </w:p>
    <w:p>
      <w:pPr>
        <w:spacing w:after="0" w:line="167" w:lineRule="exact"/>
        <w:rPr>
          <w:rFonts w:ascii="Arial" w:cs="Arial" w:eastAsia="Arial" w:hAnsi="Arial"/>
          <w:sz w:val="17"/>
          <w:szCs w:val="17"/>
          <w:b w:val="1"/>
          <w:bCs w:val="1"/>
          <w:color w:val="auto"/>
        </w:rPr>
      </w:pPr>
    </w:p>
    <w:p>
      <w:pPr>
        <w:ind w:left="-20" w:right="100" w:firstLine="656"/>
        <w:spacing w:after="0" w:line="356" w:lineRule="auto"/>
        <w:tabs>
          <w:tab w:leader="none" w:pos="146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color w:val="auto"/>
        </w:rPr>
        <w:t>. If Optionee ceases to be a Service Provider as a result of Optionee’s death, the Option, to the extent vested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death, shall remain exercisable for twelve (12) months following the date of death (but in no event later than the expiration date of the term of the Option as set forth in the Notice of Grant) by Optionee’s estate or by a person who acquires the right to exercise the Option by bequest or inheritance. To the extent that the Option is not vested as of the date of death, or if the Option is not exercised within the time specified herein, the Option shall terminate.</w:t>
      </w:r>
    </w:p>
    <w:p>
      <w:pPr>
        <w:spacing w:after="0" w:line="150" w:lineRule="exact"/>
        <w:rPr>
          <w:rFonts w:ascii="Arial" w:cs="Arial" w:eastAsia="Arial" w:hAnsi="Arial"/>
          <w:sz w:val="16"/>
          <w:szCs w:val="16"/>
          <w:b w:val="1"/>
          <w:bCs w:val="1"/>
          <w:color w:val="auto"/>
        </w:rPr>
      </w:pPr>
    </w:p>
    <w:p>
      <w:pPr>
        <w:ind w:left="-20" w:right="40" w:firstLine="656"/>
        <w:spacing w:after="0" w:line="308" w:lineRule="auto"/>
        <w:tabs>
          <w:tab w:leader="none" w:pos="139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Subject to the terms of the Plan, without advance approval by the Committee, this Option (1)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sold, pledged, assigned, hypothecated, transferred, or disposed of in any manner other than by will or by laws of descent or distribution, and (2) may be exercised during the lifetime of Optionee only by Optionee. The terms of this Option shall be binding upon the executors, administrators, heirs, successors and assigns of Optionee.</w:t>
      </w:r>
    </w:p>
    <w:p>
      <w:pPr>
        <w:spacing w:after="0" w:line="179" w:lineRule="exact"/>
        <w:rPr>
          <w:rFonts w:ascii="Arial" w:cs="Arial" w:eastAsia="Arial" w:hAnsi="Arial"/>
          <w:sz w:val="18"/>
          <w:szCs w:val="18"/>
          <w:b w:val="1"/>
          <w:bCs w:val="1"/>
          <w:color w:val="auto"/>
        </w:rPr>
      </w:pPr>
    </w:p>
    <w:p>
      <w:pPr>
        <w:ind w:left="1420" w:hanging="784"/>
        <w:spacing w:after="0"/>
        <w:tabs>
          <w:tab w:leader="none" w:pos="1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Option</w:t>
      </w:r>
      <w:r>
        <w:rPr>
          <w:rFonts w:ascii="Arial" w:cs="Arial" w:eastAsia="Arial" w:hAnsi="Arial"/>
          <w:sz w:val="18"/>
          <w:szCs w:val="18"/>
          <w:color w:val="auto"/>
        </w:rPr>
        <w:t>. This Option may be exercised only within the term set forth in the Notice of Grant.</w:t>
      </w:r>
    </w:p>
    <w:p>
      <w:pPr>
        <w:spacing w:after="0" w:line="265" w:lineRule="exact"/>
        <w:rPr>
          <w:rFonts w:ascii="Arial" w:cs="Arial" w:eastAsia="Arial" w:hAnsi="Arial"/>
          <w:sz w:val="18"/>
          <w:szCs w:val="18"/>
          <w:b w:val="1"/>
          <w:bCs w:val="1"/>
          <w:color w:val="auto"/>
        </w:rPr>
      </w:pPr>
    </w:p>
    <w:p>
      <w:pPr>
        <w:ind w:left="-20" w:right="200" w:firstLine="656"/>
        <w:spacing w:after="0" w:line="313" w:lineRule="auto"/>
        <w:tabs>
          <w:tab w:leader="none" w:pos="146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Shares</w:t>
      </w:r>
      <w:r>
        <w:rPr>
          <w:rFonts w:ascii="Arial" w:cs="Arial" w:eastAsia="Arial" w:hAnsi="Arial"/>
          <w:sz w:val="18"/>
          <w:szCs w:val="18"/>
          <w:color w:val="auto"/>
        </w:rPr>
        <w:t>. Optionee hereby agrees that any and all Shares purchased upon each exercise of the Option shall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set forth in the Exercise Notice, and Optionee further agrees to be bound by the terms of such Exercise Notice with respect to all such Shares.</w:t>
      </w:r>
    </w:p>
    <w:p>
      <w:pPr>
        <w:spacing w:after="0" w:line="176" w:lineRule="exact"/>
        <w:rPr>
          <w:rFonts w:ascii="Arial" w:cs="Arial" w:eastAsia="Arial" w:hAnsi="Arial"/>
          <w:sz w:val="18"/>
          <w:szCs w:val="18"/>
          <w:b w:val="1"/>
          <w:bCs w:val="1"/>
          <w:color w:val="auto"/>
        </w:rPr>
      </w:pPr>
    </w:p>
    <w:p>
      <w:pPr>
        <w:ind w:left="-20" w:right="400" w:firstLine="656"/>
        <w:spacing w:after="0" w:line="329" w:lineRule="auto"/>
        <w:tabs>
          <w:tab w:leader="none" w:pos="144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Without limiting the generality of any other provision of this Agreement, Section 18.9 of the Plan pertaining to</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409A is hereby explicitly incorporated into this Agreement.</w:t>
      </w:r>
    </w:p>
    <w:p>
      <w:pPr>
        <w:spacing w:after="0" w:line="161" w:lineRule="exact"/>
        <w:rPr>
          <w:rFonts w:ascii="Arial" w:cs="Arial" w:eastAsia="Arial" w:hAnsi="Arial"/>
          <w:sz w:val="18"/>
          <w:szCs w:val="18"/>
          <w:b w:val="1"/>
          <w:bCs w:val="1"/>
          <w:color w:val="auto"/>
        </w:rPr>
      </w:pPr>
    </w:p>
    <w:p>
      <w:pPr>
        <w:ind w:left="-20" w:firstLine="656"/>
        <w:spacing w:after="0" w:line="302" w:lineRule="auto"/>
        <w:tabs>
          <w:tab w:leader="none" w:pos="149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Employment</w:t>
      </w:r>
      <w:r>
        <w:rPr>
          <w:rFonts w:ascii="Arial" w:cs="Arial" w:eastAsia="Arial" w:hAnsi="Arial"/>
          <w:sz w:val="18"/>
          <w:szCs w:val="18"/>
          <w:color w:val="auto"/>
        </w:rPr>
        <w:t>. The Option is a voluntary, discretionary bonus being made on a one-time basis and it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any future awards. The Option and any related payments made to Optionee will not be considered salary or other compensation for purposes of any severance pay or similar allowance, except as otherwise required by law. Nothing in the Plan or in this Agreement shall confer upon Optionee any right to continue as an employee, director or consultant of the Corporation or any parent or Subsidiary, or shall interfere with or restrict in any way the rights of the Corporation or any parent or Subsidiary, which are hereby expressly reserved, to discharge Optionee at any time for any reason whatsoever, with or without Cause, except to the extent expressly provided otherwise in a written employment agreement between Optionee and the Corporation or any parent or Subsidiary.</w:t>
      </w:r>
    </w:p>
    <w:p>
      <w:pPr>
        <w:spacing w:after="0" w:line="189" w:lineRule="exact"/>
        <w:rPr>
          <w:rFonts w:ascii="Arial" w:cs="Arial" w:eastAsia="Arial" w:hAnsi="Arial"/>
          <w:sz w:val="18"/>
          <w:szCs w:val="18"/>
          <w:b w:val="1"/>
          <w:bCs w:val="1"/>
          <w:color w:val="auto"/>
        </w:rPr>
      </w:pPr>
    </w:p>
    <w:p>
      <w:pPr>
        <w:ind w:left="-20" w:right="40" w:firstLine="656"/>
        <w:spacing w:after="0" w:line="308" w:lineRule="auto"/>
        <w:tabs>
          <w:tab w:leader="none" w:pos="145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Relation to Other Benefits</w:t>
      </w:r>
      <w:r>
        <w:rPr>
          <w:rFonts w:ascii="Arial" w:cs="Arial" w:eastAsia="Arial" w:hAnsi="Arial"/>
          <w:sz w:val="18"/>
          <w:szCs w:val="18"/>
          <w:color w:val="auto"/>
        </w:rPr>
        <w:t>. Any economic or other benefit to Optionee under this Agreement or the Plan shall not be taken into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in determining any benefits to which Optionee may be entitled under any profit-sharing, retirement or other benefit or compensation plan maintained by the Corporation or any of its Subsidiaries and shall not affect the amount of any life insurance coverage available to any beneficiary under any life insurance plan covering employees of the Corporation or any of its Subsidiaries.</w:t>
      </w:r>
    </w:p>
    <w:p>
      <w:pPr>
        <w:spacing w:after="0" w:line="179" w:lineRule="exact"/>
        <w:rPr>
          <w:rFonts w:ascii="Arial" w:cs="Arial" w:eastAsia="Arial" w:hAnsi="Arial"/>
          <w:sz w:val="18"/>
          <w:szCs w:val="18"/>
          <w:b w:val="1"/>
          <w:bCs w:val="1"/>
          <w:color w:val="auto"/>
        </w:rPr>
      </w:pPr>
    </w:p>
    <w:p>
      <w:pPr>
        <w:jc w:val="both"/>
        <w:ind w:left="-20" w:right="160" w:firstLine="656"/>
        <w:spacing w:after="0" w:line="308" w:lineRule="auto"/>
        <w:tabs>
          <w:tab w:leader="none" w:pos="146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Any amendment to the Plan shall be deemed to be an amendment to this Agreement to the extent that the amendment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amendment shall adversely affect Optionee’s rights with respect to the Option without Optionee’s consent and Optionee’s consent shall not be required to an amendment that is deemed necessary by the Corporation to ensure compliance with Section 10D of the Exchange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823" w:right="259" w:bottom="1440" w:gutter="0" w:footer="0" w:header="0"/>
        </w:sectPr>
      </w:pPr>
    </w:p>
    <w:bookmarkStart w:id="57" w:name="page58"/>
    <w:bookmarkEnd w:id="57"/>
    <w:p>
      <w:pPr>
        <w:jc w:val="both"/>
        <w:ind w:left="-20" w:firstLine="656"/>
        <w:spacing w:after="0" w:line="313" w:lineRule="auto"/>
        <w:tabs>
          <w:tab w:leader="none" w:pos="141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one or more of the provisions of this Agreement shall be invalidated for any reason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any provision so invalidated shall be deemed to be separable from the other provisions hereof, and the remaining provisions hereof shall continue to be valid and fully enforceable.</w:t>
      </w:r>
    </w:p>
    <w:p>
      <w:pPr>
        <w:spacing w:after="0" w:line="176" w:lineRule="exact"/>
        <w:rPr>
          <w:rFonts w:ascii="Arial" w:cs="Arial" w:eastAsia="Arial" w:hAnsi="Arial"/>
          <w:sz w:val="18"/>
          <w:szCs w:val="18"/>
          <w:b w:val="1"/>
          <w:bCs w:val="1"/>
          <w:color w:val="auto"/>
        </w:rPr>
      </w:pPr>
    </w:p>
    <w:p>
      <w:pPr>
        <w:ind w:left="-20" w:right="120" w:firstLine="656"/>
        <w:spacing w:after="0" w:line="324" w:lineRule="auto"/>
        <w:tabs>
          <w:tab w:leader="none" w:pos="1461"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Relation to Plan</w:t>
      </w:r>
      <w:r>
        <w:rPr>
          <w:rFonts w:ascii="Arial" w:cs="Arial" w:eastAsia="Arial" w:hAnsi="Arial"/>
          <w:sz w:val="17"/>
          <w:szCs w:val="17"/>
          <w:color w:val="auto"/>
        </w:rPr>
        <w:t>. The Committee acting pursuant to the Plan, as constituted from time to time, shall, except as expressly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herein or in the Plan, have the right to determine any questions which arise in connection with this Agreement. Notwithstanding anything in this Agreement to the contrary, Optionee acknowledges and agrees that this Agreement and the award described herein are subject to the terms and conditions of the Corporation’s clawback policy (if any) as may be in effect from time to time specifically to implement Section 10D of the Exchange Act and any applicable rules or regulations promulgated thereunder (including applicable rules and regulations of any national securities exchange on which the Stock may be traded). Further, this Option will be subject to mandatory adjustment as provided in Section 17 of the Plan.</w:t>
      </w:r>
    </w:p>
    <w:p>
      <w:pPr>
        <w:spacing w:after="0" w:line="172" w:lineRule="exact"/>
        <w:rPr>
          <w:rFonts w:ascii="Arial" w:cs="Arial" w:eastAsia="Arial" w:hAnsi="Arial"/>
          <w:sz w:val="17"/>
          <w:szCs w:val="17"/>
          <w:b w:val="1"/>
          <w:bCs w:val="1"/>
          <w:color w:val="auto"/>
        </w:rPr>
      </w:pPr>
    </w:p>
    <w:p>
      <w:pPr>
        <w:ind w:left="-20" w:firstLine="656"/>
        <w:spacing w:after="0" w:line="303" w:lineRule="auto"/>
        <w:tabs>
          <w:tab w:leader="none" w:pos="145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To the extent that the Corporation is required to withhold federal, state, local or foreign taxes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made to or benefit realized by Optionee or other person under the Option, Optionee authorizes the Corporation or Optionee’s employer to withhold from the Shares otherwise deliverable upon exercise of the Option, as payment, the number of shares needed to satisfy any applicable minimum withholding obligations; or Optionee agrees to tender sufficient funds to satisfy any withholding obligations in connection with the exercise of the Option. Notwithstanding any other provision of this Agreement or the Plan, the Corporation shall not be obligated to guarantee any particular tax result for Optionee with respect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607" w:right="25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any benefit provided to Optionee hereunder, and Optionee shall be responsible for any taxes imposed on Optionee with respect to any such benefit.</w:t>
      </w:r>
    </w:p>
    <w:p>
      <w:pPr>
        <w:spacing w:after="0" w:line="273" w:lineRule="exact"/>
        <w:rPr>
          <w:sz w:val="20"/>
          <w:szCs w:val="20"/>
          <w:color w:val="auto"/>
        </w:rPr>
      </w:pPr>
    </w:p>
    <w:p>
      <w:pPr>
        <w:ind w:right="140" w:firstLine="656"/>
        <w:spacing w:after="0" w:line="330" w:lineRule="auto"/>
        <w:tabs>
          <w:tab w:leader="none" w:pos="1442"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Electronic Delivery</w:t>
      </w:r>
      <w:r>
        <w:rPr>
          <w:rFonts w:ascii="Arial" w:cs="Arial" w:eastAsia="Arial" w:hAnsi="Arial"/>
          <w:sz w:val="17"/>
          <w:szCs w:val="17"/>
          <w:color w:val="auto"/>
        </w:rPr>
        <w:t>. The Company may, in its sole discretion, deliver any documents related to the Option and Optionee’s participation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Plan, or future awards that may be granted under the Plan, by electronic means or request Optionee’s consent to participate in the Plan by electronic means. Optionee hereby consents to receive such documents by electronic delivery and, if requested, agrees to participate in the Plan through an on-line or electronic system established and maintained by the Corporation or another third party designated by the Corporation.</w:t>
      </w:r>
    </w:p>
    <w:p>
      <w:pPr>
        <w:spacing w:after="0" w:line="167" w:lineRule="exact"/>
        <w:rPr>
          <w:rFonts w:ascii="Arial" w:cs="Arial" w:eastAsia="Arial" w:hAnsi="Arial"/>
          <w:sz w:val="17"/>
          <w:szCs w:val="17"/>
          <w:b w:val="1"/>
          <w:bCs w:val="1"/>
          <w:color w:val="auto"/>
        </w:rPr>
      </w:pPr>
    </w:p>
    <w:p>
      <w:pPr>
        <w:ind w:firstLine="656"/>
        <w:spacing w:after="0" w:line="329" w:lineRule="auto"/>
        <w:tabs>
          <w:tab w:leader="none" w:pos="1448"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with the internal substantive laws of the State of Michigan,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principle of law that would result in the application of the law of any other jurisdiction.</w:t>
      </w:r>
    </w:p>
    <w:p>
      <w:pPr>
        <w:spacing w:after="0" w:line="161" w:lineRule="exact"/>
        <w:rPr>
          <w:rFonts w:ascii="Arial" w:cs="Arial" w:eastAsia="Arial" w:hAnsi="Arial"/>
          <w:sz w:val="18"/>
          <w:szCs w:val="18"/>
          <w:b w:val="1"/>
          <w:bCs w:val="1"/>
          <w:color w:val="auto"/>
        </w:rPr>
      </w:pPr>
    </w:p>
    <w:p>
      <w:pPr>
        <w:ind w:right="160" w:firstLine="656"/>
        <w:spacing w:after="0" w:line="313" w:lineRule="auto"/>
        <w:tabs>
          <w:tab w:leader="none" w:pos="1471"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w:t>
      </w:r>
      <w:r>
        <w:rPr>
          <w:rFonts w:ascii="Arial" w:cs="Arial" w:eastAsia="Arial" w:hAnsi="Arial"/>
          <w:sz w:val="18"/>
          <w:szCs w:val="18"/>
          <w:color w:val="auto"/>
        </w:rPr>
        <w:t>. Optionee and the Corporation agree that any disagreement, dispute, controversy, or claim arising out of or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this Agreement, its interpretation, validity, or the alleged breach thereof, shall be settled exclusively and, consistent with the procedures specified in this </w:t>
      </w:r>
      <w:r>
        <w:rPr>
          <w:rFonts w:ascii="Arial" w:cs="Arial" w:eastAsia="Arial" w:hAnsi="Arial"/>
          <w:sz w:val="18"/>
          <w:szCs w:val="18"/>
          <w:b w:val="1"/>
          <w:bCs w:val="1"/>
          <w:u w:val="single" w:color="auto"/>
          <w:color w:val="auto"/>
        </w:rPr>
        <w:t>Section II.U</w:t>
      </w:r>
      <w:r>
        <w:rPr>
          <w:rFonts w:ascii="Arial" w:cs="Arial" w:eastAsia="Arial" w:hAnsi="Arial"/>
          <w:sz w:val="18"/>
          <w:szCs w:val="18"/>
          <w:color w:val="auto"/>
        </w:rPr>
        <w:t>, irrespective of its magnitude, the amount in controversy, or the nature of the relief sought.</w:t>
      </w:r>
    </w:p>
    <w:p>
      <w:pPr>
        <w:spacing w:after="0" w:line="180" w:lineRule="exact"/>
        <w:rPr>
          <w:rFonts w:ascii="Arial" w:cs="Arial" w:eastAsia="Arial" w:hAnsi="Arial"/>
          <w:sz w:val="18"/>
          <w:szCs w:val="18"/>
          <w:b w:val="1"/>
          <w:bCs w:val="1"/>
          <w:color w:val="auto"/>
        </w:rPr>
      </w:pPr>
    </w:p>
    <w:p>
      <w:pPr>
        <w:ind w:right="20" w:firstLine="1305"/>
        <w:spacing w:after="0" w:line="306" w:lineRule="auto"/>
        <w:tabs>
          <w:tab w:leader="none" w:pos="215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Negotiation</w:t>
      </w:r>
      <w:r>
        <w:rPr>
          <w:rFonts w:ascii="Arial" w:cs="Arial" w:eastAsia="Arial" w:hAnsi="Arial"/>
          <w:sz w:val="18"/>
          <w:szCs w:val="18"/>
          <w:color w:val="auto"/>
        </w:rPr>
        <w:t>. In the event of any dispute, controversy, claim, question or disagreement arising from or relating to this Agreement or the breach thereof, Optionee and the Corporation shall use their best efforts to settle the dispute, claim, question or disagreement. To this effect, they shall consult and negotiate with each other in good faith and, recognizing their mutual interests, attempt to reach a just and equitable solution satisfactory to both parties.</w:t>
      </w:r>
    </w:p>
    <w:p>
      <w:pPr>
        <w:spacing w:after="0" w:line="186" w:lineRule="exact"/>
        <w:rPr>
          <w:rFonts w:ascii="Arial" w:cs="Arial" w:eastAsia="Arial" w:hAnsi="Arial"/>
          <w:sz w:val="18"/>
          <w:szCs w:val="18"/>
          <w:color w:val="auto"/>
        </w:rPr>
      </w:pPr>
    </w:p>
    <w:p>
      <w:pPr>
        <w:ind w:right="220" w:firstLine="1305"/>
        <w:spacing w:after="0" w:line="306" w:lineRule="auto"/>
        <w:tabs>
          <w:tab w:leader="none" w:pos="215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If Optionee and the Corporation do not reach such solution within a period of thirty (30) days, then, upon written notice by Optionee to the Corporation or the Corporation to Optionee, all disputes, claims, questions, controversies, or differences shall be submitted to arbitration administered by the American Arbitration Association (the “</w:t>
      </w:r>
      <w:r>
        <w:rPr>
          <w:rFonts w:ascii="Arial" w:cs="Arial" w:eastAsia="Arial" w:hAnsi="Arial"/>
          <w:sz w:val="18"/>
          <w:szCs w:val="18"/>
          <w:b w:val="1"/>
          <w:bCs w:val="1"/>
          <w:i w:val="1"/>
          <w:iCs w:val="1"/>
          <w:color w:val="auto"/>
        </w:rPr>
        <w:t>AAA</w:t>
      </w:r>
      <w:r>
        <w:rPr>
          <w:rFonts w:ascii="Arial" w:cs="Arial" w:eastAsia="Arial" w:hAnsi="Arial"/>
          <w:sz w:val="18"/>
          <w:szCs w:val="18"/>
          <w:color w:val="auto"/>
        </w:rPr>
        <w:t>”) in accordance with the provisions of its Employment Arbitration Rules (the “</w:t>
      </w:r>
      <w:r>
        <w:rPr>
          <w:rFonts w:ascii="Arial" w:cs="Arial" w:eastAsia="Arial" w:hAnsi="Arial"/>
          <w:sz w:val="18"/>
          <w:szCs w:val="18"/>
          <w:b w:val="1"/>
          <w:bCs w:val="1"/>
          <w:i w:val="1"/>
          <w:iCs w:val="1"/>
          <w:color w:val="auto"/>
        </w:rPr>
        <w:t>Arbitration Rules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1305"/>
        <w:spacing w:after="0" w:line="325" w:lineRule="auto"/>
        <w:tabs>
          <w:tab w:leader="none" w:pos="2155"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Arbitrator</w:t>
      </w:r>
      <w:r>
        <w:rPr>
          <w:rFonts w:ascii="Arial" w:cs="Arial" w:eastAsia="Arial" w:hAnsi="Arial"/>
          <w:sz w:val="17"/>
          <w:szCs w:val="17"/>
          <w:color w:val="auto"/>
        </w:rPr>
        <w:t>. The arbitration shall be conducted by one arbitrator skilled in the arbitration of executive employment matters. The parties to the arbitration shall jointly appoint the arbitrator within thirty (30) days after initiation of the arbitration. If the parties fail to appoint an arbitrator as provided above, an arbitrator with substantial experience in executive employment matters shall be appointed by the AAA as provided in the Arbitration Rules. The Corporation shall pay all of the reasonable fees, if any, and expenses of the arbitrator and the arbitration, unless otherwise determined by the arbitrator. Each party to the arbitration shall be responsible for his/its respective attorneys fees or other costs of representation.</w:t>
      </w:r>
    </w:p>
    <w:p>
      <w:pPr>
        <w:spacing w:after="0" w:line="175" w:lineRule="exact"/>
        <w:rPr>
          <w:rFonts w:ascii="Arial" w:cs="Arial" w:eastAsia="Arial" w:hAnsi="Arial"/>
          <w:sz w:val="17"/>
          <w:szCs w:val="17"/>
          <w:color w:val="auto"/>
        </w:rPr>
      </w:pPr>
    </w:p>
    <w:p>
      <w:pPr>
        <w:ind w:left="2160" w:hanging="855"/>
        <w:spacing w:after="0"/>
        <w:tabs>
          <w:tab w:leader="none" w:pos="216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The arbitration shall be conducted in Oakland County, Michigan.</w:t>
      </w:r>
    </w:p>
    <w:p>
      <w:pPr>
        <w:spacing w:after="0" w:line="265" w:lineRule="exact"/>
        <w:rPr>
          <w:rFonts w:ascii="Arial" w:cs="Arial" w:eastAsia="Arial" w:hAnsi="Arial"/>
          <w:sz w:val="18"/>
          <w:szCs w:val="18"/>
          <w:color w:val="auto"/>
        </w:rPr>
      </w:pPr>
    </w:p>
    <w:p>
      <w:pPr>
        <w:ind w:right="40" w:firstLine="1305"/>
        <w:spacing w:after="0" w:line="306" w:lineRule="auto"/>
        <w:tabs>
          <w:tab w:leader="none" w:pos="215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At any oral hearing of evidence in connection with the arbitration, each party or its legal counsel shall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86" w:lineRule="exact"/>
        <w:rPr>
          <w:rFonts w:ascii="Arial" w:cs="Arial" w:eastAsia="Arial" w:hAnsi="Arial"/>
          <w:sz w:val="18"/>
          <w:szCs w:val="18"/>
          <w:color w:val="auto"/>
        </w:rPr>
      </w:pPr>
    </w:p>
    <w:p>
      <w:pPr>
        <w:ind w:right="60" w:firstLine="1305"/>
        <w:spacing w:after="0" w:line="311" w:lineRule="auto"/>
        <w:tabs>
          <w:tab w:leader="none" w:pos="215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Decision</w:t>
      </w:r>
      <w:r>
        <w:rPr>
          <w:rFonts w:ascii="Arial" w:cs="Arial" w:eastAsia="Arial" w:hAnsi="Arial"/>
          <w:sz w:val="18"/>
          <w:szCs w:val="18"/>
          <w:color w:val="auto"/>
        </w:rPr>
        <w:t>. Any decision or award of the arbitrator shall be final and binding upon the parties to the arbitration 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1" w:lineRule="exact"/>
        <w:rPr>
          <w:rFonts w:ascii="Arial" w:cs="Arial" w:eastAsia="Arial" w:hAnsi="Arial"/>
          <w:sz w:val="18"/>
          <w:szCs w:val="18"/>
          <w:color w:val="auto"/>
        </w:rPr>
      </w:pPr>
    </w:p>
    <w:p>
      <w:pPr>
        <w:ind w:right="240" w:firstLine="1305"/>
        <w:spacing w:after="0" w:line="324" w:lineRule="auto"/>
        <w:tabs>
          <w:tab w:leader="none" w:pos="2155"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Power</w:t>
      </w:r>
      <w:r>
        <w:rPr>
          <w:rFonts w:ascii="Arial" w:cs="Arial" w:eastAsia="Arial" w:hAnsi="Arial"/>
          <w:sz w:val="18"/>
          <w:szCs w:val="18"/>
          <w:color w:val="auto"/>
        </w:rPr>
        <w:t>. Nothing contained herein shall be deemed to give the arbitrator any authority, power, or right to alter, change, amend, modify, add to, or subtract from any of the provisions of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11" w:right="259" w:bottom="1440" w:gutter="0" w:footer="0" w:header="0"/>
        </w:sectPr>
      </w:pPr>
    </w:p>
    <w:bookmarkStart w:id="59" w:name="page60"/>
    <w:bookmarkEnd w:id="59"/>
    <w:p>
      <w:pPr>
        <w:ind w:firstLine="648"/>
        <w:spacing w:after="0" w:line="298" w:lineRule="auto"/>
        <w:rPr>
          <w:sz w:val="20"/>
          <w:szCs w:val="20"/>
          <w:color w:val="auto"/>
        </w:rPr>
      </w:pPr>
      <w:r>
        <w:rPr>
          <w:rFonts w:ascii="Arial" w:cs="Arial" w:eastAsia="Arial" w:hAnsi="Arial"/>
          <w:sz w:val="16"/>
          <w:szCs w:val="16"/>
          <w:color w:val="auto"/>
        </w:rPr>
        <w:t xml:space="preserve">The provisions of this </w:t>
      </w:r>
      <w:r>
        <w:rPr>
          <w:rFonts w:ascii="Arial" w:cs="Arial" w:eastAsia="Arial" w:hAnsi="Arial"/>
          <w:sz w:val="16"/>
          <w:szCs w:val="16"/>
          <w:b w:val="1"/>
          <w:bCs w:val="1"/>
          <w:u w:val="single" w:color="auto"/>
          <w:color w:val="auto"/>
        </w:rPr>
        <w:t>Section II.U</w:t>
      </w:r>
      <w:r>
        <w:rPr>
          <w:rFonts w:ascii="Arial" w:cs="Arial" w:eastAsia="Arial" w:hAnsi="Arial"/>
          <w:sz w:val="16"/>
          <w:szCs w:val="16"/>
          <w:color w:val="auto"/>
        </w:rPr>
        <w:t xml:space="preserve"> shall survive the termination or expiration of this Agreement, shall be binding upon the Corporation’s and Optionee’s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shall be a complete defense to any action or proceeding instituted in any tribunal or agency with respect to any dispute, unless precluded by federal statute.</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796" w:right="339" w:bottom="1440" w:gutter="0" w:footer="0" w:header="0"/>
        </w:sectPr>
      </w:pPr>
    </w:p>
    <w:bookmarkStart w:id="60" w:name="page61"/>
    <w:bookmarkEnd w:id="60"/>
    <w:p>
      <w:pPr>
        <w:ind w:left="1300"/>
        <w:spacing w:after="0"/>
        <w:rPr>
          <w:sz w:val="20"/>
          <w:szCs w:val="20"/>
          <w:color w:val="auto"/>
        </w:rPr>
      </w:pPr>
      <w:r>
        <w:rPr>
          <w:rFonts w:ascii="Arial" w:cs="Arial" w:eastAsia="Arial" w:hAnsi="Arial"/>
          <w:sz w:val="16"/>
          <w:szCs w:val="16"/>
          <w:color w:val="auto"/>
        </w:rPr>
        <w:t>This Agreement may be executed in two or more counterparts, each of which shall be deemed an original and all of which shall constitute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8500" w:type="dxa"/>
            <w:vAlign w:val="bottom"/>
            <w:gridSpan w:val="3"/>
          </w:tcPr>
          <w:p>
            <w:pPr>
              <w:ind w:left="1340"/>
              <w:spacing w:after="0"/>
              <w:rPr>
                <w:sz w:val="20"/>
                <w:szCs w:val="20"/>
                <w:color w:val="auto"/>
              </w:rPr>
            </w:pPr>
            <w:r>
              <w:rPr>
                <w:rFonts w:ascii="Arial" w:cs="Arial" w:eastAsia="Arial" w:hAnsi="Arial"/>
                <w:sz w:val="18"/>
                <w:szCs w:val="18"/>
                <w:b w:val="1"/>
                <w:bCs w:val="1"/>
                <w:color w:val="auto"/>
              </w:rPr>
              <w:t>TRIMAS CORPORATION</w:t>
            </w:r>
          </w:p>
        </w:tc>
      </w:tr>
      <w:tr>
        <w:trPr>
          <w:trHeight w:val="554"/>
        </w:trPr>
        <w:tc>
          <w:tcPr>
            <w:tcW w:w="2360" w:type="dxa"/>
            <w:vAlign w:val="bottom"/>
          </w:tcPr>
          <w:p>
            <w:pPr>
              <w:spacing w:after="0"/>
              <w:rPr>
                <w:sz w:val="20"/>
                <w:szCs w:val="20"/>
                <w:color w:val="auto"/>
              </w:rPr>
            </w:pPr>
            <w:r>
              <w:rPr>
                <w:rFonts w:ascii="Arial" w:cs="Arial" w:eastAsia="Arial" w:hAnsi="Arial"/>
                <w:sz w:val="18"/>
                <w:szCs w:val="18"/>
                <w:color w:val="auto"/>
              </w:rPr>
              <w:t>Dated</w:t>
            </w:r>
            <w:r>
              <w:rPr>
                <w:rFonts w:ascii="Arial" w:cs="Arial" w:eastAsia="Arial" w:hAnsi="Arial"/>
                <w:sz w:val="18"/>
                <w:szCs w:val="18"/>
                <w:b w:val="1"/>
                <w:bCs w:val="1"/>
                <w:color w:val="auto"/>
              </w:rPr>
              <w:t>: [Date]</w:t>
            </w:r>
          </w:p>
        </w:tc>
        <w:tc>
          <w:tcPr>
            <w:tcW w:w="8500" w:type="dxa"/>
            <w:vAlign w:val="bottom"/>
            <w:gridSpan w:val="3"/>
          </w:tcPr>
          <w:p>
            <w:pPr>
              <w:ind w:left="3800"/>
              <w:spacing w:after="0"/>
              <w:rPr>
                <w:sz w:val="20"/>
                <w:szCs w:val="20"/>
                <w:color w:val="auto"/>
              </w:rPr>
            </w:pPr>
            <w:r>
              <w:rPr>
                <w:rFonts w:ascii="Arial" w:cs="Arial" w:eastAsia="Arial" w:hAnsi="Arial"/>
                <w:sz w:val="18"/>
                <w:szCs w:val="18"/>
                <w:color w:val="auto"/>
              </w:rPr>
              <w:t>By: /s/ Joshua A. Sherbin</w:t>
            </w:r>
          </w:p>
        </w:tc>
      </w:tr>
      <w:tr>
        <w:trPr>
          <w:trHeight w:val="20"/>
        </w:trPr>
        <w:tc>
          <w:tcPr>
            <w:tcW w:w="2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22"/>
        </w:trPr>
        <w:tc>
          <w:tcPr>
            <w:tcW w:w="2360" w:type="dxa"/>
            <w:vAlign w:val="bottom"/>
          </w:tcPr>
          <w:p>
            <w:pPr>
              <w:spacing w:after="0"/>
              <w:rPr>
                <w:sz w:val="19"/>
                <w:szCs w:val="19"/>
                <w:color w:val="auto"/>
              </w:rPr>
            </w:pPr>
          </w:p>
        </w:tc>
        <w:tc>
          <w:tcPr>
            <w:tcW w:w="8500" w:type="dxa"/>
            <w:vAlign w:val="bottom"/>
            <w:gridSpan w:val="3"/>
          </w:tcPr>
          <w:p>
            <w:pPr>
              <w:ind w:left="3800"/>
              <w:spacing w:after="0"/>
              <w:rPr>
                <w:sz w:val="20"/>
                <w:szCs w:val="20"/>
                <w:color w:val="auto"/>
              </w:rPr>
            </w:pPr>
            <w:r>
              <w:rPr>
                <w:rFonts w:ascii="Arial" w:cs="Arial" w:eastAsia="Arial" w:hAnsi="Arial"/>
                <w:sz w:val="18"/>
                <w:szCs w:val="18"/>
                <w:color w:val="auto"/>
              </w:rPr>
              <w:t>Name: Joshua A. Sherbin</w:t>
            </w:r>
          </w:p>
        </w:tc>
      </w:tr>
      <w:tr>
        <w:trPr>
          <w:trHeight w:val="216"/>
        </w:trPr>
        <w:tc>
          <w:tcPr>
            <w:tcW w:w="2360" w:type="dxa"/>
            <w:vAlign w:val="bottom"/>
          </w:tcPr>
          <w:p>
            <w:pPr>
              <w:spacing w:after="0"/>
              <w:rPr>
                <w:sz w:val="18"/>
                <w:szCs w:val="18"/>
                <w:color w:val="auto"/>
              </w:rPr>
            </w:pPr>
          </w:p>
        </w:tc>
        <w:tc>
          <w:tcPr>
            <w:tcW w:w="8500" w:type="dxa"/>
            <w:vAlign w:val="bottom"/>
            <w:gridSpan w:val="3"/>
          </w:tcPr>
          <w:p>
            <w:pPr>
              <w:ind w:left="3800"/>
              <w:spacing w:after="0"/>
              <w:rPr>
                <w:sz w:val="20"/>
                <w:szCs w:val="20"/>
                <w:color w:val="auto"/>
              </w:rPr>
            </w:pPr>
            <w:r>
              <w:rPr>
                <w:rFonts w:ascii="Arial" w:cs="Arial" w:eastAsia="Arial" w:hAnsi="Arial"/>
                <w:sz w:val="18"/>
                <w:szCs w:val="18"/>
                <w:color w:val="auto"/>
                <w:w w:val="91"/>
              </w:rPr>
              <w:t>Title: Senior Vice President, General Counsel, Chief Compliance</w:t>
            </w:r>
          </w:p>
        </w:tc>
      </w:tr>
      <w:tr>
        <w:trPr>
          <w:trHeight w:val="230"/>
        </w:trPr>
        <w:tc>
          <w:tcPr>
            <w:tcW w:w="2360" w:type="dxa"/>
            <w:vAlign w:val="bottom"/>
          </w:tcPr>
          <w:p>
            <w:pPr>
              <w:spacing w:after="0"/>
              <w:rPr>
                <w:sz w:val="20"/>
                <w:szCs w:val="20"/>
                <w:color w:val="auto"/>
              </w:rPr>
            </w:pPr>
          </w:p>
        </w:tc>
        <w:tc>
          <w:tcPr>
            <w:tcW w:w="8500" w:type="dxa"/>
            <w:vAlign w:val="bottom"/>
            <w:gridSpan w:val="3"/>
          </w:tcPr>
          <w:p>
            <w:pPr>
              <w:ind w:left="3800"/>
              <w:spacing w:after="0"/>
              <w:rPr>
                <w:sz w:val="20"/>
                <w:szCs w:val="20"/>
                <w:color w:val="auto"/>
              </w:rPr>
            </w:pPr>
            <w:r>
              <w:rPr>
                <w:rFonts w:ascii="Arial" w:cs="Arial" w:eastAsia="Arial" w:hAnsi="Arial"/>
                <w:sz w:val="18"/>
                <w:szCs w:val="18"/>
                <w:color w:val="auto"/>
              </w:rPr>
              <w:t>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b w:val="1"/>
          <w:bCs w:val="1"/>
          <w:color w:val="auto"/>
        </w:rPr>
        <w:t>OPTIONEE ACKNOWLEDGES AND AGREES THAT THE VESTING OF THE OPTION AND THE PURCHASE OF SHARES PURSUANT TO THE OPTION IS EARNED ONLY BY CONTINUING AS A SERVICE PROVIDER AT THE WILL OF THE CORPORATION (NOT THROUGH THE ACT OF BEING HIRED, BEING GRANTED THIS OPTION OR ACQUIRING SHARES HEREUNDER). OPTIONEE FURTHER ACKNOWLEDGES AND AGREES THAT NOTHING IN THIS AGREEMENT, NOR IN THE CORPORATION’S 2011 OMNIBUS INCENTIVE COMPENSATION PLAN, AS AMENDED, WHICH IS INCORPORATED HEREIN BY REFERENCE, SHALL CONFER UPON OPTIONEE ANY RIGHT WITH RESPECT TO CONTINUATION AS A SERVICE PROVIDER OF THE CORPORATION OR ANY PARENT OR SUBSIDIARY, NOR SHALL IT INTERFERE IN ANY WAY WITH OPTIONEE’S RIGHT OR THE CORPORATION’S RIGHT TO TERMINATE OPTIONEE’S SERVICE PROVIDER RELATIONSHIP AT ANY TIME, WITH OR WITHOUT CAUSE AND WITH OR WITHOUT PRIOR NOTICE.</w:t>
      </w:r>
    </w:p>
    <w:p>
      <w:pPr>
        <w:spacing w:after="0" w:line="189"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b w:val="1"/>
          <w:bCs w:val="1"/>
          <w:color w:val="auto"/>
        </w:rPr>
        <w:t>BY CLICKING THE “ACCEPT” BUTTON BELOW, OPTIONEE ACKNOWLEDGES RECEIPT OF A COPY OF THE PLAN AND REPRESENTS THAT OPTIONEE IS FAMILIAR WITH THE TERMS AND PROVISIONS OF THE PLAN. OPTIONEE ACCEPTS THIS OPTION SUBJECT TO ALL OF THE TERMS AND PROVISIONS OF THIS AGREEMENT AND THE PLAN. OPTIONEE HAS REVIEWED THE PLAN AND THIS AGREEMENT IN THEIR ENTIRETY. OPTIONEE AGREES TO ACCEPT AS BINDING, CONCLUSIVE AND FINAL ALL DECISIONS OR INTERPRETATIONS OF THE COMMITTEE UPON ANY QUESTIONS ARISING UNDER THE PLAN OR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2016</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2016</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September 30, 2016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2016</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September 30, 2016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2016</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lvl w:ilvl="1">
      <w:lvlJc w:val="left"/>
      <w:lvlText w:val="•"/>
      <w:numFmt w:val="bullet"/>
      <w:start w:val="1"/>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2"/>
    </w:lvl>
  </w:abstractNum>
  <w:abstractNum w:abstractNumId="11">
    <w:nsid w:val="79838CB2"/>
    <w:multiLevelType w:val="hybridMultilevel"/>
    <w:lvl w:ilvl="0">
      <w:lvlJc w:val="left"/>
      <w:lvlText w:val="%1."/>
      <w:numFmt w:val="decimal"/>
      <w:start w:val="3"/>
    </w:lvl>
  </w:abstractNum>
  <w:abstractNum w:abstractNumId="12">
    <w:nsid w:val="4353D0CD"/>
    <w:multiLevelType w:val="hybridMultilevel"/>
    <w:lvl w:ilvl="0">
      <w:lvlJc w:val="left"/>
      <w:lvlText w:val="%1."/>
      <w:numFmt w:val="decimal"/>
      <w:start w:val="4"/>
    </w:lvl>
  </w:abstractNum>
  <w:abstractNum w:abstractNumId="13">
    <w:nsid w:val="B03E0C6"/>
    <w:multiLevelType w:val="hybridMultilevel"/>
    <w:lvl w:ilvl="0">
      <w:lvlJc w:val="left"/>
      <w:lvlText w:val="%1."/>
      <w:numFmt w:val="decimal"/>
      <w:start w:val="5"/>
    </w:lvl>
  </w:abstractNum>
  <w:abstractNum w:abstractNumId="14">
    <w:nsid w:val="189A769B"/>
    <w:multiLevelType w:val="hybridMultilevel"/>
    <w:lvl w:ilvl="0">
      <w:lvlJc w:val="left"/>
      <w:lvlText w:val="%1"/>
      <w:numFmt w:val="decimal"/>
      <w:start w:val="1"/>
    </w:lvl>
    <w:lvl w:ilvl="1">
      <w:lvlJc w:val="left"/>
      <w:lvlText w:val="(%2)"/>
      <w:numFmt w:val="lowerRoman"/>
      <w:start w:val="4"/>
    </w:lvl>
  </w:abstractNum>
  <w:abstractNum w:abstractNumId="15">
    <w:nsid w:val="54E49EB4"/>
    <w:multiLevelType w:val="hybridMultilevel"/>
    <w:lvl w:ilvl="0">
      <w:lvlJc w:val="left"/>
      <w:lvlText w:val="%1."/>
      <w:numFmt w:val="decimal"/>
      <w:start w:val="6"/>
    </w:lvl>
    <w:lvl w:ilvl="1">
      <w:lvlJc w:val="left"/>
      <w:lvlText w:val="%2"/>
      <w:numFmt w:val="lowerRoman"/>
      <w:start w:val="1"/>
    </w:lvl>
  </w:abstractNum>
  <w:abstractNum w:abstractNumId="16">
    <w:nsid w:val="71F32454"/>
    <w:multiLevelType w:val="hybridMultilevel"/>
    <w:lvl w:ilvl="0">
      <w:lvlJc w:val="left"/>
      <w:lvlText w:val="%1."/>
      <w:numFmt w:val="decimal"/>
      <w:start w:val="7"/>
    </w:lvl>
  </w:abstractNum>
  <w:abstractNum w:abstractNumId="17">
    <w:nsid w:val="2CA88611"/>
    <w:multiLevelType w:val="hybridMultilevel"/>
    <w:lvl w:ilvl="0">
      <w:lvlJc w:val="left"/>
      <w:lvlText w:val="%1."/>
      <w:numFmt w:val="decimal"/>
      <w:start w:val="8"/>
    </w:lvl>
  </w:abstractNum>
  <w:abstractNum w:abstractNumId="18">
    <w:nsid w:val="836C40E"/>
    <w:multiLevelType w:val="hybridMultilevel"/>
    <w:lvl w:ilvl="0">
      <w:lvlJc w:val="left"/>
      <w:lvlText w:val="%1."/>
      <w:numFmt w:val="decimal"/>
      <w:start w:val="9"/>
    </w:lvl>
  </w:abstractNum>
  <w:abstractNum w:abstractNumId="19">
    <w:nsid w:val="2901D82"/>
    <w:multiLevelType w:val="hybridMultilevel"/>
    <w:lvl w:ilvl="0">
      <w:lvlJc w:val="left"/>
      <w:lvlText w:val="%1."/>
      <w:numFmt w:val="decimal"/>
      <w:start w:val="10"/>
    </w:lvl>
  </w:abstractNum>
  <w:abstractNum w:abstractNumId="20">
    <w:nsid w:val="3A95F874"/>
    <w:multiLevelType w:val="hybridMultilevel"/>
    <w:lvl w:ilvl="0">
      <w:lvlJc w:val="left"/>
      <w:lvlText w:val="%1."/>
      <w:numFmt w:val="decimal"/>
      <w:start w:val="11"/>
    </w:lvl>
  </w:abstractNum>
  <w:abstractNum w:abstractNumId="21">
    <w:nsid w:val="8138641"/>
    <w:multiLevelType w:val="hybridMultilevel"/>
    <w:lvl w:ilvl="0">
      <w:lvlJc w:val="left"/>
      <w:lvlText w:val="%1."/>
      <w:numFmt w:val="decimal"/>
      <w:start w:val="12"/>
    </w:lvl>
  </w:abstractNum>
  <w:abstractNum w:abstractNumId="22">
    <w:nsid w:val="1E7FF521"/>
    <w:multiLevelType w:val="hybridMultilevel"/>
    <w:lvl w:ilvl="0">
      <w:lvlJc w:val="left"/>
      <w:lvlText w:val="%1."/>
      <w:numFmt w:val="decimal"/>
      <w:start w:val="13"/>
    </w:lvl>
  </w:abstractNum>
  <w:abstractNum w:abstractNumId="23">
    <w:nsid w:val="7C3DBD3D"/>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
    </w:lvl>
    <w:lvl w:ilvl="1">
      <w:lvlJc w:val="left"/>
      <w:lvlText w:val="◦"/>
      <w:numFmt w:val="bullet"/>
      <w:start w:val="1"/>
    </w:lvl>
  </w:abstractNum>
  <w:abstractNum w:abstractNumId="26">
    <w:nsid w:val="22221A70"/>
    <w:multiLevelType w:val="hybridMultilevel"/>
    <w:lvl w:ilvl="0">
      <w:lvlJc w:val="left"/>
      <w:lvlText w:val="%1."/>
      <w:numFmt w:val="upperLetter"/>
      <w:start w:val="9"/>
    </w:lvl>
  </w:abstractNum>
  <w:abstractNum w:abstractNumId="27">
    <w:nsid w:val="4516DDE9"/>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28">
    <w:nsid w:val="3006C83E"/>
    <w:multiLevelType w:val="hybridMultilevel"/>
    <w:lvl w:ilvl="0">
      <w:lvlJc w:val="left"/>
      <w:lvlText w:val="%1"/>
      <w:numFmt w:val="decimal"/>
      <w:start w:val="1"/>
    </w:lvl>
    <w:lvl w:ilvl="1">
      <w:lvlJc w:val="left"/>
      <w:lvlText w:val="(%2)"/>
      <w:numFmt w:val="lowerLetter"/>
      <w:start w:val="1"/>
    </w:lvl>
  </w:abstractNum>
  <w:abstractNum w:abstractNumId="29">
    <w:nsid w:val="614FD4A1"/>
    <w:multiLevelType w:val="hybridMultilevel"/>
    <w:lvl w:ilvl="0">
      <w:lvlJc w:val="left"/>
      <w:lvlText w:val="(%1)"/>
      <w:numFmt w:val="decimal"/>
      <w:start w:val="2"/>
    </w:lvl>
    <w:lvl w:ilvl="1">
      <w:lvlJc w:val="left"/>
      <w:lvlText w:val="%2"/>
      <w:numFmt w:val="lowerLetter"/>
      <w:start w:val="1"/>
    </w:lvl>
  </w:abstractNum>
  <w:abstractNum w:abstractNumId="30">
    <w:nsid w:val="419AC241"/>
    <w:multiLevelType w:val="hybridMultilevel"/>
    <w:lvl w:ilvl="0">
      <w:lvlJc w:val="left"/>
      <w:lvlText w:val="%1."/>
      <w:numFmt w:val="upperLetter"/>
      <w:start w:val="3"/>
    </w:lvl>
    <w:lvl w:ilvl="1">
      <w:lvlJc w:val="left"/>
      <w:lvlText w:val="(%2)"/>
      <w:numFmt w:val="decimal"/>
      <w:start w:val="1"/>
    </w:lvl>
  </w:abstractNum>
  <w:abstractNum w:abstractNumId="31">
    <w:nsid w:val="5577F8E1"/>
    <w:multiLevelType w:val="hybridMultilevel"/>
    <w:lvl w:ilvl="0">
      <w:lvlJc w:val="left"/>
      <w:lvlText w:val="%1."/>
      <w:numFmt w:val="upperLetter"/>
      <w:start w:val="7"/>
    </w:lvl>
  </w:abstractNum>
  <w:abstractNum w:abstractNumId="32">
    <w:nsid w:val="440BADFC"/>
    <w:multiLevelType w:val="hybridMultilevel"/>
    <w:lvl w:ilvl="0">
      <w:lvlJc w:val="left"/>
      <w:lvlText w:val="%1."/>
      <w:numFmt w:val="upperLetter"/>
      <w:start w:val="16"/>
    </w:lvl>
  </w:abstractNum>
  <w:abstractNum w:abstractNumId="33">
    <w:nsid w:val="5072367"/>
    <w:multiLevelType w:val="hybridMultilevel"/>
    <w:lvl w:ilvl="0">
      <w:lvlJc w:val="left"/>
      <w:lvlText w:val="%1."/>
      <w:numFmt w:val="upperLetter"/>
      <w:start w:val="19"/>
    </w:lvl>
    <w:lvl w:ilvl="1">
      <w:lvlJc w:val="left"/>
      <w:lvlText w:val="(%2)"/>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2019-12-29T09:37:04Z</dcterms:created>
  <dcterms:modified xsi:type="dcterms:W3CDTF">2019-12-29T09:37:04Z</dcterms:modified>
</cp:coreProperties>
</file>