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61"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(Mark One)</w:t>
      </w:r>
    </w:p>
    <w:p>
      <w:pPr>
        <w:spacing w:after="0" w:line="19" w:lineRule="exact"/>
        <w:rPr>
          <w:sz w:val="24"/>
          <w:szCs w:val="24"/>
          <w:color w:val="auto"/>
        </w:rPr>
      </w:pPr>
    </w:p>
    <w:p>
      <w:pPr>
        <w:ind w:left="1640" w:hanging="1017"/>
        <w:spacing w:after="0"/>
        <w:tabs>
          <w:tab w:leader="none" w:pos="1640" w:val="left"/>
        </w:tabs>
        <w:numPr>
          <w:ilvl w:val="0"/>
          <w:numId w:val="1"/>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Quarterly Report Pursuant to Section 13 or 15(d) of the Securities Exchange Act of 1934</w:t>
      </w:r>
    </w:p>
    <w:p>
      <w:pPr>
        <w:spacing w:after="0" w:line="187"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43" w:lineRule="exact"/>
        <w:rPr>
          <w:sz w:val="24"/>
          <w:szCs w:val="24"/>
          <w:color w:val="auto"/>
        </w:rPr>
      </w:pPr>
    </w:p>
    <w:p>
      <w:pPr>
        <w:ind w:left="5600"/>
        <w:spacing w:after="0"/>
        <w:rPr>
          <w:sz w:val="20"/>
          <w:szCs w:val="20"/>
          <w:color w:val="auto"/>
        </w:rPr>
      </w:pPr>
      <w:r>
        <w:rPr>
          <w:rFonts w:ascii="Arial" w:cs="Arial" w:eastAsia="Arial" w:hAnsi="Arial"/>
          <w:sz w:val="18"/>
          <w:szCs w:val="18"/>
          <w:b w:val="1"/>
          <w:bCs w:val="1"/>
          <w:color w:val="auto"/>
        </w:rPr>
        <w:t>Or</w:t>
      </w:r>
    </w:p>
    <w:p>
      <w:pPr>
        <w:spacing w:after="0" w:line="19" w:lineRule="exact"/>
        <w:rPr>
          <w:sz w:val="24"/>
          <w:szCs w:val="24"/>
          <w:color w:val="auto"/>
        </w:rPr>
      </w:pPr>
    </w:p>
    <w:p>
      <w:pPr>
        <w:ind w:left="1640" w:hanging="1017"/>
        <w:spacing w:after="0"/>
        <w:tabs>
          <w:tab w:leader="none" w:pos="1640" w:val="left"/>
        </w:tabs>
        <w:numPr>
          <w:ilvl w:val="0"/>
          <w:numId w:val="2"/>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Transition Report Pursuant to Section 13 or 15(d) of the Securities Exchange Act of 1934</w:t>
      </w:r>
    </w:p>
    <w:p>
      <w:pPr>
        <w:spacing w:after="0" w:line="154"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80" w:type="dxa"/>
            <w:vAlign w:val="bottom"/>
            <w:gridSpan w:val="2"/>
          </w:tcPr>
          <w:p>
            <w:pPr>
              <w:ind w:left="100"/>
              <w:spacing w:after="0"/>
              <w:rPr>
                <w:sz w:val="20"/>
                <w:szCs w:val="20"/>
                <w:color w:val="auto"/>
              </w:rPr>
            </w:pPr>
            <w:r>
              <w:rPr>
                <w:rFonts w:ascii="Arial" w:cs="Arial" w:eastAsia="Arial" w:hAnsi="Arial"/>
                <w:sz w:val="18"/>
                <w:szCs w:val="18"/>
                <w:b w:val="1"/>
                <w:bCs w:val="1"/>
                <w:color w:val="auto"/>
                <w:w w:val="91"/>
              </w:rPr>
              <w:t>For the Transition Period from</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800" w:type="dxa"/>
            <w:vAlign w:val="bottom"/>
            <w:tcBorders>
              <w:bottom w:val="single" w:sz="8" w:color="auto"/>
            </w:tcBorders>
          </w:tcPr>
          <w:p>
            <w:pPr>
              <w:spacing w:after="0"/>
              <w:rPr>
                <w:sz w:val="17"/>
                <w:szCs w:val="17"/>
                <w:color w:val="auto"/>
              </w:rPr>
            </w:pPr>
          </w:p>
        </w:tc>
        <w:tc>
          <w:tcPr>
            <w:tcW w:w="2920" w:type="dxa"/>
            <w:vAlign w:val="bottom"/>
          </w:tcPr>
          <w:p>
            <w:pPr>
              <w:jc w:val="right"/>
              <w:ind w:right="2770"/>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40" w:type="dxa"/>
            <w:vAlign w:val="bottom"/>
            <w:gridSpan w:val="8"/>
          </w:tcPr>
          <w:p>
            <w:pPr>
              <w:jc w:val="center"/>
              <w:ind w:left="45"/>
              <w:spacing w:after="0"/>
              <w:rPr>
                <w:sz w:val="20"/>
                <w:szCs w:val="20"/>
                <w:color w:val="auto"/>
              </w:rPr>
            </w:pPr>
            <w:r>
              <w:rPr>
                <w:rFonts w:ascii="Arial" w:cs="Arial" w:eastAsia="Arial" w:hAnsi="Arial"/>
                <w:sz w:val="18"/>
                <w:szCs w:val="18"/>
                <w:b w:val="1"/>
                <w:bCs w:val="1"/>
                <w:color w:val="auto"/>
                <w:w w:val="89"/>
              </w:rPr>
              <w:t>Commission file number 001-10716</w:t>
            </w:r>
          </w:p>
        </w:tc>
        <w:tc>
          <w:tcPr>
            <w:tcW w:w="2920" w:type="dxa"/>
            <w:vAlign w:val="bottom"/>
          </w:tcPr>
          <w:p>
            <w:pPr>
              <w:spacing w:after="0"/>
              <w:rPr>
                <w:sz w:val="24"/>
                <w:szCs w:val="24"/>
                <w:color w:val="auto"/>
              </w:rPr>
            </w:pPr>
          </w:p>
        </w:tc>
      </w:tr>
      <w:tr>
        <w:trPr>
          <w:trHeight w:val="505"/>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40" w:type="dxa"/>
            <w:vAlign w:val="bottom"/>
            <w:gridSpan w:val="8"/>
          </w:tcPr>
          <w:p>
            <w:pPr>
              <w:jc w:val="center"/>
              <w:ind w:left="65"/>
              <w:spacing w:after="0"/>
              <w:rPr>
                <w:sz w:val="20"/>
                <w:szCs w:val="20"/>
                <w:color w:val="auto"/>
              </w:rPr>
            </w:pPr>
            <w:r>
              <w:rPr>
                <w:rFonts w:ascii="Arial" w:cs="Arial" w:eastAsia="Arial" w:hAnsi="Arial"/>
                <w:sz w:val="29"/>
                <w:szCs w:val="29"/>
                <w:b w:val="1"/>
                <w:bCs w:val="1"/>
                <w:color w:val="auto"/>
              </w:rPr>
              <w:t>TRIMAS CORPORATION</w:t>
            </w:r>
          </w:p>
        </w:tc>
        <w:tc>
          <w:tcPr>
            <w:tcW w:w="2920" w:type="dxa"/>
            <w:vAlign w:val="bottom"/>
          </w:tcPr>
          <w:p>
            <w:pPr>
              <w:spacing w:after="0"/>
              <w:rPr>
                <w:sz w:val="24"/>
                <w:szCs w:val="24"/>
                <w:color w:val="auto"/>
              </w:rPr>
            </w:pPr>
          </w:p>
        </w:tc>
      </w:tr>
      <w:tr>
        <w:trPr>
          <w:trHeight w:val="373"/>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40" w:type="dxa"/>
            <w:vAlign w:val="bottom"/>
            <w:gridSpan w:val="8"/>
          </w:tcPr>
          <w:p>
            <w:pPr>
              <w:jc w:val="center"/>
              <w:ind w:left="65"/>
              <w:spacing w:after="0"/>
              <w:rPr>
                <w:sz w:val="20"/>
                <w:szCs w:val="20"/>
                <w:color w:val="auto"/>
              </w:rPr>
            </w:pPr>
            <w:r>
              <w:rPr>
                <w:rFonts w:ascii="Arial" w:cs="Arial" w:eastAsia="Arial" w:hAnsi="Arial"/>
                <w:sz w:val="18"/>
                <w:szCs w:val="18"/>
                <w:color w:val="auto"/>
                <w:w w:val="90"/>
              </w:rPr>
              <w:t>(Exact name of registrant as specified in its charter)</w:t>
            </w:r>
          </w:p>
        </w:tc>
        <w:tc>
          <w:tcPr>
            <w:tcW w:w="292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4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1"/>
              </w:rPr>
              <w:t>Delaware</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38-2687639</w:t>
            </w:r>
          </w:p>
        </w:tc>
        <w:tc>
          <w:tcPr>
            <w:tcW w:w="2920" w:type="dxa"/>
            <w:vAlign w:val="bottom"/>
          </w:tcPr>
          <w:p>
            <w:pPr>
              <w:spacing w:after="0"/>
              <w:rPr>
                <w:sz w:val="24"/>
                <w:szCs w:val="24"/>
                <w:color w:val="auto"/>
              </w:rPr>
            </w:pPr>
          </w:p>
        </w:tc>
      </w:tr>
      <w:tr>
        <w:trPr>
          <w:trHeight w:val="256"/>
        </w:trPr>
        <w:tc>
          <w:tcPr>
            <w:tcW w:w="4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380" w:type="dxa"/>
            <w:vAlign w:val="bottom"/>
            <w:gridSpan w:val="4"/>
          </w:tcPr>
          <w:p>
            <w:pPr>
              <w:jc w:val="center"/>
              <w:ind w:right="740"/>
              <w:spacing w:after="0"/>
              <w:rPr>
                <w:sz w:val="20"/>
                <w:szCs w:val="20"/>
                <w:color w:val="auto"/>
              </w:rPr>
            </w:pPr>
            <w:r>
              <w:rPr>
                <w:rFonts w:ascii="Arial" w:cs="Arial" w:eastAsia="Arial" w:hAnsi="Arial"/>
                <w:sz w:val="18"/>
                <w:szCs w:val="18"/>
                <w:color w:val="auto"/>
                <w:w w:val="92"/>
              </w:rPr>
              <w:t>(State or other jurisdiction of</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8"/>
                <w:szCs w:val="18"/>
                <w:color w:val="auto"/>
                <w:w w:val="93"/>
              </w:rPr>
              <w:t>(IRS Employer</w:t>
            </w:r>
          </w:p>
        </w:tc>
        <w:tc>
          <w:tcPr>
            <w:tcW w:w="2920" w:type="dxa"/>
            <w:vAlign w:val="bottom"/>
          </w:tcPr>
          <w:p>
            <w:pPr>
              <w:spacing w:after="0"/>
              <w:rPr>
                <w:sz w:val="22"/>
                <w:szCs w:val="22"/>
                <w:color w:val="auto"/>
              </w:rPr>
            </w:pPr>
          </w:p>
        </w:tc>
      </w:tr>
      <w:tr>
        <w:trPr>
          <w:trHeight w:val="230"/>
        </w:trPr>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80" w:type="dxa"/>
            <w:vAlign w:val="bottom"/>
            <w:gridSpan w:val="4"/>
          </w:tcPr>
          <w:p>
            <w:pPr>
              <w:jc w:val="center"/>
              <w:ind w:right="740"/>
              <w:spacing w:after="0"/>
              <w:rPr>
                <w:sz w:val="20"/>
                <w:szCs w:val="20"/>
                <w:color w:val="auto"/>
              </w:rPr>
            </w:pPr>
            <w:r>
              <w:rPr>
                <w:rFonts w:ascii="Arial" w:cs="Arial" w:eastAsia="Arial" w:hAnsi="Arial"/>
                <w:sz w:val="18"/>
                <w:szCs w:val="18"/>
                <w:color w:val="auto"/>
                <w:w w:val="92"/>
              </w:rPr>
              <w:t>incorporation or organization)</w:t>
            </w:r>
          </w:p>
        </w:tc>
        <w:tc>
          <w:tcPr>
            <w:tcW w:w="4320" w:type="dxa"/>
            <w:vAlign w:val="bottom"/>
            <w:gridSpan w:val="6"/>
          </w:tcPr>
          <w:p>
            <w:pPr>
              <w:jc w:val="center"/>
              <w:ind w:right="2690"/>
              <w:spacing w:after="0"/>
              <w:rPr>
                <w:sz w:val="20"/>
                <w:szCs w:val="20"/>
                <w:color w:val="auto"/>
              </w:rPr>
            </w:pPr>
            <w:r>
              <w:rPr>
                <w:rFonts w:ascii="Arial" w:cs="Arial" w:eastAsia="Arial" w:hAnsi="Arial"/>
                <w:sz w:val="18"/>
                <w:szCs w:val="18"/>
                <w:color w:val="auto"/>
                <w:w w:val="95"/>
              </w:rPr>
              <w:t>Identification No.)</w:t>
            </w:r>
          </w:p>
        </w:tc>
      </w:tr>
      <w:tr>
        <w:trPr>
          <w:trHeight w:val="324"/>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40" w:type="dxa"/>
            <w:vAlign w:val="bottom"/>
            <w:gridSpan w:val="8"/>
          </w:tcPr>
          <w:p>
            <w:pPr>
              <w:jc w:val="center"/>
              <w:ind w:left="45"/>
              <w:spacing w:after="0"/>
              <w:rPr>
                <w:sz w:val="20"/>
                <w:szCs w:val="20"/>
                <w:color w:val="auto"/>
              </w:rPr>
            </w:pPr>
            <w:r>
              <w:rPr>
                <w:rFonts w:ascii="Arial" w:cs="Arial" w:eastAsia="Arial" w:hAnsi="Arial"/>
                <w:sz w:val="18"/>
                <w:szCs w:val="18"/>
                <w:b w:val="1"/>
                <w:bCs w:val="1"/>
                <w:color w:val="auto"/>
                <w:w w:val="89"/>
              </w:rPr>
              <w:t>38505 Woodward Avenue, Suite 200</w:t>
            </w:r>
          </w:p>
        </w:tc>
        <w:tc>
          <w:tcPr>
            <w:tcW w:w="2920" w:type="dxa"/>
            <w:vAlign w:val="bottom"/>
          </w:tcPr>
          <w:p>
            <w:pPr>
              <w:spacing w:after="0"/>
              <w:rPr>
                <w:sz w:val="24"/>
                <w:szCs w:val="24"/>
                <w:color w:val="auto"/>
              </w:rPr>
            </w:pPr>
          </w:p>
        </w:tc>
      </w:tr>
      <w:tr>
        <w:trPr>
          <w:trHeight w:val="37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40" w:type="dxa"/>
            <w:vAlign w:val="bottom"/>
            <w:gridSpan w:val="8"/>
          </w:tcPr>
          <w:p>
            <w:pPr>
              <w:jc w:val="center"/>
              <w:ind w:left="65"/>
              <w:spacing w:after="0"/>
              <w:rPr>
                <w:sz w:val="20"/>
                <w:szCs w:val="20"/>
                <w:color w:val="auto"/>
              </w:rPr>
            </w:pPr>
            <w:r>
              <w:rPr>
                <w:rFonts w:ascii="Arial" w:cs="Arial" w:eastAsia="Arial" w:hAnsi="Arial"/>
                <w:sz w:val="18"/>
                <w:szCs w:val="18"/>
                <w:b w:val="1"/>
                <w:bCs w:val="1"/>
                <w:color w:val="auto"/>
                <w:w w:val="91"/>
              </w:rPr>
              <w:t>Bloomfield Hills, Michigan 48304</w:t>
            </w:r>
          </w:p>
        </w:tc>
        <w:tc>
          <w:tcPr>
            <w:tcW w:w="2920" w:type="dxa"/>
            <w:vAlign w:val="bottom"/>
          </w:tcPr>
          <w:p>
            <w:pPr>
              <w:spacing w:after="0"/>
              <w:rPr>
                <w:sz w:val="24"/>
                <w:szCs w:val="24"/>
                <w:color w:val="auto"/>
              </w:rPr>
            </w:pPr>
          </w:p>
        </w:tc>
      </w:tr>
      <w:tr>
        <w:trPr>
          <w:trHeight w:val="37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60" w:type="dxa"/>
            <w:vAlign w:val="bottom"/>
            <w:gridSpan w:val="9"/>
          </w:tcPr>
          <w:p>
            <w:pPr>
              <w:jc w:val="center"/>
              <w:ind w:right="2670"/>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37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40" w:type="dxa"/>
            <w:vAlign w:val="bottom"/>
            <w:gridSpan w:val="3"/>
          </w:tcPr>
          <w:p>
            <w:pPr>
              <w:jc w:val="center"/>
              <w:ind w:left="1465"/>
              <w:spacing w:after="0"/>
              <w:rPr>
                <w:sz w:val="20"/>
                <w:szCs w:val="20"/>
                <w:color w:val="auto"/>
              </w:rPr>
            </w:pPr>
            <w:r>
              <w:rPr>
                <w:rFonts w:ascii="Arial" w:cs="Arial" w:eastAsia="Arial" w:hAnsi="Arial"/>
                <w:sz w:val="18"/>
                <w:szCs w:val="18"/>
                <w:b w:val="1"/>
                <w:bCs w:val="1"/>
                <w:color w:val="auto"/>
                <w:w w:val="90"/>
              </w:rPr>
              <w:t>(248) 631-5450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7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40" w:type="dxa"/>
            <w:vAlign w:val="bottom"/>
            <w:gridSpan w:val="8"/>
          </w:tcPr>
          <w:p>
            <w:pPr>
              <w:jc w:val="center"/>
              <w:ind w:left="65"/>
              <w:spacing w:after="0"/>
              <w:rPr>
                <w:sz w:val="20"/>
                <w:szCs w:val="20"/>
                <w:color w:val="auto"/>
              </w:rPr>
            </w:pPr>
            <w:r>
              <w:rPr>
                <w:rFonts w:ascii="Arial" w:cs="Arial" w:eastAsia="Arial" w:hAnsi="Arial"/>
                <w:sz w:val="18"/>
                <w:szCs w:val="18"/>
                <w:color w:val="auto"/>
                <w:w w:val="89"/>
              </w:rPr>
              <w:t>(Registrant's telephone number, including area code)</w:t>
            </w:r>
          </w:p>
        </w:tc>
        <w:tc>
          <w:tcPr>
            <w:tcW w:w="2920" w:type="dxa"/>
            <w:vAlign w:val="bottom"/>
          </w:tcPr>
          <w:p>
            <w:pPr>
              <w:spacing w:after="0"/>
              <w:rPr>
                <w:sz w:val="24"/>
                <w:szCs w:val="24"/>
                <w:color w:val="auto"/>
              </w:rPr>
            </w:pPr>
          </w:p>
        </w:tc>
      </w:tr>
      <w:tr>
        <w:trPr>
          <w:trHeight w:val="500"/>
        </w:trPr>
        <w:tc>
          <w:tcPr>
            <w:tcW w:w="4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9"/>
              </w:rPr>
              <w:t>Trading symbol(s)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r>
        <w:trPr>
          <w:trHeight w:val="291"/>
        </w:trPr>
        <w:tc>
          <w:tcPr>
            <w:tcW w:w="2380" w:type="dxa"/>
            <w:vAlign w:val="bottom"/>
            <w:gridSpan w:val="3"/>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560" w:type="dxa"/>
            <w:vAlign w:val="bottom"/>
          </w:tcPr>
          <w:p>
            <w:pPr>
              <w:spacing w:after="0"/>
              <w:rPr>
                <w:sz w:val="24"/>
                <w:szCs w:val="24"/>
                <w:color w:val="auto"/>
              </w:rPr>
            </w:pPr>
          </w:p>
        </w:tc>
        <w:tc>
          <w:tcPr>
            <w:tcW w:w="12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TRS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5"/>
              </w:rPr>
              <w:t>The NASDAQ Global Market LLC</w:t>
            </w:r>
          </w:p>
        </w:tc>
      </w:tr>
    </w:tbl>
    <w:p>
      <w:pPr>
        <w:spacing w:after="0" w:line="202" w:lineRule="exact"/>
        <w:rPr>
          <w:sz w:val="24"/>
          <w:szCs w:val="24"/>
          <w:color w:val="auto"/>
        </w:rPr>
      </w:pPr>
    </w:p>
    <w:p>
      <w:pPr>
        <w:jc w:val="both"/>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w:t>
      </w:r>
    </w:p>
    <w:p>
      <w:pPr>
        <w:spacing w:after="0" w:line="156" w:lineRule="exact"/>
        <w:rPr>
          <w:sz w:val="24"/>
          <w:szCs w:val="24"/>
          <w:color w:val="auto"/>
        </w:rPr>
      </w:pPr>
    </w:p>
    <w:p>
      <w:pPr>
        <w:jc w:val="both"/>
        <w:spacing w:after="0" w:line="26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r>
        <w:rPr>
          <w:rFonts w:ascii="Arial" w:cs="Arial" w:eastAsia="Arial" w:hAnsi="Arial"/>
          <w:sz w:val="17"/>
          <w:szCs w:val="17"/>
          <w:color w:val="auto"/>
        </w:rPr>
        <w:t>.</w:t>
      </w:r>
    </w:p>
    <w:p>
      <w:pPr>
        <w:spacing w:after="0" w:line="12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29" w:lineRule="exact"/>
        <w:rPr>
          <w:sz w:val="24"/>
          <w:szCs w:val="24"/>
          <w:color w:val="auto"/>
        </w:rPr>
      </w:pPr>
    </w:p>
    <w:tbl>
      <w:tblPr>
        <w:tblLayout w:type="fixed"/>
        <w:tblInd w:w="1460" w:type="dxa"/>
        <w:tblCellMar>
          <w:top w:w="0" w:type="dxa"/>
          <w:left w:w="0" w:type="dxa"/>
          <w:bottom w:w="0" w:type="dxa"/>
          <w:right w:w="0" w:type="dxa"/>
        </w:tblCellMar>
      </w:tblPr>
      <w:tr>
        <w:trPr>
          <w:trHeight w:val="386"/>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820"/>
              <w:spacing w:after="0" w:line="221" w:lineRule="exact"/>
              <w:rPr>
                <w:sz w:val="20"/>
                <w:szCs w:val="20"/>
                <w:color w:val="auto"/>
              </w:rPr>
            </w:pPr>
            <w:r>
              <w:rPr>
                <w:rFonts w:ascii="MS PGothic" w:cs="MS PGothic" w:eastAsia="MS PGothic" w:hAnsi="MS PGothic"/>
                <w:sz w:val="22"/>
                <w:szCs w:val="22"/>
                <w:color w:val="auto"/>
              </w:rPr>
              <w:t>☒</w:t>
            </w:r>
          </w:p>
        </w:tc>
        <w:tc>
          <w:tcPr>
            <w:tcW w:w="328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594"/>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820"/>
              <w:spacing w:after="0" w:line="221" w:lineRule="exact"/>
              <w:rPr>
                <w:sz w:val="20"/>
                <w:szCs w:val="20"/>
                <w:color w:val="auto"/>
              </w:rPr>
            </w:pPr>
            <w:r>
              <w:rPr>
                <w:rFonts w:ascii="MS PGothic" w:cs="MS PGothic" w:eastAsia="MS PGothic" w:hAnsi="MS PGothic"/>
                <w:sz w:val="22"/>
                <w:szCs w:val="22"/>
                <w:color w:val="auto"/>
              </w:rPr>
              <w:t>☐</w:t>
            </w:r>
          </w:p>
        </w:tc>
        <w:tc>
          <w:tcPr>
            <w:tcW w:w="3280" w:type="dxa"/>
            <w:vAlign w:val="bottom"/>
          </w:tcPr>
          <w:p>
            <w:pPr>
              <w:ind w:left="64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594"/>
        </w:trPr>
        <w:tc>
          <w:tcPr>
            <w:tcW w:w="2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0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94" w:lineRule="exact"/>
        <w:rPr>
          <w:sz w:val="24"/>
          <w:szCs w:val="24"/>
          <w:color w:val="auto"/>
        </w:rPr>
      </w:pPr>
    </w:p>
    <w:p>
      <w:pPr>
        <w:ind w:right="20"/>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94" w:lineRule="exact"/>
        <w:rPr>
          <w:sz w:val="24"/>
          <w:szCs w:val="24"/>
          <w:color w:val="auto"/>
        </w:rPr>
      </w:pPr>
    </w:p>
    <w:p>
      <w:pPr>
        <w:ind w:right="1820"/>
        <w:spacing w:after="0" w:line="34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October 28, 2019, the number of outstanding shares of the Registrant's common stock, $0.01 par value, was 45,052,041 shares.</w:t>
      </w:r>
    </w:p>
    <w:p>
      <w:pPr>
        <w:sectPr>
          <w:pgSz w:w="11900" w:h="16838" w:orient="portrait"/>
          <w:cols w:equalWidth="0" w:num="1">
            <w:col w:w="11420"/>
          </w:cols>
          <w:pgMar w:left="240" w:top="233" w:right="239" w:bottom="698"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80" w:type="dxa"/>
            <w:vAlign w:val="bottom"/>
            <w:gridSpan w:val="14"/>
          </w:tcPr>
          <w:p>
            <w:pPr>
              <w:jc w:val="center"/>
              <w:ind w:right="3500"/>
              <w:spacing w:after="0"/>
              <w:rPr>
                <w:sz w:val="20"/>
                <w:szCs w:val="20"/>
                <w:color w:val="auto"/>
              </w:rPr>
            </w:pPr>
            <w:r>
              <w:rPr>
                <w:rFonts w:ascii="Arial" w:cs="Arial" w:eastAsia="Arial" w:hAnsi="Arial"/>
                <w:sz w:val="18"/>
                <w:szCs w:val="18"/>
                <w:b w:val="1"/>
                <w:bCs w:val="1"/>
                <w:color w:val="auto"/>
                <w:w w:val="95"/>
              </w:rPr>
              <w:t>TriMas Corporation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20" w:type="dxa"/>
            <w:vAlign w:val="bottom"/>
            <w:gridSpan w:val="11"/>
          </w:tcPr>
          <w:p>
            <w:pPr>
              <w:jc w:val="center"/>
              <w:ind w:right="4040"/>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98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980" w:type="dxa"/>
            <w:vAlign w:val="bottom"/>
            <w:gridSpan w:val="2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400" w:type="dxa"/>
            <w:vAlign w:val="bottom"/>
            <w:gridSpan w:val="4"/>
          </w:tcPr>
          <w:p>
            <w:pPr>
              <w:spacing w:after="0"/>
              <w:rPr>
                <w:sz w:val="24"/>
                <w:szCs w:val="24"/>
                <w:color w:val="auto"/>
              </w:rPr>
            </w:pPr>
          </w:p>
        </w:tc>
        <w:tc>
          <w:tcPr>
            <w:tcW w:w="706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80" w:type="dxa"/>
            <w:vAlign w:val="bottom"/>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 as of September 30, 2019 and December 31, 2018</w:t>
              </w:r>
            </w:hyperlink>
          </w:p>
        </w:tc>
        <w:tc>
          <w:tcPr>
            <w:tcW w:w="1380" w:type="dxa"/>
            <w:vAlign w:val="bottom"/>
            <w:gridSpan w:val="6"/>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Income for the Three and Nine Months Ended September 30, 2019</w:t>
              </w:r>
            </w:hyperlink>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2018</w:t>
              </w:r>
            </w:hyperlink>
          </w:p>
        </w:tc>
        <w:tc>
          <w:tcPr>
            <w:tcW w:w="6380" w:type="dxa"/>
            <w:vAlign w:val="bottom"/>
            <w:gridSpan w:val="19"/>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Comprehensive Income for the Three and Nine Months Ended</w:t>
              </w:r>
            </w:hyperlink>
          </w:p>
        </w:tc>
        <w:tc>
          <w:tcPr>
            <w:tcW w:w="6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2019 and 2018</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22"/>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 of Cash Flows for the Nine Months Ended September 30, 2019 and</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 of Shareholders' Equity for the Nine Months Ended September 30,</w:t>
              </w:r>
            </w:hyperlink>
          </w:p>
        </w:tc>
        <w:tc>
          <w:tcPr>
            <w:tcW w:w="50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6"/>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2019 and 2018</w:t>
              </w:r>
            </w:hyperlink>
          </w:p>
        </w:tc>
        <w:tc>
          <w:tcPr>
            <w:tcW w:w="5980" w:type="dxa"/>
            <w:vAlign w:val="bottom"/>
            <w:gridSpan w:val="16"/>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3"/>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w:t>
              </w:r>
            </w:hyperlink>
          </w:p>
        </w:tc>
        <w:tc>
          <w:tcPr>
            <w:tcW w:w="3900" w:type="dxa"/>
            <w:vAlign w:val="bottom"/>
            <w:gridSpan w:val="9"/>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400" w:type="dxa"/>
            <w:vAlign w:val="bottom"/>
            <w:gridSpan w:val="4"/>
          </w:tcPr>
          <w:p>
            <w:pPr>
              <w:spacing w:after="0"/>
              <w:rPr>
                <w:sz w:val="24"/>
                <w:szCs w:val="24"/>
                <w:color w:val="auto"/>
              </w:rPr>
            </w:pPr>
          </w:p>
        </w:tc>
        <w:tc>
          <w:tcPr>
            <w:tcW w:w="7060" w:type="dxa"/>
            <w:vAlign w:val="bottom"/>
            <w:gridSpan w:val="22"/>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24</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3.</w:t>
              </w:r>
            </w:hyperlink>
          </w:p>
        </w:tc>
        <w:tc>
          <w:tcPr>
            <w:tcW w:w="400" w:type="dxa"/>
            <w:vAlign w:val="bottom"/>
            <w:gridSpan w:val="4"/>
          </w:tcPr>
          <w:p>
            <w:pPr>
              <w:spacing w:after="0"/>
              <w:rPr>
                <w:sz w:val="24"/>
                <w:szCs w:val="24"/>
                <w:color w:val="auto"/>
              </w:rPr>
            </w:pPr>
          </w:p>
        </w:tc>
        <w:tc>
          <w:tcPr>
            <w:tcW w:w="43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Quantitative and Qualitative Disclosures about Market Risk</w:t>
              </w:r>
            </w:hyperlink>
          </w:p>
        </w:tc>
        <w:tc>
          <w:tcPr>
            <w:tcW w:w="2120" w:type="dxa"/>
            <w:vAlign w:val="bottom"/>
            <w:tcBorders>
              <w:top w:val="single" w:sz="8" w:color="0000EE"/>
            </w:tcBorders>
            <w:gridSpan w:val="3"/>
          </w:tcPr>
          <w:p>
            <w:pPr>
              <w:spacing w:after="0"/>
              <w:rPr>
                <w:sz w:val="24"/>
                <w:szCs w:val="24"/>
                <w:color w:val="auto"/>
              </w:rPr>
            </w:pPr>
          </w:p>
        </w:tc>
        <w:tc>
          <w:tcPr>
            <w:tcW w:w="620" w:type="dxa"/>
            <w:vAlign w:val="bottom"/>
            <w:gridSpan w:val="5"/>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40</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4.</w:t>
              </w:r>
            </w:hyperlink>
          </w:p>
        </w:tc>
        <w:tc>
          <w:tcPr>
            <w:tcW w:w="400" w:type="dxa"/>
            <w:vAlign w:val="bottom"/>
            <w:gridSpan w:val="4"/>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528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40</w:t>
              </w:r>
            </w:hyperlink>
          </w:p>
        </w:tc>
      </w:tr>
      <w:tr>
        <w:trPr>
          <w:trHeight w:val="480"/>
        </w:trPr>
        <w:tc>
          <w:tcPr>
            <w:tcW w:w="114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w:t>
              </w:r>
            </w:hyperlink>
          </w:p>
        </w:tc>
        <w:tc>
          <w:tcPr>
            <w:tcW w:w="400" w:type="dxa"/>
            <w:vAlign w:val="bottom"/>
          </w:tcPr>
          <w:p>
            <w:pPr>
              <w:spacing w:after="0"/>
              <w:rPr>
                <w:sz w:val="24"/>
                <w:szCs w:val="24"/>
                <w:color w:val="auto"/>
              </w:rPr>
            </w:pPr>
          </w:p>
        </w:tc>
        <w:tc>
          <w:tcPr>
            <w:tcW w:w="152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43">
              <w:r>
                <w:rPr>
                  <w:rFonts w:ascii="Arial" w:cs="Arial" w:eastAsia="Arial" w:hAnsi="Arial"/>
                  <w:sz w:val="18"/>
                  <w:szCs w:val="18"/>
                  <w:b w:val="1"/>
                  <w:bCs w:val="1"/>
                  <w:color w:val="0000EE"/>
                  <w:w w:val="97"/>
                </w:rPr>
                <w:t>Other Information</w:t>
              </w:r>
            </w:hyperlink>
          </w:p>
        </w:tc>
        <w:tc>
          <w:tcPr>
            <w:tcW w:w="6460" w:type="dxa"/>
            <w:vAlign w:val="bottom"/>
            <w:gridSpan w:val="20"/>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1.</w:t>
              </w:r>
            </w:hyperlink>
          </w:p>
        </w:tc>
        <w:tc>
          <w:tcPr>
            <w:tcW w:w="400" w:type="dxa"/>
            <w:vAlign w:val="bottom"/>
            <w:gridSpan w:val="4"/>
          </w:tcPr>
          <w:p>
            <w:pPr>
              <w:spacing w:after="0"/>
              <w:rPr>
                <w:sz w:val="24"/>
                <w:szCs w:val="24"/>
                <w:color w:val="auto"/>
              </w:rPr>
            </w:pPr>
          </w:p>
        </w:tc>
        <w:tc>
          <w:tcPr>
            <w:tcW w:w="7060" w:type="dxa"/>
            <w:vAlign w:val="bottom"/>
            <w:gridSpan w:val="2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41</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1A.</w:t>
              </w:r>
            </w:hyperlink>
          </w:p>
        </w:tc>
        <w:tc>
          <w:tcPr>
            <w:tcW w:w="7060" w:type="dxa"/>
            <w:vAlign w:val="bottom"/>
            <w:gridSpan w:val="2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41</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60" w:type="dxa"/>
            <w:vAlign w:val="bottom"/>
            <w:tcBorders>
              <w:bottom w:val="single" w:sz="8" w:color="0000EE"/>
            </w:tcBorders>
          </w:tcPr>
          <w:p>
            <w:pPr>
              <w:spacing w:after="0"/>
              <w:rPr>
                <w:sz w:val="24"/>
                <w:szCs w:val="24"/>
                <w:color w:val="auto"/>
              </w:rPr>
            </w:pPr>
          </w:p>
        </w:tc>
        <w:tc>
          <w:tcPr>
            <w:tcW w:w="220" w:type="dxa"/>
            <w:vAlign w:val="bottom"/>
            <w:gridSpan w:val="2"/>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Unregistered Sales of Equity Securities and Use of Proceeds</w:t>
              </w:r>
            </w:hyperlink>
          </w:p>
        </w:tc>
        <w:tc>
          <w:tcPr>
            <w:tcW w:w="27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41</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3.</w:t>
              </w:r>
            </w:hyperlink>
          </w:p>
        </w:tc>
        <w:tc>
          <w:tcPr>
            <w:tcW w:w="220" w:type="dxa"/>
            <w:vAlign w:val="bottom"/>
            <w:gridSpan w:val="2"/>
          </w:tcPr>
          <w:p>
            <w:pPr>
              <w:spacing w:after="0"/>
              <w:rPr>
                <w:sz w:val="24"/>
                <w:szCs w:val="24"/>
                <w:color w:val="auto"/>
              </w:rPr>
            </w:pP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Defaults Upon Senior Securities</w:t>
              </w:r>
            </w:hyperlink>
          </w:p>
        </w:tc>
        <w:tc>
          <w:tcPr>
            <w:tcW w:w="472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4.</w:t>
              </w:r>
            </w:hyperlink>
          </w:p>
        </w:tc>
        <w:tc>
          <w:tcPr>
            <w:tcW w:w="400" w:type="dxa"/>
            <w:vAlign w:val="bottom"/>
            <w:gridSpan w:val="4"/>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Mine Safety Disclosures</w:t>
              </w:r>
            </w:hyperlink>
          </w:p>
        </w:tc>
        <w:tc>
          <w:tcPr>
            <w:tcW w:w="528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5.</w:t>
              </w:r>
            </w:hyperlink>
          </w:p>
        </w:tc>
        <w:tc>
          <w:tcPr>
            <w:tcW w:w="400" w:type="dxa"/>
            <w:vAlign w:val="bottom"/>
            <w:gridSpan w:val="4"/>
          </w:tcPr>
          <w:p>
            <w:pPr>
              <w:spacing w:after="0"/>
              <w:rPr>
                <w:sz w:val="24"/>
                <w:szCs w:val="24"/>
                <w:color w:val="auto"/>
              </w:rPr>
            </w:pPr>
          </w:p>
        </w:tc>
        <w:tc>
          <w:tcPr>
            <w:tcW w:w="706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6.</w:t>
              </w:r>
            </w:hyperlink>
          </w:p>
        </w:tc>
        <w:tc>
          <w:tcPr>
            <w:tcW w:w="400" w:type="dxa"/>
            <w:vAlign w:val="bottom"/>
            <w:gridSpan w:val="4"/>
          </w:tcPr>
          <w:p>
            <w:pPr>
              <w:spacing w:after="0"/>
              <w:rPr>
                <w:sz w:val="24"/>
                <w:szCs w:val="24"/>
                <w:color w:val="auto"/>
              </w:rPr>
            </w:pPr>
          </w:p>
        </w:tc>
        <w:tc>
          <w:tcPr>
            <w:tcW w:w="1340" w:type="dxa"/>
            <w:vAlign w:val="bottom"/>
            <w:tcBorders>
              <w:top w:val="single" w:sz="8" w:color="0000EE"/>
            </w:tcBorders>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5720" w:type="dxa"/>
            <w:vAlign w:val="bottom"/>
            <w:gridSpan w:val="15"/>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w:t>
              </w:r>
            </w:hyperlink>
            <w:r>
              <w:rPr>
                <w:rFonts w:ascii="Arial" w:cs="Arial" w:eastAsia="Arial" w:hAnsi="Arial"/>
                <w:sz w:val="18"/>
                <w:szCs w:val="18"/>
                <w:color w:val="0033CC"/>
              </w:rPr>
              <w:t>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r>
      <w:tr>
        <w:trPr>
          <w:trHeight w:val="723"/>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33CC"/>
            </w:tcBorders>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3"/>
          </w:tcPr>
          <w:p>
            <w:pPr>
              <w:jc w:val="center"/>
              <w:ind w:left="2090"/>
              <w:spacing w:after="0"/>
              <w:rPr>
                <w:sz w:val="20"/>
                <w:szCs w:val="20"/>
                <w:color w:val="auto"/>
              </w:rPr>
            </w:pPr>
            <w:r>
              <w:rPr>
                <w:rFonts w:ascii="Arial" w:cs="Arial" w:eastAsia="Arial" w:hAnsi="Arial"/>
                <w:sz w:val="18"/>
                <w:szCs w:val="18"/>
                <w:color w:val="auto"/>
                <w:w w:val="99"/>
              </w:rPr>
              <w:t>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0280"/>
          </w:cols>
          <w:pgMar w:left="240" w:top="108" w:right="1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forward-looking statements are subject to numerous assumptions, risks and uncertainties which could materially affect our business, financial condition or future results including, but not limited to: our ability to successfully complete the sale of the Lamons business, including, without limitation, any material adverse changes in the Lamons business or the Lamons assets being sold and the ability to obtain any requisite approvals;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market demand; intellectual property factors; litigation; government and regulatory actions, including, without limitation, the impact of tariffs, quotas and surcharges; our leverage; liabilities imposed by our debt instruments; labor disputes; changes to fiscal and tax policies; contingent liabilities relating to acquisition activities; the disruption of operations from catastrophic or extraordinary events, including natural disasters; the potential impact of Brexit; tax considerations relating to the Cequent spin-off; our future prospects; and other risks that are discussed in Part I, Item 1A, "Risk Factors," in our Annual Report on Form 10-K for the year ended December 31, 2018.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31"/>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2018</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108,150</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4"/>
              </w:rPr>
              <w:t>Receivables, net of reserves of approximately $3.5 million and $3.4 million as of September 30, 2019</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and December 31, 2018, respectively</w:t>
            </w:r>
          </w:p>
        </w:tc>
        <w:tc>
          <w:tcPr>
            <w:tcW w:w="22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152,220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123,110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173,120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7,430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411,810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226,640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187,800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332,670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316,650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1,080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8,650</w:t>
            </w:r>
          </w:p>
        </w:tc>
      </w:tr>
      <w:tr>
        <w:trPr>
          <w:trHeight w:val="297"/>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1,185,210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1,100,520</w:t>
            </w:r>
          </w:p>
        </w:tc>
      </w:tr>
      <w:tr>
        <w:trPr>
          <w:trHeight w:val="237"/>
        </w:trPr>
        <w:tc>
          <w:tcPr>
            <w:tcW w:w="7900" w:type="dxa"/>
            <w:vAlign w:val="bottom"/>
            <w:tcBorders>
              <w:bottom w:val="single" w:sz="8" w:color="CCEEFF"/>
            </w:tcBorders>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80,180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93,430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48,300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294,410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293,560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21,700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5,560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39,220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523,150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480,070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None</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7900" w:type="dxa"/>
            <w:vAlign w:val="bottom"/>
          </w:tcPr>
          <w:p>
            <w:pPr>
              <w:ind w:left="40"/>
              <w:spacing w:after="0"/>
              <w:rPr>
                <w:sz w:val="20"/>
                <w:szCs w:val="20"/>
                <w:color w:val="auto"/>
              </w:rPr>
            </w:pPr>
            <w:r>
              <w:rPr>
                <w:rFonts w:ascii="Arial" w:cs="Arial" w:eastAsia="Arial" w:hAnsi="Arial"/>
                <w:sz w:val="18"/>
                <w:szCs w:val="18"/>
                <w:color w:val="auto"/>
                <w:w w:val="91"/>
              </w:rPr>
              <w:t>Issued and outstanding: 45,055,913 shares at September 30, 2019 and 45,527,993 shares at December 31,</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796,310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816,500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(179,660)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662,060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620,450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1,185,210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1,100,520</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25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right"/>
              <w:ind w:right="81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236,830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223,780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697,490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665,790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(175,590)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(162,060)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(511,080)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(478,910)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186,410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186,880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(100,760)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(90,270)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28,690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96,610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25,780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26,810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76,480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83,620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(17,030)</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19,110</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22,670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60,220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66,590</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45,175,244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45,850,288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45,448,711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45,850,187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50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45,415,767</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6"/>
              </w:rPr>
              <w:t>46,166,558</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45,745,421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46,198,884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19,110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60,220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66,590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plans (Note 16)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10)</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19,290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61,890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65,040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60,220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66,590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Adjustments to reconcile net income to net cash provided by operating activities, net of acquisition impact: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Loss on dispositions of assets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18,630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14,920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14,600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issue costs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5,620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9,290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Increase in receivables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(20,060)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decrease in 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(Increase) decrease in prepaid expenses and other assets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7,180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operating activities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 net of acquisition impact</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83,090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Acquisition of businesses, net of cash acquired</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(67,090)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proceeds from disposition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(90,430)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(15,640)</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Proceeds from borrowings on revolving credit facilities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145,540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59,060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 on revolving credit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Shares surrendered upon exercise and vesting of equity awards to cover taxes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to purchase common stock</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(15,400)</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Increase (decrease) for the period</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52,050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27,580</w:t>
            </w:r>
          </w:p>
        </w:tc>
      </w:tr>
      <w:tr>
        <w:trPr>
          <w:trHeight w:val="297"/>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57,940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79,630</w:t>
            </w:r>
          </w:p>
        </w:tc>
      </w:tr>
      <w:tr>
        <w:trPr>
          <w:trHeight w:val="23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304"/>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6,570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7,840</w:t>
            </w:r>
          </w:p>
        </w:tc>
      </w:tr>
      <w:tr>
        <w:trPr>
          <w:trHeight w:val="251"/>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5,020</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620,450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19,090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Shares surrendered upon exercise and vesting of equity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accounting standards adoption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Balances, March 31, 2019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814,530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640,510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w w:val="99"/>
              </w:rPr>
              <w:t>Shares surrendered upon exercise and vesting of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Balances, June 30, 2019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800,900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647,360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19,110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w w:val="99"/>
              </w:rPr>
              <w:t>Shares surrendered upon exercise and vesting of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Balances, September 30,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796,310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662,060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544,020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24,320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w w:val="99"/>
              </w:rPr>
              <w:t>Shares surrendered upon exercise and vesting of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Balances, March 31, 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822,770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(238,640)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(18,810)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565,780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w w:val="99"/>
              </w:rPr>
              <w:t>Shares surrendered upon exercise and vesting of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Balances, June 30, 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821,170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(219,040)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585,690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22,670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1,780</w:t>
            </w: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September 30,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822,280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607,490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is a diversified industrial manufacturer of products for customers in the consumer products, aerospace, industrial, petrochemical, refinery and oil and gas end markets.</w:t>
      </w: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first quarter of 2019, TriMas began reporting its machined components operations, located in Stanton, California and Tolleson, Arizona, in its Specialty Products reportable segment. This change was made in connection with the transition of leadership responsibilities out of Aerospace to Specialty Products, allowing the Company to better leverage the machining competencies and resources of these operations with the other businesses within the Specialty Products reportable segment, as well as provide the Company with the opportunity to expand sales of these products to customers outside of the aerospace market. In addition, this change enables the Company's Aerospace reportable segment to better focus on driving growth and innovation in its aerospace fastener and related product lines. See Note 13, "</w:t>
      </w:r>
      <w:r>
        <w:rPr>
          <w:rFonts w:ascii="Arial" w:cs="Arial" w:eastAsia="Arial" w:hAnsi="Arial"/>
          <w:sz w:val="16"/>
          <w:szCs w:val="16"/>
          <w:i w:val="1"/>
          <w:iCs w:val="1"/>
          <w:color w:val="auto"/>
        </w:rPr>
        <w:t>Segment Information</w:t>
      </w:r>
      <w:r>
        <w:rPr>
          <w:rFonts w:ascii="Arial" w:cs="Arial" w:eastAsia="Arial" w:hAnsi="Arial"/>
          <w:sz w:val="16"/>
          <w:szCs w:val="16"/>
          <w:color w:val="auto"/>
        </w:rPr>
        <w:t>," for further information on each of the Company's reportable segments.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Results of operations for interim periods are not necessarily indicative of results for the full year. Certain prior year amounts have been reclassified to conform with current year presentation. The accompanying consolidated financial statements and notes thereto should be read in conjunction with the Company's 2018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Financial Accounting Standards Board ("FASB") issued Accounting Standards Update ("ASU") 2018-14, "Compensation - Retirement Benefits - Defined Benefit Plans - General (Subtopic 715-20)" ("ASU 2018-14"), which modifies the disclosure requirements for employers who sponsor defined benefit pension or other postretirement plans. ASU 2018-14 is effective for fiscal years ending after December 15, 2020, with early adoption permitted. ASU 2018-14 is to be applied retrospectively to all periods presented. The Company is in the process of assessing the impact of adoption on its consolidated financial statements.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ASU 2017-04 is effective for fiscal years, and interim periods within those years, beginning after December 15, 2019, with early adoption permitted. The Company is in the process of assessing the impact of adoption on its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("ASU 2018-02"), which provides for the option to reclassify stranded tax effects resulting from the Tax Cuts and Jobs Act ("Tax Reform Act") classified within accumulated other comprehensive income (loss) ("AOCI") to retained earnings. The Company adopted ASU 2018-02 on January 1, 2019, and elected to reclassify approximately $1.3 million in stranded tax effects from accumulated other comprehensive loss to accumulated deficit on the accompanying consolidated balance sheet. The Company's accounting policy is to release the income tax effects from AOCI when a defined benefit plan or a derivative instrument is liquidated and/or settled.</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2016, the FASB issued ASU 2016-02, "Leases (Topic 842)" (“ASU 2016-02”) (the “New Lease Standard"), which requires lessees to recognize a lease liability and right-of-use (ROU) asset on its balance sheet for operating leases. Accounting for finance leases is substantially unchanged. The Company adopted the New Lease Standard on January 1, 2019 using a modified retrospective transition, with the cumulative-effect adjustment to the opening balance of accumulated deficit as of the effective date (the effective date method).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the adoption, the Company recognized approximately $40 million of right-of-use assets and lease liabilities on its consolidated balance sheet. Additionally, the Company recognized an approximate $0.1 million cumulative effect adjustment debit, net of tax, to accumulated deficit related to unamortized deferred losses for certain sale-leaseback transactions. The standard did not have an impact on the Company's consolidated statement of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end market served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w w:val="93"/>
              </w:rPr>
              <w:t>Three months ended September 30,</w:t>
            </w:r>
          </w:p>
        </w:tc>
        <w:tc>
          <w:tcPr>
            <w:tcW w:w="320" w:type="dxa"/>
            <w:vAlign w:val="bottom"/>
          </w:tcPr>
          <w:p>
            <w:pPr>
              <w:spacing w:after="0"/>
              <w:rPr>
                <w:sz w:val="18"/>
                <w:szCs w:val="18"/>
                <w:color w:val="auto"/>
              </w:rPr>
            </w:pPr>
          </w:p>
        </w:tc>
        <w:tc>
          <w:tcPr>
            <w:tcW w:w="2820" w:type="dxa"/>
            <w:vAlign w:val="bottom"/>
            <w:gridSpan w:val="3"/>
          </w:tcPr>
          <w:p>
            <w:pPr>
              <w:jc w:val="right"/>
              <w:ind w:right="251"/>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51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Customer End Markets</w:t>
            </w:r>
          </w:p>
        </w:tc>
        <w:tc>
          <w:tcPr>
            <w:tcW w:w="220" w:type="dxa"/>
            <w:vAlign w:val="bottom"/>
          </w:tcPr>
          <w:p>
            <w:pPr>
              <w:spacing w:after="0"/>
              <w:rPr>
                <w:sz w:val="20"/>
                <w:szCs w:val="20"/>
                <w:color w:val="auto"/>
              </w:rPr>
            </w:pPr>
          </w:p>
        </w:tc>
        <w:tc>
          <w:tcPr>
            <w:tcW w:w="12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c>
          <w:tcPr>
            <w:tcW w:w="12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83,610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72,440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232,400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209,160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Aerospace</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50,560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49,070</w:t>
            </w:r>
          </w:p>
        </w:tc>
        <w:tc>
          <w:tcPr>
            <w:tcW w:w="3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145,650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140,500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48,700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51,880</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157,810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162,200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Oil and gas</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53,960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50,390</w:t>
            </w:r>
          </w:p>
        </w:tc>
        <w:tc>
          <w:tcPr>
            <w:tcW w:w="3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161,630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153,930</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236,830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223,780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697,490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665,790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Packaging reportable segment earns revenues from the consumer (comprised of the health, beauty and home care, as well as food and beverage markets) and industrial end markets. The Aerospace reportable segment earns revenues from the aerospace end market. The Specialty Products reportable segment earns revenues from the industrial, oil and gas and aerospace end markets.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Facility 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Bangalore, India facility</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2018, the Company exited its Bangalore, India facility within the Specialty Products reportable segment. In connection with this action, the Company recorded pre-tax charges of approximately $0.7 million within selling, general and administrative expenses and approximately $0.6 million within cost of sales related to severance benefits for employees involuntarily terminated, facility closure costs and costs related to the disposal of certain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Reynosa, Mexico facility</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2017, the Company ceased production at its Reynosa, Mexico facility within the Specialty Products reportable segment, and recorded a charge within cost of sales for estimated future unrecoverable lease obligations. During the second quarter of 2018, following entry into a sublease agreement for the facility, the Company re-evaluated its estimate of unrecoverable future obligations, and reduced its estimate by approximately $1.1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the Company acquired Taplast S.p.A. ("Taplast"), a designer and manufacturer of dispensers, closures and containers for the beauty and personal care, household, and food and beverage packaging end markets, for an aggregate amount of approximately $44.7 million, net of cash acquired. Located in both Italy and Slovakia, Taplast serves end markets in Europe and North America and historically generated approximately $32 million in annual revenue. Taplast is included in the Company's Packaging reportable segment.</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2019, the Company acquired Plastic Srl, a manufacturer of single-bodied and assembled polymeric caps and closures for use in home care product applications, for an aggregate amount of approximately $22.4 million, net of cash acquired. Located in Forli, Italy, Plastic Srl serves the home care market in Italy and other European countries and historically generated approximately $12 million in annual revenue. Plastic Srl is included in the Company's Packaging reportable segment.</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these acquisitions, the Company recorded approximately $1.2 million of non-cash purchase accounting-related expenses during the nine months ended September 30, 2019, of which approximately $0.9 million was recognized within selling, general and administrative expenses, primarily related to the write-off of the Plastic Srl trade name acquired that will not be used. In addition, approximately $0.3 million was recognized during the nine months ended September 30, 2019, within cost of sales related to the step-up in value and subsequent sale of inventory.</w:t>
      </w:r>
    </w:p>
    <w:p>
      <w:pPr>
        <w:sectPr>
          <w:pgSz w:w="11900" w:h="16838" w:orient="portrait"/>
          <w:cols w:equalWidth="0" w:num="1">
            <w:col w:w="11420"/>
          </w:cols>
          <w:pgMar w:left="240" w:top="125"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2019, in an effort to better align the Company's machining competencies and resources, the Company began reporting its machined products operations within the Specialty Products reportable segment. These operations were previously reported in the Company's Aerospace reportable segment. As a result of the reporting structure change, the Company's previous Aerospace reporting unit was split into two new reporting units, Machined Products and Aerospace. The Company reallocated the goodwill attributed to the previous Aerospace reporting unit on a relative fair value basis between the Machined Products and the new Aerospace reporting units, resulting in an allocation of goodwill of $12.7 million and $133.7 million, respectively.</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reallocation of goodwill, the Company performed a Step I quantitative assessment for both the Machined Products and the new Aerospace reporting units. As part of this assessment, the Company determined that the fair value of the Aerospace reporting unit exceeded its carrying value by more than 34% and the fair value of the Machined Products reporting unit exceeded its carrying value by more than 13%.</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months ended September 30, 2019 are summarized as follows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Specialty Products</w:t>
            </w:r>
          </w:p>
        </w:tc>
        <w:tc>
          <w:tcPr>
            <w:tcW w:w="32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r>
      <w:tr>
        <w:trPr>
          <w:trHeight w:val="33"/>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163,660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146,430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316,650</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Goodwill from acquisitions</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18,400</w:t>
            </w: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 reassigned in segment realignment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(2,380)</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179,680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133,690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332,670</w:t>
            </w: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700"/>
              <w:spacing w:after="0"/>
              <w:rPr>
                <w:sz w:val="20"/>
                <w:szCs w:val="20"/>
                <w:color w:val="auto"/>
              </w:rPr>
            </w:pPr>
            <w:r>
              <w:rPr>
                <w:rFonts w:ascii="Arial" w:cs="Arial" w:eastAsia="Arial" w:hAnsi="Arial"/>
                <w:sz w:val="16"/>
                <w:szCs w:val="16"/>
                <w:b w:val="1"/>
                <w:bCs w:val="1"/>
                <w:color w:val="auto"/>
              </w:rPr>
              <w:t>As of September 30, 2019</w:t>
            </w:r>
          </w:p>
        </w:tc>
        <w:tc>
          <w:tcPr>
            <w:tcW w:w="200" w:type="dxa"/>
            <w:vAlign w:val="bottom"/>
          </w:tcPr>
          <w:p>
            <w:pPr>
              <w:spacing w:after="0"/>
              <w:rPr>
                <w:sz w:val="18"/>
                <w:szCs w:val="18"/>
                <w:color w:val="auto"/>
              </w:rPr>
            </w:pPr>
          </w:p>
        </w:tc>
        <w:tc>
          <w:tcPr>
            <w:tcW w:w="330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As of December 31, 2018</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440" w:type="dxa"/>
            <w:vAlign w:val="bottom"/>
          </w:tcPr>
          <w:p>
            <w:pPr>
              <w:jc w:val="right"/>
              <w:ind w:right="292"/>
              <w:spacing w:after="0"/>
              <w:rPr>
                <w:sz w:val="20"/>
                <w:szCs w:val="20"/>
                <w:color w:val="auto"/>
              </w:rPr>
            </w:pPr>
            <w:r>
              <w:rPr>
                <w:rFonts w:ascii="Arial" w:cs="Arial" w:eastAsia="Arial" w:hAnsi="Arial"/>
                <w:sz w:val="16"/>
                <w:szCs w:val="16"/>
                <w:b w:val="1"/>
                <w:bCs w:val="1"/>
                <w:color w:val="auto"/>
              </w:rPr>
              <w:t>Accumulated</w:t>
            </w:r>
          </w:p>
        </w:tc>
      </w:tr>
      <w:tr>
        <w:trPr>
          <w:trHeight w:val="210"/>
        </w:trPr>
        <w:tc>
          <w:tcPr>
            <w:tcW w:w="4220" w:type="dxa"/>
            <w:vAlign w:val="bottom"/>
            <w:gridSpan w:val="2"/>
          </w:tcPr>
          <w:p>
            <w:pPr>
              <w:ind w:left="20"/>
              <w:spacing w:after="0"/>
              <w:rPr>
                <w:sz w:val="20"/>
                <w:szCs w:val="20"/>
                <w:color w:val="auto"/>
              </w:rPr>
            </w:pPr>
            <w:r>
              <w:rPr>
                <w:rFonts w:ascii="Arial" w:cs="Arial" w:eastAsia="Arial" w:hAnsi="Arial"/>
                <w:sz w:val="16"/>
                <w:szCs w:val="16"/>
                <w:b w:val="1"/>
                <w:bCs w:val="1"/>
                <w:color w:val="auto"/>
              </w:rPr>
              <w:t>Intangible Category by Useful Life</w:t>
            </w:r>
          </w:p>
        </w:tc>
        <w:tc>
          <w:tcPr>
            <w:tcW w:w="22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4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gridSpan w:val="2"/>
          </w:tcPr>
          <w:p>
            <w:pPr>
              <w:ind w:left="160"/>
              <w:spacing w:after="0"/>
              <w:rPr>
                <w:sz w:val="20"/>
                <w:szCs w:val="20"/>
                <w:color w:val="auto"/>
              </w:rPr>
            </w:pPr>
            <w:r>
              <w:rPr>
                <w:rFonts w:ascii="Arial" w:cs="Arial" w:eastAsia="Arial" w:hAnsi="Arial"/>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80,780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(54,490)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73,450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(48,410)</w:t>
            </w: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Customer relationships, 15 – 25 years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(58,790)</w:t>
            </w:r>
          </w:p>
        </w:tc>
      </w:tr>
      <w:tr>
        <w:trPr>
          <w:trHeight w:val="237"/>
        </w:trPr>
        <w:tc>
          <w:tcPr>
            <w:tcW w:w="4220" w:type="dxa"/>
            <w:vAlign w:val="bottom"/>
            <w:gridSpan w:val="2"/>
          </w:tcPr>
          <w:p>
            <w:pPr>
              <w:ind w:left="380"/>
              <w:spacing w:after="0"/>
              <w:rPr>
                <w:sz w:val="20"/>
                <w:szCs w:val="20"/>
                <w:color w:val="auto"/>
              </w:rPr>
            </w:pPr>
            <w:r>
              <w:rPr>
                <w:rFonts w:ascii="Arial" w:cs="Arial" w:eastAsia="Arial" w:hAnsi="Arial"/>
                <w:sz w:val="18"/>
                <w:szCs w:val="18"/>
                <w:color w:val="auto"/>
              </w:rPr>
              <w:t>Total customer relationships</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213,010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205,680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(107,200)</w:t>
            </w: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other, 1 – 15 years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(31,600)</w:t>
            </w:r>
          </w:p>
        </w:tc>
      </w:tr>
      <w:tr>
        <w:trPr>
          <w:trHeight w:val="243"/>
        </w:trPr>
        <w:tc>
          <w:tcPr>
            <w:tcW w:w="4220" w:type="dxa"/>
            <w:vAlign w:val="bottom"/>
            <w:gridSpan w:val="2"/>
          </w:tcPr>
          <w:p>
            <w:pPr>
              <w:ind w:left="160"/>
              <w:spacing w:after="0"/>
              <w:rPr>
                <w:sz w:val="20"/>
                <w:szCs w:val="20"/>
                <w:color w:val="auto"/>
              </w:rPr>
            </w:pPr>
            <w:r>
              <w:rPr>
                <w:rFonts w:ascii="Arial" w:cs="Arial" w:eastAsia="Arial" w:hAnsi="Arial"/>
                <w:sz w:val="18"/>
                <w:szCs w:val="18"/>
                <w:color w:val="auto"/>
              </w:rPr>
              <w:t>Technology and other, 17 – 30 years</w:t>
            </w: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(35,600)</w:t>
            </w:r>
          </w:p>
        </w:tc>
      </w:tr>
      <w:tr>
        <w:trPr>
          <w:trHeight w:val="27"/>
        </w:trPr>
        <w:tc>
          <w:tcPr>
            <w:tcW w:w="4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technology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(67,200)</w:t>
            </w:r>
          </w:p>
        </w:tc>
      </w:tr>
      <w:tr>
        <w:trPr>
          <w:trHeight w:val="24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Trademark/Trade names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360,650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(189,270)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348,930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(174,400)</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97"/>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w w:val="93"/>
              </w:rPr>
              <w:t>Three months ended 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5"/>
          </w:tcPr>
          <w:p>
            <w:pPr>
              <w:jc w:val="center"/>
              <w:ind w:right="112"/>
              <w:spacing w:after="0"/>
              <w:rPr>
                <w:sz w:val="20"/>
                <w:szCs w:val="20"/>
                <w:color w:val="auto"/>
              </w:rPr>
            </w:pPr>
            <w:r>
              <w:rPr>
                <w:rFonts w:ascii="Arial" w:cs="Arial" w:eastAsia="Arial" w:hAnsi="Arial"/>
                <w:sz w:val="16"/>
                <w:szCs w:val="16"/>
                <w:b w:val="1"/>
                <w:bCs w:val="1"/>
                <w:color w:val="auto"/>
                <w:w w:val="89"/>
              </w:rPr>
              <w:t>Nine months ended 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 included in cost of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46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Customer relationships, included in selling, general and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10,920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Inventories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51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160" w:type="dxa"/>
            <w:vAlign w:val="bottom"/>
            <w:gridSpan w:val="2"/>
          </w:tcPr>
          <w:p>
            <w:pPr>
              <w:spacing w:after="0"/>
              <w:rPr>
                <w:sz w:val="20"/>
                <w:szCs w:val="20"/>
                <w:color w:val="auto"/>
              </w:rPr>
            </w:pPr>
            <w:r>
              <w:rPr>
                <w:rFonts w:ascii="Arial" w:cs="Arial" w:eastAsia="Arial" w:hAnsi="Arial"/>
                <w:sz w:val="18"/>
                <w:szCs w:val="18"/>
                <w:color w:val="auto"/>
                <w:w w:val="91"/>
              </w:rPr>
              <w:t>Inventories consist of the following components (dollars in thousands):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192"/>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39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32,570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52,260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Total inventories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176,300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173,120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Property and Equipment, Net</w:t>
            </w: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51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780" w:type="dxa"/>
            <w:vAlign w:val="bottom"/>
            <w:gridSpan w:val="5"/>
          </w:tcPr>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192"/>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39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87,030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350,400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318,860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456,400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408,550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220,750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226,640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187,800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2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0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5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2018</w:t>
            </w: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 included in cost of sales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6,490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17,330</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expense, included in selling, general and</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0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1,300</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depreciation expense</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6,880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19,950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18,630</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consists of the following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3"/>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4.875% Senior Notes due October 2025</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debt</w:t>
            </w: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r>
      <w:tr>
        <w:trPr>
          <w:trHeight w:val="237"/>
        </w:trPr>
        <w:tc>
          <w:tcPr>
            <w:tcW w:w="8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294,440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293,560</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tcPr>
          <w:p>
            <w:pPr>
              <w:ind w:left="280"/>
              <w:spacing w:after="0"/>
              <w:rPr>
                <w:sz w:val="20"/>
                <w:szCs w:val="20"/>
                <w:color w:val="auto"/>
              </w:rPr>
            </w:pPr>
            <w:r>
              <w:rPr>
                <w:rFonts w:ascii="Arial" w:cs="Arial" w:eastAsia="Arial" w:hAnsi="Arial"/>
                <w:sz w:val="18"/>
                <w:szCs w:val="18"/>
                <w:color w:val="auto"/>
              </w:rPr>
              <w:t>Long-term debt,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294,410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293,560</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September 2017, the Company issued $300.0 million aggregate principal amount of 4.875% senior notes due October 15, 2025 ("Senior Notes") at par value in a private placement under Rule 144A of the Securities Act of 1933, as amended. The Senior Notes accrue interest at a rate of 4.875% per annum, payable semi-annually in arrears on April 15 and October 15, commencing on April 15, 2018. The payment of principal and interest is jointly and severally guaranteed, on a senior unsecured basis, by certain subsidiaries of the Company (each a "Guarantor" and collectively the "Guarantors"). The Senior Notes are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with all existing and future senior indebtedness and subordinated to all existing and future secured indebtedness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value of the assets securing such indebtedness.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October 15, 2020, the Company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the Company may redeem all or part of the Senior Notes at a redemption price equal to 100% of the principal amount thereof, plus accrued and unpaid interest, if any, to the redemption date, plus a "make whole" premium. On or after October 15, 2020, the Company may redeem all or part of the Senior Notes at the redemption prices (expressed as percentages of principal amount) set forth below, plus accrued and unpaid interest, if any, to the redemption date, if redeemed during the twelve-month period beginning on October 15 of the years indicated below:</w:t>
      </w:r>
    </w:p>
    <w:p>
      <w:pPr>
        <w:spacing w:after="0" w:line="200" w:lineRule="exact"/>
        <w:rPr>
          <w:sz w:val="20"/>
          <w:szCs w:val="20"/>
          <w:color w:val="auto"/>
        </w:rPr>
      </w:pPr>
    </w:p>
    <w:p>
      <w:pPr>
        <w:spacing w:after="0" w:line="219" w:lineRule="exact"/>
        <w:rPr>
          <w:sz w:val="20"/>
          <w:szCs w:val="20"/>
          <w:color w:val="auto"/>
        </w:rPr>
      </w:pPr>
    </w:p>
    <w:tbl>
      <w:tblPr>
        <w:tblLayout w:type="fixed"/>
        <w:tblInd w:w="2660" w:type="dxa"/>
        <w:tblCellMar>
          <w:top w:w="0" w:type="dxa"/>
          <w:left w:w="0" w:type="dxa"/>
          <w:bottom w:w="0" w:type="dxa"/>
          <w:right w:w="0" w:type="dxa"/>
        </w:tblCellMar>
      </w:tblP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20" w:type="dxa"/>
            <w:vAlign w:val="bottom"/>
          </w:tcPr>
          <w:p>
            <w:pPr>
              <w:jc w:val="right"/>
              <w:ind w:right="592"/>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7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102.438%</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101.219%</w:t>
            </w: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and thereafter</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3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matures on September 20, 2022 and is subject to interest at London Interbank Offered Rate ("LIBOR") plus 1.50%. The interest rate spread is based upon the leverage ratio, as defined, as of the most recent determination date.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revolving credit facility allows for the issuance of letters of credit, not to exceed $40.0 million in aggregate. At September 30, 2019, the Company had no amounts outstanding under its revolving credit facility and had approximately $284.1 million potentially available after giving effect to approximately $15.9 million of letters of credit issued and outstanding. At December 31, 2018, the Company had no amounts outstanding under its revolving credit facility and had approximately $284.9 million potentially available after giving effect to approximately $15.1 million of letters of credit issued and outstanding. After consideration of leverage restrictions contained in the Credit Agreement, the Company had approximately $284.1 million and $284.9 million of borrowing capacity available for general corporate purposes at September 30, 2019 and December 31, 2018, respectively.</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September 30, 2019, the Company was in compliance with its financial covenants contained in the Credit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valuations of the Senior Notes and other debt were determined based on Level 2 inputs under the fair value hierarchy, as defined. The carrying amounts and fair values were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5"/>
          </w:tcPr>
          <w:p>
            <w:pPr>
              <w:ind w:left="1000"/>
              <w:spacing w:after="0"/>
              <w:rPr>
                <w:sz w:val="20"/>
                <w:szCs w:val="20"/>
                <w:color w:val="auto"/>
              </w:rPr>
            </w:pPr>
            <w:r>
              <w:rPr>
                <w:rFonts w:ascii="Arial" w:cs="Arial" w:eastAsia="Arial" w:hAnsi="Arial"/>
                <w:sz w:val="16"/>
                <w:szCs w:val="16"/>
                <w:b w:val="1"/>
                <w:bCs w:val="1"/>
                <w:color w:val="auto"/>
              </w:rPr>
              <w:t>September 30, 2019</w:t>
            </w:r>
          </w:p>
        </w:tc>
        <w:tc>
          <w:tcPr>
            <w:tcW w:w="200" w:type="dxa"/>
            <w:vAlign w:val="bottom"/>
          </w:tcPr>
          <w:p>
            <w:pPr>
              <w:spacing w:after="0"/>
              <w:rPr>
                <w:sz w:val="18"/>
                <w:szCs w:val="18"/>
                <w:color w:val="auto"/>
              </w:rPr>
            </w:pPr>
          </w:p>
        </w:tc>
        <w:tc>
          <w:tcPr>
            <w:tcW w:w="3540" w:type="dxa"/>
            <w:vAlign w:val="bottom"/>
            <w:gridSpan w:val="4"/>
          </w:tcPr>
          <w:p>
            <w:pPr>
              <w:jc w:val="right"/>
              <w:ind w:right="1113"/>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3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Pr>
          <w:p>
            <w:pPr>
              <w:spacing w:after="0"/>
              <w:rPr>
                <w:sz w:val="20"/>
                <w:szCs w:val="20"/>
                <w:color w:val="auto"/>
              </w:rPr>
            </w:pPr>
          </w:p>
        </w:tc>
        <w:tc>
          <w:tcPr>
            <w:tcW w:w="160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Pr>
          <w:p>
            <w:pPr>
              <w:spacing w:after="0"/>
              <w:rPr>
                <w:sz w:val="20"/>
                <w:szCs w:val="20"/>
                <w:color w:val="auto"/>
              </w:rPr>
            </w:pPr>
          </w:p>
        </w:tc>
        <w:tc>
          <w:tcPr>
            <w:tcW w:w="1480" w:type="dxa"/>
            <w:vAlign w:val="bottom"/>
          </w:tcPr>
          <w:p>
            <w:pPr>
              <w:jc w:val="right"/>
              <w:ind w:right="453"/>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282,750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Other debt</w:t>
            </w:r>
          </w:p>
        </w:tc>
        <w:tc>
          <w:tcPr>
            <w:tcW w:w="22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as Hedging Instruments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2018, the Company entered into cross-currency swap agreements to hedge its net investment in Euro-denominated assets against future volatility in the exchange rate between the U.S. dollar and the Euro. By doing so, the Company synthetically converted a portion of its U.S. dollar-based long-term debt into Euro-denominated long-term debt. The agreements have a five year tenor at notional amounts declining from $125.0 million to $75.0 million over the contract period. Under the terms of the swap agreements, the Company is to receive net interest payments at a fixed rate of approximately 2.9% of the notional amount. At inception, the cross-currency swaps were designated as net investment hedges.</w:t>
      </w:r>
    </w:p>
    <w:p>
      <w:pPr>
        <w:spacing w:after="0" w:line="2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October 2018, immediately prior to entering into these cross-currency swap agreements, the Company terminated its existing cross-currency swap agreements, de-designating the swaps as net investment hedges and receiving approximately $1.1 million of cash. The cross-currency swap agreements were entered into in October 2017 and hedged the Company's net investment in Euro-denominated assets against future volatility in the exchange rate between the U.S. dollar and the Euro. The agreements had a five year tenor at notional amounts declining from $150.0 million to $75.0 million over the contract period. Under the terms of the swap agreements, the Company was to receive net interest payments at a fixed rate of approximately 2.1% of the notional amount.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2019 and December 31, 2018, the fair value carrying amount of the Company's derivative instruments are recorded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316"/>
              <w:spacing w:after="0"/>
              <w:rPr>
                <w:sz w:val="20"/>
                <w:szCs w:val="20"/>
                <w:color w:val="auto"/>
              </w:rPr>
            </w:pPr>
            <w:r>
              <w:rPr>
                <w:rFonts w:ascii="Arial" w:cs="Arial" w:eastAsia="Arial" w:hAnsi="Arial"/>
                <w:sz w:val="16"/>
                <w:szCs w:val="16"/>
                <w:b w:val="1"/>
                <w:bCs w:val="1"/>
                <w:color w:val="auto"/>
              </w:rPr>
              <w:t>Asset / (Liability) Derivatives</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122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480" w:type="dxa"/>
            <w:vAlign w:val="bottom"/>
            <w:gridSpan w:val="2"/>
          </w:tcPr>
          <w:p>
            <w:pPr>
              <w:ind w:left="58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100" w:type="dxa"/>
            <w:vAlign w:val="bottom"/>
            <w:gridSpan w:val="2"/>
          </w:tcPr>
          <w:p>
            <w:pPr>
              <w:ind w:left="1220"/>
              <w:spacing w:after="0"/>
              <w:rPr>
                <w:sz w:val="20"/>
                <w:szCs w:val="20"/>
                <w:color w:val="auto"/>
              </w:rPr>
            </w:pPr>
            <w:r>
              <w:rPr>
                <w:rFonts w:ascii="Arial" w:cs="Arial" w:eastAsia="Arial" w:hAnsi="Arial"/>
                <w:sz w:val="16"/>
                <w:szCs w:val="16"/>
                <w:b w:val="1"/>
                <w:bCs w:val="1"/>
                <w:color w:val="auto"/>
              </w:rPr>
              <w:t>Balance Sheet Caption</w:t>
            </w:r>
          </w:p>
        </w:tc>
        <w:tc>
          <w:tcPr>
            <w:tcW w:w="140" w:type="dxa"/>
            <w:vAlign w:val="bottom"/>
          </w:tcPr>
          <w:p>
            <w:pPr>
              <w:spacing w:after="0"/>
              <w:rPr>
                <w:sz w:val="18"/>
                <w:szCs w:val="18"/>
                <w:color w:val="auto"/>
              </w:rPr>
            </w:pPr>
          </w:p>
        </w:tc>
        <w:tc>
          <w:tcPr>
            <w:tcW w:w="1220" w:type="dxa"/>
            <w:vAlign w:val="bottom"/>
          </w:tcPr>
          <w:p>
            <w:pPr>
              <w:jc w:val="right"/>
              <w:ind w:right="43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r>
      <w:tr>
        <w:trPr>
          <w:trHeight w:val="33"/>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4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7,680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130</w:t>
            </w:r>
          </w:p>
        </w:tc>
      </w:tr>
    </w:tbl>
    <w:p>
      <w:pPr>
        <w:spacing w:after="0" w:line="200" w:lineRule="exact"/>
        <w:rPr>
          <w:sz w:val="20"/>
          <w:szCs w:val="20"/>
          <w:color w:val="auto"/>
        </w:rPr>
      </w:pPr>
    </w:p>
    <w:p>
      <w:pPr>
        <w:spacing w:after="0" w:line="2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the income recognized in AOCI on derivative contracts designated as hedging instruments as of September 30, 2019 and December 31, 2018, and the amounts reclassified from AOCI into earnings for the three and nine months ended September 30, 2019 and 2018 (dollars 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Amount of Income Recognized</w:t>
      </w:r>
    </w:p>
    <w:p>
      <w:pPr>
        <w:spacing w:after="0" w:line="49"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auto"/>
        </w:rPr>
        <w:t>in AOCI on Derivative</w:t>
      </w:r>
    </w:p>
    <w:p>
      <w:pPr>
        <w:spacing w:after="0" w:line="19" w:lineRule="exact"/>
        <w:rPr>
          <w:sz w:val="20"/>
          <w:szCs w:val="20"/>
          <w:color w:val="auto"/>
        </w:rPr>
      </w:pPr>
    </w:p>
    <w:p>
      <w:pPr>
        <w:jc w:val="center"/>
        <w:ind w:left="100"/>
        <w:spacing w:after="0"/>
        <w:rPr>
          <w:sz w:val="20"/>
          <w:szCs w:val="20"/>
          <w:color w:val="auto"/>
        </w:rPr>
      </w:pPr>
      <w:r>
        <w:rPr>
          <w:rFonts w:ascii="Arial" w:cs="Arial" w:eastAsia="Arial" w:hAnsi="Arial"/>
          <w:sz w:val="15"/>
          <w:szCs w:val="15"/>
          <w:b w:val="1"/>
          <w:bCs w:val="1"/>
          <w:color w:val="auto"/>
        </w:rPr>
        <w:t>(Effective Portion,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40005</wp:posOffset>
            </wp:positionV>
            <wp:extent cx="1835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Amount of Income (Loss) Reclassified</w:t>
      </w:r>
    </w:p>
    <w:p>
      <w:pPr>
        <w:spacing w:after="0" w:line="26"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33020</wp:posOffset>
            </wp:positionV>
            <wp:extent cx="2735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8" w:lineRule="exact"/>
        <w:rPr>
          <w:sz w:val="20"/>
          <w:szCs w:val="20"/>
          <w:color w:val="auto"/>
        </w:rPr>
      </w:pPr>
    </w:p>
    <w:p>
      <w:pPr>
        <w:spacing w:after="0"/>
        <w:tabs>
          <w:tab w:leader="none" w:pos="222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4"/>
          <w:szCs w:val="14"/>
          <w:b w:val="1"/>
          <w:bCs w:val="1"/>
          <w:color w:val="auto"/>
        </w:rPr>
        <w:t>Nine months ended</w:t>
      </w:r>
    </w:p>
    <w:p>
      <w:pPr>
        <w:spacing w:after="0" w:line="26" w:lineRule="exact"/>
        <w:rPr>
          <w:sz w:val="20"/>
          <w:szCs w:val="20"/>
          <w:color w:val="auto"/>
        </w:rPr>
      </w:pPr>
    </w:p>
    <w:p>
      <w:pPr>
        <w:ind w:left="200"/>
        <w:spacing w:after="0"/>
        <w:tabs>
          <w:tab w:leader="none" w:pos="2400" w:val="left"/>
        </w:tabs>
        <w:rPr>
          <w:sz w:val="20"/>
          <w:szCs w:val="20"/>
          <w:color w:val="auto"/>
        </w:rPr>
      </w:pPr>
      <w:r>
        <w:rPr>
          <w:rFonts w:ascii="Arial" w:cs="Arial" w:eastAsia="Arial" w:hAnsi="Arial"/>
          <w:sz w:val="16"/>
          <w:szCs w:val="16"/>
          <w:b w:val="1"/>
          <w:bCs w:val="1"/>
          <w:color w:val="auto"/>
        </w:rPr>
        <w:t>September 30,</w:t>
      </w:r>
      <w:r>
        <w:rPr>
          <w:sz w:val="20"/>
          <w:szCs w:val="20"/>
          <w:color w:val="auto"/>
        </w:rPr>
        <w:tab/>
      </w: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33020</wp:posOffset>
            </wp:positionV>
            <wp:extent cx="2735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6720" w:space="720"/>
            <w:col w:w="39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As of</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ind w:left="120"/>
              <w:spacing w:after="0"/>
              <w:rPr>
                <w:sz w:val="20"/>
                <w:szCs w:val="20"/>
                <w:color w:val="auto"/>
              </w:rPr>
            </w:pPr>
            <w:r>
              <w:rPr>
                <w:rFonts w:ascii="Arial" w:cs="Arial" w:eastAsia="Arial" w:hAnsi="Arial"/>
                <w:sz w:val="16"/>
                <w:szCs w:val="16"/>
                <w:b w:val="1"/>
                <w:bCs w:val="1"/>
                <w:color w:val="auto"/>
              </w:rPr>
              <w:t>Location of Income (Loss)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of</w:t>
            </w:r>
          </w:p>
        </w:tc>
        <w:tc>
          <w:tcPr>
            <w:tcW w:w="216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Reclassified from AOCI into</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7"/>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 2018</w:t>
            </w:r>
          </w:p>
        </w:tc>
        <w:tc>
          <w:tcPr>
            <w:tcW w:w="216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Earnings (Effective Portion)</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2018</w:t>
            </w: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120" w:type="dxa"/>
            <w:vAlign w:val="bottom"/>
            <w:gridSpan w:val="2"/>
          </w:tcPr>
          <w:p>
            <w:pPr>
              <w:ind w:left="180"/>
              <w:spacing w:after="0"/>
              <w:rPr>
                <w:sz w:val="20"/>
                <w:szCs w:val="20"/>
                <w:color w:val="auto"/>
              </w:rPr>
            </w:pPr>
            <w:r>
              <w:rPr>
                <w:rFonts w:ascii="Arial" w:cs="Arial" w:eastAsia="Arial" w:hAnsi="Arial"/>
                <w:sz w:val="18"/>
                <w:szCs w:val="18"/>
                <w:color w:val="auto"/>
                <w:w w:val="94"/>
              </w:rPr>
              <w:t>Cross-currency swaps   $</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6,680</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0"/>
                <w:szCs w:val="20"/>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net</w:t>
            </w:r>
          </w:p>
        </w:tc>
        <w:tc>
          <w:tcPr>
            <w:tcW w:w="600" w:type="dxa"/>
            <w:vAlign w:val="bottom"/>
          </w:tcPr>
          <w:p>
            <w:pPr>
              <w:jc w:val="right"/>
              <w:ind w:right="414"/>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   $</w:t>
            </w:r>
          </w:p>
        </w:tc>
        <w:tc>
          <w:tcPr>
            <w:tcW w:w="6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amounts from AOCI into earnings.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2019, the Company was party to foreign currency exchange forward contracts to economically hedge changes in foreign currency rates with notional amounts of approximately $102.9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British pound and the Chinese yuan, and have various settlement dates through March 2020. These contracts are not designated as hedge instruments; therefore, gains and losses on these contracts are recognized each period directly into the consolidated statement of income.</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effects of derivatives not designated as hedging instruments on the Company's consolidated statement of income (dollars in thousands):</w:t>
      </w:r>
    </w:p>
    <w:p>
      <w:pPr>
        <w:spacing w:after="0" w:line="387" w:lineRule="exact"/>
        <w:rPr>
          <w:sz w:val="20"/>
          <w:szCs w:val="20"/>
          <w:color w:val="auto"/>
        </w:rPr>
      </w:pPr>
    </w:p>
    <w:p>
      <w:pPr>
        <w:ind w:left="8040"/>
        <w:spacing w:after="0"/>
        <w:rPr>
          <w:sz w:val="20"/>
          <w:szCs w:val="20"/>
          <w:color w:val="auto"/>
        </w:rPr>
      </w:pPr>
      <w:r>
        <w:rPr>
          <w:rFonts w:ascii="Arial" w:cs="Arial" w:eastAsia="Arial" w:hAnsi="Arial"/>
          <w:sz w:val="16"/>
          <w:szCs w:val="16"/>
          <w:b w:val="1"/>
          <w:bCs w:val="1"/>
          <w:color w:val="auto"/>
        </w:rPr>
        <w:t>Amount of Income Recognized in</w:t>
      </w:r>
    </w:p>
    <w:p>
      <w:pPr>
        <w:spacing w:after="0" w:line="26"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Earnings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33020</wp:posOffset>
            </wp:positionV>
            <wp:extent cx="2813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w w:val="99"/>
              </w:rPr>
              <w:t>Three months ended</w:t>
            </w:r>
          </w:p>
        </w:tc>
        <w:tc>
          <w:tcPr>
            <w:tcW w:w="1920" w:type="dxa"/>
            <w:vAlign w:val="bottom"/>
            <w:gridSpan w:val="4"/>
          </w:tcPr>
          <w:p>
            <w:pPr>
              <w:jc w:val="center"/>
              <w:ind w:right="134"/>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ind w:left="360"/>
              <w:spacing w:after="0"/>
              <w:rPr>
                <w:sz w:val="20"/>
                <w:szCs w:val="20"/>
                <w:color w:val="auto"/>
              </w:rPr>
            </w:pPr>
            <w:r>
              <w:rPr>
                <w:rFonts w:ascii="Arial" w:cs="Arial" w:eastAsia="Arial" w:hAnsi="Arial"/>
                <w:sz w:val="16"/>
                <w:szCs w:val="16"/>
                <w:b w:val="1"/>
                <w:bCs w:val="1"/>
                <w:color w:val="auto"/>
              </w:rPr>
              <w:t>September 30,</w:t>
            </w:r>
          </w:p>
        </w:tc>
        <w:tc>
          <w:tcPr>
            <w:tcW w:w="1920" w:type="dxa"/>
            <w:vAlign w:val="bottom"/>
            <w:gridSpan w:val="4"/>
          </w:tcPr>
          <w:p>
            <w:pPr>
              <w:jc w:val="center"/>
              <w:ind w:right="134"/>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98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1"/>
              </w:rPr>
              <w:t>Location of Income</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2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Recognized in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Earnings on Derivatives</w:t>
            </w:r>
          </w:p>
        </w:tc>
        <w:tc>
          <w:tcPr>
            <w:tcW w:w="220" w:type="dxa"/>
            <w:vAlign w:val="bottom"/>
          </w:tcPr>
          <w:p>
            <w:pPr>
              <w:spacing w:after="0"/>
              <w:rPr>
                <w:sz w:val="18"/>
                <w:szCs w:val="18"/>
                <w:color w:val="auto"/>
              </w:rPr>
            </w:pPr>
          </w:p>
        </w:tc>
        <w:tc>
          <w:tcPr>
            <w:tcW w:w="800" w:type="dxa"/>
            <w:vAlign w:val="bottom"/>
          </w:tcPr>
          <w:p>
            <w:pPr>
              <w:jc w:val="right"/>
              <w:ind w:right="277"/>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2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Foreign exchange contracts</w:t>
            </w: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Derivatives</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September 30, 2019 and December 31, 2018 are shown below (dollars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Frequency</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2019</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Recurring</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7,680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exchange contracts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Recurring</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2018</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Cross-currency swaps</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Recurring</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7"/>
                <w:szCs w:val="17"/>
                <w:color w:val="auto"/>
              </w:rPr>
            </w:pPr>
          </w:p>
        </w:tc>
        <w:tc>
          <w:tcPr>
            <w:tcW w:w="1900" w:type="dxa"/>
            <w:vAlign w:val="bottom"/>
          </w:tcPr>
          <w:p>
            <w:pPr>
              <w:jc w:val="right"/>
              <w:ind w:right="29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 2019</w:t>
            </w:r>
          </w:p>
        </w:tc>
        <w:tc>
          <w:tcPr>
            <w:tcW w:w="260" w:type="dxa"/>
            <w:vAlign w:val="bottom"/>
          </w:tcPr>
          <w:p>
            <w:pPr>
              <w:spacing w:after="0"/>
              <w:rPr>
                <w:sz w:val="18"/>
                <w:szCs w:val="18"/>
                <w:color w:val="auto"/>
              </w:rPr>
            </w:pPr>
          </w:p>
        </w:tc>
        <w:tc>
          <w:tcPr>
            <w:tcW w:w="1900" w:type="dxa"/>
            <w:vAlign w:val="bottom"/>
          </w:tcPr>
          <w:p>
            <w:pPr>
              <w:jc w:val="right"/>
              <w:ind w:right="312"/>
              <w:spacing w:after="0"/>
              <w:rPr>
                <w:sz w:val="20"/>
                <w:szCs w:val="20"/>
                <w:color w:val="auto"/>
              </w:rPr>
            </w:pPr>
            <w:r>
              <w:rPr>
                <w:rFonts w:ascii="Arial" w:cs="Arial" w:eastAsia="Arial" w:hAnsi="Arial"/>
                <w:sz w:val="16"/>
                <w:szCs w:val="16"/>
                <w:b w:val="1"/>
                <w:bCs w:val="1"/>
                <w:color w:val="auto"/>
                <w:w w:val="99"/>
              </w:rPr>
              <w:t>September 30, 2019</w:t>
            </w:r>
          </w:p>
        </w:tc>
        <w:tc>
          <w:tcPr>
            <w:tcW w:w="0" w:type="dxa"/>
            <w:vAlign w:val="bottom"/>
          </w:tcPr>
          <w:p>
            <w:pPr>
              <w:spacing w:after="0"/>
              <w:rPr>
                <w:sz w:val="1"/>
                <w:szCs w:val="1"/>
                <w:color w:val="auto"/>
              </w:rPr>
            </w:pPr>
          </w:p>
        </w:tc>
      </w:tr>
      <w:tr>
        <w:trPr>
          <w:trHeight w:val="33"/>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Short-term, variable and other lease costs</w:t>
            </w:r>
          </w:p>
        </w:tc>
        <w:tc>
          <w:tcPr>
            <w:tcW w:w="220" w:type="dxa"/>
            <w:vAlign w:val="bottom"/>
          </w:tcPr>
          <w:p>
            <w:pPr>
              <w:spacing w:after="0"/>
              <w:rPr>
                <w:sz w:val="21"/>
                <w:szCs w:val="21"/>
                <w:color w:val="auto"/>
              </w:rPr>
            </w:pPr>
          </w:p>
        </w:tc>
        <w:tc>
          <w:tcPr>
            <w:tcW w:w="1940" w:type="dxa"/>
            <w:vAlign w:val="bottom"/>
          </w:tcPr>
          <w:p>
            <w:pPr>
              <w:jc w:val="right"/>
              <w:ind w:right="34"/>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cost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9,438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Maturities of lease liabilities are as follows (dollars in thousands):</w:t>
            </w: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7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95"/>
              </w:rPr>
              <w:t>Operating Leases</w:t>
            </w:r>
            <w:r>
              <w:rPr>
                <w:rFonts w:ascii="Arial" w:cs="Arial" w:eastAsia="Arial" w:hAnsi="Arial"/>
                <w:sz w:val="25"/>
                <w:szCs w:val="25"/>
                <w:color w:val="auto"/>
                <w:w w:val="95"/>
                <w:vertAlign w:val="superscript"/>
              </w:rPr>
              <w:t>(a)</w:t>
            </w: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nine months ended September 30, 2019)</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9,768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8,246</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12,527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payments</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43,180</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37,140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line="273" w:lineRule="auto"/>
        <w:tabs>
          <w:tab w:leader="none" w:pos="340" w:val="left"/>
        </w:tabs>
        <w:numPr>
          <w:ilvl w:val="0"/>
          <w:numId w:val="3"/>
        </w:numPr>
        <w:rPr>
          <w:rFonts w:ascii="Arial" w:cs="Arial" w:eastAsia="Arial" w:hAnsi="Arial"/>
          <w:sz w:val="9"/>
          <w:szCs w:val="9"/>
          <w:color w:val="auto"/>
        </w:rPr>
      </w:pPr>
      <w:r>
        <w:rPr>
          <w:rFonts w:ascii="Arial" w:cs="Arial" w:eastAsia="Arial" w:hAnsi="Arial"/>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ectPr>
          <w:pgSz w:w="11900" w:h="16838" w:orient="portrait"/>
          <w:cols w:equalWidth="0" w:num="1">
            <w:col w:w="11420"/>
          </w:cols>
          <w:pgMar w:left="240" w:top="125"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weighted-average remaining lease term of the Company's operating leases as of September 30, 2019 is approximately 6.0 years. The weighted-average discount rate as of September 30, 2019 is approximately 5.0%.</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during the nine months ended September 30, 2019 was approximately $7.8 million, and is included in cash flows provided by operating activities in the consolidated statement of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Right-of-use assets obtained in exchange for lease liabilities during the nine months ended September 30, 2019 were approximately $1.9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2019, the Company was a party to 356 pending cases involving an aggregate of 4,778 claims primarily alleging personal injury from exposure to asbestos containing materials formerly used in gaskets (both encapsulated and otherwise) manufactured or distributed by certain of its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Claims</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Claims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settlement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pending at</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Claims filed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dismissed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settled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pending at</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amount per</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Total defense</w:t>
            </w: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beginning of</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during</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end of</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claim during</w:t>
            </w:r>
          </w:p>
        </w:tc>
        <w:tc>
          <w:tcPr>
            <w:tcW w:w="140" w:type="dxa"/>
            <w:vAlign w:val="bottom"/>
          </w:tcPr>
          <w:p>
            <w:pPr>
              <w:spacing w:after="0"/>
              <w:rPr>
                <w:sz w:val="17"/>
                <w:szCs w:val="17"/>
                <w:color w:val="auto"/>
              </w:rPr>
            </w:pPr>
          </w:p>
        </w:tc>
        <w:tc>
          <w:tcPr>
            <w:tcW w:w="1120" w:type="dxa"/>
            <w:vAlign w:val="bottom"/>
          </w:tcPr>
          <w:p>
            <w:pPr>
              <w:jc w:val="center"/>
              <w:ind w:right="35"/>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23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period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period</w:t>
            </w:r>
          </w:p>
        </w:tc>
      </w:tr>
      <w:tr>
        <w:trPr>
          <w:trHeight w:val="33"/>
        </w:trPr>
        <w:tc>
          <w:tcPr>
            <w:tcW w:w="2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Nine Months Ended</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4,820</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23,933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1,714,530</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Fiscal Year Ended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4,820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2,260,000</w:t>
            </w:r>
          </w:p>
        </w:tc>
      </w:tr>
    </w:tbl>
    <w:p>
      <w:pPr>
        <w:spacing w:after="0" w:line="200" w:lineRule="exact"/>
        <w:rPr>
          <w:sz w:val="20"/>
          <w:szCs w:val="20"/>
          <w:color w:val="auto"/>
        </w:rPr>
      </w:pP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4,778 claims pending at September 30, 2019, 60 set forth specific amounts of damages (other than those stating the statutory minimum or maximum). At September 30, 2019, of the 60 claims that set forth specific amounts, there was one claim seeking more than $5 million for punitive damages. Below is a breakdown of the compensatory damages sought for those claims seeking specific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(dollars in millions)</w:t>
            </w: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60" w:type="dxa"/>
            <w:vAlign w:val="bottom"/>
          </w:tcPr>
          <w:p>
            <w:pPr>
              <w:jc w:val="right"/>
              <w:ind w:right="41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25 years ago, have been approximately $9.2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The Company's primary insurance exhausted in November 2018, and the Company will be solely responsible for defense costs and indemnity payments prior to the commencement of coverage under this agreement, the duration of which would be subject to the scope of damage awards and settlements paid.</w:t>
      </w:r>
    </w:p>
    <w:p>
      <w:pPr>
        <w:spacing w:after="0" w:line="2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and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Metaldyne Corporation</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2002, the Company was wholly-owned by Metaldyne Corporation ("Metaldyne"). In connection with the reorganization between TriMas and Metaldyne in 2002, TriMas assumed certain liabilities and obligations of Metaldyne, mainly comprised of contractual obligations to former TriMas employees, tax related matters, benefit plan liabilities and reimbursements to Metaldyne of normal course payments to be made on TriMas' behalf.</w:t>
      </w:r>
    </w:p>
    <w:p>
      <w:pPr>
        <w:spacing w:after="0" w:line="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2007, Metaldyne merged into a subsidiary of Asahi Tec Corporation (“Asahi”) whereby Metaldyne became a wholly-owned subsidiary of Asahi, and in 2009, Metaldyne and its U.S. subsidiaries filed voluntary petitions in the United States Bankruptcy Court under Chapter 11 of the U.S. Bankruptcy Code.</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U.S. Bankruptcy Court entered a final decree to close all remaining cases and finalize the Metaldyne bankruptcy distribution trust, effectively terminating any potential obligation by TriMas to Metaldyne. In consideration of the final decree, the Company removed the obligation from its balance sheet during the first quarter of 2018, resulting in an approximate $8.2 million non-cash reduction in selling, general and administrative expenses in the accompanying consolidated statement of income.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reports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a standardized set of processes to manage and drive results and strategy across its multi-industry businesses.</w:t>
      </w: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74"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The Packaging segment, which consists primarily of the Rieke</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brand, develops and manufactures specialty dispensing and closure products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health, beauty and home care, food and beverage, and industrial markets.</w:t>
      </w:r>
    </w:p>
    <w:p>
      <w:pPr>
        <w:spacing w:after="0" w:line="253" w:lineRule="exact"/>
        <w:rPr>
          <w:sz w:val="20"/>
          <w:szCs w:val="20"/>
          <w:color w:val="auto"/>
        </w:rPr>
      </w:pPr>
    </w:p>
    <w:p>
      <w:pPr>
        <w:jc w:val="both"/>
        <w:spacing w:after="0" w:line="188" w:lineRule="auto"/>
        <w:rPr>
          <w:sz w:val="20"/>
          <w:szCs w:val="20"/>
          <w:color w:val="auto"/>
        </w:rPr>
      </w:pPr>
      <w:r>
        <w:rPr>
          <w:rFonts w:ascii="Arial" w:cs="Arial" w:eastAsia="Arial" w:hAnsi="Arial"/>
          <w:sz w:val="18"/>
          <w:szCs w:val="18"/>
          <w:b w:val="1"/>
          <w:bCs w:val="1"/>
          <w:color w:val="auto"/>
        </w:rPr>
        <w:t xml:space="preserve">Aerospace – </w:t>
      </w:r>
      <w:r>
        <w:rPr>
          <w:rFonts w:ascii="Arial" w:cs="Arial" w:eastAsia="Arial" w:hAnsi="Arial"/>
          <w:sz w:val="18"/>
          <w:szCs w:val="18"/>
          <w:color w:val="auto"/>
        </w:rPr>
        <w:t>The Aerospace segment, which includes the Monogram Aerospace Fasteners</w:t>
      </w:r>
      <w:r>
        <w:rPr>
          <w:rFonts w:ascii="Arial" w:cs="Arial" w:eastAsia="Arial" w:hAnsi="Arial"/>
          <w:sz w:val="25"/>
          <w:szCs w:val="25"/>
          <w:color w:val="auto"/>
          <w:vertAlign w:val="superscript"/>
        </w:rPr>
        <w:t>™</w:t>
      </w:r>
      <w:r>
        <w:rPr>
          <w:rFonts w:ascii="Arial" w:cs="Arial" w:eastAsia="Arial" w:hAnsi="Arial"/>
          <w:sz w:val="18"/>
          <w:szCs w:val="18"/>
          <w:color w:val="auto"/>
        </w:rPr>
        <w:t>, Allfast Fastening Systems</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Mac Fasteners</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brands,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develops, qualifies and manufactures highly-engineered, precision fasteners to serve the aerospace market.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color w:val="auto"/>
        </w:rPr>
        <w:t xml:space="preserve">Specialty Products – </w:t>
      </w:r>
      <w:r>
        <w:rPr>
          <w:rFonts w:ascii="Arial" w:cs="Arial" w:eastAsia="Arial" w:hAnsi="Arial"/>
          <w:sz w:val="17"/>
          <w:szCs w:val="17"/>
          <w:color w:val="auto"/>
        </w:rPr>
        <w:t>The Specialty Products segment, which includes the Norris Cylinder</w:t>
      </w:r>
      <w:r>
        <w:rPr>
          <w:rFonts w:ascii="Arial" w:cs="Arial" w:eastAsia="Arial" w:hAnsi="Arial"/>
          <w:sz w:val="24"/>
          <w:szCs w:val="24"/>
          <w:color w:val="auto"/>
          <w:vertAlign w:val="superscript"/>
        </w:rPr>
        <w:t>™</w:t>
      </w:r>
      <w:r>
        <w:rPr>
          <w:rFonts w:ascii="Arial" w:cs="Arial" w:eastAsia="Arial" w:hAnsi="Arial"/>
          <w:sz w:val="17"/>
          <w:szCs w:val="17"/>
          <w:color w:val="auto"/>
        </w:rPr>
        <w:t>, Lamons</w:t>
      </w:r>
      <w:r>
        <w:rPr>
          <w:rFonts w:ascii="Arial" w:cs="Arial" w:eastAsia="Arial" w:hAnsi="Arial"/>
          <w:sz w:val="24"/>
          <w:szCs w:val="24"/>
          <w:color w:val="auto"/>
          <w:vertAlign w:val="superscript"/>
        </w:rPr>
        <w:t>®</w:t>
      </w:r>
      <w:r>
        <w:rPr>
          <w:rFonts w:ascii="Arial" w:cs="Arial" w:eastAsia="Arial" w:hAnsi="Arial"/>
          <w:sz w:val="17"/>
          <w:szCs w:val="17"/>
          <w:color w:val="auto"/>
        </w:rPr>
        <w:t>, Arrow</w:t>
      </w:r>
      <w:r>
        <w:rPr>
          <w:rFonts w:ascii="Arial" w:cs="Arial" w:eastAsia="Arial" w:hAnsi="Arial"/>
          <w:sz w:val="24"/>
          <w:szCs w:val="24"/>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Engine and Martinic Engineering</w:t>
      </w:r>
      <w:r>
        <w:rPr>
          <w:rFonts w:ascii="Arial" w:cs="Arial" w:eastAsia="Arial" w:hAnsi="Arial"/>
          <w:sz w:val="24"/>
          <w:szCs w:val="24"/>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brands,</w:t>
      </w:r>
      <w:r>
        <w:rPr>
          <w:rFonts w:ascii="Arial" w:cs="Arial" w:eastAsia="Arial" w:hAnsi="Arial"/>
          <w:sz w:val="17"/>
          <w:szCs w:val="17"/>
          <w:b w:val="1"/>
          <w:bCs w:val="1"/>
          <w:color w:val="auto"/>
        </w:rPr>
        <w:t xml:space="preserve"> </w:t>
      </w:r>
      <w:r>
        <w:rPr>
          <w:rFonts w:ascii="Arial" w:cs="Arial" w:eastAsia="Arial" w:hAnsi="Arial"/>
          <w:sz w:val="17"/>
          <w:szCs w:val="17"/>
          <w:color w:val="auto"/>
        </w:rPr>
        <w:t>designs, manufactures and distributes highly-engineered steel cylinders, sealing and fastener products, wellhead engines and compression systems and machined products for use within the industrial, petrochemical, oil and gas exploration and refining and aerospace markets.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270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298,310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278,540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43,140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123,710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117,780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88,210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275,470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269,470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236,830</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223,780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697,490</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665,790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19,740</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22,060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60,020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64,450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29,430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28,570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(a)</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(24,780)</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0" w:type="dxa"/>
            <w:vAlign w:val="bottom"/>
          </w:tcPr>
          <w:p>
            <w:pPr>
              <w:spacing w:after="0"/>
              <w:rPr>
                <w:sz w:val="1"/>
                <w:szCs w:val="1"/>
                <w:color w:val="auto"/>
              </w:rPr>
            </w:pP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28,690</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29,880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85,650</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96,610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83" w:lineRule="exact"/>
        <w:rPr>
          <w:sz w:val="20"/>
          <w:szCs w:val="20"/>
          <w:color w:val="auto"/>
        </w:rPr>
      </w:pPr>
    </w:p>
    <w:p>
      <w:pPr>
        <w:ind w:left="340" w:hanging="332"/>
        <w:spacing w:after="0" w:line="213"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4"/>
          <w:szCs w:val="14"/>
          <w:color w:val="auto"/>
        </w:rPr>
        <w:t>During the first quarter of 2018, the Company removed an obligation from its balance sheet, resulting in an approximate $8.2 million non-cash reduction in selling, general and administrative expenses. See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further details.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grant any stock option awards during the nine months ended September 30, 2019. Information related to stock options at September 30, 2019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Option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September 30, 2019</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1,917,000</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2019, 150,000 stock options outstanding were exercisable under the Company's long-term equity incentive plans. As of September 30, 2019, there was no unrecognized compensation cost related to stock options remaining.</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 de minimis amount of stock-based compensation expense related to stock options during the three month periods ended September 30, 2019 and 2018, and recognized approximately $0.1 million and $0.2 million of stock-based compensation expense during the nine months ended September 30, 2019 and 2018, respectively. The stock-based compensation expense is included in selling, general and administrative expenses in the accompanying consolidated statement of income.</w:t>
      </w:r>
    </w:p>
    <w:p>
      <w:pPr>
        <w:sectPr>
          <w:pgSz w:w="11900" w:h="16838" w:orient="portrait"/>
          <w:cols w:equalWidth="0" w:num="1">
            <w:col w:w="11420"/>
          </w:cols>
          <w:pgMar w:left="240" w:top="125" w:right="239" w:bottom="798"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798"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stock units ("RSUs") during the nine months ended September 30, 2019:</w:t>
      </w:r>
    </w:p>
    <w:p>
      <w:pPr>
        <w:spacing w:after="0" w:line="279"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granted 137,064 RSUs to certain employees, which are subject only to a service condition and vest ratably over three years so long as the employee remains with the Company; and</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granted 25,872 RSUs to its non-employee independent directors, which vest one year from date of grant so long as the director and/or Company does not terminate the director's service prior to the vesting date.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issued 3,590 RSUs related to director fee deferrals during the nine months ended September 30, 2019. The Company allows for its non-employee independent directors to make an annual election to defer all or a portion of their directors fees and to receive the deferred amount in cash or equity. Certain of the Company's directors have elected to defer all or a portion of their directors fees and to receive the amount in Company common stock at a future date.</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2019, the Company awarded 95,882 performance-based RSUs to certain Company key employees which vest three years from the grant date as long as the employee remains with the Company. These awards are earned 50% based upon the Company's achievement of earnings per share compound annual growth rate ("EPS CAGR") metrics over a period beginning January 1, 2019 and ending December 31, 2021. The remaining 50% of the grants are earned based on the Company's total shareholder return ("TSR") relative to the TSR of the common stock of a pre-defined industry peer-group and measured over the performance period. TSR is calculated as the Company's average closing stock price for the 20-trading days at the end of the performance period plus Company dividends, divided by the Company's average closing stock price for the 20-trading days prior to the start of the performance period. The Company estimates the grant-date fair value subject to a market condition using a Monte Carlo simulation model, using the following weighted average assumptions: risk-free rate of 2.29% and annualized volatility of 26.7%. Depending on the performance achieved for these two metrics, the amount of shares earned, if any, can vary for each metric from 0% of the target award to a maximum of 200% of the target award.</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2016, the Company awarded performance-based RSUs to certain Company key employees which were earned based upon the Company's TSR relative to the TSR of the common stock of a pre-defined industry peer-group and measured over a period beginning January 1, 2016 and ending on December 31, 2018. Depending on the performance achieved, the amount of shares earned could vary from 0% of the target award to a maximum of 200% of the target award. The Company attained 139.0% of the target on a weighted average basis, resulting in an increase of 38,315 shares during the nine months ended September 30, 2019.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RSUs at September 30, 2019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Unvested</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300,723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31.15</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580" w:type="dxa"/>
            <w:vAlign w:val="bottom"/>
          </w:tcPr>
          <w:p>
            <w:pPr>
              <w:jc w:val="right"/>
              <w:spacing w:after="0"/>
              <w:rPr>
                <w:sz w:val="20"/>
                <w:szCs w:val="20"/>
                <w:color w:val="auto"/>
              </w:rPr>
            </w:pPr>
            <w:r>
              <w:rPr>
                <w:rFonts w:ascii="Arial" w:cs="Arial" w:eastAsia="Arial" w:hAnsi="Arial"/>
                <w:sz w:val="18"/>
                <w:szCs w:val="18"/>
                <w:color w:val="auto"/>
              </w:rPr>
              <w:t>(24,787)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30.38</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2019</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640,161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30.69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19,620,935</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2019, there was approximately $10.1 million of unrecognized compensation cost related to unvested RSUs that is expected to be recorded over a weighted average period of 2.2 years.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stock-based compensation expense related to RSUs of approximately $1.1 million and $1.7 million during the three months ended September 30, 2019 and 2018, respectively and approximately $4.1 million and $4.2 million during the nine months ended September 30, 2019 and 2018, respectively. The stock-based compensation expense is included in selling, general and administrative expenses in the accompanying consolidated statement of income.</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stock options and RSUs. The following table summarizes the dilutive effect of RSUs and options to purchase common stock for the three and nine months ended September 30, 2019 and 2018:</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800" w:type="dxa"/>
            <w:vAlign w:val="bottom"/>
            <w:gridSpan w:val="3"/>
          </w:tcPr>
          <w:p>
            <w:pPr>
              <w:jc w:val="right"/>
              <w:ind w:right="63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1940" w:type="dxa"/>
            <w:vAlign w:val="bottom"/>
            <w:gridSpan w:val="3"/>
          </w:tcPr>
          <w:p>
            <w:pPr>
              <w:jc w:val="center"/>
              <w:ind w:left="854"/>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3"/>
          </w:tcPr>
          <w:p>
            <w:pPr>
              <w:jc w:val="right"/>
              <w:ind w:right="812"/>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45,175,244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45,850,288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45,448,711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45,850,187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179,418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203,800</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229,003</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246,347</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61,105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112,470</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67,707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102,350</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45,415,767</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46,166,558</w:t>
            </w:r>
          </w:p>
        </w:tc>
        <w:tc>
          <w:tcPr>
            <w:tcW w:w="14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45,745,421</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46,198,884</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2019, the Company announced its Board of Directors had authorized the Company to increase the purchase of its common stock up to $75 million in the aggregate. The previous authorization, approved in November 2015, authorized up to $50 million in share repurchases. In the three and nine months ended September 30, 2019, the Company purchased 196,128 and 723,528 shares of its outstanding common stock for approximately $5.7 million and $21.1 million, respectively. During the three and nine months ended September 30, 2018, the Company purchased 23,191 and 124,138 shares of its outstanding common stock for approximately $0.7 million and $3.6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Benefit Plans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pension benefit costs for the Company's defined benefit pension plans cover certain foreign employees, union hourly employees and salaried employees. The components of net periodic pension cost are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Pension Plans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23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3"/>
              </w:rPr>
              <w:t>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3"/>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costs</w:t>
            </w:r>
          </w:p>
        </w:tc>
        <w:tc>
          <w:tcPr>
            <w:tcW w:w="90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costs</w:t>
            </w:r>
          </w:p>
        </w:tc>
        <w:tc>
          <w:tcPr>
            <w:tcW w:w="9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850</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Settlement/curtailment loss</w:t>
            </w:r>
          </w:p>
        </w:tc>
        <w:tc>
          <w:tcPr>
            <w:tcW w:w="9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2,500</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3,680</w:t>
            </w: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2018, the Company purchased an annuity contract to transfer certain retiree defined benefit obligations to an insurance company. The annuity contract was funded by plan assets. The Company recognized a one-time settlement charge of approximately $2.5 million, which is included in other income (expense), net in the accompanying consolidated statement of income.</w:t>
      </w:r>
    </w:p>
    <w:p>
      <w:pPr>
        <w:spacing w:after="0" w:line="2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contributed approximately $0.6 million and $1.6 million to its defined benefit pension plans during the three and nine months ended September 30, 2019, respectively. The Company expects to contribute approximately $1.9 million to its defined benefit pension plans for the full year 2019.</w:t>
      </w:r>
    </w:p>
    <w:p>
      <w:pPr>
        <w:sectPr>
          <w:pgSz w:w="11900" w:h="16838" w:orient="portrait"/>
          <w:cols w:equalWidth="0" w:num="1">
            <w:col w:w="11420"/>
          </w:cols>
          <w:pgMar w:left="240" w:top="125"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Comprehensive Income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nine months ended September 30, 2019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1,370</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1,670</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of stranded tax effects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September 30, 2019</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$1.8 million. See Note 10,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16,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nine months ended September 30, 2018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r>
      <w:tr>
        <w:trPr>
          <w:trHeight w:val="270"/>
        </w:trPr>
        <w:tc>
          <w:tcPr>
            <w:tcW w:w="59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(4,580)</w:t>
            </w:r>
          </w:p>
        </w:tc>
      </w:tr>
      <w:tr>
        <w:trPr>
          <w:trHeight w:val="270"/>
        </w:trPr>
        <w:tc>
          <w:tcPr>
            <w:tcW w:w="59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r>
      <w:tr>
        <w:trPr>
          <w:trHeight w:val="237"/>
        </w:trPr>
        <w:tc>
          <w:tcPr>
            <w:tcW w:w="5980" w:type="dxa"/>
            <w:vAlign w:val="bottom"/>
          </w:tcPr>
          <w:p>
            <w:pPr>
              <w:ind w:left="16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w:t>
            </w: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(18,880)</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$0.5 million. See Note 10,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7"/>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$0.9 million. See Note 16,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the Company entered into a definitive agreement to sell its Lamons business to First Reserve, a private equity firm focused on energy investing, for approximately $135 million in cash, subject to customary working capital and purchase price adjustments. Lamons, a leading provider of industrial sealing and fastener solutions in the petrochemical, petroleum refining, midstream energy transportation, upstream oil and gas, metropolitan water and wastewater management end markets, is currently part of the Company's Specialty Products reportable segment and generated approximately $186 million in net sales for the twelve months ended September 30, 2019.</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2019, the Company announced that its Board of Directors increased the Company’s common stock share repurchase authorization to $150 million in the aggregate of the Company's common stock. The previous authorization, approved in February 2019, authorized up to $75 million in share repurchases. The increased authorization includes the value of shares already purchased under the previous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diversified global manufacturer and provider of products for customers in the consumer products, aerospace, industrial, petrochemical, refinery, and oil and gas end markets. Our wide range of innovative product solutions are engineered and designed to solve application-specific challenges that our customers face. We believe our businesses share important and distinguishing characteristics, including: well-recognized and leading brand names in the focused markets we serve; innovative product technologies and features; customer approved processes and qualified products;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are principally engaged in three reportable segments: Packaging, Aerospace and Specialty Products.</w:t>
      </w:r>
    </w:p>
    <w:p>
      <w:pPr>
        <w:spacing w:after="0" w:line="23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2019, we entered into a definitive agreement to sell our Lamons business to First Reserve, a private equity firm focused on energy investing, for approximately $135 million in cash, subject to customary working capital and purchase price adjustments. Lamons is currently part of our Specialty Products reportable segment and generated approximately $186 million in net sales for the twelve months ended September 30, 2019. This is an important strategic advancement for TriMas, as we simplify and streamline our portfolio of businesses, reduce our exposure to the energy-related end market and allow us to further focus on our Packaging and Aerospace reportable segments. We will report Lamons' results of operations as discontinued operations beginning in the fourth quarter of 2019. Consummation of the sale is subject to the satisfaction or waiver of customary closing conditions.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Affecting Our Reported Results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cyclical industries that are highly competitive and that may be significantly impacted by changes in economic conditions.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the net sales growth in the first half of 2019 versus 2018 was largely consistent with our expectations, sales growth in the third quarter of 2019 was less than expected, primarily in our Packaging and Specialty Products reportable segments. Each of our three reportable segments increased net sales in third quarter 2019 compared to third quarter 2018, with overall net sales increasing approximately $13.1 million, or 5.8%. The increase was primarily driven by the Packaging acquisitions we completed in 2019. In addition, demand levels in certain end markets remained robust, especially for health, beauty and home care products, downstream petrochemical and refining sealing products, as well as commercial aircraft fastening products. However, demand levels in certain of our end markets declined in the third quarter from prior quarter and prior year levels, particularly for North America industrial applications and for upstream oil and gas products. While difficult to quantify, we believe demand levels in many of the end markets we serve are being affected by uncertainties related to the direct and indirect impact of current and proposed tariffs and other restrictions on trade.</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most significant drivers of change in the results of our operations in third quarter 2019 compared with third quarter 2018 were the impact of our two acquisitions in 2019, which drove the overall sales growth but at lower operating margins, an increase in our effective income tax rate in third quarter 2019 versus third quarter 2018, and higher freight and logistics costs.</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acquired Plastic Srl and Taplast S.p.A. ("Taplast") in January 2019 and April 2019, respectively. Plastic Srl is a manufacturer of single-bodied and assembled polymeric caps and closures for use in home care product applications. Taplast is a designer and manufacturer of dispensers, closures and containers for the beauty and personal care, household, and food and beverage packaging end markets. These acquisitions contributed $11.5 million of sales during third quarter 2019 within our Packaging reportable segment, and provide opportunities for future growth, as well as additional manufacturing and engineering capacity, in the European market. The current profit margins of these acquired businesses are below those of our Packaging base product lines. While Plastic Srl and Taplast were accretive to third quarter 2019 operating profit dollars, their relative contribution at a lower margin reduced the overall Packaging reportable segment operating profit margin by more than 100 basis points. We expect, over time, to fully integrate these acquisitions utilizing the TriMas Business Model ("TBM"), achieving planned synergies and improving margins.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income tax rate for third quarter 2019 and 2018 was 25.9% and 15.4%, respectively. The increase in the rate was primarily a result of recognizing a net tax benefit of approximately $2.7 million in the third quarter of 2018 related to provision to return adjustments for our U.S. Federal tax return, which included an approximate $1.1 million benefit due to additional regulations that were issued in connection with the Tax Cuts and Jobs Act ("Tax Reform Act").</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third significant driver of third quarter 2019 results was an increase of approximately $2.0 million in freight and logistics costs versus third quarter 2018 levels, primarily in our Packaging reportable segment. Approximately half of this increase related to expediting or splitting shipments in order to fulfill committed delivery dates, with the remainder attributable to higher overall freight costs per shipment as well as higher sales volumes.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One additional factor significantly impacting the nine months ended September 30, 2019 versus the nine months ended September 30, 2018 results of operations relates to the first quarter 2018 termination of a legacy liability of approximately $8.2 million, which resulted in a non-cash reduction to corporate office selling, general and administrative expenses. Prior to 2002, we were wholly-owned by Metaldyne Corporation ("Metaldyne"). In connection with the reorganization between TriMas and Metaldyne in June 2002, we assumed certain liabilities and obligations of Metaldyne, mainly comprised of contractual obligations to former TriMas employees, tax-related matters, benefit plan liabilities and reimbursements to Metaldyne of normal course payments to be made on TriMas' behalf. Metaldyne and its U.S. subsidiaries filed voluntary petitions in the United States Bankruptcy Court under Chapter 11 of the U.S. Bankruptcy Code in 2009. In January 2018, the U.S. Bankruptcy Court entered a final decree to close all remaining cases and finalize the Metaldyne bankruptcy distribution trust, effectively terminating any potential obligation by TriMas to Metaldyne.</w:t>
      </w:r>
    </w:p>
    <w:p>
      <w:pPr>
        <w:spacing w:after="0" w:line="2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Another factor impacting the nine months ended September 30, 2019 versus the nine months ended September 30, 2018 results of operations was our settlement of defined benefit obligations in second quarter 2018. During the second quarter of 2018, we purchased an annuity contract to transfer certain retiree defined benefit obligations to an insurance company. The annuity contract was funded by plan assets. We recognized a one-time settlement charge of approximately $2.5 million, which is included in other income (expense), net in the accompanying consolidated statement of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cross-selling and extending product-line offerings, and our ability to quickly and cost-effectively introduce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purchases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sensitive to price movements in our raw materials supply base. Our largest material purchases are for resins (such as polypropylene and polyethylene), steel, aluminum and other oil and metal-based purchased components. In mid 2018, material costs began to rise, increasing through the remainder of 2018, primarily as a direct and indirect result of foreign trade policy changes. These cost increases primarily related to oil and metal-based commodities. We took swift actions, and continue to take actions, to mitigate such cost increases, including implementing commercial pricing adjustments, resourcing to alternate suppliers and insourcing of previously sourced products to better leverage our global manufacturing footprint. As a result of these actions, as well as softening of certain underlying commodity costs, we have largely mitigated the impact such that material costs were not a significant driver of year-over-year profit change. Although we believe we are generally able to mitigate the impact of higher commodity costs, we may experience additional material costs and disruptions in supply in the future and may not be able to pass along higher costs to our customers in the form of price increases or otherwise mitigate the impacts to our operating results.</w:t>
      </w:r>
    </w:p>
    <w:p>
      <w:pPr>
        <w:spacing w:after="0" w:line="2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businesses in our Specialty Products reportable segment are sensitive to the demand for natural gas and crude oil in North America. For example, demand for our Arrow Engine business' engine, pump jack and compressor products are impacted by active oil and gas rig counts and wellhead investment activities. In addition, a small portion of our Lamons business serves upstream customers at oil well sites that are impacted by fluctuating oil prices. The majority of the Lamons business provides sealing and fastening products to petrochemical plants and oil refineries, which may or may not decide to incur capital expenditures for their preventive maintenance or capacity expansion activities during times of fluctuating oil prices. Separately, oil-based commodity costs are a significant driver of raw materials and purchased components used within our Packaging reportable segment.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have escalator/de-escalator clauses in commercial contracts with certain of our customers, or can modify prices based on market conditions to recover higher costs, we cannot be assured of full cost recovery in the open market.</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year, as a core tenet of the TBM, our businesses target cost savings from Kaizen and continuous improvement initiatives in an effort to reduce input and conversion costs and/or increase throughput and yield rates with a goal of at least covering inflationary and market cost increases. In addition, we continuously review our cost structures to ensure alignment with current market demand.</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evaluate alternatives to redeploy the cash generated by our businesses, one of which includes returning capital to our shareholders. In February 2019, we announced our Board of Directors had authorized the Company to increase the purchase of its common stock up to $75 million in the aggregate. The previous authorization, approved in November 2015, authorized up to $50 million in share repurchases. In the three and nine months ended September 30, 2019, we purchased 196,128 and 723,528 shares of our outstanding common stock for approximately $5.7 million and $21.1 million, respectively. The total 2019 share repurchases represent nearly 1.6% of our outstanding common shares as of December 31, 2018. During the three and nine months ended September 30, 2018, we purchased 23,191 and 124,138 shares of our outstanding common stock for approximately $0.7 million and $3.6 million, respectively.</w:t>
      </w: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2019, we announced the Board of Directors increased the Company's common stock share repurchase authorization to $150 million in the aggregate. The increased authorization includes the value of shares already purchased under the previous authorization. We will continue to evaluate opportunities to return capital to shareholders through the purchase of our common stock, depending on market conditions and other factors.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three months ended September 30, 2019 and 2018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a Percentage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7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Arial" w:cs="Arial" w:eastAsia="Arial" w:hAnsi="Arial"/>
                <w:sz w:val="16"/>
                <w:szCs w:val="16"/>
                <w:b w:val="1"/>
                <w:bCs w:val="1"/>
                <w:color w:val="auto"/>
              </w:rPr>
              <w:t>of Net Sales</w:t>
            </w: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144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105,480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95,250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43,140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40,890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88,210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87,640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236,830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223,780</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29,580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30,690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13,540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12,680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18,120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18,350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61,240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61,720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9,840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8,630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9,720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10,020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32,550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31,840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19,740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22,060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8,230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8,330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28,690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29,880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2,950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6,880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5,760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2,270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472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4,950</w:t>
            </w:r>
          </w:p>
        </w:tc>
        <w:tc>
          <w:tcPr>
            <w:tcW w:w="2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4,860</w:t>
            </w:r>
          </w:p>
        </w:tc>
        <w:tc>
          <w:tcPr>
            <w:tcW w:w="2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nine months ended September 30, 2019 and 2018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360"/>
              <w:spacing w:after="0"/>
              <w:rPr>
                <w:sz w:val="20"/>
                <w:szCs w:val="20"/>
                <w:color w:val="auto"/>
              </w:rPr>
            </w:pPr>
            <w:r>
              <w:rPr>
                <w:rFonts w:ascii="Arial" w:cs="Arial" w:eastAsia="Arial" w:hAnsi="Arial"/>
                <w:sz w:val="16"/>
                <w:szCs w:val="16"/>
                <w:b w:val="1"/>
                <w:bCs w:val="1"/>
                <w:color w:val="auto"/>
              </w:rPr>
              <w:t>Nine months ended September 30,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a Percentage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7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Arial" w:cs="Arial" w:eastAsia="Arial" w:hAnsi="Arial"/>
                <w:sz w:val="16"/>
                <w:szCs w:val="16"/>
                <w:b w:val="1"/>
                <w:bCs w:val="1"/>
                <w:color w:val="auto"/>
              </w:rPr>
              <w:t>of Net Sales</w:t>
            </w: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144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298,310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278,540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117,780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275,470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269,470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697,490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665,790</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90,290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91,550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36,680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34,160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59,440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61,170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186,410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186,880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30,270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27,100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15,700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15,440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30,010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32,600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24,780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100,760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90,270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60,020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64,450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20,980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18,720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29,430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28,570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85,650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96,610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11,040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9,510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19,950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18,630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72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14,920</w:t>
            </w:r>
          </w:p>
        </w:tc>
        <w:tc>
          <w:tcPr>
            <w:tcW w:w="2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14,600</w:t>
            </w:r>
          </w:p>
        </w:tc>
        <w:tc>
          <w:tcPr>
            <w:tcW w:w="2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94615</wp:posOffset>
            </wp:positionV>
            <wp:extent cx="42538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3865" cy="2603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The principle factors impacting us during the three months ended September 30, 2019, compared with the three months ended September 30, 2018, were:</w:t>
      </w:r>
    </w:p>
    <w:p>
      <w:pPr>
        <w:spacing w:after="0" w:line="316"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Plastic Srl and Taplast acquisitions in 2019 within our Packaging reportable segment;</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sales and operating profit margin mix impact of sales changes in our various end markets served;</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freight and logistics costs, primarily in our Packaging reportable segment; and</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higher effective tax rate in third quarter 2019 compared with third quarter 2018.</w:t>
      </w:r>
    </w:p>
    <w:p>
      <w:pPr>
        <w:sectPr>
          <w:pgSz w:w="11900" w:h="16838" w:orient="portrait"/>
          <w:cols w:equalWidth="0" w:num="1">
            <w:col w:w="11420"/>
          </w:cols>
          <w:pgMar w:left="240" w:top="12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019"/>
          </w:cols>
          <w:pgMar w:left="1440" w:top="125" w:right="1440"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2019 Compared with Three Months Ended September 30, 2018</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Overall, net sales increased approximately $13.1 million, or 5.8%, to $236.8 million for the three months ended September 30, 2019, as compared with $223.8 million in the three months ended September 30, 2018. The acquisitions of Taplast, in April 2019, and Plastic Srl, in January 2019, contributed approximately $11.5 million of sales in our Packaging reportable segment. Organic sales, excluding the impact of currency exchange, increased approximately $3.0 million. Of this amount, sales increased by approximately $4.0 million related to health, beauty and home care products in our Packaging reportable segment, by $3.6 million related to oil and gas related products in our Specialty Products reportable segment, and by $2.3 million related to fastener product sales in our Aerospace reportable segment. These increases were partially offset by organic sales decreases of approximately $3.1 million related to lower sales of food and beverage products, by $2.2 million related to industrial cylinder products, by $0.8 million related to machined product sales and $0.7 million of industrial closure products. In general, we believe the North American industrial markets are most impacted by uncertainties related to the direct and indirect impact of current and proposed tariffs and other restrictions on trade. In addition, sales were lower by approximately $1.4 million due to net unfavorable currency exchange, as our reported results in U.S. dollars were negatively impacted as a result of the stronger U.S. dollar relative to foreign currencies.</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margin (gross profit as a percentage of sales) approximated 25.9% and 27.6% for the three months ended September 30, 2019 and 2018, respectively. While gross profit dollars were relatively flat, gross profit margin decreased, as the margin impact of higher sales levels was more than offset by a less favorable product sales mix, resulting from higher levels of growth in our lower gross margin reportable segments, as well as due to the recent acquisitions yielding lower gross profit margins. Gross profit margin further declined as a result of approximately $2.0 million of higher freight and logistics costs, and by approximately $0.5 million as a result of unfavorable currency exchange.</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profit margin (operating profit as a percentage of sales) approximated 12.1% and 13.4% for the three months ended September 30, 2019 and 2018, respectively. Operating profit decreased approximately $1.2 million, or 4.0%, to $28.7 million for the three months ended September 30, 2019, from $29.9 million for the three months ended September 30, 2018. Operating profit and related margin declined, as the impact of higher sales levels was more than offset by a less favorable product sales mix, higher freight and logistics costs, and as a result of unfavorable currency exchange.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remained flat at approximately $3.5 million for the three months ended September 30, 2019 and 2018, as there was no significant change in our debt structure, and the majority of the borrowings are at a fixed rate.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(expense), net increased approximately $0.2 million, to $0.6 million of other income, net for the three months ended September 30, 2019, as compared to $0.4 million of other income, net for the three months ended September 30, 2018, primarily due to an increase in gains on transactions denominated in foreign currencies.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 for the three months ended September 30, 2019 and 2018 was 25.9% and 15.4%, respectively. The increase in the rate was primarily a result of us recognizing a net tax benefit of approximately $2.7 million in the three months ended September 30, 2018 related to provision to return adjustments for our U.S. Federal tax return, which included an approximate $1.1 million benefit due to additional regulations that were issued during the three months ended September 30, 2018 in connection with the Tax Reform Act.</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decreased approximately $3.6 million, to $19.1 million for the three months ended September 30, 2019, as compared to $22.7 million for the three months ended September 30, 2018. The decrease in net income was the result of a decrease in operating profit of approximately $1.2 million and an increase in income tax expense of approximately $2.5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increased approximately $10.2 million, or 10.7%, to $105.5 million in the three months ended September 30, 2019,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$95.3 million in the three months ended September 30, 2018. The acquisitions of Taplast, in April 2019, and Plastic Srl, in January 2019, contributed approximately $11.5 million of sales. Sales of our health, beauty and home care products increased approximately $4.0 million, primarily due to higher demand in North America and Europe. These increases were partially offset by decreases in sales of our food and beverage products of approximately $3.1 million and of our industrial products by approximately $0.7 million, primarily due to lower overall end market demand in North America. Additionally, net sales were lower by approximately $1.4 million due to unfavorable currency exchange, as our reported results in U.S. dollars were negatively impacted as a result of the stronger U.S. dollar relative to foreign currencies.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Packaging's gross profit decreased approximately $1.1 million to $29.6 million, or 28.0% of sales, in the three months ended September 30, 2019, as compared to $30.7 million, or 32.2% of sales, in the three months ended September 30, 2018. Although net sales increased, gross profit declined by approximately $1.7 million due to higher freight and logistics costs and by approximately $0.5 million due to unfavorable currency exchange, as our reported results in U.S. dollars were negatively impacted as a result of the stronger U.S. dollar relative to foreign currencies. Gross profit margin further declined due to a less favorable product sales mix, as our acquired companies have lower margins than the Packaging base business. In addition, our health, beauty and home care end market products comprised a larger percentage of net sales in third quarter 2019, and yield a lower gross profit margin than the remainder of this segment.</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Packaging's selling, general and administrative expenses increased approximately $1.2 million to $9.8 million, or 9.3% of sales, in the three months ended September 30, 2019, as compared to $8.6 million, or 9.1% of sales, in the three months ended September 30, 2018, primarily due to higher ongoing selling, general and administrative costs associated with our 2019 acquisitions.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Packaging's operating profit decreased approximately $2.4 million to $19.7 million, or 18.7% of sales, in the three months ended September 30, 2019, as compared to $22.1 million, or 23.2% of sales, in the three months ended September 30, 2018, as the impact of increased freight and logistics costs, a less favorable product sales mix and unfavorable foreign currency exchange more than offset the impact of higher sales levels.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three months ended September 30, 2019 increased approximately $2.2 million, or 5.5%, to $43.1 million, as compared to $40.9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September 30, 2018, due to steady demand levels for fastener products combined with improved production throughput at our Commerce, California and Ottawa, Kansas manufacturing facilities.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within Aerospace increased approximately $0.8 million to $13.5 million, or 31.4% of sales, in the three months ended September 30, 2019, from $12.7 million, or 31.0% of sales, in the three months ended September 30, 2018, primarily due to the higher sales levels as well as the impact of incremental costs and temporary inefficiencies related to finalizing the collective bargaining agreement in our Commerce, California facility during the three months ended September 30, 2018 that did not repeat in the three months ended September 30, 2019.</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increased approximately $0.3 million to approximately $5.3 million, or 12.3% of sales, in the three months ended September 30, 2019, as compared to $5.0 million, or 12.2% of sales, in the three months ended September 30, 2018, primarily due to higher employee-related costs to support our sales growth initiatives.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Aerospace increased approximately $0.5 million to $8.2 million, or 19.1% of sales, in the three months ended September 30, 2019, as compared to $7.7 million, or 18.8% of sales in the three months ended September 30, 2018, primarily due to higher sales levels and the impact of incremental costs and inefficiencies related to finalizing the collective bargaining agreement in our Commerce, California facility during the three months ended September 30, 2018 that did not repeat in the three months ended September 30, 2019.</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Specialty Products. </w:t>
      </w:r>
      <w:r>
        <w:rPr>
          <w:rFonts w:ascii="Arial" w:cs="Arial" w:eastAsia="Arial" w:hAnsi="Arial"/>
          <w:sz w:val="18"/>
          <w:szCs w:val="18"/>
          <w:color w:val="auto"/>
        </w:rPr>
        <w:t>Net sales for the three months ended September 30, 2019 increased approximately $0.6 million, or 0.7%, to $88.2 million,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$87.6 million in the three months ended September 30, 2018. Sales of our oil and gas related products increased by approximately $3.6 million, primarily as a result of increased petrochemical and refining-customer demand in North America, which more than offset lower sales of engines, compressors and related parts used in upstream applications due to lower oil and gas drilling investment activity in the U.S. and Canada. This increase was partially offset by approximately $2.2 million lower sales of our industrial cylinder products due to decreased demand for both high pressure and acetylene steel cylinders as a result of customer consolidation and asset cylinder inventory level rebalancing, and approximately $0.8 million lower sales of machined components products.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within Specialty Products decreased approximately $0.3 million to $18.1 million, or 20.5% of sales, in the three months ended September 30, 2019, as compared to $18.4 million, or 20.9% of sales, in the three months ended September 30, 2018. Gross profit from the increased sales of our oil and gas related products was more than offset by the impact of lower sales of our industrial and machined components products as well as higher freight and product conversion costs.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within Specialty Products decreased approximately $0.3 million to $9.7 million, or 11.0% of sales, in the three months ended September 30, 2019, as compared to $10.0 million, or 11.4% of sales, in the three months ended September 30, 2018, primarily due to lower personnel costs in third quarter 2019 as compared to third quarter 2018.</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profit within Specialty Products increased approximately $0.1 million to $8.4 million, or 9.5% of sales, in the three months ended September 30, 2019, as compared to $8.3 million, or 9.5% of sales, in the three months ended September 30, 2018. Operating profit and related margin was essentially flat, as the impact of higher sales levels in our oil and gas related products and decrease in selling, general and administrative expenses were offset by the impact of decreased sales of our industrial cylinder and machined component products, as well as higher freight and conversion costs in third quarter 2019.</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120" w:type="dxa"/>
            <w:vAlign w:val="bottom"/>
          </w:tcPr>
          <w:p>
            <w:pPr>
              <w:jc w:val="right"/>
              <w:ind w:right="74"/>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73"/>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12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expenses</w:t>
            </w: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Corporate expenses</w:t>
            </w:r>
          </w:p>
        </w:tc>
        <w:tc>
          <w:tcPr>
            <w:tcW w:w="112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1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expenses decreased approximately $0.5 million to $7.7 million for the three months ended September 30, 2019, from $8.2 million for the three months ended September 30, 2018, primarily due to a decrease in expense related to the timing and estimated attainment of our long-term equity incentive plans in 2019 compared with 2018.</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2019 Compared with Nine Months Ended September 30, 2018</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Overall, net sales increased approximately $31.7 million, or 4.8%, to $697.5 million for the nine months ended September 30, 2019, as compared with $665.8 million in the nine months ended September 30, 2018. The acquisitions of Taplast, in April 2019, and Plastic Srl, in January 2019, contributed approximately $23.9 million of sales in our Packaging reportable segment. Organic sales, excluding the impact of currency exchange, increased by approximately $13.4 million. The primary drivers of this increase were approximately $13.1 million higher sales of our Packaging reportable segment's health, beauty and home care products, $8.1 million higher sales in our oil and gas related products within our Specialty Products reportable segment, and $5.9 million higher sales within our Aerospace reportable segment. These increases were partially offset by approximately $9.4 million lower sales of our food and beverage products and $2.6 million lower sales of our industrial products within our Packaging reportable segment, and $1.7 million lower sales of industrial products and our machined components products within our Specialty Products reportable segment. Additionally, net sales were lower by approximately $5.6 million due to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margin (gross profit as a percentage of sales) approximated 26.7% and 28.1% for the nine months ended September 30, 2019 and 2018, respectively. Gross profit margin decreased, as the impact of higher sales levels was more than offset by a less favorable product sales mix, resulting from higher levels of growth in our lower gross margin reportable segments, as well as due to the recent acquisitions yielding lower gross profit margins. Gross profit margin further declined due to a $1.1 million reduction in expense in the first nine months of 2018 related to a change in our estimate of future unrecoverable lease obligations for our former Reynosa, Mexico facility that did not repeat in the first nine months of 2019, higher freight and conversion costs in 2019, and as a result of unfavorable currency exchange.</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profit margin (operating profit as a percentage of sales) approximated 12.3% and 14.5% for the nine months ended September 30, 2019 and 2018, respectively. Operating profit decreased approximately $11.0 million, or 11.3%, to $85.7 million for the nine months ended September 30, 2019, compared to $96.6 million for the nine months ended September 30, 2018. The primary driver of this year-over-year decrease in operating profit and related margin was an approximately $8.2 million non-cash reduction of our recorded liability to Metaldyne in the first quarter of 2018 following the U.S. Bankruptcy Court's final decree to close all remaining cases and terminate the Metaldyne bankruptcy distribution trust that did not repeat in 2019. Operating profit and related margin further declined as the impact of higher sales levels was more than offset by a less favorable product sales mix, increases in purchase accounting expenses and professional fees supporting corporate development activities, higher freight and conversion costs, and as a result of unfavorable currency exchange.</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decreased approximately $0.2 million, to $10.5 million, for the nine months ended September 30, 2019, as compared to $10.7 million for the nine months ended September 30, 2018, as a result of a decrease in our variable interest rates and weighted average levels, both related to intra-period revolving credit borrowings.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net decreased approximately $3.6 million, to $1.3 million of other income, net for the nine months ended September 30, 2019, from $2.3 million of other expense, net for the nine months ended September 30, 2018, primarily due to a one-time charge of $2.5 million related to the settlement of defined benefit obligations in second quarter 2018 that did not repeat in the nine months ended September 30, 2019, and an increase in gains on transactions denominated in foreign currencies.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effective income tax rate for the nine months ended September 30, 2019 and 2018 was 21.3% and 20.4%, respectively. We recognized a net tax benefit of approximately $2.7 million in the nine months ended September 30, 2018 related to provision to return adjustments for our U.S. Federal tax return, which included an approximate $1.1 million benefit due to additional regulations that were issued during the third quarter of 2018 in connection with the Tax Reform Act. In the nine months ended September 30, 2019, our effective income tax rate reflected certain favorable discrete items that occurred during the first quarter of 2019, including the reversal of uncertain tax benefits for which the statute of limitations expired, excess tax benefits related to share based compensation that vested in first quarter 2019, and a reduction in deferred tax liabilities resulting from the implementation of state tax planning initiatives.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decreased by approximately $6.4 million, to $60.2 million for the nine months ended September 30, 2019, compared to $66.6 million for the nine months ended September 30, 2018. The decrease was primarily the result of a decrease in operating profit of approximately $11.0 million, partially offset by a decrease in other income (expense), net of approximately $3.6 million, a decrease in income tax expense of approximately $0.8 million, and a decrease in interest expense of approximately $0.2 million.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increased approximately $19.8 million, or 7.1%, to $298.3 million in the nine months ended September 30, 2019,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$278.5 million in the nine months ended September 30, 2018. The Taplast and Plastic Srl acquisitions contributed approximately $23.9 million in the first nine months of 2019. Sales of our health, beauty and home care products increased approximately $13.1 million, primarily due to higher demand in North America and Europe as well as continued sales growth in Asia. These increases were partially offset by a decrease in sales of our food and beverage products by approximately $9.4 million, primarily due to lower sales of pumps as well as softer overall end market demand in North America. Sales of our industrial products declined by approximately $2.6 million due to lower end market demand in North America. Additionally, net sales were lower by approximately $5.2 million due to unfavorable currency exchange, as our reported results in U.S. dollars were negatively impacted as a result of the stronger U.S. dollar relative to foreign currencies.</w:t>
      </w:r>
    </w:p>
    <w:p>
      <w:pPr>
        <w:spacing w:after="0" w:line="2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Packaging's gross profit decreased approximately $1.3 million to $90.3 million, or 30.3% of sales, in the nine months ended September 30, 2019, as compared to $91.6 million, or 32.9% of sales, in the nine months ended September 30, 2018. Gross profit decreased by approximately $2.2 million related to higher freight costs and by approximately $1.9 million due to unfavorable currency exchange, as our reported results in U.S. dollars were negatively impacted as a result of the stronger U.S. dollar relative to foreign currencies. Gross profit margin declined due to a less favorable product sales mix, as the acquired businesses have lower margins than the Packaging base business, impacting gross margin by nearly 100 basis points. In addition, our health, beauty and home care end market products comprised a larger percentage of net sales in the first nine months of 2019 compared to the first nine months of 2018, and yield a lower gross profit margin than sales to our other end markets.</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Packaging's selling, general and administrative expenses increased approximately $3.2 million to $30.3 million, or 10.1% of sales, in the nine months ended September 30, 2019, as compared to $27.1 million, or 9.7% of sales, in the nine months ended September 30, 2018, primarily due to higher ongoing selling, general and administrative costs associated with the acquisitions completed in 2019 as well as non-cash purchase accounting-related expenses of approximately $0.8 million related to the write-off of the trade name acquired in the Plastic Srl acquisition that will not be used.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Packaging's operating profit decreased approximately $4.5 million to $60.0 million, or 20.1% of sales, in the nine months ended September 30, 2019, as compared to $64.5 million, or 23.1% of sales, in the nine months ended September 30, 2018, as the impact of a less favorable product sales mix, increased freight costs, higher selling, general and administrative expenses and unfavorable foreign currency exchange more than offset the impact of higher sales levels.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Aerospace. </w:t>
      </w:r>
      <w:r>
        <w:rPr>
          <w:rFonts w:ascii="Arial" w:cs="Arial" w:eastAsia="Arial" w:hAnsi="Arial"/>
          <w:sz w:val="17"/>
          <w:szCs w:val="17"/>
          <w:color w:val="auto"/>
        </w:rPr>
        <w:t>Net sales for the nine months ended September 30, 2019 increased approximately $5.9 million, or 5.0%, to $123.7 million,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$117.8 million in the nine months ended September 30, 2018, due to steady demand levels for fastener products combined with improved production throughput in the second and third quarters of 2019 at our Commerce, California and Ottawa, Kansas manufacturing facilities.</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Gross profit within Aerospace increased approximately $2.5 million to $36.7 million, or 29.6% of sales, in the nine months ended September 30, 2019, from $34.2 million, or 29.0% of sales, in the nine months ended September 30, 2018, primarily due to the higher sales levels and improved production efficiencies. In addition, gross profit improved due to the impact of incremental costs and temporary inefficiencies related to finalizing the collective bargaining agreement in our Commerce, California facility during the nine months ended September 30, 2018 that did not repeat in the nine months ended September 30, 2019.</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expenses increased approximately $0.3 million to $15.7 million, or 12.7% of sales, in the nine months ended September 30, 2019, as compared to $15.4 million, or 13.1% of sales, in the nine months ended September 30, 2018, primarily due to approximately $0.4 million of professional fees incurred in the first quarter of 2019 to analyze our standard fastener product line and recommend opportunities to improve.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profit within Aerospace increased approximately $2.3 million to $21.0 million, or 17.0% of sales, in the nine months ended September 30, 2019, as compared to $18.7 million, or 15.9% of sales, in the nine months ended September 30, 2018, primarily due to higher sales levels and improved production efficiencies.</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for the nine months ended September 30, 2019 increased approximately $6.0 million, or 2.2%, to $275.5 million, as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$269.5 million in the nine months ended September 30, 2018. Sales of our oil and gas related products increased by approximately $8.1 million, primarily as a result of increased petrochemical and refining-customer demand in North America, which more than offset lower sales of engines, compressors and related parts used in upstream applications due to lower drilling investment activity in the U.S. and Canada. Sales of our industrial products decreased by approximately $0.9 million, primarily due to decreased demand for both high pressure and acetylene steel cylinders as a result of customer consolidation and inventory rebalancing, which more than offset increased demand for specialty steel cylinders. In addition, net sales decreased by approximately $0.8 million due to decreased demand of our machined components products and $0.4 million due to net unfavorable currency exchange, as our reported results in U.S. dollars were negatively impacted as a result of the stronger U.S. dollar relative to foreign currencies.</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within Specialty Products decreased approximately $1.7 million to $59.4 million, or 21.6% of sales, in the nine months ended September 30, 2019, as compared to $61.2 million, or 22.7% of sales, in the nine months ended September 30, 2018. In second quarter 2018, we reduced our estimate of future unrecoverable lease obligations related to the closure of our former Reynosa, Mexico facility by $1.1 million. This reduction did not repeat in 2019. In addition, gross profit from the increased sales of our oil and gas related products was more than offset by the impact of lower sales of our industrial products and our machined components products as well as higher freight and conversion costs.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within Specialty Products decreased approximately $2.6 million to $30.0 million, or 10.9% of sales, in the nine months ended September 30, 2019, as compared to $32.6 million, or 12.1% of sales, in the nine months ended September 30, 2018, as we have continued to lower spending levels related to upstream oil and gas products as well as industrial cylinders consistent with current lower demand levels. In addition, we incurred approximately $0.7 million of severance and restructuring costs associated with the exit of our Bangalore, India facility in the nine months ended September 30, 2018 that did not repeat in the nine months ended September 30, 2019.</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Specialty Products increased approximately $0.9 million to $29.4 million, or 10.7% of sales, in the nine months ended September 30, 2019, as compared to $28.6 million, or 10.6% of sales, in the nine months ended September 30, 2018, primarily due to lower selling, general and administrative spending in the nine months ended September 30, 2019, which was partially offset by higher freight and conversion costs in the nine months ended September 30, 2019 and a reduction in a lease obligation in 2018 that did not repeat in 2019.</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net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44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16.9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(income) expenses, net</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Corporate expenses, net</w:t>
            </w: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15.1</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expenses, net increased approximately $9.7 million to $24.8 million for the nine months ended September 30, 2019, from $15.1 million for the nine months ended September 30, 2018. Legacy (income) expenses, net increased approximately $9.3 million, primarily due to the termination of the liability to Metaldyne in first quarter 2018, which resulted in an approximate $8.2 million non-cash reduction in legacy (income) expenses, net. Corporate operating expenses increased approximately $0.7 million, primarily due to an increase in professional fees related to corporate development activities. Non-cash stock compensation decreased approximately $0.3 million, primarily due to a decrease in expense related to the timing and estimated attainment of our long-term equity incentive plans in 2019 compared with 2018.</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provided by operating activities were approximately $64.1 million for the nine months ended September 30, 2019, as compared to approximately $83.1 million for the nine months ended September 30, 2018. Significant changes in cash flows provided by operating activities and the reasons for such changes were as follows:</w:t>
      </w:r>
    </w:p>
    <w:p>
      <w:pPr>
        <w:spacing w:after="0" w:line="235" w:lineRule="exact"/>
        <w:rPr>
          <w:sz w:val="20"/>
          <w:szCs w:val="20"/>
          <w:color w:val="auto"/>
        </w:rPr>
      </w:pPr>
    </w:p>
    <w:p>
      <w:pPr>
        <w:jc w:val="both"/>
        <w:ind w:left="980" w:hanging="324"/>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nine months ended September 30, 2019, the Company generated approximately $105.9 million of cash, based on the reported net income of approximately $60.2 million and after considering the effects of non-cash items related to depreciation, amortization, loss on dispositions of assets, changes in deferred income taxes, stock-based compensation and other operating activities. For the nine months ended September 30, 2018, the Company generated approximately $113.5 million in cash flows based on the reported net income of approximately $66.6 million and after considering the effects of similar non-cash items.</w:t>
      </w:r>
    </w:p>
    <w:p>
      <w:pPr>
        <w:spacing w:after="0" w:line="242"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accounts receivable resulted in a use of cash of approximately $14.5 million and $20.1 million for the nine months ended September 30, 2019 and 2018, respectively. The increased use of cash for each of the nine month periods is due primarily to the timing of sales and collection of cash related thereto within the periods. Days sales outstanding of receivables increased by approximately four days compared to third quarter 2018.</w:t>
      </w:r>
    </w:p>
    <w:p>
      <w:pPr>
        <w:spacing w:after="0" w:line="240"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decreased our investment in inventory by approximately $2.3 million for the nine months ended September 30, 2019, while we increased our investment in inventory by approximately $10.8 million for the nine months ended September 30, 2018. In 2018, we increased our inventory investment to buy-ahead on many China-sourced products that were to be subject to tariffs to ensure we had sufficient inventory supply given the sales strength. In 2019, we have been able to remain flat to down in inventory levels, moderating them from higher levels in 2018 even with our sales growth.</w:t>
      </w:r>
    </w:p>
    <w:p>
      <w:pPr>
        <w:spacing w:after="0" w:line="242" w:lineRule="exact"/>
        <w:rPr>
          <w:rFonts w:ascii="Arial" w:cs="Arial" w:eastAsia="Arial" w:hAnsi="Arial"/>
          <w:sz w:val="18"/>
          <w:szCs w:val="18"/>
          <w:color w:val="auto"/>
        </w:rPr>
      </w:pPr>
    </w:p>
    <w:p>
      <w:pPr>
        <w:jc w:val="both"/>
        <w:ind w:left="980" w:hanging="324"/>
        <w:spacing w:after="0" w:line="31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Increases in prepaid expenses and other assets resulted in a use of cash of approximately $3.7 million for the nine months ended September 30, 2019, while decreases in prepaid expenses and other assets resulted in a source of cash of approximately $7.2 million for the nine months ended September 30, 2018. These changes were primarily as a result of the timing of payments made for income taxes and certain operating expenses.</w:t>
      </w:r>
    </w:p>
    <w:p>
      <w:pPr>
        <w:spacing w:after="0" w:line="200"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accounts payable and accrued liabilities resulted in a use of cash of approximately $25.9 million and $6.7 million for the nine months ended September 30, 2019 and 2018, respectively, primarily as a result of the timing of payments made to suppliers and the mix of vendors and related terms. The decrease in accounts payable and accrued liabilities for the nine months ended September 30, 2018 was further impacted by an approximate $8.2 million non-cash reduction in an obligation.</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for investing activities for the nine months ended September 30, 2019 and 2018 was approximately $90.4 million and $15.6 million, respectively. During the first nine months of 2019, we paid approximately $67.1 million, net of cash acquired, to acquire Plastic Srl and Taplast. We also incurred approximately $23.4 million in capital expenditures, as we continued our investment in growth, capacity and productivity-related capital projects. During the first nine months of 2018, we incurred approximately $15.9 million in capital expenditures and received cash from the disposition of property and equipment of approximately $0.3 million.</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for financing activities for the nine months ended September 30, 2019 and 2018 was approximately $23.9 million and $15.4 million, respectively. During the first nine months of 2019, we received proceeds from borrowings, net of repayments, of approximately $0.5 million on our revolving credit facilities. We also purchased approximately $21.1 million of outstanding common stock and used a net cash amount of approximately $3.2 million related to our stock compensation arrangements. During the first nine months of 2018, we made net repayments of approximately $9.4 million on our revolving credit facilities. We also purchased approximately $3.6 million of outstanding common stock and used a net cash amount of approximately $2.4 million related to our stock compensation arrangements.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$300.0 million aggregate principal amount of senior notes accrue interest at a rate of 4.875% per annum, payable semi-annually in arrears on April 15 and October 15, commencing on April 15, 2018 ("Senior Notes"). The payment of principal and interest is jointly and severally guaranteed, on a senior unsecured basis by certain named subsidiaries of the Company (each a "Guarantor" and collectively the "Guarantors"). The Senior Notes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and subordinated to all existing and future secured indebtedness to the extent of the value of the assets securing such indebtedness. For the nine months ended September 30, 2019, our consolidated subsidiaries that do not guarantee the Senior Notes represented approximately 16% of the total of guarantor and non-guarantor net sales, treating each as a consolidated group and excluding intercompany transactions between guarantor and non-guarantor subsidiaries. In addition, our non-guarantor subsidiaries represented approximately 31% and 13% of the total guarantor and non-guarantor assets and liabilities, respectively, as of September 30, 2019, treating the guarantor and non-guarantor subsidiaries each as a consolidated group and excluding intercompany transactions between such groups.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October 15, 2020, we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we may redeem all or part of the Senior Notes at a redemption price equal to 100% of the principal amount thereof, plus accrued and unpaid interest, if any, to the redemption date, plus a "make whole" premium.</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 credit agreement ("Credit Agreement") consisting of a $300.0 million senior secured revolving credit facility, which permits borrowings denominated in specific foreign currencies, subject to a $125.0 million sub limit. The Credit Agreement matures on September 20, 2022 and is subject to interest at London Interbank Offered Rate ("LIBOR") plus 1.50%. The interest rate spread is based upon the leverage ratio, as defined, as of the most recent determination date. The Credit Agreement allows issuance of letters of credit, not to exceed $40.0 million in aggregate, against revolving credit facility commitments.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September 30, 2019. If we were to complete an acquisition which qualifies for a Covenant Holiday Period, as defined in our Credit Agreement, then our permitted total net leverage ratio cannot exceed 4.50 to 1.00 during that period. Our actual total net leverage ratio was 1.48 to 1.00 at September 30, 2019. Our permitted senior secured net leverage ratio under the Credit Agreement is 3.50 to 1.00 as of September 30, 2019. If we were to complete an acquisition which qualifies for a Covenant Holiday Period, as defined in our Credit Agreement, then our permitted senior secured net leverage ratio cannot exceed 4.00 to 1.00 during that period. Our actual senior secured net leverage ratio was not meaningful at September 30, 2019. Our permitted interest expense coverage ratio under the Credit Agreement is 3.00 to 1.00 as of September 30, 2019. Our actual interest expense coverage ratio was 15.45 to 1.00 at September 30, 2019. At September 30, 2019, we were in compliance with our financial covenants.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September 30, 2019 (dollars in thousands). We present Consolidated Bank EBITDA to show our performance under our financial covenants.</w:t>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76,930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gridSpan w:val="3"/>
          </w:tcPr>
          <w:p>
            <w:pPr>
              <w:ind w:left="20"/>
              <w:spacing w:after="0"/>
              <w:rPr>
                <w:sz w:val="20"/>
                <w:szCs w:val="20"/>
                <w:color w:val="auto"/>
              </w:rPr>
            </w:pPr>
            <w:r>
              <w:rPr>
                <w:rFonts w:ascii="Arial" w:cs="Arial" w:eastAsia="Arial" w:hAnsi="Arial"/>
                <w:sz w:val="18"/>
                <w:szCs w:val="18"/>
                <w:color w:val="auto"/>
              </w:rPr>
              <w:t>Bank stipulated adjustments: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13,700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gridSpan w:val="2"/>
          </w:tcPr>
          <w:p>
            <w:pPr>
              <w:ind w:left="240"/>
              <w:spacing w:after="0"/>
              <w:rPr>
                <w:sz w:val="20"/>
                <w:szCs w:val="20"/>
                <w:color w:val="auto"/>
              </w:rPr>
            </w:pPr>
            <w:r>
              <w:rPr>
                <w:rFonts w:ascii="Arial" w:cs="Arial" w:eastAsia="Arial" w:hAnsi="Arial"/>
                <w:sz w:val="18"/>
                <w:szCs w:val="18"/>
                <w:color w:val="auto"/>
              </w:rPr>
              <w:t>Income tax expense</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22,150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45,660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12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6,900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non-cash expenses or losses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4,700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12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5"/>
                <w:szCs w:val="25"/>
                <w:color w:val="auto"/>
                <w:vertAlign w:val="superscript"/>
              </w:rPr>
              <w:t>(2)</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4,190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Extraordinary, non-recurring or unusual gains or losses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3,010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gridSpan w:val="2"/>
          </w:tcPr>
          <w:p>
            <w:pPr>
              <w:ind w:left="240"/>
              <w:spacing w:after="0"/>
              <w:rPr>
                <w:sz w:val="20"/>
                <w:szCs w:val="20"/>
                <w:color w:val="auto"/>
              </w:rPr>
            </w:pPr>
            <w:r>
              <w:rPr>
                <w:rFonts w:ascii="Arial" w:cs="Arial" w:eastAsia="Arial" w:hAnsi="Arial"/>
                <w:sz w:val="18"/>
                <w:szCs w:val="18"/>
                <w:color w:val="auto"/>
              </w:rPr>
              <w:t>Business and asset dispositions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Permitted acquisitions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gridSpan w:val="2"/>
          </w:tcPr>
          <w:p>
            <w:pPr>
              <w:ind w:left="240"/>
              <w:spacing w:after="0"/>
              <w:rPr>
                <w:sz w:val="20"/>
                <w:szCs w:val="20"/>
                <w:color w:val="auto"/>
              </w:rPr>
            </w:pPr>
            <w:r>
              <w:rPr>
                <w:rFonts w:ascii="Arial" w:cs="Arial" w:eastAsia="Arial" w:hAnsi="Arial"/>
                <w:sz w:val="18"/>
                <w:szCs w:val="18"/>
                <w:color w:val="auto"/>
              </w:rPr>
              <w:t>Casualty or business interruption expenses covered and reimbursed by insurance</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180,720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3"/>
          </w:tcPr>
          <w:p>
            <w:pPr>
              <w:jc w:val="right"/>
              <w:ind w:right="251"/>
              <w:spacing w:after="0"/>
              <w:rPr>
                <w:sz w:val="20"/>
                <w:szCs w:val="20"/>
                <w:color w:val="auto"/>
              </w:rPr>
            </w:pPr>
            <w:r>
              <w:rPr>
                <w:rFonts w:ascii="Arial" w:cs="Arial" w:eastAsia="Arial" w:hAnsi="Arial"/>
                <w:sz w:val="16"/>
                <w:szCs w:val="16"/>
                <w:b w:val="1"/>
                <w:bCs w:val="1"/>
                <w:color w:val="auto"/>
              </w:rPr>
              <w:t>September 30, 2019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gridSpan w:val="3"/>
            <w:shd w:val="clear" w:color="auto" w:fill="CCEEFF"/>
          </w:tcPr>
          <w:p>
            <w:pPr>
              <w:ind w:left="20"/>
              <w:spacing w:after="0" w:line="264" w:lineRule="exact"/>
              <w:rPr>
                <w:sz w:val="20"/>
                <w:szCs w:val="20"/>
                <w:color w:val="auto"/>
              </w:rPr>
            </w:pPr>
            <w:r>
              <w:rPr>
                <w:rFonts w:ascii="Arial" w:cs="Arial" w:eastAsia="Arial" w:hAnsi="Arial"/>
                <w:sz w:val="18"/>
                <w:szCs w:val="18"/>
                <w:color w:val="auto"/>
              </w:rPr>
              <w:t>Total Indebtedness, as defined</w:t>
            </w:r>
            <w:r>
              <w:rPr>
                <w:rFonts w:ascii="Arial" w:cs="Arial" w:eastAsia="Arial" w:hAnsi="Arial"/>
                <w:sz w:val="25"/>
                <w:szCs w:val="25"/>
                <w:color w:val="auto"/>
                <w:vertAlign w:val="superscript"/>
              </w:rPr>
              <w:t>(3)</w:t>
            </w:r>
          </w:p>
        </w:tc>
        <w:tc>
          <w:tcPr>
            <w:tcW w:w="6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266,740</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140" w:type="dxa"/>
            <w:vAlign w:val="bottom"/>
            <w:gridSpan w:val="3"/>
          </w:tcPr>
          <w:p>
            <w:pPr>
              <w:ind w:left="2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180,720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net leverage ratio</w:t>
            </w: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7"/>
        </w:trPr>
        <w:tc>
          <w:tcPr>
            <w:tcW w:w="9140" w:type="dxa"/>
            <w:vAlign w:val="bottom"/>
            <w:gridSpan w:val="3"/>
          </w:tcPr>
          <w:p>
            <w:pPr>
              <w:ind w:left="20"/>
              <w:spacing w:after="0"/>
              <w:rPr>
                <w:sz w:val="20"/>
                <w:szCs w:val="20"/>
                <w:color w:val="auto"/>
              </w:rPr>
            </w:pPr>
            <w:r>
              <w:rPr>
                <w:rFonts w:ascii="Arial" w:cs="Arial" w:eastAsia="Arial" w:hAnsi="Arial"/>
                <w:sz w:val="18"/>
                <w:szCs w:val="18"/>
                <w:color w:val="auto"/>
              </w:rPr>
              <w:t>Covenant requirement</w:t>
            </w:r>
          </w:p>
        </w:tc>
        <w:tc>
          <w:tcPr>
            <w:tcW w:w="6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3"/>
          </w:tcPr>
          <w:p>
            <w:pPr>
              <w:jc w:val="right"/>
              <w:ind w:right="271"/>
              <w:spacing w:after="0"/>
              <w:rPr>
                <w:sz w:val="20"/>
                <w:szCs w:val="20"/>
                <w:color w:val="auto"/>
              </w:rPr>
            </w:pPr>
            <w:r>
              <w:rPr>
                <w:rFonts w:ascii="Arial" w:cs="Arial" w:eastAsia="Arial" w:hAnsi="Arial"/>
                <w:sz w:val="16"/>
                <w:szCs w:val="16"/>
                <w:b w:val="1"/>
                <w:bCs w:val="1"/>
                <w:color w:val="auto"/>
              </w:rPr>
              <w:t>September 30, 2019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12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Total Senior Secured Indebtedness</w:t>
            </w:r>
            <w:r>
              <w:rPr>
                <w:rFonts w:ascii="Arial" w:cs="Arial" w:eastAsia="Arial" w:hAnsi="Arial"/>
                <w:sz w:val="25"/>
                <w:szCs w:val="25"/>
                <w:color w:val="auto"/>
                <w:vertAlign w:val="superscript"/>
              </w:rPr>
              <w:t>(4)</w:t>
            </w:r>
          </w:p>
        </w:tc>
        <w:tc>
          <w:tcPr>
            <w:tcW w:w="660" w:type="dxa"/>
            <w:vAlign w:val="bottom"/>
            <w:shd w:val="clear" w:color="auto" w:fill="CCEEFF"/>
          </w:tcPr>
          <w:p>
            <w:pPr>
              <w:jc w:val="right"/>
              <w:ind w:right="49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(37,210)</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180,720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net leverage ratio</w:t>
            </w: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10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3.50</w:t>
            </w:r>
          </w:p>
        </w:tc>
        <w:tc>
          <w:tcPr>
            <w:tcW w:w="24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140" w:type="dxa"/>
            <w:vAlign w:val="bottom"/>
            <w:tcBorders>
              <w:bottom w:val="single" w:sz="8" w:color="CCEEFF"/>
            </w:tcBorders>
            <w:gridSpan w:val="3"/>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13,700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gridSpan w:val="3"/>
          </w:tcPr>
          <w:p>
            <w:pPr>
              <w:ind w:left="20"/>
              <w:spacing w:after="0"/>
              <w:rPr>
                <w:sz w:val="20"/>
                <w:szCs w:val="20"/>
                <w:color w:val="auto"/>
              </w:rPr>
            </w:pPr>
            <w:r>
              <w:rPr>
                <w:rFonts w:ascii="Arial" w:cs="Arial" w:eastAsia="Arial" w:hAnsi="Arial"/>
                <w:sz w:val="18"/>
                <w:szCs w:val="18"/>
                <w:color w:val="auto"/>
              </w:rPr>
              <w:t>Bank stipulated adjustments: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gridSpan w:val="2"/>
          </w:tcPr>
          <w:p>
            <w:pPr>
              <w:ind w:left="240"/>
              <w:spacing w:after="0"/>
              <w:rPr>
                <w:sz w:val="20"/>
                <w:szCs w:val="20"/>
                <w:color w:val="auto"/>
              </w:rPr>
            </w:pPr>
            <w:r>
              <w:rPr>
                <w:rFonts w:ascii="Arial" w:cs="Arial" w:eastAsia="Arial" w:hAnsi="Arial"/>
                <w:sz w:val="18"/>
                <w:szCs w:val="18"/>
                <w:color w:val="auto"/>
              </w:rPr>
              <w:t>Non-cash amounts attributable to amortization of financing costs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gridSpan w:val="3"/>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11,700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120" w:type="dxa"/>
            <w:vAlign w:val="bottom"/>
            <w:tcBorders>
              <w:top w:val="single" w:sz="8" w:color="CCEEFF"/>
              <w:bottom w:val="single" w:sz="8" w:color="CCEEFF"/>
            </w:tcBorders>
            <w:gridSpan w:val="2"/>
            <w:vMerge w:val="restart"/>
          </w:tcPr>
          <w:p>
            <w:pPr>
              <w:jc w:val="right"/>
              <w:ind w:right="3250"/>
              <w:spacing w:after="0"/>
              <w:rPr>
                <w:sz w:val="20"/>
                <w:szCs w:val="20"/>
                <w:color w:val="auto"/>
              </w:rPr>
            </w:pPr>
            <w:r>
              <w:rPr>
                <w:rFonts w:ascii="Arial" w:cs="Arial" w:eastAsia="Arial" w:hAnsi="Arial"/>
                <w:sz w:val="18"/>
                <w:szCs w:val="18"/>
                <w:color w:val="auto"/>
              </w:rPr>
              <w:t>36</w:t>
            </w: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91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272"/>
              <w:spacing w:after="0"/>
              <w:rPr>
                <w:sz w:val="20"/>
                <w:szCs w:val="20"/>
                <w:color w:val="auto"/>
              </w:rPr>
            </w:pPr>
            <w:r>
              <w:rPr>
                <w:rFonts w:ascii="Arial" w:cs="Arial" w:eastAsia="Arial" w:hAnsi="Arial"/>
                <w:sz w:val="16"/>
                <w:szCs w:val="16"/>
                <w:b w:val="1"/>
                <w:bCs w:val="1"/>
                <w:color w:val="auto"/>
                <w:w w:val="96"/>
              </w:rPr>
              <w:t>September 30, 2019</w:t>
            </w:r>
          </w:p>
        </w:tc>
        <w:tc>
          <w:tcPr>
            <w:tcW w:w="220" w:type="dxa"/>
            <w:vAlign w:val="bottom"/>
          </w:tcPr>
          <w:p>
            <w:pPr>
              <w:spacing w:after="0"/>
              <w:rPr>
                <w:sz w:val="18"/>
                <w:szCs w:val="18"/>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180,720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220" w:type="dxa"/>
            <w:vAlign w:val="bottom"/>
          </w:tcPr>
          <w:p>
            <w:pPr>
              <w:spacing w:after="0"/>
              <w:rPr>
                <w:sz w:val="21"/>
                <w:szCs w:val="21"/>
                <w:color w:val="auto"/>
              </w:rPr>
            </w:pP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11,700</w:t>
            </w:r>
          </w:p>
        </w:tc>
        <w:tc>
          <w:tcPr>
            <w:tcW w:w="220" w:type="dxa"/>
            <w:vAlign w:val="bottom"/>
          </w:tcPr>
          <w:p>
            <w:pPr>
              <w:spacing w:after="0"/>
              <w:rPr>
                <w:sz w:val="21"/>
                <w:szCs w:val="2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15.45</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r>
      <w:tr>
        <w:trPr>
          <w:trHeight w:val="257"/>
        </w:trPr>
        <w:tc>
          <w:tcPr>
            <w:tcW w:w="914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22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3.00</w:t>
            </w:r>
          </w:p>
        </w:tc>
        <w:tc>
          <w:tcPr>
            <w:tcW w:w="220" w:type="dxa"/>
            <w:vAlign w:val="bottom"/>
          </w:tcPr>
          <w:p>
            <w:pPr>
              <w:ind w:left="20"/>
              <w:spacing w:after="0"/>
              <w:rPr>
                <w:sz w:val="20"/>
                <w:szCs w:val="20"/>
                <w:color w:val="auto"/>
              </w:rPr>
            </w:pPr>
            <w:r>
              <w:rPr>
                <w:rFonts w:ascii="Arial" w:cs="Arial" w:eastAsia="Arial" w:hAnsi="Arial"/>
                <w:sz w:val="18"/>
                <w:szCs w:val="18"/>
                <w:color w:val="auto"/>
              </w:rPr>
              <w:t>x</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7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equity awards.</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Non-recurring costs and expenses relating to diligence and transaction costs, purchase accounting costs, severance, relocation, restructuring and curtailment expenses.</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Includes $4.0 million of acquisition deferred purchase price.</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10"/>
        </w:numPr>
        <w:rPr>
          <w:rFonts w:ascii="Arial" w:cs="Arial" w:eastAsia="Arial" w:hAnsi="Arial"/>
          <w:sz w:val="8"/>
          <w:szCs w:val="8"/>
          <w:color w:val="auto"/>
        </w:rPr>
      </w:pPr>
      <w:r>
        <w:rPr>
          <w:rFonts w:ascii="Arial" w:cs="Arial" w:eastAsia="Arial" w:hAnsi="Arial"/>
          <w:sz w:val="12"/>
          <w:szCs w:val="12"/>
          <w:color w:val="auto"/>
        </w:rPr>
        <w:t>Senior secured indebtedness is negative at September 30, 2019 due to the deduction of certain unrestricted cash and unrestricted permitted investments as allowed under the Credit Agreement.</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2018, we terminated our $75.0 million accounts receivable facility, under which we had the ability to sell eligible accounts receivable to a third-party multi-seller receivables funding company.</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September 30, 2019, we had no amounts outstanding under our revolving credit facility and had approximately $284.1 million potentially available after giving effect to approximately $15.9 million of letters of credit issued and outstanding. At December 31, 2018, we had no amounts outstanding under our revolving credit facility and had approximately $284.9 million potentially available after giving effect to approximately $15.1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September 30, 2019 and December 31, 2018, we had approximately $284.1 million and $284.9 million, respectively, of borrowing capacity available for general corporate purposes.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use cash on hand from our domestic and foreign subsidiaries to pay down amounts outstanding under our revolving credit facility, as applicable.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weighted average borrowings during the first nine months of 2019 approximated $335.3 million, compared to approximately $320.2 million during the first nine months of 2018, as we effectively redeployed the cash generated by our operations over this time period into two bolt-on acquisitions, capital investments in our business and repurchases of our common stock.</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While the majority of our cash on hand as of September 30, 2019 is located in jurisdictions outside the U.S., given available funding under our revolving credit facility of $284.1 million at September 30, 2019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subject to variable interest rates on our revolving credit facility. At September 30, 2019, 1-Month LIBOR approximated 2.02%. At September 30, 2019, we had no amounts outstanding on our revolving credit facility and therefore no variable rate-based borrowings outstanding.</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$12.3 million in 2018. We expect leasing will continue to be an available financing option to fund future capital expenditure requirements.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2019, we announced our Board of Directors had authorized us to increase the purchase of our common stock up to $75 million in the aggregate. The previous authorization, approved in November 2015, authorized up to $50 million in share repurchases. In the three and nine months ended September 30, 2019, we purchased 196,128 and 723,528 shares of our outstanding common stock for an aggregate purchase price of approximately $5.7 million and $21.1 million,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2019, we announced the Board of Directors increased the Company's common stock share repurchase authorization to $150 million in the aggregate. The increased authorization includes the value of shares already purchased under the previous authorization. We will continue to evaluate opportunities to return capital to shareholders through the purchase of our common stock, depending on market conditions and other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September 30, 2019, we were party to foreign exchange forward and swap contracts to hedge changes in foreign currency exchange rates with notional amounts of approximately $102.9 million. We also use cross-currency swap agreements to mitigate currency risks associated with the net investment in certain of our foreign subsidiaries. See Note 10,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subject to interest risk as it relates to our long-term debt. We have historically used interest rate swap agreements to fix the variable portion of our debt to manage this risk. See Note 9, "</w:t>
      </w:r>
      <w:r>
        <w:rPr>
          <w:rFonts w:ascii="Arial" w:cs="Arial" w:eastAsia="Arial" w:hAnsi="Arial"/>
          <w:sz w:val="18"/>
          <w:szCs w:val="18"/>
          <w:i w:val="1"/>
          <w:iCs w:val="1"/>
          <w:color w:val="auto"/>
        </w:rPr>
        <w:t>Long-term Debt</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and certain of our outstanding debt obligations are rated by Standard &amp; Poor's and Moody's. On June 7, 2019, Moody's affirmed a Ba3 rating to our Senior Notes, as presented in Note 9,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included in Part I, Item 1, </w:t>
      </w:r>
      <w:r>
        <w:rPr>
          <w:rFonts w:ascii="Arial" w:cs="Arial" w:eastAsia="Arial" w:hAnsi="Arial"/>
          <w:sz w:val="17"/>
          <w:szCs w:val="17"/>
          <w:i w:val="1"/>
          <w:iCs w:val="1"/>
          <w:color w:val="auto"/>
        </w:rPr>
        <w:t>"Notes to Unaudited Consolidated Financial Statements"</w:t>
      </w:r>
      <w:r>
        <w:rPr>
          <w:rFonts w:ascii="Arial" w:cs="Arial" w:eastAsia="Arial" w:hAnsi="Arial"/>
          <w:sz w:val="17"/>
          <w:szCs w:val="17"/>
          <w:color w:val="auto"/>
        </w:rPr>
        <w:t xml:space="preserve"> within this quarterly report on Form 10-Q. Moody's also affirmed a Ba2 Corporate Family Rating and maintained its outlook as stable. On January 30, 2019, Standard &amp; Poor's affirmed a BB- rating to our senior unsecured debt,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third quarter macroeconomic and end market conditions were challenging, particularly in the North American industrial and oil and gas end markets we serve, we believe we were able to mitigate much of the impact by continuing to operate under the TriMas Business Model, which provides the standardized set of processes that we follow to drive results across our multi-industry set of businesses. Despite these challenging conditions, we experienced year-over-year third quarter increases in sales in each of our three reportable segments, driven by the results of both of our 2019 Packaging acquisitions and strong demand in our TriMas Aerospace and Lamons businesses.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we remain positioned to capitalize on available market growth opportunities, as well as have instilled a culture of Kaizen and continuous improvement to generate additional production efficiencies and cost savings. We are not anticipating improvements in our end markets, particularly given economic uncertainty around direct and indirect impacts of foreign trade policies. We will continue our efforts to mitigate the impact of external factors, while focusing on the aspects of our business that we can control.</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continue to prioritize and pursue growth programs, particularly in our Packaging and Aerospace reportable segments, where we have many initiatives underway that we expect will benefit us in the future. We will also continue to ensure our cost structures remain aligned with customer demand in the end markets we serve, most notably in our Specialty Products reportable segment, where end market conditions in the third quarter of 2019 were increasingly challenging. We expect to leverage the tenets of the TriMas Business Model to achieve our growth plans, execute continuous improvement initiatives to offset inflationary pressures, and seek lower-cost sources for input costs, all while continuously assessing our manufacturing footprint, productivity and fixed-cost structure.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September 30, 2019,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9, "</w:t>
      </w:r>
      <w:r>
        <w:rPr>
          <w:rFonts w:ascii="Arial" w:cs="Arial" w:eastAsia="Arial" w:hAnsi="Arial"/>
          <w:sz w:val="18"/>
          <w:szCs w:val="18"/>
          <w:i w:val="1"/>
          <w:iCs w:val="1"/>
          <w:color w:val="auto"/>
        </w:rPr>
        <w:t>Long-term Debt</w:t>
      </w:r>
      <w:r>
        <w:rPr>
          <w:rFonts w:ascii="Arial" w:cs="Arial" w:eastAsia="Arial" w:hAnsi="Arial"/>
          <w:sz w:val="18"/>
          <w:szCs w:val="18"/>
          <w:color w:val="auto"/>
        </w:rPr>
        <w:t>," and Note 10,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September 30, 2019,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September 30, 2019, the Company's disclosure controls and procedures are effective to provide reasonable assurance that they would meet their objectives.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September 30, 2019 that have materially affected, or are reasonably likely to materially affect, the Company's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2018, which could materially affect our business, financial condition or future results. There have been no significant changes in our risk factors as disclosed in our 2018 Form 10-K except for the following:</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Portfolio strategy execution - Our success depends on achieving our strategic and financial objectives, including the sale of our Lamons business</w:t>
      </w:r>
    </w:p>
    <w:p>
      <w:pPr>
        <w:spacing w:after="0" w:line="3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announced, we entered into a definitive agreement to sell our Lamons business to First Reserve, a private equity firm focused on energy investing, for approximately $135 million in cash, subject to customary working capital and purchase price adjustments. Lamons, a leading provider of industrial sealing and fastener solutions in the petrochemical, petroleum refining, midstream energy transportation, upstream oil and gas, metropolitan water and wastewater management end markets, is currently part of our Specialty Products reportable segment and generated approximately $186 million in net sales for the twelve months ended September 30, 2019. We will report Lamons' results of operations as discontinued operations beginning in the fourth quarter of 2019.</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Consummation of the sale is subject to the satisfaction or waiver of customary closing conditions. Net proceeds that we expect to receive from the sale of our Lamons business are an important source of cash flow for us as part of our strategic and financial planning. As we seek to sell or separate certain assets, equity interests or businesses, we may encounter difficulty in finding buyers, managing interdependencies across multiple transactions and other Company initiatives, implementing separation plans or executing alternative exit strategies on acceptable terms, which could delay or prevent the accomplishment of our strategic and financial objectives.</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dispose of assets or businesses at a price or on terms that are less favorable than we had anticipated, or with the exclusion of assets that must be divested or run off separately. We may also face limitations in the form of regulatory or governmental approvals that prevent certain prospective purchasers from completing transactions with us or delay us from executing transactions on our preferred timeline, or arising from our debt or other contractual obligations that limit our ability to complete certain asset or business dispositions. Moreover, the effect of planned transactions over time will reduce our cash flow and earnings capacity and result in a less diversified portfolio of businesses, and we will have a greater dependency on remaining businesses for our financial results. Executing on these transactions can divert senior management time and resources from other pursuits. Dispositions or other business separations may also involve continued financial involvement in the divested business, such as through continuing equity ownership, transition service agreements, guarantees, indemnities or other current or contingent financial obligations or liabilities. Under these arrangements, performance by the divested businesses or other conditions outside our control could materially affect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September 30, 2019.</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93"/>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3"/>
              </w:rPr>
              <w:t>Total Number of Shares</w:t>
            </w:r>
          </w:p>
        </w:tc>
        <w:tc>
          <w:tcPr>
            <w:tcW w:w="12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Average Price Paid per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43"/>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Programs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2019 to July 31, 2019</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47,433,785</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August 1, 2019 to August 31, 2019</w:t>
            </w: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173,342</w:t>
            </w:r>
          </w:p>
        </w:tc>
        <w:tc>
          <w:tcPr>
            <w:tcW w:w="50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173,342</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42,425,947</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2019 to September 30, 2019</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22,786</w:t>
            </w:r>
          </w:p>
        </w:tc>
        <w:tc>
          <w:tcPr>
            <w:tcW w:w="5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22,786</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41,765,550</w:t>
            </w: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196,128</w:t>
            </w:r>
          </w:p>
        </w:tc>
        <w:tc>
          <w:tcPr>
            <w:tcW w:w="50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196,128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41,765,550</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jc w:val="both"/>
        <w:ind w:left="340" w:hanging="332"/>
        <w:spacing w:after="0" w:line="249" w:lineRule="auto"/>
        <w:tabs>
          <w:tab w:leader="none" w:pos="340" w:val="left"/>
        </w:tabs>
        <w:numPr>
          <w:ilvl w:val="0"/>
          <w:numId w:val="11"/>
        </w:numPr>
        <w:rPr>
          <w:rFonts w:ascii="Arial" w:cs="Arial" w:eastAsia="Arial" w:hAnsi="Arial"/>
          <w:sz w:val="9"/>
          <w:szCs w:val="9"/>
          <w:color w:val="auto"/>
        </w:rPr>
      </w:pPr>
      <w:r>
        <w:rPr>
          <w:rFonts w:ascii="Arial" w:cs="Arial" w:eastAsia="Arial" w:hAnsi="Arial"/>
          <w:sz w:val="14"/>
          <w:szCs w:val="14"/>
          <w:color w:val="auto"/>
        </w:rPr>
        <w:t>In February 2019, the Company announced its Board of Directors had authorized the Company to increase the purchase of its common stock up to $75 million in the aggregate from its previous authorization of $50 million. Pursuant to this share repurchase program, during the three months ended September 30, 2019, the Company repurchased 196,128 shares of its common stock at a cost of approximately $5.7 million. In November 2019, the Company announced its Board of Directors increased the Company's common stock share repurchase authorization to $150 million in the aggregate. The increased authorization includes the value of shares already purchased under the previous authorization. The share repurchase program is effective and has no expiration date.</w:t>
      </w:r>
    </w:p>
    <w:p>
      <w:pPr>
        <w:spacing w:after="0" w:line="2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740" w:type="dxa"/>
            <w:vAlign w:val="bottom"/>
            <w:gridSpan w:val="7"/>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380" w:type="dxa"/>
            <w:vAlign w:val="bottom"/>
            <w:gridSpan w:val="8"/>
          </w:tcPr>
          <w:p>
            <w:pPr>
              <w:spacing w:after="0"/>
              <w:rPr>
                <w:sz w:val="20"/>
                <w:szCs w:val="20"/>
                <w:color w:val="auto"/>
              </w:rPr>
            </w:pPr>
            <w:r>
              <w:rPr>
                <w:rFonts w:ascii="Arial" w:cs="Arial" w:eastAsia="Arial" w:hAnsi="Arial"/>
                <w:sz w:val="18"/>
                <w:szCs w:val="18"/>
                <w:b w:val="1"/>
                <w:bCs w:val="1"/>
                <w:color w:val="auto"/>
              </w:rPr>
              <w:t>Exhibits Index:</w:t>
            </w:r>
          </w:p>
        </w:tc>
      </w:tr>
      <w:tr>
        <w:trPr>
          <w:trHeight w:val="554"/>
        </w:trPr>
        <w:tc>
          <w:tcPr>
            <w:tcW w:w="640" w:type="dxa"/>
            <w:vAlign w:val="bottom"/>
          </w:tcPr>
          <w:p>
            <w:pPr>
              <w:ind w:left="40"/>
              <w:spacing w:after="0"/>
              <w:rPr>
                <w:sz w:val="20"/>
                <w:szCs w:val="20"/>
                <w:color w:val="auto"/>
              </w:rPr>
            </w:pPr>
            <w:r>
              <w:rPr>
                <w:rFonts w:ascii="Arial" w:cs="Arial" w:eastAsia="Arial" w:hAnsi="Arial"/>
                <w:sz w:val="18"/>
                <w:szCs w:val="18"/>
                <w:color w:val="auto"/>
              </w:rPr>
              <w:t>3.1</w:t>
            </w:r>
          </w:p>
        </w:tc>
        <w:tc>
          <w:tcPr>
            <w:tcW w:w="1120" w:type="dxa"/>
            <w:vAlign w:val="bottom"/>
          </w:tcPr>
          <w:p>
            <w:pPr>
              <w:spacing w:after="0"/>
              <w:rPr>
                <w:sz w:val="24"/>
                <w:szCs w:val="24"/>
                <w:color w:val="auto"/>
              </w:rPr>
            </w:pPr>
          </w:p>
        </w:tc>
        <w:tc>
          <w:tcPr>
            <w:tcW w:w="9620" w:type="dxa"/>
            <w:vAlign w:val="bottom"/>
            <w:gridSpan w:val="6"/>
          </w:tcPr>
          <w:p>
            <w:pPr>
              <w:spacing w:after="0"/>
              <w:rPr>
                <w:rFonts w:ascii="Arial" w:cs="Arial" w:eastAsia="Arial" w:hAnsi="Arial"/>
                <w:sz w:val="18"/>
                <w:szCs w:val="18"/>
                <w:color w:val="0000FF"/>
                <w:w w:val="94"/>
              </w:rPr>
            </w:pPr>
            <w:hyperlink r:id="rId13">
              <w:r>
                <w:rPr>
                  <w:rFonts w:ascii="Arial" w:cs="Arial" w:eastAsia="Arial" w:hAnsi="Arial"/>
                  <w:sz w:val="18"/>
                  <w:szCs w:val="18"/>
                  <w:color w:val="0000FF"/>
                  <w:w w:val="94"/>
                </w:rPr>
                <w:t>Fourth Amended and Restated Certificate of Incorporation of TriMas Corporation (Incorporated by reference to the Exhibits filed</w:t>
              </w:r>
            </w:hyperlink>
          </w:p>
        </w:tc>
      </w:tr>
      <w:tr>
        <w:trPr>
          <w:trHeight w:val="196"/>
        </w:trPr>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13">
              <w:r>
                <w:rPr>
                  <w:rFonts w:ascii="Arial" w:cs="Arial" w:eastAsia="Arial" w:hAnsi="Arial"/>
                  <w:sz w:val="18"/>
                  <w:szCs w:val="18"/>
                  <w:color w:val="0000FF"/>
                  <w:w w:val="92"/>
                </w:rPr>
                <w:t>with TriMas Corporation's Quarterly Report on Form 10-Q filed on August 3, 2007 (File No. 001-10716)).</w:t>
              </w:r>
            </w:hyperlink>
          </w:p>
        </w:tc>
        <w:tc>
          <w:tcPr>
            <w:tcW w:w="1640" w:type="dxa"/>
            <w:vAlign w:val="bottom"/>
            <w:tcBorders>
              <w:top w:val="single" w:sz="8" w:color="0000FF"/>
            </w:tcBorders>
            <w:gridSpan w:val="3"/>
          </w:tcPr>
          <w:p>
            <w:pPr>
              <w:spacing w:after="0"/>
              <w:rPr>
                <w:sz w:val="17"/>
                <w:szCs w:val="17"/>
                <w:color w:val="auto"/>
              </w:rPr>
            </w:pPr>
          </w:p>
        </w:tc>
        <w:tc>
          <w:tcPr>
            <w:tcW w:w="300" w:type="dxa"/>
            <w:vAlign w:val="bottom"/>
          </w:tcPr>
          <w:p>
            <w:pPr>
              <w:spacing w:after="0"/>
              <w:rPr>
                <w:sz w:val="17"/>
                <w:szCs w:val="17"/>
                <w:color w:val="auto"/>
              </w:rPr>
            </w:pPr>
          </w:p>
        </w:tc>
      </w:tr>
      <w:tr>
        <w:trPr>
          <w:trHeight w:val="250"/>
        </w:trPr>
        <w:tc>
          <w:tcPr>
            <w:tcW w:w="640" w:type="dxa"/>
            <w:vAlign w:val="bottom"/>
          </w:tcPr>
          <w:p>
            <w:pPr>
              <w:ind w:left="40"/>
              <w:spacing w:after="0"/>
              <w:rPr>
                <w:sz w:val="20"/>
                <w:szCs w:val="20"/>
                <w:color w:val="auto"/>
              </w:rPr>
            </w:pPr>
            <w:r>
              <w:rPr>
                <w:rFonts w:ascii="Arial" w:cs="Arial" w:eastAsia="Arial" w:hAnsi="Arial"/>
                <w:sz w:val="18"/>
                <w:szCs w:val="18"/>
                <w:color w:val="auto"/>
              </w:rPr>
              <w:t>3.2</w:t>
            </w:r>
          </w:p>
        </w:tc>
        <w:tc>
          <w:tcPr>
            <w:tcW w:w="1120" w:type="dxa"/>
            <w:vAlign w:val="bottom"/>
          </w:tcPr>
          <w:p>
            <w:pPr>
              <w:spacing w:after="0"/>
              <w:rPr>
                <w:sz w:val="21"/>
                <w:szCs w:val="21"/>
                <w:color w:val="auto"/>
              </w:rPr>
            </w:pPr>
          </w:p>
        </w:tc>
        <w:tc>
          <w:tcPr>
            <w:tcW w:w="8800" w:type="dxa"/>
            <w:vAlign w:val="bottom"/>
            <w:tcBorders>
              <w:bottom w:val="single" w:sz="8" w:color="0000FF"/>
            </w:tcBorders>
            <w:gridSpan w:val="4"/>
          </w:tcPr>
          <w:p>
            <w:pPr>
              <w:spacing w:after="0"/>
              <w:rPr>
                <w:rFonts w:ascii="Arial" w:cs="Arial" w:eastAsia="Arial" w:hAnsi="Arial"/>
                <w:sz w:val="18"/>
                <w:szCs w:val="18"/>
                <w:color w:val="0000FF"/>
                <w:w w:val="92"/>
              </w:rPr>
            </w:pPr>
            <w:hyperlink r:id="rId14">
              <w:r>
                <w:rPr>
                  <w:rFonts w:ascii="Arial" w:cs="Arial" w:eastAsia="Arial" w:hAnsi="Arial"/>
                  <w:sz w:val="18"/>
                  <w:szCs w:val="18"/>
                  <w:color w:val="0000FF"/>
                  <w:w w:val="92"/>
                </w:rPr>
                <w:t>Third Amended and Restated By-laws of TriMas Corporation (Incorporated by reference to the Exhibits filed with TriMas</w:t>
              </w:r>
            </w:hyperlink>
          </w:p>
        </w:tc>
        <w:tc>
          <w:tcPr>
            <w:tcW w:w="820" w:type="dxa"/>
            <w:vAlign w:val="bottom"/>
            <w:gridSpan w:val="2"/>
          </w:tcPr>
          <w:p>
            <w:pPr>
              <w:spacing w:after="0"/>
              <w:rPr>
                <w:sz w:val="21"/>
                <w:szCs w:val="21"/>
                <w:color w:val="auto"/>
              </w:rPr>
            </w:pPr>
          </w:p>
        </w:tc>
      </w:tr>
      <w:tr>
        <w:trPr>
          <w:trHeight w:val="196"/>
        </w:trPr>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20" w:type="dxa"/>
            <w:vAlign w:val="bottom"/>
            <w:gridSpan w:val="6"/>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Corporation's Current Report on Form 8-K filed on December 18, 2015 (File No. 001-10716)).</w:t>
              </w:r>
            </w:hyperlink>
          </w:p>
        </w:tc>
      </w:tr>
      <w:tr>
        <w:trPr>
          <w:trHeight w:val="20"/>
        </w:trPr>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20" w:type="dxa"/>
            <w:vAlign w:val="bottom"/>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250"/>
        </w:trPr>
        <w:tc>
          <w:tcPr>
            <w:tcW w:w="640" w:type="dxa"/>
            <w:vAlign w:val="bottom"/>
          </w:tcPr>
          <w:p>
            <w:pPr>
              <w:ind w:left="40"/>
              <w:spacing w:after="0"/>
              <w:rPr>
                <w:sz w:val="20"/>
                <w:szCs w:val="20"/>
                <w:color w:val="auto"/>
              </w:rPr>
            </w:pPr>
            <w:r>
              <w:rPr>
                <w:rFonts w:ascii="Arial" w:cs="Arial" w:eastAsia="Arial" w:hAnsi="Arial"/>
                <w:sz w:val="18"/>
                <w:szCs w:val="18"/>
                <w:color w:val="auto"/>
              </w:rPr>
              <w:t>31.1</w:t>
            </w:r>
          </w:p>
        </w:tc>
        <w:tc>
          <w:tcPr>
            <w:tcW w:w="1120" w:type="dxa"/>
            <w:vAlign w:val="bottom"/>
          </w:tcPr>
          <w:p>
            <w:pPr>
              <w:spacing w:after="0"/>
              <w:rPr>
                <w:sz w:val="21"/>
                <w:szCs w:val="21"/>
                <w:color w:val="auto"/>
              </w:rPr>
            </w:pPr>
          </w:p>
        </w:tc>
        <w:tc>
          <w:tcPr>
            <w:tcW w:w="9620" w:type="dxa"/>
            <w:vAlign w:val="bottom"/>
            <w:gridSpan w:val="6"/>
          </w:tcPr>
          <w:p>
            <w:pPr>
              <w:spacing w:after="0" w:line="207" w:lineRule="exact"/>
              <w:rPr>
                <w:rFonts w:ascii="Arial" w:cs="Arial" w:eastAsia="Arial" w:hAnsi="Arial"/>
                <w:sz w:val="18"/>
                <w:szCs w:val="18"/>
                <w:color w:val="0000FF"/>
                <w:w w:val="99"/>
              </w:rPr>
            </w:pPr>
            <w:hyperlink w:anchor="page47">
              <w:r>
                <w:rPr>
                  <w:rFonts w:ascii="Arial" w:cs="Arial" w:eastAsia="Arial" w:hAnsi="Arial"/>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Arial" w:cs="Arial" w:eastAsia="Arial" w:hAnsi="Arial"/>
                  <w:sz w:val="18"/>
                  <w:szCs w:val="18"/>
                  <w:color w:val="0000FF"/>
                  <w:w w:val="99"/>
                </w:rPr>
                <w:t>Oxley Act of 2002.</w:t>
              </w:r>
            </w:hyperlink>
          </w:p>
        </w:tc>
      </w:tr>
      <w:tr>
        <w:trPr>
          <w:trHeight w:val="20"/>
        </w:trPr>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250"/>
        </w:trPr>
        <w:tc>
          <w:tcPr>
            <w:tcW w:w="640" w:type="dxa"/>
            <w:vAlign w:val="bottom"/>
          </w:tcPr>
          <w:p>
            <w:pPr>
              <w:ind w:left="40"/>
              <w:spacing w:after="0"/>
              <w:rPr>
                <w:sz w:val="20"/>
                <w:szCs w:val="20"/>
                <w:color w:val="auto"/>
              </w:rPr>
            </w:pPr>
            <w:r>
              <w:rPr>
                <w:rFonts w:ascii="Arial" w:cs="Arial" w:eastAsia="Arial" w:hAnsi="Arial"/>
                <w:sz w:val="18"/>
                <w:szCs w:val="18"/>
                <w:color w:val="auto"/>
              </w:rPr>
              <w:t>31.2</w:t>
            </w:r>
          </w:p>
        </w:tc>
        <w:tc>
          <w:tcPr>
            <w:tcW w:w="1120" w:type="dxa"/>
            <w:vAlign w:val="bottom"/>
          </w:tcPr>
          <w:p>
            <w:pPr>
              <w:spacing w:after="0"/>
              <w:rPr>
                <w:sz w:val="21"/>
                <w:szCs w:val="21"/>
                <w:color w:val="auto"/>
              </w:rPr>
            </w:pPr>
          </w:p>
        </w:tc>
        <w:tc>
          <w:tcPr>
            <w:tcW w:w="9620" w:type="dxa"/>
            <w:vAlign w:val="bottom"/>
            <w:gridSpan w:val="6"/>
          </w:tcPr>
          <w:p>
            <w:pPr>
              <w:spacing w:after="0" w:line="207" w:lineRule="exact"/>
              <w:rPr>
                <w:rFonts w:ascii="Arial" w:cs="Arial" w:eastAsia="Arial" w:hAnsi="Arial"/>
                <w:sz w:val="18"/>
                <w:szCs w:val="18"/>
                <w:color w:val="0000FF"/>
                <w:w w:val="99"/>
              </w:rPr>
            </w:pPr>
            <w:hyperlink w:anchor="page48">
              <w:r>
                <w:rPr>
                  <w:rFonts w:ascii="Arial" w:cs="Arial" w:eastAsia="Arial" w:hAnsi="Arial"/>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Arial" w:cs="Arial" w:eastAsia="Arial" w:hAnsi="Arial"/>
                  <w:sz w:val="18"/>
                  <w:szCs w:val="18"/>
                  <w:color w:val="0000FF"/>
                  <w:w w:val="99"/>
                </w:rPr>
                <w:t>Oxley Act of 2002.</w:t>
              </w:r>
            </w:hyperlink>
          </w:p>
        </w:tc>
      </w:tr>
      <w:tr>
        <w:trPr>
          <w:trHeight w:val="20"/>
        </w:trPr>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250"/>
        </w:trPr>
        <w:tc>
          <w:tcPr>
            <w:tcW w:w="640" w:type="dxa"/>
            <w:vAlign w:val="bottom"/>
          </w:tcPr>
          <w:p>
            <w:pPr>
              <w:ind w:left="40"/>
              <w:spacing w:after="0"/>
              <w:rPr>
                <w:sz w:val="20"/>
                <w:szCs w:val="20"/>
                <w:color w:val="auto"/>
              </w:rPr>
            </w:pPr>
            <w:r>
              <w:rPr>
                <w:rFonts w:ascii="Arial" w:cs="Arial" w:eastAsia="Arial" w:hAnsi="Arial"/>
                <w:sz w:val="18"/>
                <w:szCs w:val="18"/>
                <w:color w:val="auto"/>
              </w:rPr>
              <w:t>32.1</w:t>
            </w:r>
          </w:p>
        </w:tc>
        <w:tc>
          <w:tcPr>
            <w:tcW w:w="1120" w:type="dxa"/>
            <w:vAlign w:val="bottom"/>
          </w:tcPr>
          <w:p>
            <w:pPr>
              <w:spacing w:after="0"/>
              <w:rPr>
                <w:sz w:val="21"/>
                <w:szCs w:val="21"/>
                <w:color w:val="auto"/>
              </w:rPr>
            </w:pPr>
          </w:p>
        </w:tc>
        <w:tc>
          <w:tcPr>
            <w:tcW w:w="9620" w:type="dxa"/>
            <w:vAlign w:val="bottom"/>
            <w:gridSpan w:val="6"/>
          </w:tcPr>
          <w:p>
            <w:pPr>
              <w:spacing w:after="0" w:line="207" w:lineRule="exact"/>
              <w:rPr>
                <w:rFonts w:ascii="Arial" w:cs="Arial" w:eastAsia="Arial" w:hAnsi="Arial"/>
                <w:sz w:val="18"/>
                <w:szCs w:val="18"/>
                <w:color w:val="0000FF"/>
                <w:w w:val="99"/>
              </w:rPr>
            </w:pPr>
            <w:hyperlink w:anchor="page49">
              <w:r>
                <w:rPr>
                  <w:rFonts w:ascii="Arial" w:cs="Arial" w:eastAsia="Arial" w:hAnsi="Arial"/>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Arial" w:cs="Arial" w:eastAsia="Arial" w:hAnsi="Arial"/>
                  <w:sz w:val="18"/>
                  <w:szCs w:val="18"/>
                  <w:color w:val="0000FF"/>
                  <w:w w:val="99"/>
                </w:rPr>
                <w:t>Oxley Act of 2002.</w:t>
              </w:r>
            </w:hyperlink>
          </w:p>
        </w:tc>
      </w:tr>
      <w:tr>
        <w:trPr>
          <w:trHeight w:val="20"/>
        </w:trPr>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250"/>
        </w:trPr>
        <w:tc>
          <w:tcPr>
            <w:tcW w:w="640" w:type="dxa"/>
            <w:vAlign w:val="bottom"/>
          </w:tcPr>
          <w:p>
            <w:pPr>
              <w:ind w:left="40"/>
              <w:spacing w:after="0"/>
              <w:rPr>
                <w:sz w:val="20"/>
                <w:szCs w:val="20"/>
                <w:color w:val="auto"/>
              </w:rPr>
            </w:pPr>
            <w:r>
              <w:rPr>
                <w:rFonts w:ascii="Arial" w:cs="Arial" w:eastAsia="Arial" w:hAnsi="Arial"/>
                <w:sz w:val="18"/>
                <w:szCs w:val="18"/>
                <w:color w:val="auto"/>
              </w:rPr>
              <w:t>32.2</w:t>
            </w:r>
          </w:p>
        </w:tc>
        <w:tc>
          <w:tcPr>
            <w:tcW w:w="1120" w:type="dxa"/>
            <w:vAlign w:val="bottom"/>
          </w:tcPr>
          <w:p>
            <w:pPr>
              <w:spacing w:after="0"/>
              <w:rPr>
                <w:sz w:val="21"/>
                <w:szCs w:val="21"/>
                <w:color w:val="auto"/>
              </w:rPr>
            </w:pPr>
          </w:p>
        </w:tc>
        <w:tc>
          <w:tcPr>
            <w:tcW w:w="9620" w:type="dxa"/>
            <w:vAlign w:val="bottom"/>
            <w:gridSpan w:val="6"/>
          </w:tcPr>
          <w:p>
            <w:pPr>
              <w:spacing w:after="0" w:line="207" w:lineRule="exact"/>
              <w:rPr>
                <w:rFonts w:ascii="Arial" w:cs="Arial" w:eastAsia="Arial" w:hAnsi="Arial"/>
                <w:sz w:val="18"/>
                <w:szCs w:val="18"/>
                <w:color w:val="0000FF"/>
                <w:w w:val="99"/>
              </w:rPr>
            </w:pPr>
            <w:hyperlink w:anchor="page50">
              <w:r>
                <w:rPr>
                  <w:rFonts w:ascii="Arial" w:cs="Arial" w:eastAsia="Arial" w:hAnsi="Arial"/>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Arial" w:cs="Arial" w:eastAsia="Arial" w:hAnsi="Arial"/>
                  <w:sz w:val="18"/>
                  <w:szCs w:val="18"/>
                  <w:color w:val="0000FF"/>
                  <w:w w:val="99"/>
                </w:rPr>
                <w:t>Oxley Act of 2002.</w:t>
              </w:r>
            </w:hyperlink>
          </w:p>
        </w:tc>
      </w:tr>
      <w:tr>
        <w:trPr>
          <w:trHeight w:val="20"/>
        </w:trPr>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276"/>
        </w:trPr>
        <w:tc>
          <w:tcPr>
            <w:tcW w:w="640" w:type="dxa"/>
            <w:vAlign w:val="bottom"/>
          </w:tcPr>
          <w:p>
            <w:pPr>
              <w:ind w:left="40"/>
              <w:spacing w:after="0"/>
              <w:rPr>
                <w:sz w:val="20"/>
                <w:szCs w:val="20"/>
                <w:color w:val="auto"/>
              </w:rPr>
            </w:pPr>
            <w:r>
              <w:rPr>
                <w:rFonts w:ascii="Arial" w:cs="Arial" w:eastAsia="Arial" w:hAnsi="Arial"/>
                <w:sz w:val="18"/>
                <w:szCs w:val="18"/>
                <w:color w:val="auto"/>
              </w:rPr>
              <w:t>101</w:t>
            </w:r>
          </w:p>
        </w:tc>
        <w:tc>
          <w:tcPr>
            <w:tcW w:w="11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w w:val="96"/>
              </w:rPr>
              <w:t>The following materials from TriMas Corporation's Quarterly Report on Form 10-Q for the quarter ended September 30, 2019,</w:t>
            </w:r>
          </w:p>
        </w:tc>
      </w:tr>
      <w:tr>
        <w:trPr>
          <w:trHeight w:val="216"/>
        </w:trPr>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w w:val="95"/>
              </w:rPr>
              <w:t>formatted in Inline XBRL (eXtensible Business Reporting Language): (i) the Consolidated Balance Sheet, (ii) the Consolidated</w:t>
            </w:r>
          </w:p>
        </w:tc>
      </w:tr>
      <w:tr>
        <w:trPr>
          <w:trHeight w:val="216"/>
        </w:trPr>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w w:val="91"/>
              </w:rPr>
              <w:t>Statement of Income, (iii) the Consolidated Statement of Comprehensive Income, (iv) the Consolidated Statement of Cash Flows, (v)</w:t>
            </w:r>
          </w:p>
        </w:tc>
      </w:tr>
      <w:tr>
        <w:trPr>
          <w:trHeight w:val="216"/>
        </w:trPr>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w w:val="91"/>
              </w:rPr>
              <w:t>the Consolidated Statement of Shareholders' Equity, (vi) Notes to Consolidated Financial Statements, and (vii) document and entity</w:t>
            </w:r>
          </w:p>
        </w:tc>
      </w:tr>
      <w:tr>
        <w:trPr>
          <w:trHeight w:val="230"/>
        </w:trPr>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information.</w:t>
            </w:r>
          </w:p>
        </w:tc>
      </w:tr>
      <w:tr>
        <w:trPr>
          <w:trHeight w:val="270"/>
        </w:trPr>
        <w:tc>
          <w:tcPr>
            <w:tcW w:w="640" w:type="dxa"/>
            <w:vAlign w:val="bottom"/>
          </w:tcPr>
          <w:p>
            <w:pPr>
              <w:ind w:left="40"/>
              <w:spacing w:after="0"/>
              <w:rPr>
                <w:sz w:val="20"/>
                <w:szCs w:val="20"/>
                <w:color w:val="auto"/>
              </w:rPr>
            </w:pPr>
            <w:r>
              <w:rPr>
                <w:rFonts w:ascii="Arial" w:cs="Arial" w:eastAsia="Arial" w:hAnsi="Arial"/>
                <w:sz w:val="18"/>
                <w:szCs w:val="18"/>
                <w:color w:val="auto"/>
              </w:rPr>
              <w:t>104</w:t>
            </w:r>
          </w:p>
        </w:tc>
        <w:tc>
          <w:tcPr>
            <w:tcW w:w="1120" w:type="dxa"/>
            <w:vAlign w:val="bottom"/>
          </w:tcPr>
          <w:p>
            <w:pPr>
              <w:spacing w:after="0"/>
              <w:rPr>
                <w:sz w:val="23"/>
                <w:szCs w:val="23"/>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02"/>
        </w:trPr>
        <w:tc>
          <w:tcPr>
            <w:tcW w:w="640" w:type="dxa"/>
            <w:vAlign w:val="bottom"/>
          </w:tcPr>
          <w:p>
            <w:pPr>
              <w:spacing w:after="0"/>
              <w:rPr>
                <w:sz w:val="24"/>
                <w:szCs w:val="24"/>
                <w:color w:val="auto"/>
              </w:rPr>
            </w:pPr>
          </w:p>
        </w:tc>
        <w:tc>
          <w:tcPr>
            <w:tcW w:w="7940" w:type="dxa"/>
            <w:vAlign w:val="bottom"/>
            <w:gridSpan w:val="2"/>
          </w:tcPr>
          <w:p>
            <w:pPr>
              <w:jc w:val="right"/>
              <w:ind w:right="2690"/>
              <w:spacing w:after="0"/>
              <w:rPr>
                <w:sz w:val="20"/>
                <w:szCs w:val="20"/>
                <w:color w:val="auto"/>
              </w:rPr>
            </w:pPr>
            <w:r>
              <w:rPr>
                <w:rFonts w:ascii="Arial" w:cs="Arial" w:eastAsia="Arial" w:hAnsi="Arial"/>
                <w:sz w:val="18"/>
                <w:szCs w:val="18"/>
                <w:color w:val="auto"/>
              </w:rPr>
              <w:t>43</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3980" w:type="dxa"/>
            <w:vAlign w:val="bottom"/>
            <w:gridSpan w:val="2"/>
          </w:tcPr>
          <w:p>
            <w:pPr>
              <w:ind w:left="860"/>
              <w:spacing w:after="0"/>
              <w:rPr>
                <w:sz w:val="20"/>
                <w:szCs w:val="20"/>
                <w:color w:val="auto"/>
              </w:rPr>
            </w:pPr>
            <w:r>
              <w:rPr>
                <w:rFonts w:ascii="Arial" w:cs="Arial" w:eastAsia="Arial" w:hAnsi="Arial"/>
                <w:sz w:val="18"/>
                <w:szCs w:val="18"/>
                <w:b w:val="1"/>
                <w:bCs w:val="1"/>
                <w:color w:val="auto"/>
                <w:w w:val="98"/>
              </w:rPr>
              <w:t>TRIMAS CORPORATION (Registrant)</w:t>
            </w:r>
          </w:p>
        </w:tc>
        <w:tc>
          <w:tcPr>
            <w:tcW w:w="4600" w:type="dxa"/>
            <w:vAlign w:val="bottom"/>
          </w:tcPr>
          <w:p>
            <w:pPr>
              <w:spacing w:after="0"/>
              <w:rPr>
                <w:sz w:val="20"/>
                <w:szCs w:val="20"/>
                <w:color w:val="auto"/>
              </w:rPr>
            </w:pPr>
          </w:p>
        </w:tc>
      </w:tr>
      <w:tr>
        <w:trPr>
          <w:trHeight w:val="567"/>
        </w:trPr>
        <w:tc>
          <w:tcPr>
            <w:tcW w:w="2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4"/>
              </w:rPr>
              <w:t>/s/ ROBERT J. ZALUPSKI</w:t>
            </w:r>
          </w:p>
        </w:tc>
      </w:tr>
      <w:tr>
        <w:trPr>
          <w:trHeight w:val="149"/>
        </w:trPr>
        <w:tc>
          <w:tcPr>
            <w:tcW w:w="2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r>
      <w:tr>
        <w:trPr>
          <w:trHeight w:val="222"/>
        </w:trPr>
        <w:tc>
          <w:tcPr>
            <w:tcW w:w="2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2"/>
              </w:rPr>
              <w:t>Robert J. Zalupski</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Date:  November 4, 2019</w:t>
            </w:r>
          </w:p>
        </w:tc>
        <w:tc>
          <w:tcPr>
            <w:tcW w:w="3980" w:type="dxa"/>
            <w:vAlign w:val="bottom"/>
            <w:gridSpan w:val="2"/>
          </w:tcPr>
          <w:p>
            <w:pPr>
              <w:ind w:left="86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r>
      <w:tr>
        <w:trPr>
          <w:trHeight w:val="702"/>
        </w:trPr>
        <w:tc>
          <w:tcPr>
            <w:tcW w:w="2800" w:type="dxa"/>
            <w:vAlign w:val="bottom"/>
          </w:tcPr>
          <w:p>
            <w:pPr>
              <w:spacing w:after="0"/>
              <w:rPr>
                <w:sz w:val="24"/>
                <w:szCs w:val="24"/>
                <w:color w:val="auto"/>
              </w:rPr>
            </w:pPr>
          </w:p>
        </w:tc>
        <w:tc>
          <w:tcPr>
            <w:tcW w:w="3980" w:type="dxa"/>
            <w:vAlign w:val="bottom"/>
            <w:gridSpan w:val="2"/>
          </w:tcPr>
          <w:p>
            <w:pPr>
              <w:jc w:val="right"/>
              <w:ind w:right="1020"/>
              <w:spacing w:after="0"/>
              <w:rPr>
                <w:sz w:val="20"/>
                <w:szCs w:val="20"/>
                <w:color w:val="auto"/>
              </w:rPr>
            </w:pPr>
            <w:r>
              <w:rPr>
                <w:rFonts w:ascii="Arial" w:cs="Arial" w:eastAsia="Arial" w:hAnsi="Arial"/>
                <w:sz w:val="18"/>
                <w:szCs w:val="18"/>
                <w:color w:val="auto"/>
              </w:rPr>
              <w:t>44</w:t>
            </w: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67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67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September 30, 2019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September 30, 2019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Archives/edgar/data/842633/000110465907058776/a07-19157_1ex3d1.htm" TargetMode="External"/><Relationship Id="rId14"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2019-12-28T03:26:03Z</dcterms:created>
  <dcterms:modified xsi:type="dcterms:W3CDTF">2019-12-28T03:26:03Z</dcterms:modified>
</cp:coreProperties>
</file>