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5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(Mark One)</w:t>
      </w:r>
    </w:p>
    <w:p>
      <w:pPr>
        <w:ind w:left="1820" w:hanging="995"/>
        <w:spacing w:after="0" w:line="225"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Quarterly Report Pursuant to Section 13 or 15(d) of the Securities Exchange Act of 1934</w:t>
      </w:r>
    </w:p>
    <w:p>
      <w:pPr>
        <w:spacing w:after="0" w:line="106"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Or</w:t>
      </w:r>
    </w:p>
    <w:p>
      <w:pPr>
        <w:ind w:left="1820" w:hanging="995"/>
        <w:spacing w:after="0" w:line="223"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3100" w:type="dxa"/>
        <w:tblCellMar>
          <w:top w:w="0" w:type="dxa"/>
          <w:left w:w="0" w:type="dxa"/>
          <w:bottom w:w="0" w:type="dxa"/>
          <w:right w:w="0" w:type="dxa"/>
        </w:tblCellMar>
      </w:tblPr>
      <w:tr>
        <w:trPr>
          <w:trHeight w:val="207"/>
        </w:trPr>
        <w:tc>
          <w:tcPr>
            <w:tcW w:w="2800" w:type="dxa"/>
            <w:vAlign w:val="bottom"/>
          </w:tcPr>
          <w:p>
            <w:pPr>
              <w:ind w:left="420"/>
              <w:spacing w:after="0"/>
              <w:rPr>
                <w:sz w:val="20"/>
                <w:szCs w:val="20"/>
                <w:color w:val="auto"/>
              </w:rPr>
            </w:pPr>
            <w:r>
              <w:rPr>
                <w:rFonts w:ascii="Arial" w:cs="Arial" w:eastAsia="Arial" w:hAnsi="Arial"/>
                <w:sz w:val="18"/>
                <w:szCs w:val="18"/>
                <w:b w:val="1"/>
                <w:bCs w:val="1"/>
                <w:color w:val="auto"/>
                <w:w w:val="91"/>
              </w:rPr>
              <w:t>For the Transition Period from</w:t>
            </w:r>
          </w:p>
        </w:tc>
        <w:tc>
          <w:tcPr>
            <w:tcW w:w="8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0"/>
        </w:trPr>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4580" w:type="dxa"/>
            <w:vAlign w:val="bottom"/>
            <w:gridSpan w:val="4"/>
          </w:tcPr>
          <w:p>
            <w:pPr>
              <w:jc w:val="center"/>
              <w:ind w:left="362"/>
              <w:spacing w:after="0"/>
              <w:rPr>
                <w:sz w:val="20"/>
                <w:szCs w:val="20"/>
                <w:color w:val="auto"/>
              </w:rPr>
            </w:pPr>
            <w:r>
              <w:rPr>
                <w:rFonts w:ascii="Arial" w:cs="Arial" w:eastAsia="Arial" w:hAnsi="Arial"/>
                <w:sz w:val="18"/>
                <w:szCs w:val="18"/>
                <w:b w:val="1"/>
                <w:bCs w:val="1"/>
                <w:color w:val="auto"/>
                <w:w w:val="90"/>
              </w:rPr>
              <w:t>Commission file number 001-10716</w:t>
            </w:r>
          </w:p>
        </w:tc>
        <w:tc>
          <w:tcPr>
            <w:tcW w:w="40" w:type="dxa"/>
            <w:vAlign w:val="bottom"/>
          </w:tcPr>
          <w:p>
            <w:pPr>
              <w:spacing w:after="0"/>
              <w:rPr>
                <w:sz w:val="24"/>
                <w:szCs w:val="24"/>
                <w:color w:val="auto"/>
              </w:rPr>
            </w:pPr>
          </w:p>
        </w:tc>
      </w:tr>
      <w:tr>
        <w:trPr>
          <w:trHeight w:val="437"/>
        </w:trPr>
        <w:tc>
          <w:tcPr>
            <w:tcW w:w="4580" w:type="dxa"/>
            <w:vAlign w:val="bottom"/>
            <w:gridSpan w:val="4"/>
          </w:tcPr>
          <w:p>
            <w:pPr>
              <w:jc w:val="center"/>
              <w:ind w:left="362"/>
              <w:spacing w:after="0"/>
              <w:rPr>
                <w:sz w:val="20"/>
                <w:szCs w:val="20"/>
                <w:color w:val="auto"/>
              </w:rPr>
            </w:pPr>
            <w:r>
              <w:rPr>
                <w:rFonts w:ascii="Arial" w:cs="Arial" w:eastAsia="Arial" w:hAnsi="Arial"/>
                <w:sz w:val="29"/>
                <w:szCs w:val="29"/>
                <w:b w:val="1"/>
                <w:bCs w:val="1"/>
                <w:color w:val="auto"/>
              </w:rPr>
              <w:t>TRIMAS CORPORATION</w:t>
            </w:r>
          </w:p>
        </w:tc>
        <w:tc>
          <w:tcPr>
            <w:tcW w:w="40" w:type="dxa"/>
            <w:vAlign w:val="bottom"/>
          </w:tcPr>
          <w:p>
            <w:pPr>
              <w:spacing w:after="0"/>
              <w:rPr>
                <w:sz w:val="24"/>
                <w:szCs w:val="24"/>
                <w:color w:val="auto"/>
              </w:rPr>
            </w:pPr>
          </w:p>
        </w:tc>
      </w:tr>
      <w:tr>
        <w:trPr>
          <w:trHeight w:val="306"/>
        </w:trPr>
        <w:tc>
          <w:tcPr>
            <w:tcW w:w="4580" w:type="dxa"/>
            <w:vAlign w:val="bottom"/>
            <w:gridSpan w:val="4"/>
          </w:tcPr>
          <w:p>
            <w:pPr>
              <w:jc w:val="center"/>
              <w:ind w:left="362"/>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r>
      <w:tr>
        <w:trPr>
          <w:trHeight w:val="337"/>
        </w:trPr>
        <w:tc>
          <w:tcPr>
            <w:tcW w:w="2800" w:type="dxa"/>
            <w:vAlign w:val="bottom"/>
          </w:tcPr>
          <w:p>
            <w:pPr>
              <w:jc w:val="center"/>
              <w:ind w:right="542"/>
              <w:spacing w:after="0"/>
              <w:rPr>
                <w:sz w:val="20"/>
                <w:szCs w:val="20"/>
                <w:color w:val="auto"/>
              </w:rPr>
            </w:pPr>
            <w:r>
              <w:rPr>
                <w:rFonts w:ascii="Arial" w:cs="Arial" w:eastAsia="Arial" w:hAnsi="Arial"/>
                <w:sz w:val="18"/>
                <w:szCs w:val="18"/>
                <w:b w:val="1"/>
                <w:bCs w:val="1"/>
                <w:color w:val="auto"/>
                <w:w w:val="91"/>
              </w:rPr>
              <w:t>Delaware</w:t>
            </w:r>
          </w:p>
        </w:tc>
        <w:tc>
          <w:tcPr>
            <w:tcW w:w="17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r>
      <w:tr>
        <w:trPr>
          <w:trHeight w:val="176"/>
        </w:trPr>
        <w:tc>
          <w:tcPr>
            <w:tcW w:w="2800" w:type="dxa"/>
            <w:vAlign w:val="bottom"/>
          </w:tcPr>
          <w:p>
            <w:pPr>
              <w:jc w:val="center"/>
              <w:ind w:right="522"/>
              <w:spacing w:after="0" w:line="176" w:lineRule="exact"/>
              <w:rPr>
                <w:sz w:val="20"/>
                <w:szCs w:val="20"/>
                <w:color w:val="auto"/>
              </w:rPr>
            </w:pPr>
            <w:r>
              <w:rPr>
                <w:rFonts w:ascii="Arial" w:cs="Arial" w:eastAsia="Arial" w:hAnsi="Arial"/>
                <w:sz w:val="18"/>
                <w:szCs w:val="18"/>
                <w:color w:val="auto"/>
                <w:w w:val="93"/>
              </w:rPr>
              <w:t>(State or other jurisdiction of</w:t>
            </w:r>
          </w:p>
        </w:tc>
        <w:tc>
          <w:tcPr>
            <w:tcW w:w="1780" w:type="dxa"/>
            <w:vAlign w:val="bottom"/>
            <w:gridSpan w:val="3"/>
          </w:tcPr>
          <w:p>
            <w:pPr>
              <w:jc w:val="center"/>
              <w:ind w:left="430"/>
              <w:spacing w:after="0" w:line="176" w:lineRule="exact"/>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5"/>
                <w:szCs w:val="15"/>
                <w:color w:val="auto"/>
              </w:rPr>
            </w:pPr>
          </w:p>
        </w:tc>
      </w:tr>
      <w:tr>
        <w:trPr>
          <w:trHeight w:val="230"/>
        </w:trPr>
        <w:tc>
          <w:tcPr>
            <w:tcW w:w="2800" w:type="dxa"/>
            <w:vAlign w:val="bottom"/>
          </w:tcPr>
          <w:p>
            <w:pPr>
              <w:jc w:val="center"/>
              <w:ind w:right="542"/>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4"/>
          </w:tcPr>
          <w:p>
            <w:pPr>
              <w:jc w:val="center"/>
              <w:ind w:left="390"/>
              <w:spacing w:after="0"/>
              <w:rPr>
                <w:sz w:val="20"/>
                <w:szCs w:val="20"/>
                <w:color w:val="auto"/>
              </w:rPr>
            </w:pPr>
            <w:r>
              <w:rPr>
                <w:rFonts w:ascii="Arial" w:cs="Arial" w:eastAsia="Arial" w:hAnsi="Arial"/>
                <w:sz w:val="18"/>
                <w:szCs w:val="18"/>
                <w:color w:val="auto"/>
                <w:w w:val="95"/>
              </w:rPr>
              <w:t>Identification No.)</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8"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6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Arial" w:cs="Arial" w:eastAsia="Arial" w:hAnsi="Arial"/>
                <w:sz w:val="18"/>
                <w:szCs w:val="18"/>
                <w:color w:val="auto"/>
                <w:w w:val="90"/>
              </w:rPr>
              <w:t>Common stock, $0.01 par value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61"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w:t>
      </w:r>
    </w:p>
    <w:p>
      <w:pPr>
        <w:spacing w:after="0" w:line="48" w:lineRule="exact"/>
        <w:rPr>
          <w:sz w:val="24"/>
          <w:szCs w:val="24"/>
          <w:color w:val="auto"/>
        </w:rPr>
      </w:pPr>
    </w:p>
    <w:p>
      <w:pPr>
        <w:jc w:val="both"/>
        <w:spacing w:after="0" w:line="26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r>
        <w:rPr>
          <w:rFonts w:ascii="Arial" w:cs="Arial" w:eastAsia="Arial" w:hAnsi="Arial"/>
          <w:sz w:val="17"/>
          <w:szCs w:val="17"/>
          <w:color w:val="auto"/>
        </w:rPr>
        <w:t>.</w:t>
      </w:r>
    </w:p>
    <w:p>
      <w:pPr>
        <w:spacing w:after="0" w:line="3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1600" w:type="dxa"/>
        <w:tblCellMar>
          <w:top w:w="0" w:type="dxa"/>
          <w:left w:w="0" w:type="dxa"/>
          <w:bottom w:w="0" w:type="dxa"/>
          <w:right w:w="0" w:type="dxa"/>
        </w:tblCellMar>
      </w:tblPr>
      <w:tr>
        <w:trPr>
          <w:trHeight w:val="338"/>
        </w:trPr>
        <w:tc>
          <w:tcPr>
            <w:tcW w:w="238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1"/>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right="164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October 21, 2021, the number of outstanding shares of the Registrant's common stock, $0.01 par value, was 42,856,947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40" w:type="dxa"/>
            <w:vAlign w:val="bottom"/>
            <w:gridSpan w:val="14"/>
          </w:tcPr>
          <w:p>
            <w:pPr>
              <w:jc w:val="center"/>
              <w:ind w:right="3060"/>
              <w:spacing w:after="0"/>
              <w:rPr>
                <w:sz w:val="20"/>
                <w:szCs w:val="20"/>
                <w:color w:val="auto"/>
              </w:rPr>
            </w:pPr>
            <w:r>
              <w:rPr>
                <w:rFonts w:ascii="Arial" w:cs="Arial" w:eastAsia="Arial" w:hAnsi="Arial"/>
                <w:sz w:val="18"/>
                <w:szCs w:val="18"/>
                <w:b w:val="1"/>
                <w:bCs w:val="1"/>
                <w:color w:val="auto"/>
                <w:w w:val="93"/>
              </w:rPr>
              <w:t>TriMas Corporation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2"/>
          </w:tcPr>
          <w:p>
            <w:pPr>
              <w:jc w:val="center"/>
              <w:ind w:right="3860"/>
              <w:spacing w:after="0"/>
              <w:rPr>
                <w:sz w:val="20"/>
                <w:szCs w:val="20"/>
                <w:color w:val="auto"/>
              </w:rPr>
            </w:pPr>
            <w:r>
              <w:rPr>
                <w:rFonts w:ascii="Arial" w:cs="Arial" w:eastAsia="Arial" w:hAnsi="Arial"/>
                <w:sz w:val="18"/>
                <w:szCs w:val="18"/>
                <w:b w:val="1"/>
                <w:bCs w:val="1"/>
                <w:color w:val="auto"/>
                <w:w w:val="93"/>
              </w:rPr>
              <w:t>Index</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7700" w:type="dxa"/>
            <w:vAlign w:val="bottom"/>
            <w:gridSpan w:val="22"/>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6"/>
          </w:tcPr>
          <w:p>
            <w:pPr>
              <w:spacing w:after="0"/>
              <w:rPr>
                <w:rFonts w:ascii="Arial" w:cs="Arial" w:eastAsia="Arial" w:hAnsi="Arial"/>
                <w:sz w:val="18"/>
                <w:szCs w:val="18"/>
                <w:color w:val="0000FF"/>
                <w:w w:val="89"/>
              </w:rPr>
            </w:pPr>
            <w:hyperlink w:anchor="page2">
              <w:r>
                <w:rPr>
                  <w:rFonts w:ascii="Arial" w:cs="Arial" w:eastAsia="Arial" w:hAnsi="Arial"/>
                  <w:sz w:val="18"/>
                  <w:szCs w:val="18"/>
                  <w:color w:val="0000FF"/>
                  <w:w w:val="89"/>
                </w:rPr>
                <w:t>Forward-Looking Statements</w:t>
              </w:r>
            </w:hyperlink>
          </w:p>
        </w:tc>
        <w:tc>
          <w:tcPr>
            <w:tcW w:w="4540" w:type="dxa"/>
            <w:vAlign w:val="bottom"/>
            <w:gridSpan w:val="12"/>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664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Financial Statements</w:t>
              </w:r>
            </w:hyperlink>
          </w:p>
        </w:tc>
        <w:tc>
          <w:tcPr>
            <w:tcW w:w="3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 as of September 30, 2021 and December 31, 2020</w:t>
              </w:r>
            </w:hyperlink>
          </w:p>
        </w:tc>
        <w:tc>
          <w:tcPr>
            <w:tcW w:w="3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w w:val="93"/>
              </w:rPr>
            </w:pPr>
            <w:hyperlink w:anchor="page4">
              <w:r>
                <w:rPr>
                  <w:rFonts w:ascii="Arial" w:cs="Arial" w:eastAsia="Arial" w:hAnsi="Arial"/>
                  <w:sz w:val="18"/>
                  <w:szCs w:val="18"/>
                  <w:color w:val="0000FF"/>
                  <w:w w:val="93"/>
                </w:rPr>
                <w:t>Consolidated Statement of Operations for the Three and Nine Months Ended September</w:t>
              </w:r>
            </w:hyperlink>
          </w:p>
        </w:tc>
        <w:tc>
          <w:tcPr>
            <w:tcW w:w="380" w:type="dxa"/>
            <w:vAlign w:val="bottom"/>
            <w:gridSpan w:val="3"/>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Borders>
              <w:top w:val="single" w:sz="8" w:color="0000FF"/>
            </w:tcBorders>
            <w:gridSpan w:val="4"/>
          </w:tcPr>
          <w:p>
            <w:pPr>
              <w:spacing w:after="0" w:line="156" w:lineRule="exact"/>
              <w:rPr>
                <w:rFonts w:ascii="Arial" w:cs="Arial" w:eastAsia="Arial" w:hAnsi="Arial"/>
                <w:sz w:val="18"/>
                <w:szCs w:val="18"/>
                <w:color w:val="0000FF"/>
                <w:w w:val="83"/>
              </w:rPr>
            </w:pPr>
            <w:hyperlink w:anchor="page4">
              <w:r>
                <w:rPr>
                  <w:rFonts w:ascii="Arial" w:cs="Arial" w:eastAsia="Arial" w:hAnsi="Arial"/>
                  <w:sz w:val="18"/>
                  <w:szCs w:val="18"/>
                  <w:color w:val="0000FF"/>
                  <w:w w:val="83"/>
                </w:rPr>
                <w:t>30, 2021 and 2020</w:t>
              </w:r>
            </w:hyperlink>
          </w:p>
        </w:tc>
        <w:tc>
          <w:tcPr>
            <w:tcW w:w="502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Consolidated Statement of Comprehensive Income for the Three and Nine Months Ended</w:t>
              </w:r>
            </w:hyperlink>
          </w:p>
        </w:tc>
        <w:tc>
          <w:tcPr>
            <w:tcW w:w="38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00" w:type="dxa"/>
            <w:vAlign w:val="bottom"/>
            <w:tcBorders>
              <w:top w:val="single" w:sz="8" w:color="0000FF"/>
            </w:tcBorders>
            <w:gridSpan w:val="6"/>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September 30, 2021 and 2020</w:t>
              </w:r>
            </w:hyperlink>
          </w:p>
        </w:tc>
        <w:tc>
          <w:tcPr>
            <w:tcW w:w="4340" w:type="dxa"/>
            <w:vAlign w:val="bottom"/>
            <w:tcBorders>
              <w:top w:val="single" w:sz="8" w:color="0000FF"/>
            </w:tcBorders>
            <w:gridSpan w:val="11"/>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Consolidated Statement of Cash Flows for the Nine Months Ended September 30, 2021</w:t>
              </w:r>
            </w:hyperlink>
          </w:p>
        </w:tc>
        <w:tc>
          <w:tcPr>
            <w:tcW w:w="380" w:type="dxa"/>
            <w:vAlign w:val="bottom"/>
            <w:gridSpan w:val="3"/>
            <w:vMerge w:val="restart"/>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and 2020</w:t>
              </w:r>
            </w:hyperlink>
          </w:p>
        </w:tc>
        <w:tc>
          <w:tcPr>
            <w:tcW w:w="1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Consolidated Statement of Shareholders' Equity for the Three and Nine Months Ended</w:t>
              </w:r>
            </w:hyperlink>
          </w:p>
        </w:tc>
        <w:tc>
          <w:tcPr>
            <w:tcW w:w="380" w:type="dxa"/>
            <w:vAlign w:val="bottom"/>
            <w:gridSpan w:val="3"/>
            <w:vMerge w:val="restart"/>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00" w:type="dxa"/>
            <w:vAlign w:val="bottom"/>
            <w:tcBorders>
              <w:top w:val="single" w:sz="8" w:color="0000FF"/>
            </w:tcBorders>
            <w:gridSpan w:val="6"/>
          </w:tcPr>
          <w:p>
            <w:pPr>
              <w:spacing w:after="0" w:line="156" w:lineRule="exact"/>
              <w:rPr>
                <w:rFonts w:ascii="Arial" w:cs="Arial" w:eastAsia="Arial" w:hAnsi="Arial"/>
                <w:sz w:val="18"/>
                <w:szCs w:val="18"/>
                <w:color w:val="0000FF"/>
                <w:w w:val="84"/>
              </w:rPr>
            </w:pPr>
            <w:hyperlink w:anchor="page7">
              <w:r>
                <w:rPr>
                  <w:rFonts w:ascii="Arial" w:cs="Arial" w:eastAsia="Arial" w:hAnsi="Arial"/>
                  <w:sz w:val="18"/>
                  <w:szCs w:val="18"/>
                  <w:color w:val="0000FF"/>
                  <w:w w:val="84"/>
                </w:rPr>
                <w:t>September 30, 2021 and 2020</w:t>
              </w:r>
            </w:hyperlink>
          </w:p>
        </w:tc>
        <w:tc>
          <w:tcPr>
            <w:tcW w:w="4120" w:type="dxa"/>
            <w:vAlign w:val="bottom"/>
            <w:tcBorders>
              <w:top w:val="single" w:sz="8" w:color="0000FF"/>
            </w:tcBorders>
            <w:gridSpan w:val="7"/>
          </w:tcPr>
          <w:p>
            <w:pPr>
              <w:spacing w:after="0"/>
              <w:rPr>
                <w:sz w:val="13"/>
                <w:szCs w:val="13"/>
                <w:color w:val="auto"/>
              </w:rPr>
            </w:pPr>
          </w:p>
        </w:tc>
        <w:tc>
          <w:tcPr>
            <w:tcW w:w="20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9"/>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Consolidated Financial Statements</w:t>
              </w:r>
            </w:hyperlink>
          </w:p>
        </w:tc>
        <w:tc>
          <w:tcPr>
            <w:tcW w:w="3500" w:type="dxa"/>
            <w:vAlign w:val="bottom"/>
            <w:gridSpan w:val="9"/>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w:t>
              </w:r>
            </w:hyperlink>
          </w:p>
        </w:tc>
        <w:tc>
          <w:tcPr>
            <w:tcW w:w="6640" w:type="dxa"/>
            <w:vAlign w:val="bottom"/>
            <w:gridSpan w:val="18"/>
          </w:tcPr>
          <w:p>
            <w:pPr>
              <w:spacing w:after="0"/>
              <w:rPr>
                <w:rFonts w:ascii="Arial" w:cs="Arial" w:eastAsia="Arial" w:hAnsi="Arial"/>
                <w:sz w:val="18"/>
                <w:szCs w:val="18"/>
                <w:color w:val="0000FF"/>
                <w:w w:val="93"/>
              </w:rPr>
            </w:pPr>
            <w:hyperlink w:anchor="page26">
              <w:r>
                <w:rPr>
                  <w:rFonts w:ascii="Arial" w:cs="Arial" w:eastAsia="Arial" w:hAnsi="Arial"/>
                  <w:sz w:val="18"/>
                  <w:szCs w:val="18"/>
                  <w:color w:val="0000FF"/>
                  <w:w w:val="93"/>
                </w:rPr>
                <w:t>Management's Discussion and Analysis of Financial Condition and Results of Operations</w:t>
              </w:r>
            </w:hyperlink>
          </w:p>
        </w:tc>
        <w:tc>
          <w:tcPr>
            <w:tcW w:w="3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664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38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4.</w:t>
              </w:r>
            </w:hyperlink>
          </w:p>
        </w:tc>
        <w:tc>
          <w:tcPr>
            <w:tcW w:w="66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38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w:t>
              </w:r>
            </w:hyperlink>
          </w:p>
        </w:tc>
        <w:tc>
          <w:tcPr>
            <w:tcW w:w="500" w:type="dxa"/>
            <w:vAlign w:val="bottom"/>
          </w:tcPr>
          <w:p>
            <w:pPr>
              <w:spacing w:after="0"/>
              <w:rPr>
                <w:sz w:val="24"/>
                <w:szCs w:val="24"/>
                <w:color w:val="auto"/>
              </w:rPr>
            </w:pPr>
          </w:p>
        </w:tc>
        <w:tc>
          <w:tcPr>
            <w:tcW w:w="1440" w:type="dxa"/>
            <w:vAlign w:val="bottom"/>
            <w:tcBorders>
              <w:bottom w:val="single" w:sz="8" w:color="0000FF"/>
            </w:tcBorders>
            <w:gridSpan w:val="5"/>
          </w:tcPr>
          <w:p>
            <w:pPr>
              <w:spacing w:after="0"/>
              <w:rPr>
                <w:rFonts w:ascii="Arial" w:cs="Arial" w:eastAsia="Arial" w:hAnsi="Arial"/>
                <w:sz w:val="18"/>
                <w:szCs w:val="18"/>
                <w:b w:val="1"/>
                <w:bCs w:val="1"/>
                <w:color w:val="0000FF"/>
                <w:w w:val="93"/>
              </w:rPr>
            </w:pPr>
            <w:hyperlink w:anchor="page46">
              <w:r>
                <w:rPr>
                  <w:rFonts w:ascii="Arial" w:cs="Arial" w:eastAsia="Arial" w:hAnsi="Arial"/>
                  <w:sz w:val="18"/>
                  <w:szCs w:val="18"/>
                  <w:b w:val="1"/>
                  <w:bCs w:val="1"/>
                  <w:color w:val="0000FF"/>
                  <w:w w:val="93"/>
                </w:rPr>
                <w:t>Other Information</w:t>
              </w:r>
            </w:hyperlink>
          </w:p>
        </w:tc>
        <w:tc>
          <w:tcPr>
            <w:tcW w:w="6260" w:type="dxa"/>
            <w:vAlign w:val="bottom"/>
            <w:gridSpan w:val="17"/>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1.</w:t>
              </w:r>
            </w:hyperlink>
          </w:p>
        </w:tc>
        <w:tc>
          <w:tcPr>
            <w:tcW w:w="66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Legal Proceedings</w:t>
              </w:r>
            </w:hyperlink>
          </w:p>
        </w:tc>
        <w:tc>
          <w:tcPr>
            <w:tcW w:w="38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Item 1A.</w:t>
              </w:r>
            </w:hyperlink>
          </w:p>
        </w:tc>
        <w:tc>
          <w:tcPr>
            <w:tcW w:w="420" w:type="dxa"/>
            <w:vAlign w:val="bottom"/>
            <w:gridSpan w:val="2"/>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Risk Factors</w:t>
              </w:r>
            </w:hyperlink>
          </w:p>
        </w:tc>
        <w:tc>
          <w:tcPr>
            <w:tcW w:w="38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2.</w:t>
              </w:r>
            </w:hyperlink>
          </w:p>
        </w:tc>
        <w:tc>
          <w:tcPr>
            <w:tcW w:w="420" w:type="dxa"/>
            <w:vAlign w:val="bottom"/>
            <w:gridSpan w:val="2"/>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38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3.</w:t>
              </w:r>
            </w:hyperlink>
          </w:p>
        </w:tc>
        <w:tc>
          <w:tcPr>
            <w:tcW w:w="420" w:type="dxa"/>
            <w:vAlign w:val="bottom"/>
            <w:gridSpan w:val="2"/>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Defaults Upon Senior Securities</w:t>
              </w:r>
            </w:hyperlink>
          </w:p>
        </w:tc>
        <w:tc>
          <w:tcPr>
            <w:tcW w:w="38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3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4.</w:t>
              </w:r>
            </w:hyperlink>
          </w:p>
        </w:tc>
        <w:tc>
          <w:tcPr>
            <w:tcW w:w="66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38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8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5.</w:t>
              </w:r>
            </w:hyperlink>
          </w:p>
        </w:tc>
        <w:tc>
          <w:tcPr>
            <w:tcW w:w="66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38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53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6.</w:t>
              </w:r>
            </w:hyperlink>
          </w:p>
        </w:tc>
        <w:tc>
          <w:tcPr>
            <w:tcW w:w="66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38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Signature</w:t>
              </w:r>
            </w:hyperlink>
            <w:r>
              <w:rPr>
                <w:rFonts w:ascii="Arial" w:cs="Arial" w:eastAsia="Arial" w:hAnsi="Arial"/>
                <w:sz w:val="18"/>
                <w:szCs w:val="18"/>
                <w:color w:val="0033CC"/>
              </w:rPr>
              <w: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These forward-looking statements are subject to numerous assumptions, risks and uncertainties which could materially affect our business, financial condition or future results including, but not limited to: the severity and duration of the ongoing coronavirus (“COVID-19”) pandemic on our operations, customers and suppliers, as well as related actions taken by governmental authorities and other third parties in response, each of which is uncertain, rapidly changing and difficult to predict;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including the availability and cost of raw materials; market demand; intellectual property factors; litigation; government and regulatory actions, including, without limitation, climate change legislation and other environmental regulations, as well as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and public health crises; the potential impact of Brexit; our future prospects; and other risks that are discussed in Part I, Item 1A, "Risk Factors," in our Annual Report on Form 10-K for the year ended December 31, 2020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10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3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line="176" w:lineRule="exact"/>
              <w:rPr>
                <w:sz w:val="20"/>
                <w:szCs w:val="20"/>
                <w:color w:val="auto"/>
              </w:rPr>
            </w:pPr>
            <w:r>
              <w:rPr>
                <w:rFonts w:ascii="Arial" w:cs="Arial" w:eastAsia="Arial" w:hAnsi="Arial"/>
                <w:sz w:val="18"/>
                <w:szCs w:val="18"/>
                <w:color w:val="auto"/>
                <w:w w:val="94"/>
              </w:rPr>
              <w:t>Receivables, net of reserves of approximately $1.4 million and $2.1 million as of September 30, 2021</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135,010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113,410</w:t>
            </w:r>
          </w:p>
        </w:tc>
        <w:tc>
          <w:tcPr>
            <w:tcW w:w="0" w:type="dxa"/>
            <w:vAlign w:val="bottom"/>
          </w:tcPr>
          <w:p>
            <w:pPr>
              <w:spacing w:after="0"/>
              <w:rPr>
                <w:sz w:val="1"/>
                <w:szCs w:val="1"/>
                <w:color w:val="auto"/>
              </w:rPr>
            </w:pPr>
          </w:p>
        </w:tc>
      </w:tr>
      <w:tr>
        <w:trPr>
          <w:trHeight w:val="229"/>
        </w:trPr>
        <w:tc>
          <w:tcPr>
            <w:tcW w:w="7780" w:type="dxa"/>
            <w:vAlign w:val="bottom"/>
          </w:tcPr>
          <w:p>
            <w:pPr>
              <w:ind w:left="200"/>
              <w:spacing w:after="0"/>
              <w:rPr>
                <w:sz w:val="20"/>
                <w:szCs w:val="20"/>
                <w:color w:val="auto"/>
              </w:rPr>
            </w:pPr>
            <w:r>
              <w:rPr>
                <w:rFonts w:ascii="Arial" w:cs="Arial" w:eastAsia="Arial" w:hAnsi="Arial"/>
                <w:sz w:val="18"/>
                <w:szCs w:val="18"/>
                <w:color w:val="auto"/>
              </w:rPr>
              <w:t>and December 31, 2020, respectively</w:t>
            </w: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351,830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253,060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299,040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303,970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19,580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21,420</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1,258,260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1,193,880</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shd w:val="clear" w:color="auto" w:fill="CCEEFF"/>
          </w:tcPr>
          <w:p>
            <w:pPr>
              <w:ind w:left="24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69,910</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59,820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60,540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137,190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346,290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31,860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31,610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69,690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609,630</w:t>
            </w:r>
          </w:p>
        </w:tc>
        <w:tc>
          <w:tcPr>
            <w:tcW w:w="0" w:type="dxa"/>
            <w:vAlign w:val="bottom"/>
          </w:tcPr>
          <w:p>
            <w:pPr>
              <w:spacing w:after="0"/>
              <w:rPr>
                <w:sz w:val="1"/>
                <w:szCs w:val="1"/>
                <w:color w:val="auto"/>
              </w:rPr>
            </w:pPr>
          </w:p>
        </w:tc>
      </w:tr>
      <w:tr>
        <w:trPr>
          <w:trHeight w:val="155"/>
        </w:trPr>
        <w:tc>
          <w:tcPr>
            <w:tcW w:w="7780" w:type="dxa"/>
            <w:vAlign w:val="bottom"/>
          </w:tcPr>
          <w:p>
            <w:pPr>
              <w:spacing w:after="0" w:line="156" w:lineRule="exact"/>
              <w:rPr>
                <w:sz w:val="20"/>
                <w:szCs w:val="20"/>
                <w:color w:val="auto"/>
              </w:rPr>
            </w:pPr>
            <w:r>
              <w:rPr>
                <w:rFonts w:ascii="Arial" w:cs="Arial" w:eastAsia="Arial" w:hAnsi="Arial"/>
                <w:sz w:val="18"/>
                <w:szCs w:val="18"/>
                <w:color w:val="auto"/>
              </w:rPr>
              <w:t>Preferred stock, $0.01 par: Authorized 100,000,000 shares;</w:t>
            </w:r>
          </w:p>
        </w:tc>
        <w:tc>
          <w:tcPr>
            <w:tcW w:w="220" w:type="dxa"/>
            <w:vAlign w:val="bottom"/>
          </w:tcPr>
          <w:p>
            <w:pPr>
              <w:spacing w:after="0"/>
              <w:rPr>
                <w:sz w:val="13"/>
                <w:szCs w:val="13"/>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Issued and outstanding: None</w:t>
            </w:r>
          </w:p>
        </w:tc>
        <w:tc>
          <w:tcPr>
            <w:tcW w:w="22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stock, $0.01 par: Authorized 400,000,000 shares;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Issued and outstanding: 42,841,573 shares at September 30, 2021 and 43,178,165 shares at December 31,</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733,520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749,050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584,250</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1,258,260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1,193,880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581,800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(163,980)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(446,270)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(90,300)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(107,570)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 and indefinite-lived intangible assets</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(134,600)</w:t>
            </w:r>
          </w:p>
        </w:tc>
        <w:tc>
          <w:tcPr>
            <w:tcW w:w="0" w:type="dxa"/>
            <w:vAlign w:val="bottom"/>
          </w:tcPr>
          <w:p>
            <w:pPr>
              <w:spacing w:after="0"/>
              <w:rPr>
                <w:sz w:val="1"/>
                <w:szCs w:val="1"/>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Operating profit (loss)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30,820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77,500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(106,640)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financing and related expenses</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Income (loss) before income tax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(118,050)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(103,450)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80"/>
              <w:spacing w:after="0"/>
              <w:rPr>
                <w:sz w:val="20"/>
                <w:szCs w:val="20"/>
                <w:color w:val="auto"/>
              </w:rPr>
            </w:pPr>
            <w:r>
              <w:rPr>
                <w:rFonts w:ascii="Arial" w:cs="Arial" w:eastAsia="Arial" w:hAnsi="Arial"/>
                <w:sz w:val="18"/>
                <w:szCs w:val="18"/>
                <w:color w:val="auto"/>
              </w:rPr>
              <w:t>Net income (loss)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42,889,922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43,457,704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43,061,707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43,707,331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480"/>
              <w:spacing w:after="0" w:line="203" w:lineRule="exact"/>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43,094,099</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43,457,704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43,345,777</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43,707,331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9"/>
        </w:trPr>
        <w:tc>
          <w:tcPr>
            <w:tcW w:w="5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(103,450)</w:t>
            </w: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plans (Note 17)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10)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23"/>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8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2020</w:t>
            </w: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44,490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(103,450)</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 net of acquisition impact: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Impairment of goodwill and indefinite-lived intangible assets</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134,600</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dispositions of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21,700</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Amortization of debt issue costs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(17,790)</w:t>
            </w: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Non-cash compensation expense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5,610</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change in legacy liability estimate</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Debt financing and related expenses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receivables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(Increase) decrease in inventories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4,510</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in prepaid expenses and other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Increase (decrease) in accounts payable and accrued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(7,410)</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operating activities, net of acquisition impact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79,110</w:t>
            </w: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(17,670)</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(95,160)</w:t>
            </w:r>
          </w:p>
        </w:tc>
      </w:tr>
      <w:tr>
        <w:trPr>
          <w:trHeight w:val="229"/>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proceeds from disposition of business, property and equipment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(110,900)</w:t>
            </w: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2"/>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Retirement of senior notes</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issuance of senior notes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on revolving credit facilities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300,950</w:t>
            </w: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Repayments of borrowings on revolving credit facilities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(303,240)</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financing fees and senior notes redemption premium</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Shares surrendered upon exercise and vesting of equity awards to cover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(2,600)</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to purchase common stock</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for) financing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(40,940)</w:t>
            </w: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Increase (decrease) for the period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63,010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(72,730)</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172,470</w:t>
            </w:r>
          </w:p>
        </w:tc>
      </w:tr>
      <w:tr>
        <w:trPr>
          <w:trHeight w:val="223"/>
        </w:trPr>
        <w:tc>
          <w:tcPr>
            <w:tcW w:w="8040" w:type="dxa"/>
            <w:vAlign w:val="bottom"/>
          </w:tcPr>
          <w:p>
            <w:pPr>
              <w:ind w:left="460"/>
              <w:spacing w:after="0"/>
              <w:rPr>
                <w:sz w:val="20"/>
                <w:szCs w:val="20"/>
                <w:color w:val="auto"/>
              </w:rPr>
            </w:pPr>
            <w:r>
              <w:rPr>
                <w:rFonts w:ascii="Arial" w:cs="Arial" w:eastAsia="Arial" w:hAnsi="Arial"/>
                <w:sz w:val="16"/>
                <w:szCs w:val="16"/>
                <w:color w:val="auto"/>
              </w:rPr>
              <w:t>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99,740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Cash paid for interest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paid for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11,840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11,840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(11,570)</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19,590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19,590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September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614,320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697,480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(31,570)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675,460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(15,700)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Balances, June 30, 2020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753,430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661,100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Balances, September 30, 2020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749,860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557,970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the coronavirus and related variants (“COVID-19”). While the full impact of the COVID-19 pandemic is unknown and cannot be reasonably estimated at this time, the Company has made appropriate accounting estimates based on the facts and circumstances available as of the reporting date. To the extent there are differences between these estimates and actual results, the Company's consolidated financial statements may be materially affected.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of operations for interim periods are not necessarily indicative of results for the full year. The accompanying consolidated financial statements and notes thereto should be read in conjunction with the Company's 2020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market served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88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3"/>
        </w:trPr>
        <w:tc>
          <w:tcPr>
            <w:tcW w:w="4900" w:type="dxa"/>
            <w:vAlign w:val="bottom"/>
            <w:gridSpan w:val="2"/>
          </w:tcPr>
          <w:p>
            <w:pPr>
              <w:ind w:left="20"/>
              <w:spacing w:after="0"/>
              <w:rPr>
                <w:sz w:val="20"/>
                <w:szCs w:val="20"/>
                <w:color w:val="auto"/>
              </w:rPr>
            </w:pPr>
            <w:r>
              <w:rPr>
                <w:rFonts w:ascii="Arial" w:cs="Arial" w:eastAsia="Arial" w:hAnsi="Arial"/>
                <w:sz w:val="16"/>
                <w:szCs w:val="16"/>
                <w:b w:val="1"/>
                <w:bCs w:val="1"/>
                <w:color w:val="auto"/>
              </w:rPr>
              <w:t>Customer Markets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298,060</w:t>
            </w: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Aerospace &amp; Defense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130,670</w:t>
            </w: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153,070</w:t>
            </w:r>
          </w:p>
        </w:tc>
      </w:tr>
      <w:tr>
        <w:trPr>
          <w:trHeight w:val="223"/>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581,800</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Packaging segment earns revenues from the consumer products (comprised of the beauty and personal care, home care, food and beverage, pharmaceutical and nutraceutical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Realignment Actions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Realignment Actions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nine months ended September 30, 2021, the Company executed certain realignment actions in response to reductions in current and expected future end market demand. First, the Company closed its Packaging segment's Union City, California manufacturing facility, consolidating the operation into its Indianapolis, Indiana and Woodridge, Illinois facilities. The Company also realigned its Aerospace segment footprint, consolidating certain activities previously in its Stanton, California facilities into its Tolleson, Arizona facility. In addition, the Company also reorganized its corporate office legal and finance groups. The Company recorded pre-tax realignment charges of approximately $0.6 million and $8.8 million during the three and nine months ended September 30, 2021, respectively. Of these costs, approximately $0.5 million and $2.7 million during the three and nine months ended September 30, 2021, respectively, related to facility consolidations, and approximately $0.1 million and $6.1 million, respectively, were for employee separation costs. As of September 30, 2021, approximately $1.5 million of the employee separation costs had been paid. For the three months ended September 30, 2021, $0.6 million of these charges were included in costs of sales. For the nine months ended September 30, 2021, approximately $3.3 million and $5.5 million of these charges were included in cost of sales and selling, general and administrative expenses, respectively, in the accompanying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Realignment Actions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three and nine months ended September 30, 2020, the Company executed certain realignment actions, primarily in its Aerospace and Specialty Products segments, in response to reductions in current and expected future end market demand. During the nine months ended September 30, 2020, the Company recorded a non-cash charge of approximately $13.2 million related to inventory reductions, primarily as a result of a strategic decision in its Arrow Engine division to narrow its product line focus. During the three and nine months ended September 30, 2020, the Company also recorded non-cash charges of approximately $0.1 million and $2.3 million, respectively, related to certain production equipment removed from service given reduced demand levels. In addition, the Company reduced its employment levels given lower customer demand incurring approximately $0.5 million and $3.6 million during the three and nine months ended September 30, 2020, respectively, in severance charges, of which approximately $2.9 million was paid by September 30, 2020. For the three and nine months ended September 30, 2020, approximately $0.4 million and $16.4 million of these charges were included in cost of sales, respectively, and approximately $0.2 million and $2.7 million were included in selling, general and administrative expenses, respectively, in the accompanying consolidated statement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15, 2020, the Company acquired Affaba &amp; Ferrari Srl ("Affaba &amp; Ferrari"), which specializes in the design, development and manufacture of precision caps and closures for food &amp; beverage and industrial product applications, for an aggregate amount of approximately $98.4 million, net of cash acquired. The fair value of assets acquired and liabilities assumed included approximately $49.1 million of goodwill, $35.1 million of intangible assets, $9.4 million of net working capital, $17.4 million of property and equipment, and $12.6 million of net deferred tax liabilities. Affaba &amp; Ferrari, which is reported in the Company's Packaging segment, operates out of a highly automated manufacturing facility and support office located in Borgo San Giovanni, Italy and historically generated approximately $34 million in annual revenue.</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17, 2020, the Company acquired the Rapak</w:t>
      </w:r>
      <w:r>
        <w:rPr>
          <w:rFonts w:ascii="Arial" w:cs="Arial" w:eastAsia="Arial" w:hAnsi="Arial"/>
          <w:sz w:val="19"/>
          <w:szCs w:val="19"/>
          <w:color w:val="auto"/>
        </w:rPr>
        <w:t>®</w:t>
      </w:r>
      <w:r>
        <w:rPr>
          <w:rFonts w:ascii="Arial" w:cs="Arial" w:eastAsia="Arial" w:hAnsi="Arial"/>
          <w:sz w:val="18"/>
          <w:szCs w:val="18"/>
          <w:color w:val="auto"/>
        </w:rPr>
        <w:t xml:space="preserve"> brand, including certain bag-in-box product lines and assets ("Rapak"), for an aggregate amount of approximately $11.4 million. Rapak, which is reported in the Company's Packaging segment, has manufacturing locations in Indiana and Illinois and historically generated approximately $30 million in annual revenue.</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2020, the Company acquired RSA Engineered Products ("RSA"), a manufacturer of complex, highly-engineered and proprietary ducting, connectors and related products for air management systems used in aerospace and defense applications, for an aggregate amount of approximately $83.7 million, net of cash acquired. The fair value of assets acquired and liabilities assumed included approximately $43.3 million of goodwill, $36.9 million of intangible assets, $10.1 million of net working capital, $2.1 million of property and equipment, and $8.7 million of net deferred tax liabilities. RSA, which is reported in the Company's Aerospace segment, is located in Simi Valley, California and historically generated approximately $30 million in annual revenue.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and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consists of the following components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 unrestricted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62,790</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Cash - restricted </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cash placed on deposit with a financial institution to be held as cash collateral for the Company's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for the nine months ended September 30, 2021 are summarized as follows (dollars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303,970</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(4,930)</w:t>
            </w: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299,040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assesses goodwill and other indefinite-lived intangible assets for impairment on an annual basis as of October 1, and more frequently if there are changes in the business climate or as a result of a triggering event taking place. During the third quarter of 2020, as a result of a decline in its aerospace-related business' financial results, a significant reduction in its financial projections for the remainder of 2020 compared with prior projections, and uncertainty around the duration and magnitude of the impact of the COVID-19 pandemic on future financial results given their dependence on future levels of air travel and new aircraft builds, the Company determined there was a triggering event requiring an interim quantitative goodwill impairment assessment of each of its two aerospace-related reporting units: Aerospace Fasteners and Aerospace Engineered Products.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completion of the quantitative goodwill impairment tests, the Company determined that the carrying values of the Aerospace Fasteners and Aerospace Engineered Products reporting units exceeded their fair values, resulting in goodwill impairment charges of approximately $70.8 million in its Aerospace Fasteners reporting unit and approximately $56.0 million in its Aerospace Engineered Products reporting unit during the three and nine month periods ended September 30,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660"/>
              <w:spacing w:after="0"/>
              <w:rPr>
                <w:sz w:val="20"/>
                <w:szCs w:val="20"/>
                <w:color w:val="auto"/>
              </w:rPr>
            </w:pPr>
            <w:r>
              <w:rPr>
                <w:rFonts w:ascii="Arial" w:cs="Arial" w:eastAsia="Arial" w:hAnsi="Arial"/>
                <w:sz w:val="16"/>
                <w:szCs w:val="16"/>
                <w:b w:val="1"/>
                <w:bCs w:val="1"/>
                <w:color w:val="auto"/>
              </w:rPr>
              <w:t>As of September 30, 2021</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Arial" w:cs="Arial" w:eastAsia="Arial" w:hAnsi="Arial"/>
                <w:sz w:val="16"/>
                <w:szCs w:val="16"/>
                <w:b w:val="1"/>
                <w:bCs w:val="1"/>
                <w:color w:val="auto"/>
              </w:rPr>
              <w:t>As of December 31, 2020</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213"/>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121,340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(68,280)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122,970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(59,470)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Arial" w:cs="Arial" w:eastAsia="Arial" w:hAnsi="Arial"/>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243,620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(121,920)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(72,250)</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397,860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(194,170)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operations is summarized as follows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322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8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175"/>
        </w:trPr>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Customer relationships, included in selling, general and</w:t>
            </w:r>
          </w:p>
        </w:tc>
        <w:tc>
          <w:tcPr>
            <w:tcW w:w="9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4,420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13,300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 expenses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significant forecast reduction in the Company's aerospace-related businesses in third quarter 2020, the Company also performed an interim quantitative assessment for the indefinite-lived intangible assets within the Aerospace segment, using the relief-from-royalty method. Significant management assumptions used under the relief-from-royalty method reflected the Company's current assessment of the risks and uncertainties associated with the aerospace industry. Upon completion of the quantitative impairment test, the Company determined that certain of the Company's aerospace-related trade names had carrying values that exceeded their fair values, and therefore recorded impairment charges of approximately $7.8 million during the three and nine month periods ended September 30,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5"/>
                <w:szCs w:val="15"/>
                <w:color w:val="auto"/>
              </w:rPr>
            </w:pPr>
          </w:p>
        </w:tc>
        <w:tc>
          <w:tcPr>
            <w:tcW w:w="134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95"/>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Property and Equipment, Net</w:t>
            </w: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gridSpan w:val="5"/>
          </w:tcPr>
          <w:p>
            <w:pPr>
              <w:spacing w:after="0"/>
              <w:rPr>
                <w:sz w:val="20"/>
                <w:szCs w:val="20"/>
                <w:color w:val="auto"/>
              </w:rPr>
            </w:pPr>
            <w:r>
              <w:rPr>
                <w:rFonts w:ascii="Arial" w:cs="Arial" w:eastAsia="Arial" w:hAnsi="Arial"/>
                <w:sz w:val="18"/>
                <w:szCs w:val="18"/>
                <w:color w:val="auto"/>
                <w:w w:val="94"/>
              </w:rPr>
              <w:t>Property and equipment consists of the following components (dollars in thousands):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24"/>
                <w:szCs w:val="24"/>
                <w:color w:val="auto"/>
              </w:rPr>
            </w:pPr>
          </w:p>
        </w:tc>
        <w:tc>
          <w:tcPr>
            <w:tcW w:w="134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95"/>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516,700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496,020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680" w:type="dxa"/>
            <w:vAlign w:val="bottom"/>
            <w:gridSpan w:val="12"/>
          </w:tcPr>
          <w:p>
            <w:pPr>
              <w:spacing w:after="0"/>
              <w:rPr>
                <w:sz w:val="20"/>
                <w:szCs w:val="20"/>
                <w:color w:val="auto"/>
              </w:rPr>
            </w:pPr>
            <w:r>
              <w:rPr>
                <w:rFonts w:ascii="Arial" w:cs="Arial" w:eastAsia="Arial" w:hAnsi="Arial"/>
                <w:sz w:val="18"/>
                <w:szCs w:val="18"/>
                <w:color w:val="auto"/>
                <w:w w:val="94"/>
              </w:rPr>
              <w:t>Depreciation expense as included in the accompanying consolidated statement of operations is as follows (dollars 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4"/>
          </w:tcPr>
          <w:p>
            <w:pPr>
              <w:jc w:val="right"/>
              <w:ind w:right="313"/>
              <w:spacing w:after="0"/>
              <w:rPr>
                <w:sz w:val="20"/>
                <w:szCs w:val="20"/>
                <w:color w:val="auto"/>
              </w:rPr>
            </w:pPr>
            <w:r>
              <w:rPr>
                <w:rFonts w:ascii="Arial" w:cs="Arial" w:eastAsia="Arial" w:hAnsi="Arial"/>
                <w:sz w:val="16"/>
                <w:szCs w:val="16"/>
                <w:b w:val="1"/>
                <w:bCs w:val="1"/>
                <w:color w:val="auto"/>
                <w:w w:val="97"/>
              </w:rPr>
              <w:t>Nine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Depreciation expense, included in selling, general and</w:t>
            </w: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the following (dollars in thousands):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34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60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r>
      <w:tr>
        <w:trPr>
          <w:trHeight w:val="226"/>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4.125%</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April 2029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4.875%</w:t>
            </w:r>
          </w:p>
        </w:tc>
        <w:tc>
          <w:tcPr>
            <w:tcW w:w="7420" w:type="dxa"/>
            <w:vAlign w:val="bottom"/>
          </w:tcPr>
          <w:p>
            <w:pPr>
              <w:ind w:left="20"/>
              <w:spacing w:after="0"/>
              <w:rPr>
                <w:sz w:val="20"/>
                <w:szCs w:val="20"/>
                <w:color w:val="auto"/>
              </w:rPr>
            </w:pPr>
            <w:r>
              <w:rPr>
                <w:rFonts w:ascii="Arial" w:cs="Arial" w:eastAsia="Arial" w:hAnsi="Arial"/>
                <w:sz w:val="18"/>
                <w:szCs w:val="18"/>
                <w:color w:val="auto"/>
              </w:rPr>
              <w:t>Senior Notes due October 2025</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r>
      <w:tr>
        <w:trPr>
          <w:trHeight w:val="248"/>
        </w:trPr>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346,290</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2029</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March 2021, the Company issued $400.0 million aggregate principal amount of 4.125% senior notes due April 15, 2029 ("2029 Senior Notes") at par value in a private placement under Rule 144A of the Securities Act of 1933, as amended ("Securities Act"). The Company used the proceeds from the 2029 Senior Notes offering to pay fees and expenses of approximately $5.1 million related to the offering and pay fees and expenses of $1.1 million related to amending its existing credit agreement. In connection with the issuance, during the second quarter of 2021, the Company completed the redemption of its outstanding 4.875% senior notes due October 15, 2025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approximately $3.0 million of unamortized debt issuance costs associated with the 2025 Senior Notes, were included in debt financing and related expenses in the accompanying statement of operations in the nine months ended September 30, 2021.</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2029 Senior Notes accrue interest at a rate of 4.125% per annum, payable semi-annually in arrears on April 15 and October 15, commencing on October 15, 2021. The payment of principal and interest is jointly and severally guaranteed, on a senior unsecured basis, by certain subsidiaries of the Company (each a "Guarantor" and collectively the "Guarantors"). The 2029 Senior Notes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April 15, 2024, the Company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2029 Senior Notes at a redemption price equal to 100% of the principal amount thereof, plus accrued and unpaid interest, if any, to the redemption date, plus a "make whole" premium. On or after April 15, 2024, the Company may redeem all or part of the 2029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32" w:lineRule="exact"/>
        <w:rPr>
          <w:sz w:val="20"/>
          <w:szCs w:val="20"/>
          <w:color w:val="auto"/>
        </w:rPr>
      </w:pPr>
    </w:p>
    <w:tbl>
      <w:tblPr>
        <w:tblLayout w:type="fixed"/>
        <w:tblInd w:w="2620" w:type="dxa"/>
        <w:tblCellMar>
          <w:top w:w="0" w:type="dxa"/>
          <w:left w:w="0" w:type="dxa"/>
          <w:bottom w:w="0" w:type="dxa"/>
          <w:right w:w="0" w:type="dxa"/>
        </w:tblCellMar>
      </w:tblPr>
      <w:tr>
        <w:trPr>
          <w:trHeight w:val="213"/>
        </w:trPr>
        <w:tc>
          <w:tcPr>
            <w:tcW w:w="388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40" w:type="dxa"/>
            <w:vAlign w:val="bottom"/>
          </w:tcPr>
          <w:p>
            <w:pPr>
              <w:jc w:val="right"/>
              <w:ind w:right="612"/>
              <w:spacing w:after="0"/>
              <w:rPr>
                <w:sz w:val="20"/>
                <w:szCs w:val="20"/>
                <w:color w:val="auto"/>
              </w:rPr>
            </w:pPr>
            <w:r>
              <w:rPr>
                <w:rFonts w:ascii="Arial" w:cs="Arial" w:eastAsia="Arial" w:hAnsi="Arial"/>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102.063 %</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101.031 %</w:t>
            </w: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2017, the Company issued $300.0 million aggregate principal amount of its 2025 Senior Notes at par value in a private placement under Rule 144A of the Securities Act. During the second quarter of 2021, and in connection with the issuance of the 2029 Senior Notes, the Company redeemed all of the outstanding 2025 Senior Notes, as permitted under the indenture, at a price of 102.438% of the principal amount.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first quarter of 2021, the Company amended its credit agreement ("Credit Agreement") in connection with the issuance of the 2029 Senior Notes to extend the maturity date. The Company incurred fees and expenses of approximately $1.1 million related to the amendment, all of which was capitalized as debt issuance costs. The Company also recorded approximately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 and is subject to interest at London Interbank Offered Rate ("LIBOR") plus 1.50%. The interest rate spread is based upon the leverage ratio, as defined, as of the most recent determination date.</w:t>
      </w:r>
    </w:p>
    <w:p>
      <w:pPr>
        <w:spacing w:after="0" w:line="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Company's revolving credit facility allows for the issuance of letters of credit, not to exceed $40.0 million in aggregate. The Company places cash on deposit with a financial institution to be held as cash collateral for the Company's outstanding letters of credit; therefore, as of September 30, 2021 and December 31, 2020, the Company had no letters of credit issued against its revolving credit facility. See Note 5,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for further information on its cash deposit. At September 30, 2021, the Company had no amounts outstanding under its revolving credit facility and had $300.0 million available. At December 31, 2020, the Company had $50.5 million outstanding under its revolving credit facility and had approximately $249.5 million available. The Company's borrowing capacity was not reduced by leverage restrictions contained in the Credit Agreement as of September 30, 2021 and December 31, 2020.</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September 30, 2021, the Company was in compliance with its financial covenants contained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Revolving Loan Facility</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2021, the Company, through one of its non-U.S. subsidiaries, entered into a revolving loan facility with a borrowing capacity of $4 million. The facility is guaranteed by TriMas Corporation. There are no borrowings outstanding on this loan facility as of September 30, 2021.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5"/>
          </w:tcPr>
          <w:p>
            <w:pPr>
              <w:ind w:left="96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3480" w:type="dxa"/>
            <w:vAlign w:val="bottom"/>
            <w:gridSpan w:val="4"/>
          </w:tcPr>
          <w:p>
            <w:pPr>
              <w:jc w:val="right"/>
              <w:ind w:right="1092"/>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3"/>
          </w:tcPr>
          <w:p>
            <w:pPr>
              <w:jc w:val="right"/>
              <w:ind w:right="610"/>
              <w:spacing w:after="0"/>
              <w:rPr>
                <w:sz w:val="20"/>
                <w:szCs w:val="20"/>
                <w:color w:val="auto"/>
              </w:rPr>
            </w:pPr>
            <w:r>
              <w:rPr>
                <w:rFonts w:ascii="Arial" w:cs="Arial" w:eastAsia="Arial" w:hAnsi="Arial"/>
                <w:sz w:val="16"/>
                <w:szCs w:val="16"/>
                <w:b w:val="1"/>
                <w:bCs w:val="1"/>
                <w:color w:val="auto"/>
                <w:w w:val="99"/>
              </w:rPr>
              <w:t>Carrying Amount</w:t>
            </w:r>
          </w:p>
        </w:tc>
        <w:tc>
          <w:tcPr>
            <w:tcW w:w="146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4.125%</w:t>
            </w:r>
          </w:p>
        </w:tc>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4.875%</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October 2025</w:t>
            </w: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305,630</w:t>
            </w:r>
          </w:p>
        </w:tc>
      </w:tr>
      <w:tr>
        <w:trPr>
          <w:trHeight w:val="22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 At inception, the Company designates its cross-currency swaps as net investment hedges.</w:t>
      </w:r>
    </w:p>
    <w:p>
      <w:pPr>
        <w:spacing w:after="0" w:line="10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September 30, 2021, the Company had cross-currency swap agreements at notional amounts totaling $250.0 million, which declines to $25.0 million over various contract periods ending between April 15, 2022 and April 15, 2027. Under the terms of the agreements, the Company is to receive net interest payments at fixed rates ranging from approximately 0.8% to 2.9% of the notional amounts.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the fair value carrying amount of the Company's derivatives designated as hedging instruments are recorded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6"/>
                <w:szCs w:val="16"/>
                <w:b w:val="1"/>
                <w:bCs w:val="1"/>
                <w:color w:val="auto"/>
              </w:rPr>
              <w:t>Asset / (Liability) Derivatives</w:t>
            </w:r>
          </w:p>
        </w:tc>
        <w:tc>
          <w:tcPr>
            <w:tcW w:w="0" w:type="dxa"/>
            <w:vAlign w:val="bottom"/>
          </w:tcPr>
          <w:p>
            <w:pPr>
              <w:spacing w:after="0"/>
              <w:rPr>
                <w:sz w:val="1"/>
                <w:szCs w:val="1"/>
                <w:color w:val="auto"/>
              </w:rPr>
            </w:pPr>
          </w:p>
        </w:tc>
      </w:tr>
      <w:tr>
        <w:trPr>
          <w:trHeight w:val="159"/>
        </w:trPr>
        <w:tc>
          <w:tcPr>
            <w:tcW w:w="44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96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Balance Sheet Caption</w:t>
            </w:r>
          </w:p>
        </w:tc>
        <w:tc>
          <w:tcPr>
            <w:tcW w:w="14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3"/>
                <w:szCs w:val="13"/>
                <w:color w:val="auto"/>
              </w:rPr>
            </w:pPr>
          </w:p>
        </w:tc>
        <w:tc>
          <w:tcPr>
            <w:tcW w:w="1180" w:type="dxa"/>
            <w:vAlign w:val="bottom"/>
          </w:tcPr>
          <w:p>
            <w:pPr>
              <w:jc w:val="center"/>
              <w:ind w:right="75"/>
              <w:spacing w:after="0" w:line="158"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460" w:type="dxa"/>
            <w:vAlign w:val="bottom"/>
            <w:gridSpan w:val="2"/>
            <w:vMerge w:val="continue"/>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Cross-currency swaps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 swaps</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income recognized in accumulated other comprehensive income (loss) ("AOCI") on derivative contracts designated as hedging instruments as of September 30, 2021 and December 31, 2020, and the amounts reclassified from AOCI into earnings for the three and nine months ended September 30, 2021 and 2020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left="780"/>
        <w:spacing w:after="0"/>
        <w:rPr>
          <w:sz w:val="20"/>
          <w:szCs w:val="20"/>
          <w:color w:val="auto"/>
        </w:rPr>
      </w:pPr>
      <w:r>
        <w:rPr>
          <w:rFonts w:ascii="Arial" w:cs="Arial" w:eastAsia="Arial" w:hAnsi="Arial"/>
          <w:sz w:val="14"/>
          <w:szCs w:val="14"/>
          <w:b w:val="1"/>
          <w:bCs w:val="1"/>
          <w:color w:val="auto"/>
        </w:rPr>
        <w:t>Amount of Loss Recognized</w:t>
      </w:r>
    </w:p>
    <w:p>
      <w:pPr>
        <w:jc w:val="center"/>
        <w:ind w:left="820"/>
        <w:spacing w:after="0" w:line="236" w:lineRule="auto"/>
        <w:rPr>
          <w:sz w:val="20"/>
          <w:szCs w:val="20"/>
          <w:color w:val="auto"/>
        </w:rPr>
      </w:pPr>
      <w:r>
        <w:rPr>
          <w:rFonts w:ascii="Arial" w:cs="Arial" w:eastAsia="Arial" w:hAnsi="Arial"/>
          <w:sz w:val="16"/>
          <w:szCs w:val="16"/>
          <w:b w:val="1"/>
          <w:bCs w:val="1"/>
          <w:color w:val="auto"/>
        </w:rPr>
        <w:t>in AOCI on Derivatives</w:t>
      </w:r>
    </w:p>
    <w:p>
      <w:pPr>
        <w:jc w:val="center"/>
        <w:ind w:left="820"/>
        <w:spacing w:after="0"/>
        <w:rPr>
          <w:sz w:val="20"/>
          <w:szCs w:val="20"/>
          <w:color w:val="auto"/>
        </w:rPr>
      </w:pPr>
      <w:r>
        <w:rPr>
          <w:rFonts w:ascii="Arial" w:cs="Arial" w:eastAsia="Arial" w:hAnsi="Arial"/>
          <w:sz w:val="14"/>
          <w:szCs w:val="14"/>
          <w:b w:val="1"/>
          <w:bCs w:val="1"/>
          <w:color w:val="auto"/>
        </w:rPr>
        <w:t>(Effective Portion, net of tax)</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Amount of Income (Loss) Reclassified</w:t>
      </w:r>
    </w:p>
    <w:p>
      <w:pPr>
        <w:jc w:val="center"/>
        <w:ind w:right="260"/>
        <w:spacing w:after="0"/>
        <w:rPr>
          <w:sz w:val="20"/>
          <w:szCs w:val="20"/>
          <w:color w:val="auto"/>
        </w:rPr>
      </w:pPr>
      <w:r>
        <w:rPr>
          <w:rFonts w:ascii="Arial" w:cs="Arial" w:eastAsia="Arial" w:hAnsi="Arial"/>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8890</wp:posOffset>
            </wp:positionV>
            <wp:extent cx="251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1"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Nine months ended</w:t>
      </w:r>
    </w:p>
    <w:p>
      <w:pPr>
        <w:ind w:left="200"/>
        <w:spacing w:after="0"/>
        <w:tabs>
          <w:tab w:leader="none" w:pos="2220" w:val="left"/>
        </w:tabs>
        <w:rPr>
          <w:sz w:val="20"/>
          <w:szCs w:val="20"/>
          <w:color w:val="auto"/>
        </w:rPr>
      </w:pPr>
      <w:r>
        <w:rPr>
          <w:rFonts w:ascii="Arial" w:cs="Arial" w:eastAsia="Arial" w:hAnsi="Arial"/>
          <w:sz w:val="16"/>
          <w:szCs w:val="16"/>
          <w:b w:val="1"/>
          <w:bCs w:val="1"/>
          <w:color w:val="auto"/>
        </w:rPr>
        <w:t>September 30,</w:t>
      </w:r>
      <w:r>
        <w:rPr>
          <w:sz w:val="20"/>
          <w:szCs w:val="20"/>
          <w:color w:val="auto"/>
        </w:rPr>
        <w:tab/>
      </w:r>
      <w:r>
        <w:rPr>
          <w:rFonts w:ascii="Arial" w:cs="Arial" w:eastAsia="Arial" w:hAnsi="Arial"/>
          <w:sz w:val="14"/>
          <w:szCs w:val="14"/>
          <w:b w:val="1"/>
          <w:bCs w:val="1"/>
          <w:color w:val="auto"/>
        </w:rPr>
        <w:t>September 30,</w:t>
      </w:r>
    </w:p>
    <w:p>
      <w:pPr>
        <w:spacing w:after="0" w:line="8" w:lineRule="exact"/>
        <w:rPr>
          <w:sz w:val="20"/>
          <w:szCs w:val="20"/>
          <w:color w:val="auto"/>
        </w:rPr>
      </w:pPr>
    </w:p>
    <w:p>
      <w:pPr>
        <w:sectPr>
          <w:pgSz w:w="11900" w:h="16838" w:orient="portrait"/>
          <w:cols w:equalWidth="0" w:num="2">
            <w:col w:w="6820" w:space="720"/>
            <w:col w:w="37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As of</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center"/>
              <w:ind w:right="57"/>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1"/>
              </w:rPr>
              <w:t>Location of Income</w:t>
            </w: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9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Reclassified from AOCI</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September 30,</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9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into Earnings (Effective</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7"/>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7"/>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Portion)</w:t>
            </w:r>
          </w:p>
        </w:tc>
        <w:tc>
          <w:tcPr>
            <w:tcW w:w="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40" w:type="dxa"/>
            <w:vAlign w:val="bottom"/>
            <w:vMerge w:val="restart"/>
          </w:tcPr>
          <w:p>
            <w:pPr>
              <w:ind w:left="140"/>
              <w:spacing w:after="0"/>
              <w:rPr>
                <w:sz w:val="20"/>
                <w:szCs w:val="20"/>
                <w:color w:val="auto"/>
              </w:rPr>
            </w:pPr>
            <w:r>
              <w:rPr>
                <w:rFonts w:ascii="Arial" w:cs="Arial" w:eastAsia="Arial" w:hAnsi="Arial"/>
                <w:sz w:val="18"/>
                <w:szCs w:val="18"/>
                <w:color w:val="auto"/>
              </w:rPr>
              <w:t>Cross-currency swaps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14"/>
                <w:szCs w:val="14"/>
                <w:color w:val="auto"/>
              </w:rPr>
            </w:pPr>
          </w:p>
        </w:tc>
        <w:tc>
          <w:tcPr>
            <w:tcW w:w="19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Other income (expense),</w:t>
            </w:r>
          </w:p>
        </w:tc>
        <w:tc>
          <w:tcPr>
            <w:tcW w:w="640" w:type="dxa"/>
            <w:vAlign w:val="bottom"/>
            <w:vMerge w:val="restart"/>
          </w:tcPr>
          <w:p>
            <w:pPr>
              <w:jc w:val="right"/>
              <w:ind w:right="435"/>
              <w:spacing w:after="0"/>
              <w:rPr>
                <w:sz w:val="20"/>
                <w:szCs w:val="20"/>
                <w:color w:val="auto"/>
              </w:rPr>
            </w:pPr>
            <w:r>
              <w:rPr>
                <w:rFonts w:ascii="Arial" w:cs="Arial" w:eastAsia="Arial" w:hAnsi="Arial"/>
                <w:sz w:val="18"/>
                <w:szCs w:val="18"/>
                <w:color w:val="auto"/>
                <w:w w:val="99"/>
              </w:rPr>
              <w:t>$</w:t>
            </w:r>
          </w:p>
        </w:tc>
        <w:tc>
          <w:tcPr>
            <w:tcW w:w="580" w:type="dxa"/>
            <w:vAlign w:val="bottom"/>
            <w:gridSpan w:val="3"/>
            <w:vMerge w:val="restart"/>
          </w:tcPr>
          <w:p>
            <w:pPr>
              <w:ind w:left="20"/>
              <w:spacing w:after="0"/>
              <w:rPr>
                <w:sz w:val="20"/>
                <w:szCs w:val="20"/>
                <w:color w:val="auto"/>
              </w:rPr>
            </w:pPr>
            <w:r>
              <w:rPr>
                <w:rFonts w:ascii="Arial" w:cs="Arial" w:eastAsia="Arial" w:hAnsi="Arial"/>
                <w:sz w:val="18"/>
                <w:szCs w:val="18"/>
                <w:color w:val="auto"/>
              </w:rPr>
              <w:t>—  $</w:t>
            </w:r>
          </w:p>
        </w:tc>
        <w:tc>
          <w:tcPr>
            <w:tcW w:w="1000" w:type="dxa"/>
            <w:vAlign w:val="bottom"/>
            <w:gridSpan w:val="3"/>
            <w:vMerge w:val="restart"/>
          </w:tcPr>
          <w:p>
            <w:pPr>
              <w:ind w:left="440"/>
              <w:spacing w:after="0"/>
              <w:rPr>
                <w:sz w:val="20"/>
                <w:szCs w:val="20"/>
                <w:color w:val="auto"/>
              </w:rPr>
            </w:pPr>
            <w:r>
              <w:rPr>
                <w:rFonts w:ascii="Arial" w:cs="Arial" w:eastAsia="Arial" w:hAnsi="Arial"/>
                <w:sz w:val="18"/>
                <w:szCs w:val="18"/>
                <w:color w:val="auto"/>
              </w:rPr>
              <w:t>—  $</w:t>
            </w:r>
          </w:p>
        </w:tc>
        <w:tc>
          <w:tcPr>
            <w:tcW w:w="1020" w:type="dxa"/>
            <w:vAlign w:val="bottom"/>
            <w:gridSpan w:val="3"/>
            <w:vMerge w:val="restart"/>
          </w:tcPr>
          <w:p>
            <w:pPr>
              <w:ind w:left="460"/>
              <w:spacing w:after="0"/>
              <w:rPr>
                <w:sz w:val="20"/>
                <w:szCs w:val="20"/>
                <w:color w:val="auto"/>
              </w:rPr>
            </w:pPr>
            <w:r>
              <w:rPr>
                <w:rFonts w:ascii="Arial" w:cs="Arial" w:eastAsia="Arial" w:hAnsi="Arial"/>
                <w:sz w:val="18"/>
                <w:szCs w:val="18"/>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4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Arial" w:cs="Arial" w:eastAsia="Arial" w:hAnsi="Arial"/>
                <w:sz w:val="16"/>
                <w:szCs w:val="16"/>
                <w:color w:val="auto"/>
              </w:rPr>
              <w:t>net</w:t>
            </w:r>
          </w:p>
        </w:tc>
        <w:tc>
          <w:tcPr>
            <w:tcW w:w="640" w:type="dxa"/>
            <w:vAlign w:val="bottom"/>
            <w:vMerge w:val="continue"/>
          </w:tcPr>
          <w:p>
            <w:pPr>
              <w:spacing w:after="0"/>
              <w:rPr>
                <w:sz w:val="18"/>
                <w:szCs w:val="18"/>
                <w:color w:val="auto"/>
              </w:rPr>
            </w:pPr>
          </w:p>
        </w:tc>
        <w:tc>
          <w:tcPr>
            <w:tcW w:w="580" w:type="dxa"/>
            <w:vAlign w:val="bottom"/>
            <w:gridSpan w:val="3"/>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2021, the Company was party to foreign currency exchange forward contracts to economically hedge changes in foreign currency rates with notional amounts of approximately $126.9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Mexican peso and the Chinese yuan, and have various settlement dates through December 2021. These contracts are not designated as hedge instruments; therefore, gains and losses on these contracts are recognized each period directly into the consolidated statement of operations.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operations (dollars in thousands):</w:t>
      </w:r>
    </w:p>
    <w:p>
      <w:pPr>
        <w:spacing w:after="0" w:line="221"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Amount of Income Recognized in</w:t>
      </w:r>
    </w:p>
    <w:p>
      <w:pPr>
        <w:ind w:left="8220"/>
        <w:spacing w:after="0"/>
        <w:rPr>
          <w:sz w:val="20"/>
          <w:szCs w:val="20"/>
          <w:color w:val="auto"/>
        </w:rPr>
      </w:pPr>
      <w:r>
        <w:rPr>
          <w:rFonts w:ascii="Arial" w:cs="Arial" w:eastAsia="Arial" w:hAnsi="Arial"/>
          <w:sz w:val="16"/>
          <w:szCs w:val="16"/>
          <w:b w:val="1"/>
          <w:bCs w:val="1"/>
          <w:color w:val="auto"/>
        </w:rPr>
        <w:t>Earnings on 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5"/>
          </w:tcPr>
          <w:p>
            <w:pPr>
              <w:ind w:left="120"/>
              <w:spacing w:after="0" w:line="161" w:lineRule="exact"/>
              <w:rPr>
                <w:sz w:val="20"/>
                <w:szCs w:val="20"/>
                <w:color w:val="auto"/>
              </w:rPr>
            </w:pPr>
            <w:r>
              <w:rPr>
                <w:rFonts w:ascii="Arial" w:cs="Arial" w:eastAsia="Arial" w:hAnsi="Arial"/>
                <w:sz w:val="16"/>
                <w:szCs w:val="16"/>
                <w:b w:val="1"/>
                <w:bCs w:val="1"/>
                <w:color w:val="auto"/>
              </w:rPr>
              <w:t>Three months ended</w:t>
            </w:r>
          </w:p>
        </w:tc>
        <w:tc>
          <w:tcPr>
            <w:tcW w:w="2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4"/>
          </w:tcPr>
          <w:p>
            <w:pPr>
              <w:jc w:val="center"/>
              <w:ind w:right="155"/>
              <w:spacing w:after="0" w:line="161" w:lineRule="exact"/>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ind w:left="34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900" w:type="dxa"/>
            <w:vAlign w:val="bottom"/>
            <w:gridSpan w:val="4"/>
          </w:tcPr>
          <w:p>
            <w:pPr>
              <w:jc w:val="center"/>
              <w:ind w:right="155"/>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56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1"/>
              </w:rPr>
              <w:t>Location of Income</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5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8"/>
              </w:rPr>
              <w:t>Recognized in</w:t>
            </w:r>
          </w:p>
        </w:tc>
        <w:tc>
          <w:tcPr>
            <w:tcW w:w="22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Earnings on Derivatives</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6"/>
                <w:szCs w:val="16"/>
                <w:color w:val="auto"/>
              </w:rPr>
              <w:t>Foreign exchange contracts</w:t>
            </w:r>
          </w:p>
        </w:tc>
        <w:tc>
          <w:tcPr>
            <w:tcW w:w="2560" w:type="dxa"/>
            <w:vAlign w:val="bottom"/>
            <w:gridSpan w:val="2"/>
          </w:tcPr>
          <w:p>
            <w:pPr>
              <w:ind w:left="1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September 30, 2021 and December 31, 2020 are shown below (dollars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Quoted Prices in</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3"/>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26"/>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6"/>
          </w:tcPr>
          <w:p>
            <w:pPr>
              <w:jc w:val="right"/>
              <w:ind w:right="311"/>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variable and other lease costs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3"/>
              </w:rPr>
              <w:t>Maturities of lease liabilities are as follows (dollars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6"/>
                <w:szCs w:val="16"/>
                <w:b w:val="1"/>
                <w:bCs w:val="1"/>
                <w:color w:val="auto"/>
              </w:rPr>
              <w:t>Operating Leases</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nine months ended September, 2021)</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43,950</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340" w:hanging="332"/>
        <w:spacing w:after="0" w:line="217" w:lineRule="auto"/>
        <w:tabs>
          <w:tab w:leader="none" w:pos="304"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weighted-average remaining lease term of the Company's operating leases as of September 30, 2021 is approximately 6.5 years. The weighted-average discount rate as of September 30, 2021 is approximately 4.1%.</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paid for amounts included in the measurement of operating lease liabilities was approximately $6.2 million and $5.4 million during the nine months ended September 30, 2021 and 2020, respectively, and is included in cash flows provided by operating activities in the consolidated statement of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Right-of-use assets obtained in exchange for lease liabilities were approximately $6.2 million and $10.5 million during the nine months ended September 30, 2021 and 2020,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long-term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components (dollars in thousands):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7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asbestos-related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the Company was a party to 370 pending cases involving an aggregate of 4,709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Claims</w:t>
            </w:r>
          </w:p>
        </w:tc>
        <w:tc>
          <w:tcPr>
            <w:tcW w:w="12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4"/>
              </w:rPr>
              <w:t>dismissed</w:t>
            </w:r>
          </w:p>
        </w:tc>
        <w:tc>
          <w:tcPr>
            <w:tcW w:w="1260" w:type="dxa"/>
            <w:vAlign w:val="bottom"/>
            <w:gridSpan w:val="2"/>
          </w:tcPr>
          <w:p>
            <w:pPr>
              <w:ind w:left="360"/>
              <w:spacing w:after="0" w:line="162" w:lineRule="exact"/>
              <w:rPr>
                <w:sz w:val="20"/>
                <w:szCs w:val="20"/>
                <w:color w:val="auto"/>
              </w:rPr>
            </w:pPr>
            <w:r>
              <w:rPr>
                <w:rFonts w:ascii="Arial" w:cs="Arial" w:eastAsia="Arial" w:hAnsi="Arial"/>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during</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during</w:t>
            </w:r>
          </w:p>
        </w:tc>
        <w:tc>
          <w:tcPr>
            <w:tcW w:w="1260" w:type="dxa"/>
            <w:vAlign w:val="bottom"/>
            <w:gridSpan w:val="2"/>
          </w:tcPr>
          <w:p>
            <w:pPr>
              <w:ind w:left="340"/>
              <w:spacing w:after="0" w:line="162" w:lineRule="exact"/>
              <w:rPr>
                <w:sz w:val="20"/>
                <w:szCs w:val="20"/>
                <w:color w:val="auto"/>
              </w:rPr>
            </w:pPr>
            <w:r>
              <w:rPr>
                <w:rFonts w:ascii="Arial" w:cs="Arial" w:eastAsia="Arial" w:hAnsi="Arial"/>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87"/>
              </w:rPr>
              <w:t>costs during</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6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period</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c>
          <w:tcPr>
            <w:tcW w:w="0" w:type="dxa"/>
            <w:vAlign w:val="bottom"/>
          </w:tcPr>
          <w:p>
            <w:pPr>
              <w:spacing w:after="0"/>
              <w:rPr>
                <w:sz w:val="1"/>
                <w:szCs w:val="1"/>
                <w:color w:val="auto"/>
              </w:rPr>
            </w:pPr>
          </w:p>
        </w:tc>
      </w:tr>
      <w:tr>
        <w:trPr>
          <w:trHeight w:val="158"/>
        </w:trPr>
        <w:tc>
          <w:tcPr>
            <w:tcW w:w="220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rPr>
              <w:t>Nine Months Ended</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ind w:left="900"/>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4,709</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1,560,000</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Fiscal Year Ended</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4,759</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5"/>
                <w:szCs w:val="15"/>
                <w:color w:val="auto"/>
              </w:rPr>
            </w:pPr>
          </w:p>
        </w:tc>
        <w:tc>
          <w:tcPr>
            <w:tcW w:w="1140" w:type="dxa"/>
            <w:vAlign w:val="bottom"/>
            <w:vMerge w:val="restart"/>
          </w:tcPr>
          <w:p>
            <w:pPr>
              <w:ind w:left="9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8"/>
                <w:szCs w:val="18"/>
                <w:color w:val="auto"/>
              </w:rPr>
              <w:t>4,655</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18,314</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2,130,000</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4,709 claims pending at September 30, 2021, 24 set forth specific amounts of damages (other than those stating the statutory minimum or maximum). At September 30, 2021, of the 24 claims that set forth specific amounts, there was one claim seeking more than $5 million for punitive damages. Below is a breakdown of the compensatory damages sought for those claims seeking specific amounts: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Compensatory</w:t>
            </w:r>
          </w:p>
        </w:tc>
        <w:tc>
          <w:tcPr>
            <w:tcW w:w="1320" w:type="dxa"/>
            <w:vAlign w:val="bottom"/>
            <w:tcBorders>
              <w:bottom w:val="single" w:sz="8" w:color="auto"/>
            </w:tcBorders>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$0.6 to $5.0</w:t>
            </w:r>
          </w:p>
        </w:tc>
        <w:tc>
          <w:tcPr>
            <w:tcW w:w="1320" w:type="dxa"/>
            <w:vAlign w:val="bottom"/>
          </w:tcPr>
          <w:p>
            <w:pPr>
              <w:jc w:val="right"/>
              <w:ind w:right="375"/>
              <w:spacing w:after="0"/>
              <w:rPr>
                <w:sz w:val="20"/>
                <w:szCs w:val="20"/>
                <w:color w:val="auto"/>
              </w:rPr>
            </w:pPr>
            <w:r>
              <w:rPr>
                <w:rFonts w:ascii="Arial" w:cs="Arial" w:eastAsia="Arial" w:hAnsi="Arial"/>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20</w:t>
            </w: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Relatively few claims have reached the discovery stage and even fewer claims have gone past the discovery stage. Total settlement costs (exclusive of defense costs) for all such cases, some of which were filed over 25 years ago, have been approximately $10.3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has been significant volatility in the historical number of claim filings and costs to defend, with previous claim counts and spend levels much higher than current levels. Management believes this volatility was associated more with tort reform, plaintiff practices and state-specific legal dockets than the Company’s underlying asbestos-related exposures. From 2017 to 2019, however, the number of new claim filings, and costs to defend, had become much more consistent, ranging between 143 to 173 new claims per year and total defense costs ranging between $2.2 million and $2.3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higher degree of consistency in census data and spend levels, as well as lower claim activity levels and an evolving defense strategy, has allowed the Company to more effectively and efficiently manage claims, making process or local counsel arrangement improvements where possible. Given the consistency of activity over a multi-year period, the Company believed a trend may have formed where it could be possible to reasonably estimate its future cash exposure for all asbestos-related activity with an adequate level of precision. As such, the Company commissioned an actuary to help evaluate the nature and predictability of its asbestos-related costs, and provide an actuarial range of estimates of future exposures. Based upon its review of the actuarial study, which was completed in June 2020 using data as of December 31, 2019 and which projected spend levels through a terminal year of 2064, the Company affirmed its belief that it now has the ability to reasonably estimate its future asbestos-related exposures for pending as well as unknown future claims.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second quarter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 This accounting change was reflected as a change in accounting estimate effected by a change in accounting principle.</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change in accounting estimate, the Company’s liability for asbestos-related claims will be based on a study from the Company’s third-party actuary, the Company's review of the study, as well as the Company’s own review of asbestos claims and claim resolution activity. The study from the Company’s actuary, based on data as of December 31, 2019, provided for a range of possible future liability from $31.5 million to $43.3 million. The Company did not believe any amount within the range of potential outcomes represented a better estimate than another given the many factors and assumptions inherent in the projections, and therefore recorded a non-cash, pre-tax charge of $23.4 million in second quarter 2020 to increase the liability estimate to $31.5 million, at the low-end of the range. This charge is included in selling, general and administrative expenses in the accompanying consolidated statement of operations. As of September 30, 2021, the Company’s total asbestos-related liability is $26.8 million, and is included in accrued liabilities and other long-term liabilities, respectively, in the accompanying consolidated balance sheet.</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Packaging – </w:t>
      </w:r>
      <w:r>
        <w:rPr>
          <w:rFonts w:ascii="Arial" w:cs="Arial" w:eastAsia="Arial" w:hAnsi="Arial"/>
          <w:sz w:val="17"/>
          <w:szCs w:val="17"/>
          <w:color w:val="auto"/>
        </w:rPr>
        <w:t>The Packaging segment, which consists primarily of the Rieke</w:t>
      </w:r>
      <w:r>
        <w:rPr>
          <w:rFonts w:ascii="Arial" w:cs="Arial" w:eastAsia="Arial" w:hAnsi="Arial"/>
          <w:sz w:val="22"/>
          <w:szCs w:val="22"/>
          <w:color w:val="auto"/>
          <w:vertAlign w:val="superscript"/>
        </w:rPr>
        <w:t>®</w:t>
      </w:r>
      <w:r>
        <w:rPr>
          <w:rFonts w:ascii="Arial" w:cs="Arial" w:eastAsia="Arial" w:hAnsi="Arial"/>
          <w:sz w:val="17"/>
          <w:szCs w:val="17"/>
          <w:color w:val="auto"/>
        </w:rPr>
        <w:t>, Taplast</w:t>
      </w:r>
      <w:r>
        <w:rPr>
          <w:rFonts w:ascii="Arial" w:cs="Arial" w:eastAsia="Arial" w:hAnsi="Arial"/>
          <w:sz w:val="22"/>
          <w:szCs w:val="22"/>
          <w:color w:val="auto"/>
          <w:vertAlign w:val="superscript"/>
        </w:rPr>
        <w:t>™</w:t>
      </w:r>
      <w:r>
        <w:rPr>
          <w:rFonts w:ascii="Arial" w:cs="Arial" w:eastAsia="Arial" w:hAnsi="Arial"/>
          <w:sz w:val="17"/>
          <w:szCs w:val="17"/>
          <w:color w:val="auto"/>
        </w:rPr>
        <w:t>, Affaba &amp; Ferrari</w:t>
      </w:r>
      <w:r>
        <w:rPr>
          <w:rFonts w:ascii="Arial" w:cs="Arial" w:eastAsia="Arial" w:hAnsi="Arial"/>
          <w:sz w:val="22"/>
          <w:szCs w:val="22"/>
          <w:color w:val="auto"/>
          <w:vertAlign w:val="superscript"/>
        </w:rPr>
        <w:t>™</w:t>
      </w:r>
      <w:r>
        <w:rPr>
          <w:rFonts w:ascii="Arial" w:cs="Arial" w:eastAsia="Arial" w:hAnsi="Arial"/>
          <w:sz w:val="17"/>
          <w:szCs w:val="17"/>
          <w:color w:val="auto"/>
        </w:rPr>
        <w:t>, Stolz and Rapak</w:t>
      </w:r>
      <w:r>
        <w:rPr>
          <w:rFonts w:ascii="Arial" w:cs="Arial" w:eastAsia="Arial" w:hAnsi="Arial"/>
          <w:sz w:val="22"/>
          <w:szCs w:val="22"/>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brands, develops and</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manufactures a broad array of dispensing products (such as foaming pumps, lotion and hand soap pumps, sanitizer pumps, beverage dispensers, perfume sprayers, nasal sprayers and trigger sprayers), polymeric and steel caps and closures (such as food lids, flip-top closures, child resistance caps, beverage closures, drum and pail closures, flexible spouts, and agricultural closures), polymeric jar products, and fully integrated dispensers for fill-ready bag-in-box applications, all for a variety of consumer products submarkets including, but not limited to, beauty and personal care, food and beverage, home care, and pharmaceutical and nutraceutical, as well as the industrial market.</w:t>
      </w:r>
    </w:p>
    <w:p>
      <w:pPr>
        <w:spacing w:after="0" w:line="10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b w:val="1"/>
          <w:bCs w:val="1"/>
          <w:color w:val="auto"/>
        </w:rPr>
        <w:t xml:space="preserve">Aerospace – </w:t>
      </w:r>
      <w:r>
        <w:rPr>
          <w:rFonts w:ascii="Arial" w:cs="Arial" w:eastAsia="Arial" w:hAnsi="Arial"/>
          <w:sz w:val="17"/>
          <w:szCs w:val="17"/>
          <w:color w:val="auto"/>
        </w:rPr>
        <w:t>The Aerospace segment, which includes the Monogram Aerospace Fasteners</w:t>
      </w:r>
      <w:r>
        <w:rPr>
          <w:rFonts w:ascii="Arial" w:cs="Arial" w:eastAsia="Arial" w:hAnsi="Arial"/>
          <w:sz w:val="22"/>
          <w:szCs w:val="22"/>
          <w:color w:val="auto"/>
          <w:vertAlign w:val="superscript"/>
        </w:rPr>
        <w:t>™</w:t>
      </w:r>
      <w:r>
        <w:rPr>
          <w:rFonts w:ascii="Arial" w:cs="Arial" w:eastAsia="Arial" w:hAnsi="Arial"/>
          <w:sz w:val="17"/>
          <w:szCs w:val="17"/>
          <w:color w:val="auto"/>
        </w:rPr>
        <w:t>, Allfast Fastening Systems</w:t>
      </w:r>
      <w:r>
        <w:rPr>
          <w:rFonts w:ascii="Arial" w:cs="Arial" w:eastAsia="Arial" w:hAnsi="Arial"/>
          <w:sz w:val="22"/>
          <w:szCs w:val="22"/>
          <w:color w:val="auto"/>
          <w:vertAlign w:val="superscript"/>
        </w:rPr>
        <w:t>®</w:t>
      </w:r>
      <w:r>
        <w:rPr>
          <w:rFonts w:ascii="Arial" w:cs="Arial" w:eastAsia="Arial" w:hAnsi="Arial"/>
          <w:sz w:val="17"/>
          <w:szCs w:val="17"/>
          <w:color w:val="auto"/>
        </w:rPr>
        <w:t>, Mac Fasteners</w:t>
      </w:r>
      <w:r>
        <w:rPr>
          <w:rFonts w:ascii="Arial" w:cs="Arial" w:eastAsia="Arial" w:hAnsi="Arial"/>
          <w:sz w:val="22"/>
          <w:szCs w:val="22"/>
          <w:color w:val="auto"/>
          <w:vertAlign w:val="superscript"/>
        </w:rPr>
        <w:t>™</w:t>
      </w:r>
      <w:r>
        <w:rPr>
          <w:rFonts w:ascii="Arial" w:cs="Arial" w:eastAsia="Arial" w:hAnsi="Arial"/>
          <w:sz w:val="17"/>
          <w:szCs w:val="17"/>
          <w:color w:val="auto"/>
        </w:rPr>
        <w:t>, RSA</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Engineered Products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Martinic Engineering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brands, develops, qualifies and manufactures highly-engineered, precision fasteners, tubular products and assemblies for fluid conveyance, and machined products and assemblies to serve the aerospace and defense market.</w:t>
      </w:r>
    </w:p>
    <w:p>
      <w:pPr>
        <w:spacing w:after="0" w:line="12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The Specialty Products segment, which includes the Norris Cylinder</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wellhead engines and compression systems for use within industrial markets.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278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138,010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135,120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409,730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364,000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130,660</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87,140</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581,800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70,340</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(132,630)</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(45,220)</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(106,640)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no stock-based compensation expense related to stock options during the three and nine months ended September 30, 2021 and 2020, respectively. As of September 30, 2021, there was no unrecognized compensation costs related to stock options remaining. Information related to stock options at September 30, 2021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1840" w:type="dxa"/>
            <w:vAlign w:val="bottom"/>
            <w:gridSpan w:val="3"/>
          </w:tcPr>
          <w:p>
            <w:pPr>
              <w:jc w:val="center"/>
              <w:ind w:right="150"/>
              <w:spacing w:after="0"/>
              <w:rPr>
                <w:sz w:val="20"/>
                <w:szCs w:val="20"/>
                <w:color w:val="auto"/>
              </w:rPr>
            </w:pPr>
            <w:r>
              <w:rPr>
                <w:rFonts w:ascii="Arial" w:cs="Arial" w:eastAsia="Arial" w:hAnsi="Arial"/>
                <w:sz w:val="16"/>
                <w:szCs w:val="16"/>
                <w:b w:val="1"/>
                <w:bCs w:val="1"/>
                <w:color w:val="auto"/>
                <w:w w:val="93"/>
              </w:rPr>
              <w:t>Average Remaining</w:t>
            </w:r>
          </w:p>
        </w:tc>
        <w:tc>
          <w:tcPr>
            <w:tcW w:w="146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40" w:type="dxa"/>
            <w:vAlign w:val="bottom"/>
            <w:gridSpan w:val="3"/>
          </w:tcPr>
          <w:p>
            <w:pPr>
              <w:jc w:val="center"/>
              <w:ind w:right="15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Stock Options</w:t>
            </w:r>
          </w:p>
        </w:tc>
        <w:tc>
          <w:tcPr>
            <w:tcW w:w="12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Option Price</w:t>
            </w:r>
          </w:p>
        </w:tc>
        <w:tc>
          <w:tcPr>
            <w:tcW w:w="1840" w:type="dxa"/>
            <w:vAlign w:val="bottom"/>
            <w:gridSpan w:val="3"/>
          </w:tcPr>
          <w:p>
            <w:pPr>
              <w:jc w:val="center"/>
              <w:ind w:right="170"/>
              <w:spacing w:after="0"/>
              <w:rPr>
                <w:sz w:val="20"/>
                <w:szCs w:val="20"/>
                <w:color w:val="auto"/>
              </w:rPr>
            </w:pPr>
            <w:r>
              <w:rPr>
                <w:rFonts w:ascii="Arial" w:cs="Arial" w:eastAsia="Arial" w:hAnsi="Arial"/>
                <w:sz w:val="16"/>
                <w:szCs w:val="16"/>
                <w:b w:val="1"/>
                <w:bCs w:val="1"/>
                <w:color w:val="auto"/>
                <w:w w:val="92"/>
              </w:rPr>
              <w:t>(Years)</w:t>
            </w:r>
          </w:p>
        </w:tc>
        <w:tc>
          <w:tcPr>
            <w:tcW w:w="146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Outstanding at September 30, 2021</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nine months ended September 30, 2021:</w:t>
      </w:r>
    </w:p>
    <w:p>
      <w:pPr>
        <w:spacing w:after="0" w:line="158"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131,198 RSUs to certain employees, which are subject only to a service condition and vest ratably over three years so long as the employee remains with the Company;</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21,112 RSUs to its non-employee independent directors, which fully vest one year from date of grant so long as the director and/or Company does not terminate the director's service prior to the vesting date; and</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1,407 RSUs related to director fee deferrals as certain of the Company's directors elected to defer all or a portion of their directors fees and to receive the amount in Company common stock at a future date.</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2021, the Company awarded 72,962 performance-based RSUs to certain Company key employees which vest three years from the grant date as long as the employee remains with the Company. These awards are earned 50% based upon the Company's achievement of an earnings per share compound annual growth rate ("EPS CAGR") metric over a period beginning January 1, 2021 and ending December 31, 2023.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0.28% and annualized volatility of 35.5%. Depending on the performance achieved for these two metrics, the amount of shares earned, if any, can vary for each metric from 0% of the target award to a maximum of 200% of the target award. For similar performance-based RSUs awarded in 2018, the Company attained 126.2% of the target on a weighted average basis, resulting in an increase of 25,993 shares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September 30, 2021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4"/>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Grant Date Fair</w:t>
            </w:r>
          </w:p>
        </w:tc>
        <w:tc>
          <w:tcPr>
            <w:tcW w:w="17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700" w:type="dxa"/>
            <w:vAlign w:val="bottom"/>
            <w:gridSpan w:val="2"/>
          </w:tcPr>
          <w:p>
            <w:pPr>
              <w:ind w:left="600"/>
              <w:spacing w:after="0"/>
              <w:rPr>
                <w:sz w:val="20"/>
                <w:szCs w:val="20"/>
                <w:color w:val="auto"/>
              </w:rPr>
            </w:pPr>
            <w:r>
              <w:rPr>
                <w:rFonts w:ascii="Arial" w:cs="Arial" w:eastAsia="Arial" w:hAnsi="Arial"/>
                <w:sz w:val="16"/>
                <w:szCs w:val="16"/>
                <w:b w:val="1"/>
                <w:bCs w:val="1"/>
                <w:color w:val="auto"/>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784,968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252,672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(308,576)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710,912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23,005,000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there was approximately $8.0 million of unrecognized compensation cost related to unvested RSUs that is expected to be recorded over a weighted average period of 2.0 years.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stock-based compensation expense related to RSUs of approximately $1.7 million and $0.9 million during the three months ended September 30, 2021 and 2020, respectively, and approximately $7.3 million and $5.6 million during the nine months ended September 30, 2021 and 2020, respectively. The stock-based compensation expense is included in selling, general and administrative expenses in the accompanying consolidated statement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income is divided by the weighted average number of common shares outstanding during the period to calculate basic earnings per share. Diluted earnings per share is calculated to give effect to stock options and RSUs. For the three and nine months ended September 30, 2020, no restricted shares or options to purchase shares were included in the computation of net income (loss) per share because to do so would be anti-dilutive. The following table summarizes the dilutive effect of RSUs and options to purchase common stock for the three and nine months ended September 30,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9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Three months ended</w:t>
            </w:r>
          </w:p>
        </w:tc>
        <w:tc>
          <w:tcPr>
            <w:tcW w:w="2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5560" w:type="dxa"/>
            <w:vAlign w:val="bottom"/>
          </w:tcPr>
          <w:p>
            <w:pPr>
              <w:spacing w:after="0"/>
              <w:rPr>
                <w:sz w:val="18"/>
                <w:szCs w:val="18"/>
                <w:color w:val="auto"/>
              </w:rPr>
            </w:pPr>
          </w:p>
        </w:tc>
        <w:tc>
          <w:tcPr>
            <w:tcW w:w="190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Borders>
              <w:bottom w:val="single" w:sz="8" w:color="auto"/>
            </w:tcBorders>
          </w:tcPr>
          <w:p>
            <w:pPr>
              <w:spacing w:after="0"/>
              <w:rPr>
                <w:sz w:val="18"/>
                <w:szCs w:val="18"/>
                <w:color w:val="auto"/>
              </w:rPr>
            </w:pPr>
          </w:p>
        </w:tc>
      </w:tr>
      <w:tr>
        <w:trPr>
          <w:trHeight w:val="209"/>
        </w:trPr>
        <w:tc>
          <w:tcPr>
            <w:tcW w:w="55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42,889,922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43,457,704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43,061,707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43,707,331</w:t>
            </w: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204,177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267,675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Weighted average common shares—diluted</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43,094,099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43,457,704</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43,345,777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43,707,331</w:t>
            </w:r>
          </w:p>
        </w:tc>
      </w:tr>
      <w:tr>
        <w:trPr>
          <w:trHeight w:val="21"/>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Company announced its Board of Directors had authorized the Company to increase the purchase of its common stock up to $250 million in the aggregate. The initial authorization, approved in November 2015, authorized up to $50 million of purchases in the aggregate of its common stock. In the three and nine months ended September 30, 2021, the Company purchased 129,866 and 570,084 shares of its outstanding common stock for approximately $4.0 million and $18.2 million, respectively. During three and nine months ended September 30, 2020, the Company purchased 188,028 and 1,441,678 shares of its outstanding common stock for approximately $4.5 million and $36.0 million, respectively. As of September 30, 2021, the Company has approximately $143.5 million remaining under the repurchase authorization.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Defined Benefit Plans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Pension Plans</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58"/>
        </w:trPr>
        <w:tc>
          <w:tcPr>
            <w:tcW w:w="5620" w:type="dxa"/>
            <w:vAlign w:val="bottom"/>
          </w:tcPr>
          <w:p>
            <w:pPr>
              <w:spacing w:after="0"/>
              <w:rPr>
                <w:sz w:val="13"/>
                <w:szCs w:val="13"/>
                <w:color w:val="auto"/>
              </w:rPr>
            </w:pPr>
          </w:p>
        </w:tc>
        <w:tc>
          <w:tcPr>
            <w:tcW w:w="2280" w:type="dxa"/>
            <w:vAlign w:val="bottom"/>
            <w:gridSpan w:val="4"/>
          </w:tcPr>
          <w:p>
            <w:pPr>
              <w:jc w:val="right"/>
              <w:ind w:right="113"/>
              <w:spacing w:after="0" w:line="158" w:lineRule="exact"/>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00" w:type="dxa"/>
            <w:vAlign w:val="bottom"/>
            <w:gridSpan w:val="4"/>
          </w:tcPr>
          <w:p>
            <w:pPr>
              <w:jc w:val="right"/>
              <w:ind w:right="632"/>
              <w:spacing w:after="0" w:line="158" w:lineRule="exact"/>
              <w:rPr>
                <w:sz w:val="20"/>
                <w:szCs w:val="20"/>
                <w:color w:val="auto"/>
              </w:rPr>
            </w:pPr>
            <w:r>
              <w:rPr>
                <w:rFonts w:ascii="Arial" w:cs="Arial" w:eastAsia="Arial" w:hAnsi="Arial"/>
                <w:sz w:val="16"/>
                <w:szCs w:val="16"/>
                <w:b w:val="1"/>
                <w:bCs w:val="1"/>
                <w:color w:val="auto"/>
              </w:rPr>
              <w:t>Nine months ended</w:t>
            </w:r>
          </w:p>
        </w:tc>
      </w:tr>
      <w:tr>
        <w:trPr>
          <w:trHeight w:val="213"/>
        </w:trPr>
        <w:tc>
          <w:tcPr>
            <w:tcW w:w="5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9"/>
        </w:trPr>
        <w:tc>
          <w:tcPr>
            <w:tcW w:w="56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costs</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330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Interest costs</w:t>
            </w:r>
          </w:p>
        </w:tc>
        <w:tc>
          <w:tcPr>
            <w:tcW w:w="84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200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240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loss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220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operations.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contributed approximately $0.3 million and $2.5 million to its defined benefit pension plans during the three and nine months ended September 30, 2021, respectively. The Company expects to contribute approximately $3.6 million to its defined benefit pension plans for the full year 2021.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18. Other Comprehensive Income (Loss)</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Changes in AOCI by component for the nine months ended September 30, 2021 are summarized as follows, net of tax (dollars in thousands):</w:t>
      </w:r>
    </w:p>
    <w:p>
      <w:pPr>
        <w:spacing w:after="0" w:line="283"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00"/>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320" w:hanging="212"/>
        <w:spacing w:after="0"/>
        <w:tabs>
          <w:tab w:leader="none" w:pos="3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Derivative instruments, net of income tax of approximately $2.4 million. See Note 10,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114" w:lineRule="exact"/>
        <w:rPr>
          <w:rFonts w:ascii="Arial" w:cs="Arial" w:eastAsia="Arial" w:hAnsi="Arial"/>
          <w:sz w:val="19"/>
          <w:szCs w:val="19"/>
          <w:color w:val="auto"/>
          <w:vertAlign w:val="superscript"/>
        </w:rPr>
      </w:pPr>
    </w:p>
    <w:p>
      <w:pPr>
        <w:ind w:left="340" w:hanging="2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17,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Changes in AOCI by component for the nine months ended September 30, 2020 are summarized as follows, net of tax (dollars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8"/>
              </w:rPr>
              <w:t>Defined Benefit</w:t>
            </w:r>
          </w:p>
        </w:tc>
        <w:tc>
          <w:tcPr>
            <w:tcW w:w="1220" w:type="dxa"/>
            <w:vAlign w:val="bottom"/>
          </w:tcPr>
          <w:p>
            <w:pPr>
              <w:ind w:left="200"/>
              <w:spacing w:after="0"/>
              <w:rPr>
                <w:sz w:val="20"/>
                <w:szCs w:val="20"/>
                <w:color w:val="auto"/>
              </w:rPr>
            </w:pPr>
            <w:r>
              <w:rPr>
                <w:rFonts w:ascii="Arial" w:cs="Arial" w:eastAsia="Arial" w:hAnsi="Arial"/>
                <w:sz w:val="16"/>
                <w:szCs w:val="16"/>
                <w:b w:val="1"/>
                <w:bCs w:val="1"/>
                <w:color w:val="auto"/>
              </w:rPr>
              <w:t>Derivative</w:t>
            </w:r>
          </w:p>
        </w:tc>
        <w:tc>
          <w:tcPr>
            <w:tcW w:w="14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2"/>
              </w:rPr>
              <w:t>Foreign Currency</w:t>
            </w:r>
          </w:p>
        </w:tc>
        <w:tc>
          <w:tcPr>
            <w:tcW w:w="122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8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Plans</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Instruments</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Translation</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(9,930)$</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800" w:type="dxa"/>
            <w:vAlign w:val="bottom"/>
          </w:tcPr>
          <w:p>
            <w:pPr>
              <w:spacing w:after="0" w:line="23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3"/>
                <w:szCs w:val="23"/>
                <w:color w:val="auto"/>
                <w:vertAlign w:val="superscript"/>
              </w:rPr>
              <w:t>(a)</w:t>
            </w:r>
          </w:p>
        </w:tc>
        <w:tc>
          <w:tcPr>
            <w:tcW w:w="10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8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1060" w:type="dxa"/>
            <w:vAlign w:val="bottom"/>
            <w:tcBorders>
              <w:right w:val="single" w:sz="8" w:color="CCEEFF"/>
            </w:tcBorders>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3"/>
        </w:trPr>
        <w:tc>
          <w:tcPr>
            <w:tcW w:w="4920" w:type="dxa"/>
            <w:vAlign w:val="bottom"/>
            <w:gridSpan w:val="2"/>
          </w:tcPr>
          <w:p>
            <w:pPr>
              <w:ind w:left="100"/>
              <w:spacing w:after="0"/>
              <w:rPr>
                <w:sz w:val="20"/>
                <w:szCs w:val="20"/>
                <w:color w:val="auto"/>
              </w:rPr>
            </w:pPr>
            <w:r>
              <w:rPr>
                <w:rFonts w:ascii="Arial" w:cs="Arial" w:eastAsia="Arial" w:hAnsi="Arial"/>
                <w:sz w:val="18"/>
                <w:szCs w:val="18"/>
                <w:color w:val="auto"/>
              </w:rPr>
              <w:t>Net current-period other comprehensive income (loss)</w:t>
            </w:r>
          </w:p>
        </w:tc>
        <w:tc>
          <w:tcPr>
            <w:tcW w:w="106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2020</w:t>
            </w:r>
          </w:p>
        </w:tc>
        <w:tc>
          <w:tcPr>
            <w:tcW w:w="1060" w:type="dxa"/>
            <w:vAlign w:val="bottom"/>
            <w:tcBorders>
              <w:right w:val="single" w:sz="8" w:color="CCEEFF"/>
            </w:tcBorders>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(9,460)$</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100"/>
        <w:spacing w:after="0"/>
        <w:rPr>
          <w:sz w:val="20"/>
          <w:szCs w:val="20"/>
          <w:color w:val="auto"/>
        </w:rPr>
      </w:pPr>
      <w:r>
        <w:rPr>
          <w:rFonts w:ascii="Arial" w:cs="Arial" w:eastAsia="Arial" w:hAnsi="Arial"/>
          <w:sz w:val="11"/>
          <w:szCs w:val="11"/>
          <w:color w:val="auto"/>
        </w:rPr>
        <w:t>__________________________</w:t>
      </w:r>
    </w:p>
    <w:p>
      <w:pPr>
        <w:spacing w:after="0" w:line="121" w:lineRule="exact"/>
        <w:rPr>
          <w:sz w:val="20"/>
          <w:szCs w:val="20"/>
          <w:color w:val="auto"/>
        </w:rPr>
      </w:pPr>
    </w:p>
    <w:p>
      <w:pPr>
        <w:ind w:left="320" w:hanging="212"/>
        <w:spacing w:after="0"/>
        <w:tabs>
          <w:tab w:leader="none" w:pos="320" w:val="left"/>
        </w:tabs>
        <w:numPr>
          <w:ilvl w:val="0"/>
          <w:numId w:val="7"/>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$0.7 million. See Note 10,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113" w:lineRule="exact"/>
        <w:rPr>
          <w:rFonts w:ascii="Arial" w:cs="Arial" w:eastAsia="Arial" w:hAnsi="Arial"/>
          <w:sz w:val="9"/>
          <w:szCs w:val="9"/>
          <w:color w:val="auto"/>
        </w:rPr>
      </w:pPr>
    </w:p>
    <w:p>
      <w:pPr>
        <w:ind w:left="340" w:hanging="232"/>
        <w:spacing w:after="0"/>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Defined benefit plans, net of income tax of approximately $0.1 million. See Note 17,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19. Income Taxes</w:t>
      </w:r>
    </w:p>
    <w:p>
      <w:pPr>
        <w:spacing w:after="0" w:line="148"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The effective income tax rate for the three months ended September 30, 2021 and 2020 was 27.0% and 10.7%, respectively. The rate for the three months ended September 30, 2021 is higher than in the prior year primarily due to goodwill and intangible asset impairment charges, a portion of which was not tax deductible. The tax benefit associated with the goodwill and intangible asset impairment charges was treated as a discrete item in determining tax expense for the three months ended September 30, 2020.</w:t>
      </w:r>
    </w:p>
    <w:p>
      <w:pPr>
        <w:spacing w:after="0" w:line="106" w:lineRule="exact"/>
        <w:rPr>
          <w:sz w:val="20"/>
          <w:szCs w:val="20"/>
          <w:color w:val="auto"/>
        </w:rPr>
      </w:pPr>
    </w:p>
    <w:p>
      <w:pPr>
        <w:jc w:val="both"/>
        <w:ind w:left="100"/>
        <w:spacing w:after="0" w:line="227" w:lineRule="auto"/>
        <w:rPr>
          <w:sz w:val="20"/>
          <w:szCs w:val="20"/>
          <w:color w:val="auto"/>
        </w:rPr>
      </w:pPr>
      <w:r>
        <w:rPr>
          <w:rFonts w:ascii="Arial" w:cs="Arial" w:eastAsia="Arial" w:hAnsi="Arial"/>
          <w:sz w:val="18"/>
          <w:szCs w:val="18"/>
          <w:color w:val="auto"/>
        </w:rPr>
        <w:t>The effective income tax rate for the nine months ended September 30, 2021 and 2020 was 19.2% and 12.4%, respectively. The rate for the nine months ended September 30, 2021 is higher than in the prior year as the effective tax rate for the nine months ended September 30, 2020 was impacted by a decrease in profitability resulting from various realignment charges, expense for a change in the Company’s accounting policy for asbestos-related defense costs and impairment of goodwill and indefinite-lived intangible assets. The effective tax rate for the nine months ended September 30, 2021 was impacted by the recognition of approximately $3.0 million of deferred tax benefits in Italy, the majority of which related to a reduction in deferred tax liabilities in connection with certain tax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21, 2021, the Company announced that its Board of Directors had declared a cash dividend of $0.04 per share of TriMas Corporation common stock, which will be payable on November 10, 2021 to shareholders of record as of the close of business on November 3, 2021. This is TriMas’ first dividend since its initial public offering in 2007.</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diversified manufacturer and provider of products for customers primarily in the consumer products, aerospace &amp; defense and industrial markets.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President of the United States declared the coronavirus ("COVID-19") outbreak a national emergency, as the World Health Organization determined it was a pandemic. In response to the COVID-19 pandemic, federal, provincial, state, county and local governments and public health organizations or authorities around the world implemented a variety of measures intended to control the spread of the virus, including quarantines, "shelter-in-place" or "stay-at-home" and similar orders, travel restrictions, business curtailments and closures, social distancing, personal hygiene requirements, and other measures.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been, and continue to be, focused on making sure the working environments for our employees are safe so our operations have the ability to deliver the products needed to support efforts to mitigate the COVID-19 pandemic. Nearly all of our manufacturing sites have been deemed essential operations and remained open during the COVID-19 pandemic, at varying levels of capacity and efficiency, experiencing only temporary shutdowns due to country-specific government mandates or for thorough cleaning as a result of suspected COVID-19 cases. The health of our employees, and the ability of our facilities to remain operational in the current regulated environment, will be critical to our future results of operations.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divisions were impacted in 2020 at differing levels and times, beginning with our Asian facilities and strategic supply network, both primarily in China, in late January, followed by our European (primarily Italy) and North American facilities in February and March. We implemented new work rules and processes, which promote social distancing and increased hygiene to ensure the safety of our employees, particularly at our production facilities. These measures, while not easily quantifiable, have increased the level of manufacturing inefficiencies due to elevated levels of absenteeism, resulting in less efficient production scheduling and, in certain cases, short-term idling of production. We expect that we will continue to operate with these protocols in place, which have impacted our results since early 2020.</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Overall, our third quarter 2021 net sales increased approximately $23.0 million, or 11.5%, compared to third quarter 2020, primarily as a result of increased industrial demand in our Specialty Products segment, an acquisition in our Packaging segment and the impact of customers' stocking orders within our Aerospace segment. These increases were partially offset by a decline in sales of our Packaging segment's dispensing and closure products that are used in applications to fight the spread of germs, which sales reached record-high levels in third quarter 2020 when there was a significant spike in demand following the onset of the COVID-19 pandemic, but now have abated to what we believe is a new, and higher, normalized level.</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most significant drivers affecting our results of operations in third quarter 2021 compared with third quarter 2020, other than as directly impacted by demand level changes as a result of the COVID-19 pandemic, were goodwill and intangible asset impairment charges in third quarter 2020 in our Aerospace segment, the impact of our recent acquisitions and increases in the cost of certain raw materials.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third quarter of 2020, we determined there was a triggering event requiring an interim quantitative impairment assessment for goodwill and indefinite-lived intangible assets within our Aerospace segment. While third quarter operating results were below pre-pandemic projected levels, the larger driver of the triggering event was a significant reduction in the July 2020 financial projection update for the remainder of 2020 compared with prior projections, and uncertainty around the duration and magnitude of the impact of the COVID-19 pandemic on future financial results given the dependence of our Aerospace segment reporting units on future levels of air travel and new aircraft builds. We determined the carrying value of both of our Aerospace reporting units, as well as of certain trade names, exceeded the fair value, resulting in non-cash, pre-tax impairment charges of approximately $126.8 million to goodwill and $7.8 million to indefinite lived intangible assets.</w:t>
      </w:r>
    </w:p>
    <w:p>
      <w:pPr>
        <w:spacing w:after="0" w:line="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2020, we completed the acquisition of Affaba &amp; Ferrari Srl ("Affaba &amp; Ferrari"), which specializes in the design, development and manufacture of precision caps and closures for food &amp; beverage and industrial product applications, for an aggregate amount of approximately $98.4 million, net of cash acquired. Affaba &amp; Ferrari, which is reported in our Packaging segment, operates out of a highly automated manufacturing facility and support office located in Borgo San Giovanni, Italy. Affaba &amp; Ferrari contributed approximately $11.4 million of net sales during third quarter 2021.</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first quarter 2021, we began experiencing an increase in material costs compared with 2020 levels, primarily for resin-based raw materials and components, as well as for certain types of steel. These material costs further increased during both the second and third quarters of 2021. We have escalator/de-escalator clauses in our commercial contracts with certain of our customers, or can modify prices based on market conditions, and we have been taking actions to recover the increased cost of raw materials. However, given the lag nature of the commercial pricing mechanisms, we have and will continue to experience net earnings pressure until resin costs begin to stabilize and/or decline for several consecutive months. We estimate that due to the lag in timing between incurring the cost increases and recovering via commercial actions, our operating profit was negatively impacted by approximately $3 million and $9 million in the three and nine months ended September 30, 2021, respectively, compared with 2020, primarily in our Packaging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On a year-to-date basis, there were four additional significant drivers of year-over-year change in our results of operations.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2021, we refinanced our long-term debt, issuing $400 million aggregate principal amount of 4.125% senior unsecured notes due April 15, 2029 ("2029 Senior Notes") at par value in a private placement under Rule 144A of the Securities Act of 1933, as amended, and amending our existing credit agreement ("Credit Agreement"), extending the maturity to March 2026. We used the proceeds from the 2029 Senior Notes offering to pay fees and expenses of approximately $5.1 million related to the offering and approximately $1.1 million related to amending the Credit Agreement. The remaining cash proceeds from the 2029 Senior Notes were used for general corporate purposes, including repaying all outstanding revolving credit facility borrowings and redeeming all of our outstanding senior notes due October 2025 ("2025 Senior Notes"), paying cash for the entire $300.0 million outstanding principal amount plus $7.3 million as a redemption premium. The $5.1 million of fees and expenses related to the 2029 Senior Notes were capitalized as debt issuance costs, while the $7.3 million redemption premium as well as approximately $3.0 million of unamortized debt issuance costs associated with the 2025 Senior Notes were expensed in the second quarter of 2021.</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2020, we elected to change our accounting policy for asbestos-related defense costs from accruing for probable and reasonably estimable defense costs associated with known claims expected to settle to accruing for all future defense costs for both known and unknown claims, which we now believe can be reasonably estimated. This accounting change has been reflected as a change in accounting estimate effected by a change in accounting principle. We recorded a non-cash, pre-tax charge in second quarter 2020 for asbestos-related costs of approximately $23.4 million, which is included in selling, general and administrative expenses.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Beginning in second quarter 2020, we have been executing certain realignment actions in response to reductions in current and expected future end market demand following the onset of the COVID-19 pandemic. We recorded pre-tax facility consolidation and employee separation costs of approximately $2.7 million and $6.1 million, respectively, in the nine months ended September 30, 2021. In the nine months ended September 30, 2020, we recorded a pre-tax charge of approximately $13.2 million related to inventory reductions, primarily as a result of a strategic decision in our Arrow Engine division to streamline its product line offering. We also recorded charges of approximately $2.3 million related to certain production equipment removed from service given reduced demand levels, and employee separation costs of approximately $3.6 million.</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effective tax rate for the first nine months of 2021 was 19.2%, compared to 12.4% for the first nine months of 2020. The rate for the nine months ended September 30, 2021 is higher than in the prior year as the effective tax rate for the nine months ended September 30, 2020 was impacted by a decrease in profitability resulting from various realignment charges, expense for a change in the Company’s accounting policy for asbestos-related defense costs and impairment of goodwill and indefinite-lived intangible assets. The effective tax rate for the nine months ended September 30, 2021 was impacted by the recognition of approximately $3.0 million of deferred tax benefits in Italy, the majority of which related to a reduction in deferred tax liabilities in connection with certain tax incentives.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the COVID-19 pandemic will continue to impact us in the future at varying degrees. We expect the robust customer demand, compared with pre-pandemic demand levels, for our Packaging segment's dispensing pumps and closure products used in personal care and home care applications will continue, as we believe there is a positive secular trend focused on consumers' desire to stop the spread of germs and improve personal hygiene. We are actively collaborating with our customers and strategic supply partners to manage production capacity and supply chain availability as efficiently as possible. Industrial demand in North America was lower in 2020 compared to previous levels, and while demand levels significantly increased in both the second and third quarters of 2021, we are uncertain how and at what level demand will be impacted as governmental, travel or other restrictions are lifted, particularly in North America, where orders for our industrial cylinders, for example, are heavily influenced by the levels of construction and HVAC activity. We expect the aerospace market to continue to experience severe dislocation going forward, as except for the significant stocking orders for certain of our products received during 2021, our sales levels would be significantly lower than historical levels. With the current travel restrictions and significant drop in passenger miles, aircraft manufacturers have slowed production, and since second quarter 2020 we have experienced a significant drop in aerospace-related sales related to new commercial airplane builds compared to prior levels. We expect, except as favorably impacted by the customers' stocking orders in 2021, lower levels of sales and related production to continue for the foreseeable future.</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executed significant realignment actions since the onset of the COVID-19 pandemic, primarily in our Aerospace and Specialty Products segments, and also in certain Packaging product areas where demand has fallen, such as in the quick service and restaurant applications, to protect against the uncertain end market demand. We will continue to assess further actions if required. However, as a result of the COVID-19 pandemic's impact on global economic activity, and the continued potential impact to our future results of operations, as well if there is an impact to TriMas' market capitalization, we may record additional cash and non-cash charges related to incremental realignment actions, as well as for uncollectible customer account balances, excess inventory and idle production equipment.</w:t>
      </w:r>
    </w:p>
    <w:p>
      <w:pPr>
        <w:spacing w:after="0" w:line="1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Despite the potential decline in future demand levels and results of operations as a result of the COVID-19 pandemic, at present, we believe our capital structure is in a solid position, even more so following our 2021 debt refinancing. We have ample cash and available liquidity under our revolving credit facility to meet our debt service obligations, capital expenditure requirements and other short-term and long-term obligations for the foreseeable future.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extent of the COVID-19 pandemic's effect on our operational and financial performance will depend in large part on future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developments, which cannot be predicted with confidence at this time. Future developments include the duration, scope and severity of the COVID-19 pandemic, the actions taken to contain or mitigate its impact, timing of widespread vaccine availability, and the resumption of normalized global economic activity. Due to the inherent uncertainty of the unprecedented and rapidly evolving situation, we are unable to predict with any confidence the likely impact of the COVID-19 pandemic on our future operations.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sensitive to price movements and availability of our raw materials supply. Our largest raw material purchases are for resins (such as polypropylene and polyethylene), steel, aluminum and other oil and metal-based purchased components. In addition to the factors affecting our third quarter 2021 results,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We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our price increases generally lag the underlying material cost increase, and we cannot be assured of full cost recovery in the open market.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third quarter 2021, we purchased 129,866 shares of our outstanding common stock for approximately $4.0 million. As of September 30, 2021, we had approximately $143.5 million remaining under the repurchase authorization. We will continue to evaluate opportunities to return capital to shareholders through the purchase of our common stock,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September 30, 2021 and 2020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12"/>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138,010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62.0 %</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17.0 %</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222,420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199,460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21.8 %</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26.3 %</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8.7 %</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5.9 %</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12.4 %</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27,340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19.8 %</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28,020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17.6 %</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13.9 %</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3.8 %</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2.5 %</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0.3 %</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06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nine months ended September 30, 2021 and 2020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Nine months ended September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As a Percentage</w:t>
            </w:r>
          </w:p>
        </w:tc>
        <w:tc>
          <w:tcPr>
            <w:tcW w:w="360" w:type="dxa"/>
            <w:vAlign w:val="bottom"/>
          </w:tcPr>
          <w:p>
            <w:pPr>
              <w:spacing w:after="0"/>
              <w:rPr>
                <w:sz w:val="13"/>
                <w:szCs w:val="13"/>
                <w:color w:val="auto"/>
              </w:rPr>
            </w:pPr>
          </w:p>
        </w:tc>
        <w:tc>
          <w:tcPr>
            <w:tcW w:w="1240" w:type="dxa"/>
            <w:vAlign w:val="bottom"/>
            <w:vMerge w:val="restart"/>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409,730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63.2 %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62.6 %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648,140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581,800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22.4 %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167,800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76,490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70,340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principal factors impacting us during the three months ended September 30, 2021, compared with the three months ended September 30, 2020, were:</w:t>
      </w:r>
    </w:p>
    <w:p>
      <w:pPr>
        <w:spacing w:after="0" w:line="167"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global business activity of the COVID-19 pandemic;</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$134.6 million of goodwill and indefinite-lived intangible asset impairment charges in third quarter 2020;</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recent acquisitions, primarily Affaba &amp; Ferrari, in December 2020; and</w:t>
      </w:r>
    </w:p>
    <w:p>
      <w:pPr>
        <w:spacing w:after="0" w:line="14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material cost increases, primarily resin-related.</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with Three Months Ended September 30, 2020</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Overall, net sales increased approximately $23.0 million, or 11.5%, to $222.4 million for the three months ended September 30, 2021, as compared with $199.5 million in the three months ended September 30, 2020. The acquisition of Affaba and Ferrari added approximately $11.4 million of sales. Organic sales, excluding the impact of currency exchange and acquisitions, increased approximately $9.7 million, as increases in our Aerospace and Specialty Products segments were partially offset by the expected decline in organic sales in our Packaging segment as the high demand levels for products that help fight the spread of germs decreased compared with the record-high levels in the prior year. In addition, net sales increased by approximately $1.9 million due to currency exchange, as our reported results in U.S. dollars were favorably impacted as a result of a weakening U.S. dollar relative to foreign currencies, as compared to third quarter 2020.</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margin (gross profit as a percentage of sales) approximated 26.3% and 26.0% for the three months ended September 30, 2021 and 2020, respectively. Gross profit margin increased as a result of an approximate $2.0 million charge within our Aerospace segment related to an updated estimate of a pre-acquisition contingent liability taken in the third quarter of 2020 that did not repeat in 2021, as well as due to leveraging our realignment actions taken during 2020, primarily in our Specialty Products segment. These margin improvements were partially offset by increased material costs, primarily in our Packaging segment, an overall less favorable product sales mix, and due to production inefficiencies, primarily in our Aerospace segment, driven by the COVID-19 pandemic.</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profit (loss) margin (operating profit as a percentage of sales) approximated 13.9% and (54.3)% for the three months ended September 30, 2021 and 2020, respectively. Operating profit (loss) increased approximately $139.1 million to an operating profit of approximately $30.8 million in the three months ended September 30, 2021, from an operating loss of approximately $108.3 million for the three months ended September 30, 2020, primarily due to approximately $134.6 million of goodwill and indefinite-lived intangible asset impairment charges as well as the impact of the $2.0 million pre-acquisition contingent liability charge within our Aerospace segment, all of which were recorded during the third quarter of 2020 and did not repeat in 2021. Operating profit and margin further increased due to higher sales levels and favorable currency exchange, which were partially offset by material cost increases and higher production inefficiencies.</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remained relatively flat at approximately $3.4 million, for the three months ended September 30, 2021 compared to approximately $3.5 million for the three months ended September 30, 2020.</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decreased approximately $0.7 million to approximately $0.5 million for the three months ended September 30, 2021, as compared to approximately $1.2 million for the three months ended September 30, 2020, primarily due to a decrease in losses on transactions denominated in foreign currencies.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effective income tax rate for the three months ended September 30, 2021 and 2020 was 27.0% and 10.7%, respectively. We recorded income tax expense of approximately $7.3 million for the three months ended September 30, 2021 as compared to an income tax benefit of approximately $12.1 million for the three months ended September 30, 2020. The rate for the three months ended September 30, 2021 is higher than in the prior year primarily due to goodwill and intangible asset impairment charges, a portion of which was not tax deductible. The tax benefit associated with the goodwill and intangible asset impairment charges was treated as a discrete item in determining tax expense for the three months ended September 30, 2020.</w:t>
      </w:r>
    </w:p>
    <w:p>
      <w:pPr>
        <w:spacing w:after="0" w:line="6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Net income (loss) increased approximately $120.5 million, to net income of $19.6 million for the three months ended September 30, 2021, as compared to a net loss of $100.9 million for the three months ended September 30, 2020. The increase was primarily the result of an increase in operating profit (loss) of approximately $139.1 million and a decrease in other expense of approximately $0.7 million, partially offset by an increase in income tax expense of approximately $19.4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$2.9 million, or 2.1%, to $138.0 million in the three months ended September 30, 2021,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$135.1 million in the three months ended September 30, 2020. Affaba &amp; Ferrari, acquired in December 2020, contributed approximately $11.4 million of sales in the third quarter of 2021. Sales of products used in food and beverage markets increased by approximately $6.4 million, primarily due to strong demand for closures, dispensers and flexible packaging as the hospitality sector began to rebound from prior COVID-19 pandemic-related shutdowns. Sales of products used in industrial markets increased by approximately $4.7 million, primarily as a result of higher demand for closure products in North America. Sales of beauty and personal care dispensing products used in applications that help fight the spread of germs decreased by approximately $21.0 million, as demand has abated for these products from the peak levels in 2020 as a result of the COVID-19 pandemic, to what we believe is a new, and higher, normalized level. Net sales also increased by approximately $1.9 million due to currency exchange, as our reported results in U.S. dollars were favorably impacted as a result of the weakening U.S. dollar relative to foreign currencies, as compared to third quarter 2020.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decreased approximately $0.8 million to $39.4 million, or 28.6% of sales, in the three months ended September 30, 2021, as compared to $40.2 million, or 29.8% of sales, in the three months ended September 30, 2020. Gross profit was impacted in third quarter 2021 by approximately $3 million of higher year-over-year material costs (primarily resin) than were recovered via sales price increases. This decrease was mostly offset by a more favorable product sales mix, with higher margin industrial and food and beverage products comprising a greater percentage of total sales, as well as a result of approximately $0.7 million of currency exchange, as our reported results in U.S. dollars were favorably impacted as a result of the weakening U.S. dollar relative to foreign currencies.</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decreased approximately $0.2 million to $12.1 million, or 8.7% of sales, in the three months ended September 30, 2021, as compared to $12.2 million, or 9.0% of sales, in the three months ended September 30, 2020, as the impact of lower employee related costs and third party expenses was mostly offset by higher ongoing selling, general and administrative costs associated with our acquisition of Affaba &amp; Ferrari.</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profit decreased approximately $0.7 million to $27.3 million, or 19.8% of sales, in the three months ended September 30, 2021, as compared to $28.0 million, or 20.7% of sales, in the three months ended September 30, 2020, as the impact of material cost increases and slightly higher selling, general and administrative expenses more than offset a more favorable product sales mix and the impact of currency exchange.</w:t>
      </w:r>
    </w:p>
    <w:p>
      <w:pPr>
        <w:spacing w:after="0" w:line="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Aerospace. </w:t>
      </w:r>
      <w:r>
        <w:rPr>
          <w:rFonts w:ascii="Arial" w:cs="Arial" w:eastAsia="Arial" w:hAnsi="Arial"/>
          <w:sz w:val="16"/>
          <w:szCs w:val="16"/>
          <w:color w:val="auto"/>
        </w:rPr>
        <w:t>Net sales for the three months ended September 30, 2021 increased approximately $7.4 million, or 18.9%, to $46.5 million,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$39.1 million in the three months ended September 30, 2020. Sales of our fasteners products increased by approximately $5.6 million, as the impact of customers' stocking orders for specialized fasteners of approximately $6.9 million was partially offset by a decline in overall market-related demand due to the COVID-19 pandemic. Sales of our engineered components increased by approximately $1.8 million, primarily due to timing of end market demand.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increased approximately $3.2 million to $10.2 million, or 21.8% of sales, in the three months ended September 30, 2021, from $6.9 million, or 17.7% of sales, in the three months ended September 30, 2020, due to the higher sales levels, as well as to an approximate $2.0 million charge related to an updated estimate of a pre-acquisition contingent liability taken in the third quarter of 2020 that did not repeat in 2021. These increases were partially offset by production inefficiencies driven by the effects of the COVID-19 pandemic.</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increased approximately $0.3 million to $6.2 million, or 13.2% of sales, in the three months ended September 30, 2021, as compared to $5.8 million, or 14.9% of sales, in the three months ended September 30, 2020, as we minimized incremental spending despite higher sales levels.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Operating profit (loss) increased approximately $137.5 million to an operating profit of $4.0 million, or 8.6% of sales, in the three months ended September 30, 2021, as compared to an operating loss of $133.5 million, or 341.2% of sales, in the three months ended September 30, 2020, primarily due to approximately $134.6 million of goodwill and indefinite-lived intangible asset impairment charges as well as the impact of the updated pre-acquisition contingent liability charge, all of which were recorded during the third quarter of 2020 and did not repeat in 2021. These improvements, plus the impact of higher sales levels, were partially offset by production inefficiencies and higher selling, general and administrative expenses.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three months ended September 30, 2021 increased approximately $12.7 million, or 50.3%, to $37.9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$25.2 million in the three months ended September 30, 2020. Sales of our cylinder products increased approximately $9.3 million, due to higher demand for steel cylinders in North America as industrial activity continues to increase following the previous lower levels a year ago as a result of the COVID-19 pandemic. Sales of engines, compressors and related parts used in upstream oil and gas applications increased by approximately $3.4 million, primarily as a result of higher oil-field activity in North America.</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increased approximately $4.1 million to $8.9 million, or 23.4% of sales, in the three months ended September 30, 2021, as compared to $4.8 million, or 18.9% of sales, in the three months ended September 30, 2020. Gross profit increased in the third quarter of 2021 due to higher sales levels, while margins further improved due to favorable product sales mix and leveraging previous realignment actions.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increased approximately $0.9 million to $2.2 million, or 5.9% of sales, in the three months ended September 30, 2021, as compared to $1.4 million, or 5.4% of sales, in the three months ended September 30, 2020, primarily due to higher employment and spending levels in support of the increase in sales levels.</w:t>
      </w:r>
    </w:p>
    <w:p>
      <w:pPr>
        <w:spacing w:after="0" w:line="1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Operating profit increased approximately $3.3 million to $6.7 million, or 17.6% of sales, in the three months ended September 30, 2021, as compared to $3.4 million, or 13.4% of sales, in the three months ended September 30, 2020, primarily due to increased sales levels, a more favorable product sales mix and leveraging previous realignment actions.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r>
      <w:tr>
        <w:trPr>
          <w:trHeight w:val="210"/>
        </w:trPr>
        <w:tc>
          <w:tcPr>
            <w:tcW w:w="78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88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12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expenses increased approximately $0.9 million to approximately $7.2 million for the three months ended September 30, 2021, from approximately $6.2 million for the three months ended September 30, 2020, primarily as a result of an increase in non-cash stock compensation due to timing and higher estimated attainment of existing awards, as well as due to higher Corporate operating expenses.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with Nine Months Ended September 30, 2020</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Overall, net sales increased approximately $66.3 million, or 11.4%, to $648.1 million for the nine months ended September 30, 2021, as compared with $581.8 million in the nine months ended September 30, 2020, primarily as a result of acquisitions, which added approximately $39.0 million of sales. Organic sales, excluding the impact of currency exchange and acquisitions, increased in each of our three segments, growing a total of approximately $18.1 million. Organic sales in our Specialty Products segment increased approximately $15.6 million as a result of increased industrial and oil-field activity. Organic sales in our Packaging segment increased approximately $1.8 million, as increases in products used in food and beverage, industrial and other applications were mostly offset by a decrease in sales of dispensing products used in beauty and personal care and home care applications that help fight the spread of germs. Organic sales in our Aerospace segment increased approximately $0.7 million, as sales for customers' stocking orders were mostly offset by a decline in sales resulting from the impact from the COVID-19 pandemic on the overall aerospace industry. Net sales increased by approximately $9.3 million due to currency exchange, as our reported results in U.S. dollars were favorably impacted as a result of the weakening U.S. dollar relative to foreign currencies.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Gross profit margin (gross profit as a percentage of sales) approximated 25.9% and 23.3% for the nine months ended September 30, 2021 and 2020, respectively. Gross profit margin increased primarily due to the impact of lower realignment, contingent liability and purchase accounting charges of approximately $13.1 million, $2.0 million and $2.0 million, respectively, in the first nine months of 2021 than the first nine months of 2020. These increases, plus a more favorable product sales mix and leveraging of our prior realignment actions in our Specialty Products segment were partially offset by higher material costs (primarily resin) in our Packaging segment and production inefficiencies within our Aerospace segment.</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profit (loss) margin (operating profit as a percentage of sales) approximated 12.0% and (18.3)% for the nine months ended September 30, 2021 and 2020, respectively. Operating profit increased approximately $184.1 million, to $77.5 million for the nine months ended September 30, 2021, compared to $106.6 million for the nine months ended September 30, 2020, primarily due to approximately $134.6 million of goodwill and indefinite-lived intangible asset impairment charges as well as the impact of the $2.0 million pre-acquisition contingent liability charge within our Aerospace segment, all of which were recorded during the third quarter of 2020 and did not repeat in 2021. Operating profit and margin further increased due to higher sales levels and lower realignment and purchase accounting costs than in 2020. These increases were partially offset by higher material costs (primarily resin) in our Packaging segment and production inefficiencies within our Aerospace segment.</w:t>
      </w:r>
    </w:p>
    <w:p>
      <w:pPr>
        <w:spacing w:after="0" w:line="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decreased approximately $0.2 million, to $11.1 million, for the nine months ended September 30, 2021, as compared to $11.3 million for the nine months ended September 30, 2020 as a lower effective interest rate more than offset an increase in our weighted average borrowings.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incurred approximately $10.5 million of debt financing and related expense for the nine months ended September 30, 2021, of which approximately $10.3 million was related to expenses incurred associated with the redemption of our 2025 Senior Notes and approximately $0.2 million related to the write-off of previously capitalized deferred financing fees associated with our Credit Agreement.</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expense increased approximately $0.7 million, to $0.8 million for the nine months ended September 30, 2021, from $0.2 million for the nine months ended September 30, 2020, primarily due to a year-over-year increase in losses on transactions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effective income tax rate for the nine months ended September 30, 2021 and 2020 was 19.2% and 12.4%, respectively. We recorded tax expense of approximately $10.6 million for the nine months ended September 30, 2021 as compared to a tax benefit of approximately $14.6 million for the nine months ended September 30, 2020. The rate for the nine months ended September 30, 2021 is higher than in the prior year as the effective tax rate for the nine months ended September 30, 2020 was impacted by a decrease in profitability resulting from various realignment charges, expense for a change in the Company’s accounting policy for asbestos-related defense costs and impairment of goodwill and indefinite-lived intangible assets. The effective tax rate for the nine months ended September 30, 2021 was impacted by the recognition of approximately $3.0 million of deferred tax benefits in Italy, the majority of which related to a reduction in deferred tax liabilities in connection with certain tax incentives.</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Net income increased by approximately $147.9 million, to net income of $44.5 million for the nine months ended September 30, 2021, compared to a net loss of $103.5 million for the nine months ended September 30, 2020. The increase was primarily the result of an increase in operating profit of approximately $184.1 million and a decrease in interest expense of $0.2 million, partially offset by debt financing and related expenses of approximately $10.5 million, an increase in income tax expense of approximately $25.2 million and an increase in other expense of approximately $0.7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Packaging. </w:t>
      </w:r>
      <w:r>
        <w:rPr>
          <w:rFonts w:ascii="Arial" w:cs="Arial" w:eastAsia="Arial" w:hAnsi="Arial"/>
          <w:sz w:val="17"/>
          <w:szCs w:val="17"/>
          <w:color w:val="auto"/>
        </w:rPr>
        <w:t>Net sales increased approximately $45.7 million, or 12.6%, to $409.7 million in the nine months ended September 30, 2021,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$364.0 million in the nine months ended September 30, 2020. Acquisition-related sales growth was approximately $34.7 million, comprised of $29.4 million of sales from our December 2020 acquisition of Affaba &amp; Ferrari and $5.3 million resulting from the January through March 2021 sales of our April 2020 acquisition of Rapak. Sales of products used in food and beverage markets increased by approximately $8.4 million, primarily due to strong demand for caps, closures and flexible packaging as the hospitality sector began to rebound from prior COVID-19 pandemic-related shutdowns. Sales of products used in industrial markets increased by approximately $7.9 million, primarily as a result of higher demand for closure products in North America. Sales of dispensing products used in beauty and personal care as well as home care applications that help fight the spread of germs decreased by approximately $18.6 million, as demand has abated for these products from the peak levels in 2020 as a result of the COVID-19 pandemic. Net sales also increased by approximately $9.3 million due to currency exchange, as our reported results in U.S. dollars were favorably impacted as a result of the weakening U.S. dollar relative to foreign currencies.</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Packaging's gross profit increased approximately $7.0 million to $113.8 million, or 27.8% of sales, in the nine months ended September 30, 2021, as compared to $106.8 million, or 29.3% of sales, in the nine months ended September 30, 2020, primarily due to the higher sales levels, plus approximately $3.2 million of currency exchange, as our reported results in U.S. dollars were favorably impacted as a result of the weakening U.S. dollar relative to foreign currencies. Gross profit margin also increased as a result of a more favorable product sales mix, as higher margin industrial and food and beverage products comprised a larger percentage of total sales. These increases were partially offset by approximately $9 million of higher material costs (primarily resin) than were recovered via sales price increases in the nine months ended September 30, 2021. In addition, during the first three quarters of 2021, we recognized approximately $1.6 million of realignment costs primarily related to the closure of our Union City, California manufacturing facility and consolidation into our Indianapolis, Indiana and Woodridge, Illinois facilities as compared to $0.9 million of realignment costs in the comparable period in 2020, primarily related to the disposal of certain equipment removed from service.</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selling, general and administrative expenses increased approximately $0.9 million to $37.3 million, or 9.1% of sales, in the nine months ended September 30, 2021, as compared to $36.4 million, or 10.0% of sales, in the nine months ended September 30, 2020, primarily due to higher ongoing selling, general and administrative costs associated with our acquisitions, partially offset by approximately $1.4 million in charges associated with realignment actions in the first nine months of 2020, primarily for severance, that did not repeat in 2021.</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operating profit increased approximately $6.2 million to $76.5 million, or 18.7% of sales, in the nine months ended September 30, 2021, as compared to $70.3 million, or 19.3% of sales, in the nine months ended September 30, 2020, primarily due to higher sales levels, a more favorable product sales mix and favorable currency exchange, which were partially offset by the impact of higher material costs, incremental realignment charges, and higher selling, general and administrative expenses.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Aerospace. </w:t>
      </w:r>
      <w:r>
        <w:rPr>
          <w:rFonts w:ascii="Arial" w:cs="Arial" w:eastAsia="Arial" w:hAnsi="Arial"/>
          <w:sz w:val="16"/>
          <w:szCs w:val="16"/>
          <w:color w:val="auto"/>
        </w:rPr>
        <w:t>Net sales for the nine months ended September 30, 2021 increased approximately $5.0 million, or 3.8%, to $135.7 million,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$130.7 million in the nine months ended September 30, 2020. RSA, acquired in February 2020, added approximately $4.3 million of sales for January and February 2021. Sales of our fastener products increased approximately $1.3 million, as approximately $20.8 million of sales of customers' stocking orders for specialized fasteners in the first nine months of 2021 were mostly offset by lower year-over-year sales resulting from current and expected future reduced air travel due to the COVID-19 pandemic. Sales of our engineered components products declined by approximately $0.6 million.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within Aerospace increased approximately $8.9 million to $30.4 million, or 22.4% of sales, in the nine months ended September 30, 2021, from $21.5 million, or 16.5% of sales, in the nine months ended September 30, 2020, primarily due to charges recorded in the first nine months of 2020 that did not repeat in the first nine months of 2021. First, we recorded approximately $5.0 million lower realignment charges in the first nine months of 2021 compared with the first nine months of 2020, which were principally related to inventory reductions and facility consolidations in response to the COVID-19 pandemic. In addition, in the first nine months of 2020, we recorded a $2.0 million charge related to an updated estimate of a pre-acquisition contingent liability, as well as an approximate $2.0 million purchase accounting non-cash charge related to the step-up of RSA's inventory to fair value and subsequent amortization, each of which did not repeat in 2021. In addition to the impact of these charges, gross profit further increased due to the impact of higher sales. All of these factors were partially offset by lower absorption of fixed costs and production inefficiencies during 2021 driven by the COVID-19 pandemic.</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increased approximately $0.3 million to $19.8 million, or 14.6% of sales, in the nine months ended September 30, 2021, as compared to $19.6 million, or 15.0% of sales, in the nine months ended September 30, 2020, primarily due to the impact of higher ongoing selling, general and administrative costs associated with our acquisition of RSA.</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(loss) within Aerospace increased approximately $143.2 million to an operating profit of $10.6 million, or 7.8% of sales, in the nine months ended September 30, 2021, as compared to an operating loss of $132.6 million, or (101.5)% of sales, in the nine months ended September 30, 2020, primarily due to approximately $134.6 million of goodwill and indefinite-lived intangible asset impairment charges during the third quarter of 2020. Operating profit also improved due to lower realignment and other charges recorded in the first nine months of 2020 that did not repeat in 2021, partially offset by production inefficiencies and higher selling, general and administrative expenses.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nine months ended September 30, 2021 increased approximately $15.6 million, or 17.9%, to $102.7 million,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$87.1 million in the nine months ended September 30, 2020. Sales of our cylinder products increased approximately $11.2 million, due to higher demand for steel cylinders in North America as industrial activity is now increasing following the previous lower levels in 2020 as a result of the COVID-19 pandemic. Sales of engines, compressors and related parts used in upstream oil and gas applications increased by approximately $4.4 million, primarily as a result of higher oil-field activity in North America. Our sales in the first nine months of 2020 included approximately $0.7 million related to the liquidation of non-core inventory following our strategic decision to streamline Arrow Engine's product line offering.</w:t>
      </w:r>
    </w:p>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within Specialty Products increased approximately $16.4 million to $23.6 million, or 23.0% of sales, in the nine months ended September 30, 2021, as compared to $7.3 million, or 8.3% of sales, in the nine months ended September 30, 2020. During the nine months ended September 30, 2020, we executed certain realignment actions in response to reduced end market demand as a result of the COVID-19 pandemic, resulting in approximately $9.0 million of non-cash charges, primarily related to Arrow Engine streamlining its product line offering and liquidating the non-core inventory, which did not repeat in 2021. In addition, gross profit increased in the nine months ended September 30, 2021 due to higher sales levels, while margins further improved due to favorable product sales mix and leveraging the previous realignment actions.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within Specialty Products increased approximately $0.1 million to $6.4 million, or 6.2% of sales, in the nine months ended September 30, 2021, as compared to $6.4 million, or 7.3% of sales, in the nine months ended September 30, 2020. Our 2021 selling, general and administrative expenses have increased primarily due to higher employment and spending levels aligned with the increase in sales levels. We incurred selling, general and administrative realignment expenses of approximately $0.7 million in the nine months ended September 30, 2020 related to severance that did not repeat in 2021.</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Specialty Products increased approximately $16.3 million to $17.2 million, or 16.7% of sales, in the nine months ended September 30, 2021, as compared to $0.9 million, or 1.0% of sales, in the nine months ended September 30, 2020, primarily due to the impact of 2020 realignment costs that did not repeat in 2021, as well as higher sales and related profit conversion leveraging the 2020 realignment actions without the need to add incremental fixed costs.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net consist of the following (dollars in millions):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20" w:type="dxa"/>
            <w:vAlign w:val="bottom"/>
            <w:tcBorders>
              <w:bottom w:val="single" w:sz="8" w:color="auto"/>
            </w:tcBorders>
          </w:tcPr>
          <w:p>
            <w:pPr>
              <w:spacing w:after="0"/>
              <w:rPr>
                <w:sz w:val="18"/>
                <w:szCs w:val="18"/>
                <w:color w:val="auto"/>
              </w:rPr>
            </w:pPr>
          </w:p>
        </w:tc>
      </w:tr>
      <w:tr>
        <w:trPr>
          <w:trHeight w:val="210"/>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16.1</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23.5</w:t>
            </w:r>
          </w:p>
        </w:tc>
      </w:tr>
      <w:tr>
        <w:trPr>
          <w:trHeight w:val="223"/>
        </w:trPr>
        <w:tc>
          <w:tcPr>
            <w:tcW w:w="792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45.2</w:t>
            </w:r>
          </w:p>
        </w:tc>
      </w:tr>
      <w:tr>
        <w:trPr>
          <w:trHeight w:val="20"/>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decreased approximately $18.4 million to $26.8 million for the nine months ended September 30, 2021, from $45.2 million for the nine months ended September 30, 2020, primarily as a result of the $23.4 million non-cash charge recorded in 2020 due to the change of our accounting policy for asbestos-related defense costs. Corporate operating expenses increased primarily as a result of realignment charges related to the corporate office legal and finance groups in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 operating activities were approximately $77.7 million for the nine months ended September 30, 2021, as compared to approximately $79.1 million for the nine months ended September 30, 2020. Significant changes in cash flows provided by operating activities and the reasons for such changes were as follows:</w:t>
      </w:r>
    </w:p>
    <w:p>
      <w:pPr>
        <w:spacing w:after="0" w:line="116" w:lineRule="exact"/>
        <w:rPr>
          <w:sz w:val="20"/>
          <w:szCs w:val="20"/>
          <w:color w:val="auto"/>
        </w:rPr>
      </w:pPr>
    </w:p>
    <w:p>
      <w:pPr>
        <w:jc w:val="both"/>
        <w:ind w:left="980" w:hanging="324"/>
        <w:spacing w:after="0" w:line="273"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nine months ended September 30, 2021, the Company generated approximately $110.2 million of cash, based on the reported net income of approximately $44.5 million and after considering the effects of non-cash items related to depreciation, amortization, loss on dispositions of assets, changes in deferred income taxes, debt financing and related expenses, stock-based compensation and other operating activities. For the nine months ended September 30, 2020, the Company generated approximately $82.7 million in cash flows based on the reported net loss of approximately $103.5 million and after considering the effects of similar non-cash items, the asbestos-related change in liability estimate and the impairment of goodwill and indefinite-lived intangible assets.</w:t>
      </w:r>
    </w:p>
    <w:p>
      <w:pPr>
        <w:spacing w:after="0" w:line="96" w:lineRule="exact"/>
        <w:rPr>
          <w:rFonts w:ascii="Arial" w:cs="Arial" w:eastAsia="Arial" w:hAnsi="Arial"/>
          <w:sz w:val="17"/>
          <w:szCs w:val="17"/>
          <w:color w:val="auto"/>
        </w:rPr>
      </w:pPr>
    </w:p>
    <w:p>
      <w:pPr>
        <w:jc w:val="both"/>
        <w:ind w:left="980" w:hanging="324"/>
        <w:spacing w:after="0" w:line="279"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Increases in accounts receivable resulted in a use of cash of approximately $23.3 million and $6.2 million for the nine months ended September 30, 2021 and 2020, respectively. The increased use of cash for each of the nine month periods is due primarily to the timing of sales and collection of cash related thereto within the periods. Days sales outstanding of receivables increased two days through the nine months ended September 30, 2021, and remained relatively consistent through the nine months ended September 30, 2020.</w:t>
      </w:r>
    </w:p>
    <w:p>
      <w:pPr>
        <w:spacing w:after="0" w:line="103" w:lineRule="exact"/>
        <w:rPr>
          <w:rFonts w:ascii="Arial" w:cs="Arial" w:eastAsia="Arial" w:hAnsi="Arial"/>
          <w:sz w:val="17"/>
          <w:szCs w:val="17"/>
          <w:color w:val="auto"/>
        </w:rPr>
      </w:pPr>
    </w:p>
    <w:p>
      <w:pPr>
        <w:jc w:val="both"/>
        <w:ind w:left="980" w:hanging="324"/>
        <w:spacing w:after="0" w:line="275"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increased our investment in inventory by approximately $5.9 million for the nine months ended September 30, 2021 and decreased our investment in inventory by approximately $4.5 million for the nine months ended September 30, 2020. Our days sales in inventory decreased by approximately ten days in 2021 through solid inventory management even as our 2021 net sales increased above 2020 levels. Our days sales in inventory decreased by approximately 12 days through the nine months ended September 30, 2020, primarily as a result of of the strategic decision in our Arrow Engine division to streamline its product line offering.</w:t>
      </w:r>
    </w:p>
    <w:p>
      <w:pPr>
        <w:spacing w:after="0" w:line="108" w:lineRule="exact"/>
        <w:rPr>
          <w:rFonts w:ascii="Arial" w:cs="Arial" w:eastAsia="Arial" w:hAnsi="Arial"/>
          <w:sz w:val="17"/>
          <w:szCs w:val="17"/>
          <w:color w:val="auto"/>
        </w:rPr>
      </w:pPr>
    </w:p>
    <w:p>
      <w:pPr>
        <w:jc w:val="both"/>
        <w:ind w:left="980" w:hanging="324"/>
        <w:spacing w:after="0" w:line="31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in prepaid expenses and other assets resulted in a use of cash of approximately $3.8 million for the nine months ended September 30, 2021. Decreases in prepaid expenses and other assets resulted in a source of cash of approximately $5.5 million for the nine months ended September 30, 2020. These changes were primarily a result of the timing of payments made for income taxes and certain operating expenses.</w:t>
      </w:r>
    </w:p>
    <w:p>
      <w:pPr>
        <w:spacing w:after="0" w:line="67" w:lineRule="exact"/>
        <w:rPr>
          <w:rFonts w:ascii="Arial" w:cs="Arial" w:eastAsia="Arial" w:hAnsi="Arial"/>
          <w:sz w:val="16"/>
          <w:szCs w:val="16"/>
          <w:color w:val="auto"/>
        </w:rPr>
      </w:pPr>
    </w:p>
    <w:p>
      <w:pPr>
        <w:jc w:val="both"/>
        <w:ind w:left="980" w:hanging="324"/>
        <w:spacing w:after="0" w:line="275"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increase in accounts payable and accrued liabilities resulted in a source of cash of approximately $0.5 million for the nine months ended September 30, 2021, while a decrease in accounts payable and accrued liabilities resulted in a use of cash of approximately $7.4 million for the nine months ended September 30, 2020. Days accounts payable on hand remained consistent in 2021, while days payables decreased by six days in 2020, primarily as we paid certain key Packaging vendors more quickly in 2020 to ensure our orders remained a top priority for them given our robust demand levels and minimal available capacity in the marketplace.</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for the nine months ended September 30, 2021 and 2020 was approximately $29.7 million and $110.9 million, respectively. During the first nine months of 2021, we invested approximately $29.9 million in capital expenditures, as we continued our investment in growth, capacity and productivity-related capital projects. During the first nine months of 2020, we invested approximately $17.7 million in capital expenditures and paid approximately $95.2 million, net of cash acquired, to acquire RSA and Rapak. We also received proceeds from disposition of business, property and equipment of approximately $1.9 million in the first nine months of 2020.</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provided by financing activities for the nine months ended September 30, 2021 was approximately $15.0 million, while net cash used for financing activities was approximately $40.9 million for the nine months ended September 30, 2020. During the first nine months of 2021, we issued $400.0 million principal amount of senior notes, made net repayments of approximately $48.6 million on our revolving credit facilities, and redeemed $300.0 million principal amount of senior notes. In connection with refinancing our long-term debt, we paid approximately $13.6 million of debt financing fees and redemption premium. We also purchased approximately $18.2 million of outstanding common stock and used a net cash amount of approximately $4.7 million related to our stock compensation arrangements. During the first nine months of 2020, we made net repayments of approximately $2.3 million, on our revolving credit facilities. We also purchased approximately $36.1 million of outstanding common stock and used a net cash amount of approximately $2.6 million related to our stock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2021, we issued the 2029 Senior Notes in a private placement under Rule 144A of the Securities Act of 1933, as amended. We used the proceeds from the 2029 Senior Notes offering to pay fees and expenses of approximately $5.1 million related to the offering and pay fees and expenses of $1.1 million related to amending our Credit Agreement. In connection with the issuance, during the second quarter of 2021, we completed the redemption of our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approximately $3.0 million of unamortized debt issuance costs associated with the 2025 Senior Notes were recorded as expense within debt financing and related expenses in the accompanying statement of operations in the nine months ended September 30, 2021.</w:t>
      </w:r>
    </w:p>
    <w:p>
      <w:pPr>
        <w:spacing w:after="0" w:line="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2029 Senior Notes accrue interest at a rate of 4.125% per annum, payable semi-annually in arrears on April 15 and October 15, commencing October 15, 2021. The payment of principal and interest is jointly and severally guaranteed, on a senior unsecured basis, by certain subsidiaries of the Company (each a "Guarantor" and collectively the "Guarantors"). The 2029 Senior Notes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April 15, 2024, we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2029 Senior Notes at a redemption price equal to 100% of the principal amount thereof, plus accrued and unpaid interest, if any, to the redemption date, plus a "make whole" premium.</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nine months ended September 30, 2021, our consolidated subsidiaries that do not guarantee the 2029 Senior Notes represented approximately 28% of the total of guarantor and non-guarantor net sales, treating each as a consolidated group and excluding intercompany transactions between guarantor and non-guarantor subsidiaries. In addition, our non-guarantor subsidiaries represented approximately 42% and 49% of the total guarantor and non-guarantor assets and liabilities, respectively, as of September 30, 2021, treating the guarantor and non-guarantor subsidiaries each as a consolidated group.</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2021, we amended our Credit Agreement in connection with the issuance of the 2029 Senior Notes to extend the maturity date. We incurred fees and expenses of approximately $1.1 million related to the amendment, all of which were capitalized as debt issuance costs. We also recorded approximately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 and is subject to interest at London Interbank Offered Rate ("LIBOR") plus 1.50%. The interest rate spread is based upon the leverage ratio, as defined, as of the most recent determination date.</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September 30, 2021. If we were to complete an acquisition which qualifies for a Covenant Holiday Period, as defined in our Credit Agreement, then our permitted total net leverage ratio cannot exceed 4.50 to 1.00 during that period. Our actual total net leverage ratio was 1.65 to 1.00 at September 30, 2021. Our permitted interest expense coverage ratio under the Credit Agreement is 3.00 to 1.00 as of September 30, 2021. Our actual interest expense coverage ratio was 12.94 to 1.00 at September 30, 2021. At September 30, 2021,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September 30, 2021 (dollars in thousands). We present Consolidated Bank EBITDA to show our performance under our financial covenants.</w:t>
      </w:r>
    </w:p>
    <w:p>
      <w:pPr>
        <w:spacing w:after="0" w:line="234" w:lineRule="exact"/>
        <w:rPr>
          <w:sz w:val="20"/>
          <w:szCs w:val="20"/>
          <w:color w:val="auto"/>
        </w:rPr>
      </w:pPr>
    </w:p>
    <w:p>
      <w:pPr>
        <w:jc w:val="center"/>
        <w:ind w:left="9580"/>
        <w:spacing w:after="0"/>
        <w:rPr>
          <w:sz w:val="20"/>
          <w:szCs w:val="20"/>
          <w:color w:val="auto"/>
        </w:rPr>
      </w:pPr>
      <w:r>
        <w:rPr>
          <w:rFonts w:ascii="Arial" w:cs="Arial" w:eastAsia="Arial" w:hAnsi="Arial"/>
          <w:sz w:val="16"/>
          <w:szCs w:val="16"/>
          <w:b w:val="1"/>
          <w:bCs w:val="1"/>
          <w:color w:val="auto"/>
        </w:rPr>
        <w:t>Twelve Months</w:t>
      </w:r>
    </w:p>
    <w:p>
      <w:pPr>
        <w:jc w:val="center"/>
        <w:ind w:left="9620"/>
        <w:spacing w:after="0" w:line="211" w:lineRule="auto"/>
        <w:rPr>
          <w:sz w:val="20"/>
          <w:szCs w:val="20"/>
          <w:color w:val="auto"/>
        </w:rPr>
      </w:pPr>
      <w:r>
        <w:rPr>
          <w:rFonts w:ascii="Arial" w:cs="Arial" w:eastAsia="Arial" w:hAnsi="Arial"/>
          <w:sz w:val="16"/>
          <w:szCs w:val="16"/>
          <w:b w:val="1"/>
          <w:bCs w:val="1"/>
          <w:color w:val="auto"/>
        </w:rPr>
        <w:t>Ended</w:t>
      </w:r>
    </w:p>
    <w:p>
      <w:pPr>
        <w:jc w:val="center"/>
        <w:ind w:left="9620"/>
        <w:spacing w:after="0"/>
        <w:rPr>
          <w:sz w:val="20"/>
          <w:szCs w:val="20"/>
          <w:color w:val="auto"/>
        </w:rPr>
      </w:pPr>
      <w:r>
        <w:rPr>
          <w:rFonts w:ascii="Arial" w:cs="Arial" w:eastAsia="Arial" w:hAnsi="Arial"/>
          <w:sz w:val="16"/>
          <w:szCs w:val="16"/>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Bank stipulated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and amortization</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Non-cash compensation expense</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color w:val="auto"/>
        </w:rPr>
        <w:t>Non-cash charges for deferred tax asset valuation allowances</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non-cash expenses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Non-recurring expenses or costs</w:t>
      </w:r>
      <w:r>
        <w:rPr>
          <w:rFonts w:ascii="Arial" w:cs="Arial" w:eastAsia="Arial" w:hAnsi="Arial"/>
          <w:sz w:val="23"/>
          <w:szCs w:val="23"/>
          <w:color w:val="auto"/>
          <w:vertAlign w:val="superscript"/>
        </w:rPr>
        <w:t>(2)</w:t>
      </w:r>
    </w:p>
    <w:p>
      <w:pPr>
        <w:ind w:left="220"/>
        <w:spacing w:after="0"/>
        <w:rPr>
          <w:sz w:val="20"/>
          <w:szCs w:val="20"/>
          <w:color w:val="auto"/>
        </w:rPr>
      </w:pPr>
      <w:r>
        <w:rPr>
          <w:rFonts w:ascii="Arial" w:cs="Arial" w:eastAsia="Arial" w:hAnsi="Arial"/>
          <w:sz w:val="18"/>
          <w:szCs w:val="18"/>
          <w:color w:val="auto"/>
        </w:rPr>
        <w:t>Extraordinary, non-recurring or unusual gains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Effects of purchase accounting adjustments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Business and asset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losses on early extinguishment of debt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Permitted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Currency gains and losses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Bank EBITDA, as defined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056" w:hanging="1056"/>
        <w:spacing w:after="0"/>
        <w:tabs>
          <w:tab w:leader="none" w:pos="10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68,180</w:t>
      </w:r>
    </w:p>
    <w:p>
      <w:pPr>
        <w:spacing w:after="0" w:line="286" w:lineRule="exact"/>
        <w:rPr>
          <w:rFonts w:ascii="Arial" w:cs="Arial" w:eastAsia="Arial" w:hAnsi="Arial"/>
          <w:sz w:val="15"/>
          <w:szCs w:val="15"/>
          <w:color w:val="auto"/>
        </w:rPr>
      </w:pPr>
    </w:p>
    <w:p>
      <w:pPr>
        <w:ind w:left="1056"/>
        <w:spacing w:after="0"/>
        <w:rPr>
          <w:rFonts w:ascii="Arial" w:cs="Arial" w:eastAsia="Arial" w:hAnsi="Arial"/>
          <w:sz w:val="15"/>
          <w:szCs w:val="15"/>
          <w:color w:val="auto"/>
        </w:rPr>
      </w:pPr>
      <w:r>
        <w:rPr>
          <w:rFonts w:ascii="Arial" w:cs="Arial" w:eastAsia="Arial" w:hAnsi="Arial"/>
          <w:sz w:val="15"/>
          <w:szCs w:val="15"/>
          <w:color w:val="auto"/>
        </w:rPr>
        <w:t>14,510</w:t>
      </w:r>
    </w:p>
    <w:p>
      <w:pPr>
        <w:spacing w:after="0" w:line="57"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1,980</w:t>
      </w:r>
    </w:p>
    <w:p>
      <w:pPr>
        <w:spacing w:after="0" w:line="57" w:lineRule="exact"/>
        <w:rPr>
          <w:rFonts w:ascii="Arial" w:cs="Arial" w:eastAsia="Arial" w:hAnsi="Arial"/>
          <w:sz w:val="15"/>
          <w:szCs w:val="15"/>
          <w:color w:val="auto"/>
        </w:rPr>
      </w:pPr>
    </w:p>
    <w:p>
      <w:pPr>
        <w:ind w:left="1056"/>
        <w:spacing w:after="0"/>
        <w:rPr>
          <w:rFonts w:ascii="Arial" w:cs="Arial" w:eastAsia="Arial" w:hAnsi="Arial"/>
          <w:sz w:val="15"/>
          <w:szCs w:val="15"/>
          <w:color w:val="auto"/>
        </w:rPr>
      </w:pPr>
      <w:r>
        <w:rPr>
          <w:rFonts w:ascii="Arial" w:cs="Arial" w:eastAsia="Arial" w:hAnsi="Arial"/>
          <w:sz w:val="15"/>
          <w:szCs w:val="15"/>
          <w:color w:val="auto"/>
        </w:rPr>
        <w:t>52,500</w:t>
      </w:r>
    </w:p>
    <w:p>
      <w:pPr>
        <w:spacing w:after="0" w:line="57"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9,880</w:t>
      </w:r>
    </w:p>
    <w:p>
      <w:pPr>
        <w:spacing w:after="0" w:line="57" w:lineRule="exact"/>
        <w:rPr>
          <w:rFonts w:ascii="Arial" w:cs="Arial" w:eastAsia="Arial" w:hAnsi="Arial"/>
          <w:sz w:val="15"/>
          <w:szCs w:val="15"/>
          <w:color w:val="auto"/>
        </w:rPr>
      </w:pPr>
    </w:p>
    <w:p>
      <w:pPr>
        <w:ind w:left="1276"/>
        <w:spacing w:after="0"/>
        <w:rPr>
          <w:rFonts w:ascii="Arial" w:cs="Arial" w:eastAsia="Arial" w:hAnsi="Arial"/>
          <w:sz w:val="15"/>
          <w:szCs w:val="15"/>
          <w:color w:val="auto"/>
        </w:rPr>
      </w:pPr>
      <w:r>
        <w:rPr>
          <w:rFonts w:ascii="Arial" w:cs="Arial" w:eastAsia="Arial" w:hAnsi="Arial"/>
          <w:sz w:val="15"/>
          <w:szCs w:val="15"/>
          <w:color w:val="auto"/>
        </w:rPr>
        <w:t>250</w:t>
      </w:r>
    </w:p>
    <w:p>
      <w:pPr>
        <w:spacing w:after="0" w:line="57"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1,880</w:t>
      </w:r>
    </w:p>
    <w:p>
      <w:pPr>
        <w:spacing w:after="0" w:line="57" w:lineRule="exact"/>
        <w:rPr>
          <w:rFonts w:ascii="Arial" w:cs="Arial" w:eastAsia="Arial" w:hAnsi="Arial"/>
          <w:sz w:val="15"/>
          <w:szCs w:val="15"/>
          <w:color w:val="auto"/>
        </w:rPr>
      </w:pPr>
    </w:p>
    <w:p>
      <w:pPr>
        <w:ind w:left="1056"/>
        <w:spacing w:after="0"/>
        <w:rPr>
          <w:rFonts w:ascii="Arial" w:cs="Arial" w:eastAsia="Arial" w:hAnsi="Arial"/>
          <w:sz w:val="15"/>
          <w:szCs w:val="15"/>
          <w:color w:val="auto"/>
        </w:rPr>
      </w:pPr>
      <w:r>
        <w:rPr>
          <w:rFonts w:ascii="Arial" w:cs="Arial" w:eastAsia="Arial" w:hAnsi="Arial"/>
          <w:sz w:val="15"/>
          <w:szCs w:val="15"/>
          <w:color w:val="auto"/>
        </w:rPr>
        <w:t>14,890</w:t>
      </w:r>
    </w:p>
    <w:p>
      <w:pPr>
        <w:spacing w:after="0" w:line="57"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1,470</w:t>
      </w:r>
    </w:p>
    <w:p>
      <w:pPr>
        <w:spacing w:after="0" w:line="57" w:lineRule="exact"/>
        <w:rPr>
          <w:rFonts w:ascii="Arial" w:cs="Arial" w:eastAsia="Arial" w:hAnsi="Arial"/>
          <w:sz w:val="15"/>
          <w:szCs w:val="15"/>
          <w:color w:val="auto"/>
        </w:rPr>
      </w:pPr>
    </w:p>
    <w:p>
      <w:pPr>
        <w:ind w:left="1276"/>
        <w:spacing w:after="0"/>
        <w:rPr>
          <w:rFonts w:ascii="Arial" w:cs="Arial" w:eastAsia="Arial" w:hAnsi="Arial"/>
          <w:sz w:val="15"/>
          <w:szCs w:val="15"/>
          <w:color w:val="auto"/>
        </w:rPr>
      </w:pPr>
      <w:r>
        <w:rPr>
          <w:rFonts w:ascii="Arial" w:cs="Arial" w:eastAsia="Arial" w:hAnsi="Arial"/>
          <w:sz w:val="15"/>
          <w:szCs w:val="15"/>
          <w:color w:val="auto"/>
        </w:rPr>
        <w:t>830</w:t>
      </w:r>
    </w:p>
    <w:p>
      <w:pPr>
        <w:spacing w:after="0" w:line="57" w:lineRule="exact"/>
        <w:rPr>
          <w:rFonts w:ascii="Arial" w:cs="Arial" w:eastAsia="Arial" w:hAnsi="Arial"/>
          <w:sz w:val="15"/>
          <w:szCs w:val="15"/>
          <w:color w:val="auto"/>
        </w:rPr>
      </w:pPr>
    </w:p>
    <w:p>
      <w:pPr>
        <w:ind w:left="1276"/>
        <w:spacing w:after="0"/>
        <w:rPr>
          <w:rFonts w:ascii="Arial" w:cs="Arial" w:eastAsia="Arial" w:hAnsi="Arial"/>
          <w:sz w:val="15"/>
          <w:szCs w:val="15"/>
          <w:color w:val="auto"/>
        </w:rPr>
      </w:pPr>
      <w:r>
        <w:rPr>
          <w:rFonts w:ascii="Arial" w:cs="Arial" w:eastAsia="Arial" w:hAnsi="Arial"/>
          <w:sz w:val="15"/>
          <w:szCs w:val="15"/>
          <w:color w:val="auto"/>
        </w:rPr>
        <w:t>450</w:t>
      </w:r>
    </w:p>
    <w:p>
      <w:pPr>
        <w:spacing w:after="0" w:line="57"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3,000</w:t>
      </w:r>
    </w:p>
    <w:p>
      <w:pPr>
        <w:spacing w:after="0" w:line="57"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1,770</w:t>
      </w:r>
    </w:p>
    <w:p>
      <w:pPr>
        <w:spacing w:after="0" w:line="57" w:lineRule="exact"/>
        <w:rPr>
          <w:rFonts w:ascii="Arial" w:cs="Arial" w:eastAsia="Arial" w:hAnsi="Arial"/>
          <w:sz w:val="15"/>
          <w:szCs w:val="15"/>
          <w:color w:val="auto"/>
        </w:rPr>
      </w:pPr>
    </w:p>
    <w:p>
      <w:pPr>
        <w:ind w:left="1276"/>
        <w:spacing w:after="0"/>
        <w:rPr>
          <w:rFonts w:ascii="Arial" w:cs="Arial" w:eastAsia="Arial" w:hAnsi="Arial"/>
          <w:sz w:val="15"/>
          <w:szCs w:val="15"/>
          <w:color w:val="auto"/>
        </w:rPr>
      </w:pPr>
      <w:r>
        <w:rPr>
          <w:rFonts w:ascii="Arial" w:cs="Arial" w:eastAsia="Arial" w:hAnsi="Arial"/>
          <w:sz w:val="15"/>
          <w:szCs w:val="15"/>
          <w:color w:val="auto"/>
        </w:rPr>
        <w:t>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1036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50" w:lineRule="exact"/>
        <w:rPr>
          <w:sz w:val="20"/>
          <w:szCs w:val="20"/>
          <w:color w:val="auto"/>
        </w:rPr>
      </w:pPr>
    </w:p>
    <w:p>
      <w:pPr>
        <w:ind w:left="956" w:hanging="956"/>
        <w:spacing w:after="0"/>
        <w:tabs>
          <w:tab w:leader="none" w:pos="9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172,010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036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1036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8904" w:space="720"/>
            <w:col w:w="1616"/>
          </w:cols>
          <w:pgMar w:left="320" w:top="125" w:right="339" w:bottom="1440" w:gutter="0" w:footer="0" w:header="0"/>
          <w:type w:val="continuous"/>
        </w:sectPr>
      </w:pP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96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Borders>
              <w:bottom w:val="single" w:sz="8" w:color="CCEEFF"/>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Indebtedness, as defined</w:t>
            </w: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284,200</w:t>
            </w:r>
          </w:p>
        </w:tc>
        <w:tc>
          <w:tcPr>
            <w:tcW w:w="200" w:type="dxa"/>
            <w:vAlign w:val="bottom"/>
            <w:shd w:val="clear" w:color="auto" w:fill="CCEEFF"/>
          </w:tcPr>
          <w:p>
            <w:pPr>
              <w:spacing w:after="0"/>
              <w:rPr>
                <w:sz w:val="19"/>
                <w:szCs w:val="19"/>
                <w:color w:val="auto"/>
              </w:rPr>
            </w:pPr>
          </w:p>
        </w:tc>
      </w:tr>
      <w:tr>
        <w:trPr>
          <w:trHeight w:val="23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172,010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x</w:t>
            </w: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88"/>
              </w:rPr>
              <w:t>x</w:t>
            </w:r>
          </w:p>
        </w:tc>
      </w:tr>
      <w:tr>
        <w:trPr>
          <w:trHeight w:val="20"/>
        </w:trPr>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6"/>
        </w:trPr>
        <w:tc>
          <w:tcPr>
            <w:tcW w:w="8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0" w:type="dxa"/>
            <w:vAlign w:val="bottom"/>
          </w:tcPr>
          <w:p>
            <w:pPr>
              <w:spacing w:after="0"/>
              <w:rPr>
                <w:sz w:val="24"/>
                <w:szCs w:val="24"/>
                <w:color w:val="auto"/>
              </w:rPr>
            </w:pPr>
          </w:p>
        </w:tc>
      </w:tr>
      <w:tr>
        <w:trPr>
          <w:trHeight w:val="162"/>
        </w:trPr>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left="32"/>
              <w:spacing w:after="0" w:line="162" w:lineRule="exact"/>
              <w:rPr>
                <w:sz w:val="20"/>
                <w:szCs w:val="20"/>
                <w:color w:val="auto"/>
              </w:rPr>
            </w:pPr>
            <w:r>
              <w:rPr>
                <w:rFonts w:ascii="Arial" w:cs="Arial" w:eastAsia="Arial" w:hAnsi="Arial"/>
                <w:sz w:val="16"/>
                <w:szCs w:val="16"/>
                <w:b w:val="1"/>
                <w:bCs w:val="1"/>
                <w:color w:val="auto"/>
                <w:w w:val="93"/>
              </w:rPr>
              <w:t>Ended</w:t>
            </w:r>
          </w:p>
        </w:tc>
        <w:tc>
          <w:tcPr>
            <w:tcW w:w="200" w:type="dxa"/>
            <w:vAlign w:val="bottom"/>
          </w:tcPr>
          <w:p>
            <w:pPr>
              <w:spacing w:after="0"/>
              <w:rPr>
                <w:sz w:val="14"/>
                <w:szCs w:val="14"/>
                <w:color w:val="auto"/>
              </w:rPr>
            </w:pPr>
          </w:p>
        </w:tc>
      </w:tr>
      <w:tr>
        <w:trPr>
          <w:trHeight w:val="213"/>
        </w:trPr>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 2021</w:t>
            </w: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14,510</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Bank stipulated adjustments: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8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8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Non-cash amounts attributable to amortization of financing costs</w:t>
            </w:r>
          </w:p>
        </w:tc>
        <w:tc>
          <w:tcPr>
            <w:tcW w:w="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(1,030)</w:t>
            </w:r>
          </w:p>
        </w:tc>
      </w:tr>
      <w:tr>
        <w:trPr>
          <w:trHeight w:val="248"/>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13,290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September 30, 2021</w:t>
            </w:r>
          </w:p>
        </w:tc>
        <w:tc>
          <w:tcPr>
            <w:tcW w:w="200" w:type="dxa"/>
            <w:vAlign w:val="bottom"/>
            <w:tcBorders>
              <w:bottom w:val="single" w:sz="8" w:color="CCEEFF"/>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172,010</w:t>
            </w:r>
          </w:p>
        </w:tc>
        <w:tc>
          <w:tcPr>
            <w:tcW w:w="200" w:type="dxa"/>
            <w:vAlign w:val="bottom"/>
            <w:shd w:val="clear" w:color="auto" w:fill="CCEEFF"/>
          </w:tcPr>
          <w:p>
            <w:pPr>
              <w:spacing w:after="0"/>
              <w:rPr>
                <w:sz w:val="19"/>
                <w:szCs w:val="19"/>
                <w:color w:val="auto"/>
              </w:rPr>
            </w:pPr>
          </w:p>
        </w:tc>
      </w:tr>
      <w:tr>
        <w:trPr>
          <w:trHeight w:val="229"/>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20"/>
                <w:szCs w:val="20"/>
                <w:color w:val="auto"/>
              </w:rPr>
            </w:pPr>
            <w:r>
              <w:rPr>
                <w:rFonts w:ascii="Arial" w:cs="Arial" w:eastAsia="Arial" w:hAnsi="Arial"/>
                <w:sz w:val="18"/>
                <w:szCs w:val="18"/>
                <w:color w:val="auto"/>
              </w:rPr>
              <w:t>x</w:t>
            </w:r>
          </w:p>
        </w:tc>
      </w:tr>
      <w:tr>
        <w:trPr>
          <w:trHeight w:val="21"/>
        </w:trPr>
        <w:tc>
          <w:tcPr>
            <w:tcW w:w="8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Non-cash compensation expenses resulting from the grant of equity awards.</w:t>
      </w:r>
    </w:p>
    <w:p>
      <w:pPr>
        <w:spacing w:after="0" w:line="114"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2"/>
        </w:numPr>
        <w:rPr>
          <w:rFonts w:ascii="Arial" w:cs="Arial" w:eastAsia="Arial" w:hAnsi="Arial"/>
          <w:sz w:val="9"/>
          <w:szCs w:val="9"/>
          <w:color w:val="auto"/>
        </w:rPr>
      </w:pPr>
      <w:r>
        <w:rPr>
          <w:rFonts w:ascii="Arial" w:cs="Arial" w:eastAsia="Arial" w:hAnsi="Arial"/>
          <w:sz w:val="14"/>
          <w:szCs w:val="14"/>
          <w:color w:val="auto"/>
        </w:rPr>
        <w:t>Non-recurring costs and expenses relating to diligence and transaction costs, purchase accounting costs, severance, relocation, restructuring and curtailment expenses.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revolving credit facility allows for the issuance of letters of credit, not to exceed $40.0 million in aggregate. We placed restricted cash on deposit with a financial institution to be held as cash collateral for our outstanding letters of credit; therefore, as of September 30, 2021 and December 31, 2020, we had no letters of credit issued against our revolving credit facility. At September 30, 2021, we had no amounts outstanding under our revolving credit facility and had approximately $300.0 million available after giving effect to letters of credit issued and outstanding. At December 31, 2020, we had $50.5 million outstanding under our revolving credit facility and had approximately $249.5 million available after giving effect to letters of credit issued and outstanding. Our letters of credit, or corresponding restricted cash deposits,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September 30, 2021 and December 31, 2020.</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weighted average borrowings during the first nine months of 2021 approximated $402.5 million, compared to approximately $387.7 million during the first nine months of 2020, primarily due to a higher aggregate principal balance on our senior notes due to the issuance of the 2029 Senior Notes and the redemption of the 2025 Senior Notes during the first half of 2021.</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2021, we, through one of our non-U.S. subsidiaries, entered into a revolving loan facility with a borrowing capacity of $4 million. The facility is guaranteed by TriMas Corporation. There were no borrowings on this loan facility as of September 30, 2021.</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considering the economic uncertainty surrounding the potential business impacts from the COVID-19 pandemic with respect to our operations, supply chains, distribution channels, and end-market customers, we have taken certain defensive actions as we monitor our cash position and available liquidity. These actions have included suspending our repurchase of our common stock, borrowing on our revolving credit facility, tightening our capital expenditures, advanced monitoring of our accounts receivable balances and flexing cost structures of operations expected to be most impacted by COVID-</w:t>
      </w:r>
    </w:p>
    <w:p>
      <w:pPr>
        <w:spacing w:after="0" w:line="1" w:lineRule="exact"/>
        <w:rPr>
          <w:sz w:val="20"/>
          <w:szCs w:val="20"/>
          <w:color w:val="auto"/>
        </w:rPr>
      </w:pPr>
    </w:p>
    <w:p>
      <w:pPr>
        <w:ind w:firstLine="8"/>
        <w:spacing w:after="0" w:line="260" w:lineRule="auto"/>
        <w:tabs>
          <w:tab w:leader="none" w:pos="2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Given strong cash generation and our current liquidity position, we have subsequently relaxed certain of these actions, choosing to further invest in capital expenditures for our businesses and resume purchasing shares of our common stock.</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our cash on hand as of September 30, 2021 is located within the U.S., and given available funding under our revolving credit facility of $300.0 million at September 30, 2021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1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subject to variable interest rates on our revolving credit facility. At September 30, 2021, 1-Month LIBOR approximated 0.08%. At September 30, 2021, we had no amounts outstanding on our revolving credit facility and, therefore, no variable rate-based borrowings outstanding.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$9.4 million in 2020. We expect leasing will continue to be an available financing option to fund future capital expenditure requirements.</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2020, we announced our Board of Directors had authorized us to increase the purchase of our common stock up to $250 million in the aggregate, an increase of $100 million from the prior authorization. In the three and nine months ended September 30, 2021, we purchased 129,866 and 570,084 shares of our outstanding common stock for an aggregate purchase price of approximately $4.0 million and $18.2 million, respectively. Since the initial authorization through September 30, 2021, we have purchased 3,824,815 shares of our outstanding common stock for an aggregate purchase price of approximately $106.5 million. We will continue to evaluate opportunities to return capital to shareholders through the purchase of our common stock and the payment of dividends, depending on market conditions, including the potential impact of the COVID-19 pandemic, and other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September 30, 2021, we were party to foreign exchange forward and swap contracts to hedge changes in foreign currency exchange rates with notional amounts of approximately $126.9 million. We also use cross-currency swap agreements to mitigate currency risks associated with the net investment in certain of our foreign subsidiaries. See Note 10,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interest risk as it relates to our long-term debt. See Note 9, "</w:t>
      </w:r>
      <w:r>
        <w:rPr>
          <w:rFonts w:ascii="Arial" w:cs="Arial" w:eastAsia="Arial" w:hAnsi="Arial"/>
          <w:sz w:val="18"/>
          <w:szCs w:val="18"/>
          <w:i w:val="1"/>
          <w:iCs w:val="1"/>
          <w:color w:val="auto"/>
        </w:rPr>
        <w:t>Long-term Debt</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within this quarterly report on Form 10-Q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 Our stock trades under the symbol "TRS."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and certain of our outstanding debt obligations are rated by Standard &amp; Poor's and Moody's. On March 24, 2021, Moody's assigned a Ba3 rating to our 2029 Senior Notes.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Part I,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xml:space="preserve"> within this quarterly report on Form 10-Q. Moody's also affirmed a Ba2 Corporate Family Rating and maintained its outlook as stable. On March 15, 2021, Standard &amp; Poor's assigned a BB- rating to our 2029 Senior Notes. On February 26, 2021, Standard &amp; Poor's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has now been more than one year since the onset of the COVID-19 pandemic. The COVID-19 pandemic has significantly affected each of our businesses and how we operate, albeit in different ways and magnitudes. Sales in our Packaging segment for dispensing and closure products we supply that are used in applications to fight the spread of germs continue to be much stronger than before the COVID-19 pandemic, although, as expected, have abated from peak levels in 2020 at the onset of the COVID-19 pandemic. Sales in our Specialty Products segment had been depressed by low levels of industrial activity in the U.S., but have begun to rebound in second and third quarters of 2021. Sales in our Aerospace segment are expected to be lower than historical levels for an indefinite period as a result of low new commercial aircraft builds, but have been boosted by customers' stocking orders during the first nine months of 2021.</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our financial results demonstrate our ability to effectively leverage our TriMas Business Model, working across our businesses with a high degree of connectivity to respond to changing market conditions, including the ongoing challenges presented by the COVID-19 pandemic. We have capitalized on opportunities where market demand was high, while also taking swift actions where market demand was sharply reduced. We have continued to take proactive realignment actions to mitigate the effects of lower demand from the COVID-19 pandemic as much as practical.</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experienced increased sales levels during third quarter 2021, as compared to the same period in 2020, we believe there will be a continued period of uncertainty related to demand levels for our products, whether it be when new aircraft builds will ramp-up that require our fasteners or engineered products or whether industrial demand will continue to improve toward pre-pandemic levels. We expect to continue to mitigate, as much as practical, the impact of low volumes in the most challenged end markets, executing realignment actions as necessary so we are positioned to gain operating leverage when these end markets recover. We believe we remain well positioned to capitalize on the recovery of the aerospace and industrial markets, as well as available market growth opportunities. We believe the continued effectiveness of vaccines, as well as continued measures intended to control the spread of the virus and future variants thereof, are among the most significant factors that could impact demand for our products.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continued uncertainties resulting from the COVID-19 pandemic, and their potential impact to our future results of operations, as well as to TriMas' market capitalization, we may record additional cash and non-cash charges related to further realignment actions, as well for uncollectible customer account balances, excess inventory and idle production equipment. At this time, we are not able to estimate the extent or amount of any such potential cash and non-cash charges.</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Following the issuance of our 2029 Senior Notes and the amendment of our Credit Agreement in 2021, 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foreseeable future, as well as dividends and share repurchases.</w:t>
      </w:r>
    </w:p>
    <w:p>
      <w:pPr>
        <w:spacing w:after="0" w:line="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expect to continue to leverage the tenets of our TriMas Business Model to manage our multi-industry businesses and address the ongoing challenges presented by the COVID-19 pandemic, and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September 30, 2021,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9, "</w:t>
      </w:r>
      <w:r>
        <w:rPr>
          <w:rFonts w:ascii="Arial" w:cs="Arial" w:eastAsia="Arial" w:hAnsi="Arial"/>
          <w:sz w:val="18"/>
          <w:szCs w:val="18"/>
          <w:i w:val="1"/>
          <w:iCs w:val="1"/>
          <w:color w:val="auto"/>
        </w:rPr>
        <w:t>Long-term Debt</w:t>
      </w:r>
      <w:r>
        <w:rPr>
          <w:rFonts w:ascii="Arial" w:cs="Arial" w:eastAsia="Arial" w:hAnsi="Arial"/>
          <w:sz w:val="18"/>
          <w:szCs w:val="18"/>
          <w:color w:val="auto"/>
        </w:rPr>
        <w:t>," and Note 10,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 information.</w:t>
      </w:r>
    </w:p>
    <w:p>
      <w:pPr>
        <w:spacing w:after="0" w:line="1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2021,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September 30, 2021, the Company's disclosure controls and procedures are effective to provide reasonable assurance that they would meet their objectives.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have required certain employees, some of whom are involved in the operation of our internal controls over financial reporting, to work from home. Despite this change, there have been no changes in the Company's internal control over financial reporting during the quarter ended September 30, 2021 that have materially affected, or are reasonably likely to materially affect, the Company's internal control over financial reporting. We are continually monitoring and assessing the COVID-19 pandemic on our internal controls to minimize any impact it may have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2020 Annual Report on Form 10-K, which could materially affect our business, financial condition or future results. There have been no significant changes in our risk factors as disclosed in our 2020 Annual Report on Form 10-K.</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September 30, 2021.</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4"/>
                <w:szCs w:val="14"/>
                <w:color w:val="auto"/>
              </w:rPr>
            </w:pPr>
          </w:p>
        </w:tc>
        <w:tc>
          <w:tcPr>
            <w:tcW w:w="182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1"/>
              </w:rPr>
              <w:t>Average Price Paid per</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3"/>
              </w:rPr>
              <w:t>Yet Be Purchased Under</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1720" w:type="dxa"/>
            <w:vAlign w:val="bottom"/>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Share</w:t>
            </w:r>
          </w:p>
        </w:tc>
        <w:tc>
          <w:tcPr>
            <w:tcW w:w="17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9"/>
              </w:rPr>
              <w:t xml:space="preserve">Plans or Programs </w:t>
            </w:r>
            <w:r>
              <w:rPr>
                <w:rFonts w:ascii="Arial" w:cs="Arial" w:eastAsia="Arial" w:hAnsi="Arial"/>
                <w:sz w:val="21"/>
                <w:szCs w:val="21"/>
                <w:b w:val="1"/>
                <w:bCs w:val="1"/>
                <w:color w:val="auto"/>
                <w:w w:val="89"/>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13"/>
              <w:spacing w:after="0" w:line="216" w:lineRule="exact"/>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2021 to July 31, 2021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145,525,137</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August 1, 2021 to August 31, 2021</w:t>
            </w:r>
          </w:p>
        </w:tc>
        <w:tc>
          <w:tcPr>
            <w:tcW w:w="1720" w:type="dxa"/>
            <w:vAlign w:val="bottom"/>
          </w:tcPr>
          <w:p>
            <w:pPr>
              <w:jc w:val="right"/>
              <w:spacing w:after="0"/>
              <w:rPr>
                <w:sz w:val="20"/>
                <w:szCs w:val="20"/>
                <w:color w:val="auto"/>
              </w:rPr>
            </w:pPr>
            <w:r>
              <w:rPr>
                <w:rFonts w:ascii="Arial" w:cs="Arial" w:eastAsia="Arial" w:hAnsi="Arial"/>
                <w:sz w:val="18"/>
                <w:szCs w:val="18"/>
                <w:color w:val="auto"/>
              </w:rPr>
              <w:t>37,067</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37,067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144,342,519</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2021 to September 30,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27,188</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143,540,446</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129,866</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143,540,446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jc w:val="both"/>
        <w:ind w:left="340" w:hanging="332"/>
        <w:spacing w:after="0" w:line="228" w:lineRule="auto"/>
        <w:tabs>
          <w:tab w:leader="none" w:pos="309"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September 30, 2021, the Company repurchased 129,866 shares of its common stock at a cost of approximately $4.0 million. The share repurchase program is effective and has no expiration date.</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180" w:type="dxa"/>
            <w:vAlign w:val="bottom"/>
            <w:gridSpan w:val="10"/>
          </w:tcPr>
          <w:p>
            <w:pPr>
              <w:spacing w:after="0"/>
              <w:rPr>
                <w:sz w:val="20"/>
                <w:szCs w:val="20"/>
                <w:color w:val="auto"/>
              </w:rPr>
            </w:pPr>
            <w:r>
              <w:rPr>
                <w:rFonts w:ascii="Arial" w:cs="Arial" w:eastAsia="Arial" w:hAnsi="Arial"/>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18"/>
                <w:szCs w:val="18"/>
                <w:color w:val="auto"/>
              </w:rPr>
            </w:pPr>
          </w:p>
        </w:tc>
        <w:tc>
          <w:tcPr>
            <w:tcW w:w="9500" w:type="dxa"/>
            <w:vAlign w:val="bottom"/>
            <w:gridSpan w:val="8"/>
          </w:tcPr>
          <w:p>
            <w:pPr>
              <w:spacing w:after="0"/>
              <w:rPr>
                <w:rFonts w:ascii="Arial" w:cs="Arial" w:eastAsia="Arial" w:hAnsi="Arial"/>
                <w:sz w:val="18"/>
                <w:szCs w:val="18"/>
                <w:color w:val="0000FF"/>
                <w:w w:val="93"/>
              </w:rPr>
            </w:pPr>
            <w:hyperlink r:id="rId67">
              <w:r>
                <w:rPr>
                  <w:rFonts w:ascii="Arial" w:cs="Arial" w:eastAsia="Arial" w:hAnsi="Arial"/>
                  <w:sz w:val="18"/>
                  <w:szCs w:val="18"/>
                  <w:color w:val="0000FF"/>
                  <w:w w:val="93"/>
                </w:rPr>
                <w:t>Fourth Amended and Restated Certificate of Incorporation of TriMas Corporation (Incorporated by reference to the Exhibits filed</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with TriMas Corporation's Quarterly Report on Form 10-Q filed on August 3, 2007 (File No. 001-10716)).</w:t>
              </w:r>
            </w:hyperlink>
          </w:p>
        </w:tc>
        <w:tc>
          <w:tcPr>
            <w:tcW w:w="1640" w:type="dxa"/>
            <w:vAlign w:val="bottom"/>
            <w:tcBorders>
              <w:top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18"/>
                <w:szCs w:val="18"/>
                <w:color w:val="auto"/>
              </w:rPr>
            </w:pPr>
          </w:p>
        </w:tc>
        <w:tc>
          <w:tcPr>
            <w:tcW w:w="9500" w:type="dxa"/>
            <w:vAlign w:val="bottom"/>
            <w:gridSpan w:val="8"/>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Third Amended and Restated By-laws of TriMas Corporation (Incorporated by reference to the Exhibits filed with TriMas</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Corporation's Current Report on Form 8-K filed on December 18, 2015 (File No. 001-10716)).</w:t>
              </w:r>
            </w:hyperlink>
          </w:p>
        </w:tc>
        <w:tc>
          <w:tcPr>
            <w:tcW w:w="6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10.1</w:t>
            </w:r>
          </w:p>
        </w:tc>
        <w:tc>
          <w:tcPr>
            <w:tcW w:w="1040" w:type="dxa"/>
            <w:vAlign w:val="bottom"/>
          </w:tcPr>
          <w:p>
            <w:pPr>
              <w:spacing w:after="0"/>
              <w:rPr>
                <w:sz w:val="18"/>
                <w:szCs w:val="18"/>
                <w:color w:val="auto"/>
              </w:rPr>
            </w:pPr>
          </w:p>
        </w:tc>
        <w:tc>
          <w:tcPr>
            <w:tcW w:w="9500" w:type="dxa"/>
            <w:vAlign w:val="bottom"/>
            <w:gridSpan w:val="8"/>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Executive Severance / Change in Control Policy (Incorporated by reference to the Exhibits filed with Corporation's Current Report</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on Form 8-K filed on August 11, 2021 (File No. 001-10716)).*</w:t>
              </w:r>
            </w:hyperlink>
          </w:p>
        </w:tc>
        <w:tc>
          <w:tcPr>
            <w:tcW w:w="488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18"/>
                <w:szCs w:val="18"/>
                <w:color w:val="auto"/>
              </w:rPr>
            </w:pPr>
          </w:p>
        </w:tc>
        <w:tc>
          <w:tcPr>
            <w:tcW w:w="9500" w:type="dxa"/>
            <w:vAlign w:val="bottom"/>
            <w:gridSpan w:val="8"/>
          </w:tcPr>
          <w:p>
            <w:pPr>
              <w:spacing w:after="0" w:line="207" w:lineRule="exact"/>
              <w:rPr>
                <w:rFonts w:ascii="Arial" w:cs="Arial" w:eastAsia="Arial" w:hAnsi="Arial"/>
                <w:sz w:val="18"/>
                <w:szCs w:val="18"/>
                <w:color w:val="0000FF"/>
                <w:w w:val="98"/>
              </w:rPr>
            </w:pPr>
            <w:hyperlink w:anchor="page50">
              <w:r>
                <w:rPr>
                  <w:rFonts w:ascii="Arial" w:cs="Arial" w:eastAsia="Arial" w:hAnsi="Arial"/>
                  <w:sz w:val="18"/>
                  <w:szCs w:val="18"/>
                  <w:color w:val="0000FF"/>
                  <w:w w:val="98"/>
                </w:rPr>
                <w:t>Certification pursuant to 18 U.S.C. Section 1350, as adopted pursuant to Section 302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4"/>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18"/>
                <w:szCs w:val="18"/>
                <w:color w:val="auto"/>
              </w:rPr>
            </w:pPr>
          </w:p>
        </w:tc>
        <w:tc>
          <w:tcPr>
            <w:tcW w:w="9500" w:type="dxa"/>
            <w:vAlign w:val="bottom"/>
            <w:gridSpan w:val="8"/>
          </w:tcPr>
          <w:p>
            <w:pPr>
              <w:spacing w:after="0" w:line="207" w:lineRule="exact"/>
              <w:rPr>
                <w:rFonts w:ascii="Arial" w:cs="Arial" w:eastAsia="Arial" w:hAnsi="Arial"/>
                <w:sz w:val="18"/>
                <w:szCs w:val="18"/>
                <w:color w:val="0000FF"/>
                <w:w w:val="98"/>
              </w:rPr>
            </w:pPr>
            <w:hyperlink w:anchor="page51">
              <w:r>
                <w:rPr>
                  <w:rFonts w:ascii="Arial" w:cs="Arial" w:eastAsia="Arial" w:hAnsi="Arial"/>
                  <w:sz w:val="18"/>
                  <w:szCs w:val="18"/>
                  <w:color w:val="0000FF"/>
                  <w:w w:val="98"/>
                </w:rPr>
                <w:t>Certification pursuant to 18 U.S.C. Section 1350, as adopted pursuant to Section 302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4"/>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18"/>
                <w:szCs w:val="18"/>
                <w:color w:val="auto"/>
              </w:rPr>
            </w:pPr>
          </w:p>
        </w:tc>
        <w:tc>
          <w:tcPr>
            <w:tcW w:w="9500" w:type="dxa"/>
            <w:vAlign w:val="bottom"/>
            <w:gridSpan w:val="8"/>
          </w:tcPr>
          <w:p>
            <w:pPr>
              <w:spacing w:after="0" w:line="207" w:lineRule="exact"/>
              <w:rPr>
                <w:rFonts w:ascii="Arial" w:cs="Arial" w:eastAsia="Arial" w:hAnsi="Arial"/>
                <w:sz w:val="18"/>
                <w:szCs w:val="18"/>
                <w:color w:val="0000FF"/>
                <w:w w:val="98"/>
              </w:rPr>
            </w:pPr>
            <w:hyperlink w:anchor="page52">
              <w:r>
                <w:rPr>
                  <w:rFonts w:ascii="Arial" w:cs="Arial" w:eastAsia="Arial" w:hAnsi="Arial"/>
                  <w:sz w:val="18"/>
                  <w:szCs w:val="18"/>
                  <w:color w:val="0000FF"/>
                  <w:w w:val="98"/>
                </w:rPr>
                <w:t>Certification pursuant to 18 U.S.C. Section 1350, as adopted pursuant to Section 906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4"/>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18"/>
                <w:szCs w:val="18"/>
                <w:color w:val="auto"/>
              </w:rPr>
            </w:pPr>
          </w:p>
        </w:tc>
        <w:tc>
          <w:tcPr>
            <w:tcW w:w="9500" w:type="dxa"/>
            <w:vAlign w:val="bottom"/>
            <w:gridSpan w:val="8"/>
          </w:tcPr>
          <w:p>
            <w:pPr>
              <w:spacing w:after="0" w:line="207" w:lineRule="exact"/>
              <w:rPr>
                <w:rFonts w:ascii="Arial" w:cs="Arial" w:eastAsia="Arial" w:hAnsi="Arial"/>
                <w:sz w:val="18"/>
                <w:szCs w:val="18"/>
                <w:color w:val="0000FF"/>
                <w:w w:val="98"/>
              </w:rPr>
            </w:pPr>
            <w:hyperlink w:anchor="page53">
              <w:r>
                <w:rPr>
                  <w:rFonts w:ascii="Arial" w:cs="Arial" w:eastAsia="Arial" w:hAnsi="Arial"/>
                  <w:sz w:val="18"/>
                  <w:szCs w:val="18"/>
                  <w:color w:val="0000FF"/>
                  <w:w w:val="98"/>
                </w:rPr>
                <w:t>Certification pursuant to 18 U.S.C. Section 1350, as adopted pursuant to Section 906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4"/>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040" w:type="dxa"/>
            <w:vAlign w:val="bottom"/>
          </w:tcPr>
          <w:p>
            <w:pPr>
              <w:spacing w:after="0"/>
              <w:rPr>
                <w:sz w:val="17"/>
                <w:szCs w:val="17"/>
                <w:color w:val="auto"/>
              </w:rPr>
            </w:pPr>
          </w:p>
        </w:tc>
        <w:tc>
          <w:tcPr>
            <w:tcW w:w="9500" w:type="dxa"/>
            <w:vAlign w:val="bottom"/>
            <w:gridSpan w:val="8"/>
          </w:tcPr>
          <w:p>
            <w:pPr>
              <w:spacing w:after="0" w:line="196" w:lineRule="exact"/>
              <w:rPr>
                <w:sz w:val="20"/>
                <w:szCs w:val="20"/>
                <w:color w:val="auto"/>
              </w:rPr>
            </w:pPr>
            <w:r>
              <w:rPr>
                <w:rFonts w:ascii="Arial" w:cs="Arial" w:eastAsia="Arial" w:hAnsi="Arial"/>
                <w:sz w:val="18"/>
                <w:szCs w:val="18"/>
                <w:color w:val="auto"/>
                <w:w w:val="95"/>
              </w:rPr>
              <w:t>The following materials from TriMas Corporation's Quarterly Report on Form 10-Q for the quarter ended September 30, 2021,</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8"/>
          </w:tcPr>
          <w:p>
            <w:pPr>
              <w:spacing w:after="0" w:line="176" w:lineRule="exact"/>
              <w:rPr>
                <w:sz w:val="20"/>
                <w:szCs w:val="20"/>
                <w:color w:val="auto"/>
              </w:rPr>
            </w:pPr>
            <w:r>
              <w:rPr>
                <w:rFonts w:ascii="Arial" w:cs="Arial" w:eastAsia="Arial" w:hAnsi="Arial"/>
                <w:sz w:val="18"/>
                <w:szCs w:val="18"/>
                <w:color w:val="auto"/>
                <w:w w:val="94"/>
              </w:rPr>
              <w:t>formatted in Inline XBRL (eXtensible Business Reporting Language): (i) the Consolidated Balance Sheet, (ii) the Consolidated</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8"/>
          </w:tcPr>
          <w:p>
            <w:pPr>
              <w:spacing w:after="0" w:line="176" w:lineRule="exact"/>
              <w:rPr>
                <w:sz w:val="20"/>
                <w:szCs w:val="20"/>
                <w:color w:val="auto"/>
              </w:rPr>
            </w:pPr>
            <w:r>
              <w:rPr>
                <w:rFonts w:ascii="Arial" w:cs="Arial" w:eastAsia="Arial" w:hAnsi="Arial"/>
                <w:sz w:val="18"/>
                <w:szCs w:val="18"/>
                <w:color w:val="auto"/>
                <w:w w:val="94"/>
              </w:rPr>
              <w:t>Statement of Operations, (iii) the Consolidated Statement of Comprehensive Income, (iv) the Consolidated Statement of Cash</w:t>
            </w:r>
          </w:p>
        </w:tc>
      </w:tr>
      <w:tr>
        <w:trPr>
          <w:trHeight w:val="175"/>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8"/>
          </w:tcPr>
          <w:p>
            <w:pPr>
              <w:spacing w:after="0" w:line="176" w:lineRule="exact"/>
              <w:rPr>
                <w:sz w:val="20"/>
                <w:szCs w:val="20"/>
                <w:color w:val="auto"/>
              </w:rPr>
            </w:pPr>
            <w:r>
              <w:rPr>
                <w:rFonts w:ascii="Arial" w:cs="Arial" w:eastAsia="Arial" w:hAnsi="Arial"/>
                <w:sz w:val="18"/>
                <w:szCs w:val="18"/>
                <w:color w:val="auto"/>
                <w:w w:val="90"/>
              </w:rPr>
              <w:t>Flows, (v) the Consolidated Statement of Shareholders' Equity, (vi) Notes to Consolidated Financial Statements, and (vii) document</w:t>
            </w:r>
          </w:p>
        </w:tc>
      </w:tr>
      <w:tr>
        <w:trPr>
          <w:trHeight w:val="229"/>
        </w:trPr>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500" w:type="dxa"/>
            <w:vAlign w:val="bottom"/>
            <w:gridSpan w:val="8"/>
          </w:tcPr>
          <w:p>
            <w:pPr>
              <w:spacing w:after="0"/>
              <w:rPr>
                <w:sz w:val="20"/>
                <w:szCs w:val="20"/>
                <w:color w:val="auto"/>
              </w:rPr>
            </w:pPr>
            <w:r>
              <w:rPr>
                <w:rFonts w:ascii="Arial" w:cs="Arial" w:eastAsia="Arial" w:hAnsi="Arial"/>
                <w:sz w:val="18"/>
                <w:szCs w:val="18"/>
                <w:color w:val="auto"/>
              </w:rPr>
              <w:t>and entity information.</w:t>
            </w:r>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104</w:t>
            </w:r>
          </w:p>
        </w:tc>
        <w:tc>
          <w:tcPr>
            <w:tcW w:w="1040" w:type="dxa"/>
            <w:vAlign w:val="bottom"/>
          </w:tcPr>
          <w:p>
            <w:pPr>
              <w:spacing w:after="0"/>
              <w:rPr>
                <w:sz w:val="20"/>
                <w:szCs w:val="20"/>
                <w:color w:val="auto"/>
              </w:rPr>
            </w:pPr>
          </w:p>
        </w:tc>
        <w:tc>
          <w:tcPr>
            <w:tcW w:w="950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4040" w:type="dxa"/>
            <w:vAlign w:val="bottom"/>
            <w:gridSpan w:val="2"/>
          </w:tcPr>
          <w:p>
            <w:pPr>
              <w:ind w:left="860"/>
              <w:spacing w:after="0"/>
              <w:rPr>
                <w:sz w:val="20"/>
                <w:szCs w:val="20"/>
                <w:color w:val="auto"/>
              </w:rPr>
            </w:pPr>
            <w:r>
              <w:rPr>
                <w:rFonts w:ascii="Arial" w:cs="Arial" w:eastAsia="Arial" w:hAnsi="Arial"/>
                <w:sz w:val="18"/>
                <w:szCs w:val="18"/>
                <w:b w:val="1"/>
                <w:bCs w:val="1"/>
                <w:color w:val="auto"/>
              </w:rPr>
              <w:t>TRIMAS CORPORATION (Registrant)</w:t>
            </w: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Arial" w:cs="Arial" w:eastAsia="Arial" w:hAnsi="Arial"/>
                <w:sz w:val="18"/>
                <w:szCs w:val="18"/>
                <w:color w:val="auto"/>
                <w:w w:val="96"/>
              </w:rPr>
              <w:t>/s/ SCOTT A. MELL</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700" w:type="dxa"/>
            <w:vAlign w:val="bottom"/>
            <w:vMerge w:val="restart"/>
          </w:tcPr>
          <w:p>
            <w:pPr>
              <w:spacing w:after="0"/>
              <w:rPr>
                <w:sz w:val="20"/>
                <w:szCs w:val="20"/>
                <w:color w:val="auto"/>
              </w:rPr>
            </w:pPr>
            <w:r>
              <w:rPr>
                <w:rFonts w:ascii="Arial" w:cs="Arial" w:eastAsia="Arial" w:hAnsi="Arial"/>
                <w:sz w:val="18"/>
                <w:szCs w:val="18"/>
                <w:color w:val="auto"/>
              </w:rPr>
              <w:t>Date:  October 28, 2021</w:t>
            </w:r>
          </w:p>
        </w:tc>
        <w:tc>
          <w:tcPr>
            <w:tcW w:w="4040" w:type="dxa"/>
            <w:vAlign w:val="bottom"/>
            <w:gridSpan w:val="2"/>
            <w:vMerge w:val="restart"/>
          </w:tcPr>
          <w:p>
            <w:pPr>
              <w:ind w:left="860"/>
              <w:spacing w:after="0"/>
              <w:rPr>
                <w:sz w:val="20"/>
                <w:szCs w:val="20"/>
                <w:color w:val="auto"/>
              </w:rPr>
            </w:pPr>
            <w:r>
              <w:rPr>
                <w:rFonts w:ascii="Arial" w:cs="Arial" w:eastAsia="Arial" w:hAnsi="Arial"/>
                <w:sz w:val="18"/>
                <w:szCs w:val="18"/>
                <w:color w:val="auto"/>
              </w:rPr>
              <w:t>By:</w:t>
            </w:r>
          </w:p>
        </w:tc>
        <w:tc>
          <w:tcPr>
            <w:tcW w:w="4440" w:type="dxa"/>
            <w:vAlign w:val="bottom"/>
          </w:tcPr>
          <w:p>
            <w:pPr>
              <w:jc w:val="center"/>
              <w:ind w:right="2490"/>
              <w:spacing w:after="0" w:line="169" w:lineRule="exact"/>
              <w:rPr>
                <w:sz w:val="20"/>
                <w:szCs w:val="20"/>
                <w:color w:val="auto"/>
              </w:rPr>
            </w:pPr>
            <w:r>
              <w:rPr>
                <w:rFonts w:ascii="Arial" w:cs="Arial" w:eastAsia="Arial" w:hAnsi="Arial"/>
                <w:sz w:val="18"/>
                <w:szCs w:val="18"/>
                <w:color w:val="auto"/>
                <w:w w:val="96"/>
              </w:rPr>
              <w:t>Scott A. Mell</w:t>
            </w:r>
          </w:p>
        </w:tc>
        <w:tc>
          <w:tcPr>
            <w:tcW w:w="0" w:type="dxa"/>
            <w:vAlign w:val="bottom"/>
          </w:tcPr>
          <w:p>
            <w:pPr>
              <w:spacing w:after="0"/>
              <w:rPr>
                <w:sz w:val="1"/>
                <w:szCs w:val="1"/>
                <w:color w:val="auto"/>
              </w:rPr>
            </w:pPr>
          </w:p>
        </w:tc>
      </w:tr>
      <w:tr>
        <w:trPr>
          <w:trHeight w:val="230"/>
        </w:trPr>
        <w:tc>
          <w:tcPr>
            <w:tcW w:w="2700" w:type="dxa"/>
            <w:vAlign w:val="bottom"/>
            <w:vMerge w:val="continue"/>
          </w:tcPr>
          <w:p>
            <w:pPr>
              <w:spacing w:after="0"/>
              <w:rPr>
                <w:sz w:val="20"/>
                <w:szCs w:val="20"/>
                <w:color w:val="auto"/>
              </w:rPr>
            </w:pPr>
          </w:p>
        </w:tc>
        <w:tc>
          <w:tcPr>
            <w:tcW w:w="4040" w:type="dxa"/>
            <w:vAlign w:val="bottom"/>
            <w:gridSpan w:val="2"/>
            <w:vMerge w:val="continue"/>
          </w:tcPr>
          <w:p>
            <w:pPr>
              <w:spacing w:after="0"/>
              <w:rPr>
                <w:sz w:val="20"/>
                <w:szCs w:val="20"/>
                <w:color w:val="auto"/>
              </w:rPr>
            </w:pPr>
          </w:p>
        </w:tc>
        <w:tc>
          <w:tcPr>
            <w:tcW w:w="444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1108"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Scott A. Mell, certify that:</w:t>
      </w:r>
    </w:p>
    <w:p>
      <w:pPr>
        <w:spacing w:after="0" w:line="22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110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Scott A. Mell</w:t>
      </w:r>
    </w:p>
    <w:p>
      <w:pPr>
        <w:ind w:left="71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September 30, 2021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September 30, 2021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Scott A. Mell</w:t>
      </w:r>
    </w:p>
    <w:p>
      <w:pPr>
        <w:ind w:left="71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9"/>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67" Type="http://schemas.openxmlformats.org/officeDocument/2006/relationships/hyperlink" Target="http://www.sec.gov/Archives/edgar/data/842633/000110465907058776/a07-19157_1ex3d1.htm" TargetMode="External"/><Relationship Id="rId68" Type="http://schemas.openxmlformats.org/officeDocument/2006/relationships/hyperlink" Target="http://www.sec.gov/Archives/edgar/data/842633/000084263315000161/thirdamendedandrestatedbyl.htm" TargetMode="External"/><Relationship Id="rId69" Type="http://schemas.openxmlformats.org/officeDocument/2006/relationships/hyperlink" Target="http://www.sec.gov/Archives/edgar/data/842633/000084263321000079/aex101_trimasxexecutivese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2021-10-28T11:03:56Z</dcterms:created>
  <dcterms:modified xsi:type="dcterms:W3CDTF">2021-10-28T11:03:56Z</dcterms:modified>
</cp:coreProperties>
</file>