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100" w:after="10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100" w:after="10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10205" w:type="dxa"/>
        <w:jc w:val="center"/>
        <w:tblInd w:w="0" w:type="dxa"/>
        <w:tblLayout w:type="fixed"/>
        <w:tblCellMar>
          <w:top w:w="28" w:type="dxa"/>
          <w:left w:w="28" w:type="dxa"/>
          <w:bottom w:w="28" w:type="dxa"/>
          <w:right w:w="28" w:type="dxa"/>
        </w:tblCellMar>
      </w:tblPr>
      <w:tblGrid>
        <w:gridCol w:w="402"/>
        <w:gridCol w:w="353"/>
        <w:gridCol w:w="355"/>
        <w:gridCol w:w="109"/>
        <w:gridCol w:w="109"/>
        <w:gridCol w:w="109"/>
        <w:gridCol w:w="1369"/>
        <w:gridCol w:w="1364"/>
        <w:gridCol w:w="1364"/>
        <w:gridCol w:w="1364"/>
        <w:gridCol w:w="1364"/>
        <w:gridCol w:w="1943"/>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(Mark 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100" w:after="10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For the Quarterly Period Ended </w:t>
            </w:r>
          </w:p>
        </w:tc>
        <w:tc>
          <w:tcPr>
            <w:tcW w:w="4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100" w:after="10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For the Transition Period from</w:t>
            </w:r>
            <w:r>
              <w:rPr>
                <w:color w:val="000000"/>
                <w:u w:val="single"/>
              </w:rPr>
              <w:t>                  </w:t>
            </w:r>
            <w:r>
              <w:rPr>
                <w:rFonts w:ascii="Times New Roman;serif" w:hAnsi="Times New Roman;serif"/>
                <w:b/>
                <w:color w:val="000000"/>
                <w:sz w:val="20"/>
              </w:rPr>
              <w:t>to</w:t>
            </w:r>
            <w:r>
              <w:rPr>
                <w:color w:val="000000"/>
                <w:u w:val="single"/>
              </w:rPr>
              <w:t>                  </w:t>
            </w:r>
            <w:r>
              <w:rPr>
                <w:rFonts w:ascii="Times New Roman;serif" w:hAnsi="Times New Roman;serif"/>
                <w:b/>
                <w:color w:val="000000"/>
                <w:sz w:val="20"/>
              </w:rPr>
              <w:t>.</w:t>
            </w:r>
          </w:p>
        </w:tc>
      </w:tr>
    </w:tbl>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 xml:space="preserve">Commission file number 001-10716 </w:t>
      </w:r>
    </w:p>
    <w:p>
      <w:pPr>
        <w:pStyle w:val="TextBody"/>
        <w:bidi w:val="0"/>
        <w:spacing w:lineRule="auto" w:line="288" w:before="100" w:after="100"/>
        <w:jc w:val="center"/>
        <w:rPr>
          <w:rFonts w:ascii="Times New Roman;serif" w:hAnsi="Times New Roman;serif"/>
          <w:b/>
          <w:color w:val="000000"/>
          <w:sz w:val="32"/>
        </w:rPr>
      </w:pPr>
      <w:r>
        <w:rPr>
          <w:rFonts w:ascii="Times New Roman;serif" w:hAnsi="Times New Roman;serif"/>
          <w:b/>
          <w:color w:val="000000"/>
          <w:sz w:val="32"/>
        </w:rPr>
        <w:t xml:space="preserve">TRIMAS CORPORATION </w:t>
      </w:r>
    </w:p>
    <w:p>
      <w:pPr>
        <w:pStyle w:val="TextBody"/>
        <w:bidi w:val="0"/>
        <w:spacing w:lineRule="auto" w:line="288" w:before="100" w:after="6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4556"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38-2687639</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 xml:space="preserve">38505 Woodward Avenue, Suite 200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Bloomfield Hills, Michigan 48304 </w: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including zip code)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(248) 631-5450 </w: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753" w:type="dxa"/>
        <w:jc w:val="center"/>
        <w:tblInd w:w="0" w:type="dxa"/>
        <w:tblLayout w:type="fixed"/>
        <w:tblCellMar>
          <w:top w:w="28" w:type="dxa"/>
          <w:left w:w="28" w:type="dxa"/>
          <w:bottom w:w="28" w:type="dxa"/>
          <w:right w:w="28" w:type="dxa"/>
        </w:tblCellMar>
      </w:tblPr>
      <w:tblGrid>
        <w:gridCol w:w="975"/>
        <w:gridCol w:w="857"/>
        <w:gridCol w:w="867"/>
        <w:gridCol w:w="554"/>
        <w:gridCol w:w="554"/>
        <w:gridCol w:w="556"/>
        <w:gridCol w:w="991"/>
        <w:gridCol w:w="991"/>
        <w:gridCol w:w="1408"/>
      </w:tblGrid>
      <w:tr>
        <w:trPr/>
        <w:tc>
          <w:tcPr>
            <w:tcW w:w="9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TRS</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10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r>
        <w:rPr>
          <w:rFonts w:ascii="Times New Roman;serif" w:hAnsi="Times New Roman;serif"/>
          <w:b w:val="false"/>
          <w:color w:val="000000"/>
          <w:sz w:val="20"/>
        </w:rPr>
        <w:t xml:space="preserve">. </w:t>
      </w:r>
    </w:p>
    <w:p>
      <w:pPr>
        <w:pStyle w:val="TextBody"/>
        <w:bidi w:val="0"/>
        <w:spacing w:lineRule="auto" w:line="288" w:before="100" w:after="10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r>
        <w:rPr>
          <w:rFonts w:ascii="Times New Roman;serif" w:hAnsi="Times New Roman;serif"/>
          <w:b w:val="false"/>
          <w:color w:val="000000"/>
          <w:sz w:val="20"/>
        </w:rPr>
        <w:t xml:space="preserve">. </w:t>
      </w:r>
    </w:p>
    <w:p>
      <w:pPr>
        <w:pStyle w:val="TextBody"/>
        <w:bidi w:val="0"/>
        <w:spacing w:lineRule="auto" w:line="288" w:before="100" w:after="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256"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100"/>
              <w:jc w:val="both"/>
              <w:rPr>
                <w:color w:val="000000"/>
              </w:rPr>
            </w:pPr>
            <w:r>
              <w:rPr>
                <w:color w:val="000000"/>
              </w:rPr>
              <w:t>☐</w:t>
            </w:r>
          </w:p>
        </w:tc>
      </w:tr>
    </w:tbl>
    <w:p>
      <w:pPr>
        <w:pStyle w:val="TextBody"/>
        <w:bidi w:val="0"/>
        <w:spacing w:lineRule="auto" w:line="288" w:before="0" w:after="10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100"/>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 xml:space="preserve">☒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As of July 23, 2026, the number of outstanding shares of the Registrant's common stock, $0.01 par value, was 35,873,873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 xml:space="preserve">TriMas Corporation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Index </w:t>
      </w:r>
    </w:p>
    <w:tbl>
      <w:tblPr>
        <w:tblW w:w="10205" w:type="dxa"/>
        <w:jc w:val="center"/>
        <w:tblInd w:w="0" w:type="dxa"/>
        <w:tblLayout w:type="fixed"/>
        <w:tblCellMar>
          <w:top w:w="28" w:type="dxa"/>
          <w:left w:w="28" w:type="dxa"/>
          <w:bottom w:w="28" w:type="dxa"/>
          <w:right w:w="28" w:type="dxa"/>
        </w:tblCellMar>
      </w:tblPr>
      <w:tblGrid>
        <w:gridCol w:w="266"/>
        <w:gridCol w:w="233"/>
        <w:gridCol w:w="237"/>
        <w:gridCol w:w="109"/>
        <w:gridCol w:w="109"/>
        <w:gridCol w:w="109"/>
        <w:gridCol w:w="284"/>
        <w:gridCol w:w="284"/>
        <w:gridCol w:w="228"/>
        <w:gridCol w:w="197"/>
        <w:gridCol w:w="197"/>
        <w:gridCol w:w="197"/>
        <w:gridCol w:w="2414"/>
        <w:gridCol w:w="2414"/>
        <w:gridCol w:w="2551"/>
        <w:gridCol w:w="109"/>
        <w:gridCol w:w="109"/>
        <w:gridCol w:w="158"/>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13">
              <w:r>
                <w:rPr>
                  <w:rStyle w:val="InternetLink"/>
                  <w:rFonts w:ascii="Times New Roman;serif" w:hAnsi="Times New Roman;serif"/>
                  <w:b/>
                  <w:color w:val="0000FF"/>
                  <w:sz w:val="20"/>
                  <w:u w:val="single"/>
                </w:rPr>
                <w:t>Part 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13">
              <w:r>
                <w:rPr>
                  <w:rStyle w:val="InternetLink"/>
                  <w:rFonts w:ascii="Times New Roman;serif" w:hAnsi="Times New Roman;serif"/>
                  <w:b/>
                  <w:color w:val="0000FF"/>
                  <w:sz w:val="20"/>
                  <w:u w:val="single"/>
                </w:rPr>
                <w:t>Financial Information</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10">
              <w:r>
                <w:rPr>
                  <w:rStyle w:val="InternetLink"/>
                  <w:rFonts w:ascii="Times New Roman;serif" w:hAnsi="Times New Roman;serif"/>
                  <w:b w:val="false"/>
                  <w:color w:val="0000FF"/>
                  <w:sz w:val="20"/>
                  <w:u w:val="single"/>
                </w:rPr>
                <w:t>Forward-Looking Statements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5f450ad29147309c567601ef3d605e_10">
              <w:r>
                <w:rPr>
                  <w:rStyle w:val="InternetLink"/>
                  <w:rFonts w:ascii="Times New Roman;serif" w:hAnsi="Times New Roman;serif"/>
                  <w:b w:val="false"/>
                  <w:color w:val="0000FF"/>
                  <w:sz w:val="20"/>
                  <w:u w:val="single"/>
                </w:rPr>
                <w:t>2</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16">
              <w:r>
                <w:rPr>
                  <w:rStyle w:val="InternetLink"/>
                  <w:rFonts w:ascii="Times New Roman;serif" w:hAnsi="Times New Roman;serif"/>
                  <w:b w:val="false"/>
                  <w:color w:val="0000FF"/>
                  <w:sz w:val="20"/>
                  <w:u w:val="single"/>
                </w:rPr>
                <w:t>Item 1.</w:t>
              </w:r>
            </w:hyperlink>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16">
              <w:r>
                <w:rPr>
                  <w:rStyle w:val="InternetLink"/>
                  <w:rFonts w:ascii="Times New Roman;serif" w:hAnsi="Times New Roman;serif"/>
                  <w:b w:val="false"/>
                  <w:color w:val="0000FF"/>
                  <w:sz w:val="20"/>
                  <w:u w:val="single"/>
                </w:rPr>
                <w:t>Consolidated Financial Statements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5f450ad29147309c567601ef3d605e_16">
              <w:r>
                <w:rPr>
                  <w:rStyle w:val="InternetLink"/>
                  <w:rFonts w:ascii="Times New Roman;serif" w:hAnsi="Times New Roman;serif"/>
                  <w:b w:val="false"/>
                  <w:color w:val="0000FF"/>
                  <w:sz w:val="20"/>
                  <w:u w:val="single"/>
                </w:rPr>
                <w:t>3</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19">
              <w:r>
                <w:rPr>
                  <w:rStyle w:val="InternetLink"/>
                  <w:rFonts w:ascii="Times New Roman;serif" w:hAnsi="Times New Roman;serif"/>
                  <w:b w:val="false"/>
                  <w:color w:val="0000FF"/>
                  <w:sz w:val="20"/>
                  <w:u w:val="single"/>
                </w:rPr>
                <w:t>Consolidated Balance Sheet as of June 30, 2026 and December 31, 2025</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5f450ad29147309c567601ef3d605e_19">
              <w:r>
                <w:rPr>
                  <w:rStyle w:val="InternetLink"/>
                  <w:rFonts w:ascii="Times New Roman;serif" w:hAnsi="Times New Roman;serif"/>
                  <w:b w:val="false"/>
                  <w:color w:val="0000FF"/>
                  <w:sz w:val="20"/>
                  <w:u w:val="single"/>
                </w:rPr>
                <w:t>3</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2">
              <w:r>
                <w:rPr>
                  <w:rStyle w:val="InternetLink"/>
                  <w:rFonts w:ascii="Times New Roman;serif" w:hAnsi="Times New Roman;serif"/>
                  <w:b w:val="false"/>
                  <w:color w:val="0000FF"/>
                  <w:sz w:val="20"/>
                  <w:u w:val="single"/>
                </w:rPr>
                <w:t>Consolidated Statement of Income for the Three and Six Months Ended June 30, 2026 and 2025</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5f450ad29147309c567601ef3d605e_22">
              <w:r>
                <w:rPr>
                  <w:rStyle w:val="InternetLink"/>
                  <w:rFonts w:ascii="Times New Roman;serif" w:hAnsi="Times New Roman;serif"/>
                  <w:b w:val="false"/>
                  <w:color w:val="0000FF"/>
                  <w:sz w:val="20"/>
                  <w:u w:val="single"/>
                </w:rPr>
                <w:t>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5">
              <w:r>
                <w:rPr>
                  <w:rStyle w:val="InternetLink"/>
                  <w:rFonts w:ascii="Times New Roman;serif" w:hAnsi="Times New Roman;serif"/>
                  <w:b w:val="false"/>
                  <w:color w:val="0000FF"/>
                  <w:sz w:val="20"/>
                  <w:u w:val="single"/>
                </w:rPr>
                <w:t>Consolidated Statement of Comprehensive Income for the Three and Six Months Ended June 30, 2026 and 2025</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5f450ad29147309c567601ef3d605e_25">
              <w:r>
                <w:rPr>
                  <w:rStyle w:val="InternetLink"/>
                  <w:rFonts w:ascii="Times New Roman;serif" w:hAnsi="Times New Roman;serif"/>
                  <w:b w:val="false"/>
                  <w:color w:val="0000FF"/>
                  <w:sz w:val="20"/>
                  <w:u w:val="single"/>
                </w:rPr>
                <w:t>5</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8">
              <w:r>
                <w:rPr>
                  <w:rStyle w:val="InternetLink"/>
                  <w:rFonts w:ascii="Times New Roman;serif" w:hAnsi="Times New Roman;serif"/>
                  <w:b w:val="false"/>
                  <w:color w:val="0000FF"/>
                  <w:sz w:val="20"/>
                  <w:u w:val="single"/>
                </w:rPr>
                <w:t>Consolidated Statement of Cash Flows for the Six Months Ended June 30, 2026 and 2025</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5f450ad29147309c567601ef3d605e_28">
              <w:r>
                <w:rPr>
                  <w:rStyle w:val="InternetLink"/>
                  <w:rFonts w:ascii="Times New Roman;serif" w:hAnsi="Times New Roman;serif"/>
                  <w:b w:val="false"/>
                  <w:color w:val="0000FF"/>
                  <w:sz w:val="20"/>
                  <w:u w:val="single"/>
                </w:rPr>
                <w:t>6</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31">
              <w:r>
                <w:rPr>
                  <w:rStyle w:val="InternetLink"/>
                  <w:rFonts w:ascii="Times New Roman;serif" w:hAnsi="Times New Roman;serif"/>
                  <w:b w:val="false"/>
                  <w:color w:val="000080"/>
                  <w:sz w:val="20"/>
                  <w:u w:val="single"/>
                </w:rPr>
                <w:t>Consolidated Statement of Shareholders' Equity for the Six Months Ended June</w:t>
              </w:r>
            </w:hyperlink>
            <w:hyperlink w:anchor="ic55f450ad29147309c567601ef3d605e_31">
              <w:r>
                <w:rPr>
                  <w:rStyle w:val="InternetLink"/>
                  <w:rFonts w:ascii="Times New Roman;serif" w:hAnsi="Times New Roman;serif"/>
                  <w:b w:val="false"/>
                  <w:color w:val="000080"/>
                  <w:sz w:val="20"/>
                  <w:u w:val="single"/>
                </w:rPr>
                <w:t xml:space="preserve"> 30</w:t>
              </w:r>
            </w:hyperlink>
            <w:hyperlink w:anchor="ic55f450ad29147309c567601ef3d605e_31">
              <w:r>
                <w:rPr>
                  <w:rStyle w:val="InternetLink"/>
                  <w:rFonts w:ascii="Times New Roman;serif" w:hAnsi="Times New Roman;serif"/>
                  <w:b w:val="false"/>
                  <w:color w:val="000080"/>
                  <w:sz w:val="20"/>
                  <w:u w:val="single"/>
                </w:rPr>
                <w:t>, 2026 and 2025</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5f450ad29147309c567601ef3d605e_31">
              <w:r>
                <w:rPr>
                  <w:rStyle w:val="InternetLink"/>
                  <w:rFonts w:ascii="Times New Roman;serif" w:hAnsi="Times New Roman;serif"/>
                  <w:b w:val="false"/>
                  <w:color w:val="0000FF"/>
                  <w:sz w:val="20"/>
                  <w:u w:val="single"/>
                </w:rPr>
                <w:t>7</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34">
              <w:r>
                <w:rPr>
                  <w:rStyle w:val="InternetLink"/>
                  <w:rFonts w:ascii="Times New Roman;serif" w:hAnsi="Times New Roman;serif"/>
                  <w:b w:val="false"/>
                  <w:color w:val="0000FF"/>
                  <w:sz w:val="20"/>
                  <w:u w:val="single"/>
                </w:rPr>
                <w:t>Notes to Consolidated Financial Statements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5f450ad29147309c567601ef3d605e_34">
              <w:r>
                <w:rPr>
                  <w:rStyle w:val="InternetLink"/>
                  <w:rFonts w:ascii="Times New Roman;serif" w:hAnsi="Times New Roman;serif"/>
                  <w:b w:val="false"/>
                  <w:color w:val="0000FF"/>
                  <w:sz w:val="20"/>
                  <w:u w:val="single"/>
                </w:rPr>
                <w:t>8</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112">
              <w:r>
                <w:rPr>
                  <w:rStyle w:val="InternetLink"/>
                  <w:rFonts w:ascii="Times New Roman;serif" w:hAnsi="Times New Roman;serif"/>
                  <w:b w:val="false"/>
                  <w:color w:val="0000FF"/>
                  <w:sz w:val="20"/>
                  <w:u w:val="single"/>
                </w:rPr>
                <w:t>Item 2.</w:t>
              </w:r>
            </w:hyperlink>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11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5f450ad29147309c567601ef3d605e_112">
              <w:r>
                <w:rPr>
                  <w:rStyle w:val="InternetLink"/>
                  <w:rFonts w:ascii="Times New Roman;serif" w:hAnsi="Times New Roman;serif"/>
                  <w:b w:val="false"/>
                  <w:color w:val="0000FF"/>
                  <w:sz w:val="20"/>
                  <w:u w:val="single"/>
                </w:rPr>
                <w:t>28</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196">
              <w:r>
                <w:rPr>
                  <w:rStyle w:val="InternetLink"/>
                  <w:rFonts w:ascii="Times New Roman;serif" w:hAnsi="Times New Roman;serif"/>
                  <w:b w:val="false"/>
                  <w:color w:val="0000FF"/>
                  <w:sz w:val="20"/>
                  <w:u w:val="single"/>
                </w:rPr>
                <w:t>Item 3.</w:t>
              </w:r>
            </w:hyperlink>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196">
              <w:r>
                <w:rPr>
                  <w:rStyle w:val="InternetLink"/>
                  <w:rFonts w:ascii="Times New Roman;serif" w:hAnsi="Times New Roman;serif"/>
                  <w:b w:val="false"/>
                  <w:color w:val="0000FF"/>
                  <w:sz w:val="20"/>
                  <w:u w:val="single"/>
                </w:rPr>
                <w:t>Quantitative and Qualitative Disclosures about Market Risk</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5f450ad29147309c567601ef3d605e_196">
              <w:r>
                <w:rPr>
                  <w:rStyle w:val="InternetLink"/>
                  <w:rFonts w:ascii="Times New Roman;serif" w:hAnsi="Times New Roman;serif"/>
                  <w:b w:val="false"/>
                  <w:color w:val="0000FF"/>
                  <w:sz w:val="20"/>
                  <w:u w:val="single"/>
                </w:rPr>
                <w:t>43</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199">
              <w:r>
                <w:rPr>
                  <w:rStyle w:val="InternetLink"/>
                  <w:rFonts w:ascii="Times New Roman;serif" w:hAnsi="Times New Roman;serif"/>
                  <w:b w:val="false"/>
                  <w:color w:val="0000FF"/>
                  <w:sz w:val="20"/>
                  <w:u w:val="single"/>
                </w:rPr>
                <w:t>Item 4.</w:t>
              </w:r>
            </w:hyperlink>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199">
              <w:r>
                <w:rPr>
                  <w:rStyle w:val="InternetLink"/>
                  <w:rFonts w:ascii="Times New Roman;serif" w:hAnsi="Times New Roman;serif"/>
                  <w:b w:val="false"/>
                  <w:color w:val="0000FF"/>
                  <w:sz w:val="20"/>
                  <w:u w:val="single"/>
                </w:rPr>
                <w:t>Controls and Procedures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5f450ad29147309c567601ef3d605e_199">
              <w:r>
                <w:rPr>
                  <w:rStyle w:val="InternetLink"/>
                  <w:rFonts w:ascii="Times New Roman;serif" w:hAnsi="Times New Roman;serif"/>
                  <w:b w:val="false"/>
                  <w:color w:val="0000FF"/>
                  <w:sz w:val="20"/>
                  <w:u w:val="single"/>
                </w:rPr>
                <w:t>43</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02">
              <w:r>
                <w:rPr>
                  <w:rStyle w:val="InternetLink"/>
                  <w:rFonts w:ascii="Times New Roman;serif" w:hAnsi="Times New Roman;serif"/>
                  <w:b/>
                  <w:color w:val="0000FF"/>
                  <w:sz w:val="20"/>
                  <w:u w:val="single"/>
                </w:rPr>
                <w:t>Part 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02">
              <w:r>
                <w:rPr>
                  <w:rStyle w:val="InternetLink"/>
                  <w:rFonts w:ascii="Times New Roman;serif" w:hAnsi="Times New Roman;serif"/>
                  <w:b/>
                  <w:color w:val="0000FF"/>
                  <w:sz w:val="20"/>
                  <w:u w:val="single"/>
                </w:rPr>
                <w:t>Other Information</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05">
              <w:r>
                <w:rPr>
                  <w:rStyle w:val="InternetLink"/>
                  <w:rFonts w:ascii="Times New Roman;serif" w:hAnsi="Times New Roman;serif"/>
                  <w:b w:val="false"/>
                  <w:color w:val="0000FF"/>
                  <w:sz w:val="20"/>
                  <w:u w:val="single"/>
                </w:rPr>
                <w:t>Item 1.</w:t>
              </w:r>
            </w:hyperlink>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05">
              <w:r>
                <w:rPr>
                  <w:rStyle w:val="InternetLink"/>
                  <w:rFonts w:ascii="Times New Roman;serif" w:hAnsi="Times New Roman;serif"/>
                  <w:b w:val="false"/>
                  <w:color w:val="0000FF"/>
                  <w:sz w:val="20"/>
                  <w:u w:val="single"/>
                </w:rPr>
                <w:t>Legal Proceedings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5f450ad29147309c567601ef3d605e_205">
              <w:r>
                <w:rPr>
                  <w:rStyle w:val="InternetLink"/>
                  <w:rFonts w:ascii="Times New Roman;serif" w:hAnsi="Times New Roman;serif"/>
                  <w:b w:val="false"/>
                  <w:color w:val="0000FF"/>
                  <w:sz w:val="20"/>
                  <w:u w:val="single"/>
                </w:rPr>
                <w:t>44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08">
              <w:r>
                <w:rPr>
                  <w:rStyle w:val="InternetLink"/>
                  <w:rFonts w:ascii="Times New Roman;serif" w:hAnsi="Times New Roman;serif"/>
                  <w:b w:val="false"/>
                  <w:color w:val="0000FF"/>
                  <w:sz w:val="20"/>
                  <w:u w:val="single"/>
                </w:rPr>
                <w:t>Item 1A.</w:t>
              </w:r>
            </w:hyperlink>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08">
              <w:r>
                <w:rPr>
                  <w:rStyle w:val="InternetLink"/>
                  <w:rFonts w:ascii="Times New Roman;serif" w:hAnsi="Times New Roman;serif"/>
                  <w:b w:val="false"/>
                  <w:color w:val="0000FF"/>
                  <w:sz w:val="20"/>
                  <w:u w:val="single"/>
                </w:rPr>
                <w:t>Risk Factors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5f450ad29147309c567601ef3d605e_208">
              <w:r>
                <w:rPr>
                  <w:rStyle w:val="InternetLink"/>
                  <w:rFonts w:ascii="Times New Roman;serif" w:hAnsi="Times New Roman;serif"/>
                  <w:b w:val="false"/>
                  <w:color w:val="0000FF"/>
                  <w:sz w:val="20"/>
                  <w:u w:val="single"/>
                </w:rPr>
                <w:t>44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11">
              <w:r>
                <w:rPr>
                  <w:rStyle w:val="InternetLink"/>
                  <w:rFonts w:ascii="Times New Roman;serif" w:hAnsi="Times New Roman;serif"/>
                  <w:b w:val="false"/>
                  <w:color w:val="0000FF"/>
                  <w:sz w:val="20"/>
                  <w:u w:val="single"/>
                </w:rPr>
                <w:t>Item 2.</w:t>
              </w:r>
            </w:hyperlink>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11">
              <w:r>
                <w:rPr>
                  <w:rStyle w:val="InternetLink"/>
                  <w:rFonts w:ascii="Times New Roman;serif" w:hAnsi="Times New Roman;serif"/>
                  <w:b w:val="false"/>
                  <w:color w:val="0000FF"/>
                  <w:sz w:val="20"/>
                  <w:u w:val="single"/>
                </w:rPr>
                <w:t>Unregistered Sales of Equity Securities and Use of Proceeds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5f450ad29147309c567601ef3d605e_211">
              <w:r>
                <w:rPr>
                  <w:rStyle w:val="InternetLink"/>
                  <w:rFonts w:ascii="Times New Roman;serif" w:hAnsi="Times New Roman;serif"/>
                  <w:b w:val="false"/>
                  <w:color w:val="0000FF"/>
                  <w:sz w:val="20"/>
                  <w:u w:val="single"/>
                </w:rPr>
                <w:t>44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14">
              <w:r>
                <w:rPr>
                  <w:rStyle w:val="InternetLink"/>
                  <w:rFonts w:ascii="Times New Roman;serif" w:hAnsi="Times New Roman;serif"/>
                  <w:b w:val="false"/>
                  <w:color w:val="0000FF"/>
                  <w:sz w:val="20"/>
                  <w:u w:val="single"/>
                </w:rPr>
                <w:t>Item 3.</w:t>
              </w:r>
            </w:hyperlink>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14">
              <w:r>
                <w:rPr>
                  <w:rStyle w:val="InternetLink"/>
                  <w:rFonts w:ascii="Times New Roman;serif" w:hAnsi="Times New Roman;serif"/>
                  <w:b w:val="false"/>
                  <w:color w:val="0000FF"/>
                  <w:sz w:val="20"/>
                  <w:u w:val="single"/>
                </w:rPr>
                <w:t>Defaults Upon Senior Securities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5f450ad29147309c567601ef3d605e_214">
              <w:r>
                <w:rPr>
                  <w:rStyle w:val="InternetLink"/>
                  <w:rFonts w:ascii="Times New Roman;serif" w:hAnsi="Times New Roman;serif"/>
                  <w:b w:val="false"/>
                  <w:color w:val="0000FF"/>
                  <w:sz w:val="20"/>
                  <w:u w:val="single"/>
                </w:rPr>
                <w:t>44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17">
              <w:r>
                <w:rPr>
                  <w:rStyle w:val="InternetLink"/>
                  <w:rFonts w:ascii="Times New Roman;serif" w:hAnsi="Times New Roman;serif"/>
                  <w:b w:val="false"/>
                  <w:color w:val="0000FF"/>
                  <w:sz w:val="20"/>
                  <w:u w:val="single"/>
                </w:rPr>
                <w:t>Item 4.</w:t>
              </w:r>
            </w:hyperlink>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17">
              <w:r>
                <w:rPr>
                  <w:rStyle w:val="InternetLink"/>
                  <w:rFonts w:ascii="Times New Roman;serif" w:hAnsi="Times New Roman;serif"/>
                  <w:b w:val="false"/>
                  <w:color w:val="0000FF"/>
                  <w:sz w:val="20"/>
                  <w:u w:val="single"/>
                </w:rPr>
                <w:t>Mine Safety Disclosures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5f450ad29147309c567601ef3d605e_217">
              <w:r>
                <w:rPr>
                  <w:rStyle w:val="InternetLink"/>
                  <w:rFonts w:ascii="Times New Roman;serif" w:hAnsi="Times New Roman;serif"/>
                  <w:b w:val="false"/>
                  <w:color w:val="0000FF"/>
                  <w:sz w:val="20"/>
                  <w:u w:val="single"/>
                </w:rPr>
                <w:t>44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20">
              <w:r>
                <w:rPr>
                  <w:rStyle w:val="InternetLink"/>
                  <w:rFonts w:ascii="Times New Roman;serif" w:hAnsi="Times New Roman;serif"/>
                  <w:b w:val="false"/>
                  <w:color w:val="0000FF"/>
                  <w:sz w:val="20"/>
                  <w:u w:val="single"/>
                </w:rPr>
                <w:t>Item 5.</w:t>
              </w:r>
            </w:hyperlink>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20">
              <w:r>
                <w:rPr>
                  <w:rStyle w:val="InternetLink"/>
                  <w:rFonts w:ascii="Times New Roman;serif" w:hAnsi="Times New Roman;serif"/>
                  <w:b w:val="false"/>
                  <w:color w:val="0000FF"/>
                  <w:sz w:val="20"/>
                  <w:u w:val="single"/>
                </w:rPr>
                <w:t>Other Information</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5f450ad29147309c567601ef3d605e_220">
              <w:r>
                <w:rPr>
                  <w:rStyle w:val="InternetLink"/>
                  <w:rFonts w:ascii="Times New Roman;serif" w:hAnsi="Times New Roman;serif"/>
                  <w:b w:val="false"/>
                  <w:color w:val="0000FF"/>
                  <w:sz w:val="20"/>
                  <w:u w:val="single"/>
                </w:rPr>
                <w:t>44</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23">
              <w:r>
                <w:rPr>
                  <w:rStyle w:val="InternetLink"/>
                  <w:rFonts w:ascii="Times New Roman;serif" w:hAnsi="Times New Roman;serif"/>
                  <w:b w:val="false"/>
                  <w:color w:val="0000FF"/>
                  <w:sz w:val="20"/>
                  <w:u w:val="single"/>
                </w:rPr>
                <w:t>Item 6.</w:t>
              </w:r>
            </w:hyperlink>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23">
              <w:r>
                <w:rPr>
                  <w:rStyle w:val="InternetLink"/>
                  <w:rFonts w:ascii="Times New Roman;serif" w:hAnsi="Times New Roman;serif"/>
                  <w:b w:val="false"/>
                  <w:color w:val="0000FF"/>
                  <w:sz w:val="20"/>
                  <w:u w:val="single"/>
                </w:rPr>
                <w:t>Exhibits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5f450ad29147309c567601ef3d605e_223">
              <w:r>
                <w:rPr>
                  <w:rStyle w:val="InternetLink"/>
                  <w:rFonts w:ascii="Times New Roman;serif" w:hAnsi="Times New Roman;serif"/>
                  <w:b w:val="false"/>
                  <w:color w:val="0000FF"/>
                  <w:sz w:val="20"/>
                  <w:u w:val="single"/>
                </w:rPr>
                <w:t>45</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c55f450ad29147309c567601ef3d605e_226">
              <w:r>
                <w:rPr>
                  <w:rStyle w:val="InternetLink"/>
                  <w:rFonts w:ascii="Times New Roman;serif" w:hAnsi="Times New Roman;serif"/>
                  <w:b w:val="false"/>
                  <w:color w:val="0000FF"/>
                  <w:sz w:val="20"/>
                  <w:u w:val="single"/>
                </w:rPr>
                <w:t>Signatures</w:t>
              </w:r>
            </w:hyperlink>
          </w:p>
        </w:tc>
        <w:tc>
          <w:tcPr>
            <w:tcW w:w="3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5f450ad29147309c567601ef3d605e_226">
              <w:r>
                <w:rPr>
                  <w:rStyle w:val="InternetLink"/>
                  <w:rFonts w:ascii="Times New Roman;serif" w:hAnsi="Times New Roman;serif"/>
                  <w:b w:val="false"/>
                  <w:color w:val="0000FF"/>
                  <w:sz w:val="20"/>
                  <w:u w:val="single"/>
                </w:rPr>
                <w:t>46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 xml:space="preserve">Forward-Looking Statements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subject to numerous assumptions, risks and uncertainties which could materially affect our business, financial condition or future results including, but not limited to: general economic and currency conditions; competitive factors; market demand; our ability to realize our business strategies; government and regulatory actions, including, without limitation, the impact of current and future tariffs and reciprocal tariffs, quotas and surcharges, as well as climate change legislation and other environmental regulations; our ability to identify attractive acquisition candidates, successfully integrate acquired operations or realize the intended benefits of such acquisitions; our ability to recognize the benefits of and effectively deploy the net proceeds from the sale of our Aerospace segment; pressures on our supply chain, including the price and availability of raw materials, the impacts of geopolitical conflicts, and inflationary pressures on raw material and energy costs, and customers; the performance of our subcontractors and suppliers; risks and uncertainties associated with intangible assets, including goodwill or other intangible asset impairment charges; risks associated with a concentrated customer base; information technology and other cyber-related risks; risks related to our international operations; changes to fiscal and tax policies; intellectual property factors; uncertainties associated with our ability to meet customers’ and suppliers’ sustainability and environmental, social and governance ("ESG") goals and achieve our sustainability and ESG goals in alignment with our own announced targets; litigation; contingent liabilities relating to acquisition and disposition activities; interest rate volatility; our leverage; liabilities imposed by our debt instruments; labor disputes and shortages; the disruption of operations from catastrophic or extraordinary events, including, but not limited to, natural disasters, geopolitical conflicts and public health crises; the amount and timing of future dividends and/or share repurchases, which remain subject to Board approval and depend on market and other conditions; our future prospects; and other risks that are discussed in Part I, Item 1A, "Risk Factors," in our Annual Report on Form 10-K for the year ended December 31, 2025,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 </w:t>
      </w:r>
    </w:p>
    <w:p>
      <w:pPr>
        <w:pStyle w:val="TextBody"/>
        <w:bidi w:val="0"/>
        <w:spacing w:lineRule="auto" w:line="288" w:before="160" w:after="160"/>
        <w:jc w:val="both"/>
        <w:rPr/>
      </w:pPr>
      <w:r>
        <w:rPr>
          <w:rFonts w:ascii="Times New Roman;serif" w:hAnsi="Times New Roman;serif"/>
          <w:b w:val="false"/>
          <w:color w:val="000000"/>
          <w:sz w:val="20"/>
        </w:rPr>
        <w:t xml:space="preserve">We disclose important factors that could cause our actual results to differ materially from our expectations implied by our forward-looking statements under Part II, Item 7,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in our Annual Report on Form 10-K for the year ended December 31, 2025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 FINANCIAL INFORMATION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 xml:space="preserve">Item 1.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TriMas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 </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(Dollars in thousands) </w:t>
      </w:r>
    </w:p>
    <w:tbl>
      <w:tblPr>
        <w:tblW w:w="10205" w:type="dxa"/>
        <w:jc w:val="center"/>
        <w:tblInd w:w="0" w:type="dxa"/>
        <w:tblLayout w:type="fixed"/>
        <w:tblCellMar>
          <w:top w:w="28" w:type="dxa"/>
          <w:left w:w="28" w:type="dxa"/>
          <w:bottom w:w="28" w:type="dxa"/>
          <w:right w:w="28" w:type="dxa"/>
        </w:tblCellMar>
      </w:tblPr>
      <w:tblGrid>
        <w:gridCol w:w="2553"/>
        <w:gridCol w:w="2181"/>
        <w:gridCol w:w="2178"/>
        <w:gridCol w:w="109"/>
        <w:gridCol w:w="109"/>
        <w:gridCol w:w="109"/>
        <w:gridCol w:w="211"/>
        <w:gridCol w:w="976"/>
        <w:gridCol w:w="109"/>
        <w:gridCol w:w="109"/>
        <w:gridCol w:w="109"/>
        <w:gridCol w:w="109"/>
        <w:gridCol w:w="211"/>
        <w:gridCol w:w="976"/>
        <w:gridCol w:w="156"/>
      </w:tblGrid>
      <w:tr>
        <w:trPr/>
        <w:tc>
          <w:tcPr>
            <w:tcW w:w="2553"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reserves of $1.3 million as of June 30,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1,485,080 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779,490 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$0.01 par: Authorized 100,000,000 shares;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outstanding: 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Authorized 400,000,000 shares;</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outstanding: 35,871,612 shares at June 30, 2026 and 37,630,206 shares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2,245,650 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1,485,080 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center"/>
        <w:rPr/>
      </w:pPr>
      <w:r>
        <w:rPr/>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TriMas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(Unaudited—dollars in thousands, except for per share amounts) </w:t>
      </w:r>
    </w:p>
    <w:tbl>
      <w:tblPr>
        <w:tblW w:w="10205" w:type="dxa"/>
        <w:jc w:val="left"/>
        <w:tblInd w:w="0" w:type="dxa"/>
        <w:tblLayout w:type="fixed"/>
        <w:tblCellMar>
          <w:top w:w="28" w:type="dxa"/>
          <w:left w:w="28" w:type="dxa"/>
          <w:bottom w:w="28" w:type="dxa"/>
          <w:right w:w="28" w:type="dxa"/>
        </w:tblCellMar>
      </w:tblPr>
      <w:tblGrid>
        <w:gridCol w:w="1753"/>
        <w:gridCol w:w="1159"/>
        <w:gridCol w:w="1179"/>
        <w:gridCol w:w="109"/>
        <w:gridCol w:w="109"/>
        <w:gridCol w:w="109"/>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5"/>
      </w:tblGrid>
      <w:tr>
        <w:trPr/>
        <w:tc>
          <w:tcPr>
            <w:tcW w:w="175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 xml:space="preserve">June 30, </w:t>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dispositions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35,877,517 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40,647,361 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36,651,820 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40,626,325 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36,211,032 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40,929,861 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37,075,408 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40,939,798 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TriMas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(Unaudited—dollars in thousands)</w:t>
      </w:r>
    </w:p>
    <w:tbl>
      <w:tblPr>
        <w:tblW w:w="9041" w:type="dxa"/>
        <w:jc w:val="left"/>
        <w:tblInd w:w="0" w:type="dxa"/>
        <w:tblLayout w:type="fixed"/>
        <w:tblCellMar>
          <w:top w:w="28" w:type="dxa"/>
          <w:left w:w="28" w:type="dxa"/>
          <w:bottom w:w="28" w:type="dxa"/>
          <w:right w:w="28" w:type="dxa"/>
        </w:tblCellMar>
      </w:tblPr>
      <w:tblGrid>
        <w:gridCol w:w="1237"/>
        <w:gridCol w:w="1085"/>
        <w:gridCol w:w="1097"/>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 xml:space="preserve">June 30, </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plans (Note 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
        <w:jc w:val="center"/>
        <w:rPr/>
      </w:pPr>
      <w:r>
        <w:rPr/>
      </w:r>
    </w:p>
    <w:p>
      <w:pPr>
        <w:pStyle w:val="TextBody"/>
        <w:bidi w:val="0"/>
        <w:spacing w:before="100" w:after="6"/>
        <w:jc w:val="center"/>
        <w:rPr/>
      </w:pPr>
      <w:r>
        <w:rPr/>
      </w:r>
    </w:p>
    <w:p>
      <w:pPr>
        <w:pStyle w:val="TextBody"/>
        <w:bidi w:val="0"/>
        <w:spacing w:lineRule="auto" w:line="288" w:before="100" w:after="6"/>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TriMas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(Unaudited—dollars in thousands)</w:t>
      </w:r>
    </w:p>
    <w:tbl>
      <w:tblPr>
        <w:tblW w:w="10205" w:type="dxa"/>
        <w:jc w:val="center"/>
        <w:tblInd w:w="0" w:type="dxa"/>
        <w:tblLayout w:type="fixed"/>
        <w:tblCellMar>
          <w:top w:w="28" w:type="dxa"/>
          <w:left w:w="28" w:type="dxa"/>
          <w:bottom w:w="28" w:type="dxa"/>
          <w:right w:w="28" w:type="dxa"/>
        </w:tblCellMar>
      </w:tblPr>
      <w:tblGrid>
        <w:gridCol w:w="2613"/>
        <w:gridCol w:w="2273"/>
        <w:gridCol w:w="2282"/>
        <w:gridCol w:w="109"/>
        <w:gridCol w:w="109"/>
        <w:gridCol w:w="109"/>
        <w:gridCol w:w="211"/>
        <w:gridCol w:w="976"/>
        <w:gridCol w:w="109"/>
        <w:gridCol w:w="109"/>
        <w:gridCol w:w="109"/>
        <w:gridCol w:w="109"/>
        <w:gridCol w:w="211"/>
        <w:gridCol w:w="721"/>
        <w:gridCol w:w="155"/>
      </w:tblGrid>
      <w:tr>
        <w:trPr/>
        <w:tc>
          <w:tcPr>
            <w:tcW w:w="2613"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7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(used for) operating activities, net of acquisition impact: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dispositions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losses on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operating activities, net of acquisition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disposition of business,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on revolving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borrowings on revolving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financing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to purchase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surrendered upon exercise and vesting of equity awards to cover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property 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color w:val="000000"/>
        </w:rPr>
      </w:pPr>
      <w:r>
        <w:rPr>
          <w:color w:val="000000"/>
        </w:rPr>
        <w:t>        </w:t>
      </w:r>
    </w:p>
    <w:p>
      <w:pPr>
        <w:pStyle w:val="TextBody"/>
        <w:bidi w:val="0"/>
        <w:spacing w:before="0" w:after="100"/>
        <w:jc w:val="center"/>
        <w:rPr/>
      </w:pPr>
      <w:r>
        <w:rPr/>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TriMas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 of Shareholders'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Six Months Ended June 30, 2026 and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(Unaudited—dollars in thousands) </w:t>
      </w:r>
    </w:p>
    <w:tbl>
      <w:tblPr>
        <w:tblW w:w="10205" w:type="dxa"/>
        <w:jc w:val="center"/>
        <w:tblInd w:w="0" w:type="dxa"/>
        <w:tblLayout w:type="fixed"/>
        <w:tblCellMar>
          <w:top w:w="28" w:type="dxa"/>
          <w:left w:w="28" w:type="dxa"/>
          <w:bottom w:w="28" w:type="dxa"/>
          <w:right w:w="28" w:type="dxa"/>
        </w:tblCellMar>
      </w:tblPr>
      <w:tblGrid>
        <w:gridCol w:w="1185"/>
        <w:gridCol w:w="754"/>
        <w:gridCol w:w="756"/>
        <w:gridCol w:w="109"/>
        <w:gridCol w:w="109"/>
        <w:gridCol w:w="109"/>
        <w:gridCol w:w="221"/>
        <w:gridCol w:w="489"/>
        <w:gridCol w:w="116"/>
        <w:gridCol w:w="109"/>
        <w:gridCol w:w="109"/>
        <w:gridCol w:w="109"/>
        <w:gridCol w:w="211"/>
        <w:gridCol w:w="826"/>
        <w:gridCol w:w="109"/>
        <w:gridCol w:w="109"/>
        <w:gridCol w:w="109"/>
        <w:gridCol w:w="109"/>
        <w:gridCol w:w="230"/>
        <w:gridCol w:w="903"/>
        <w:gridCol w:w="119"/>
        <w:gridCol w:w="109"/>
        <w:gridCol w:w="109"/>
        <w:gridCol w:w="109"/>
        <w:gridCol w:w="289"/>
        <w:gridCol w:w="866"/>
        <w:gridCol w:w="151"/>
        <w:gridCol w:w="109"/>
        <w:gridCol w:w="109"/>
        <w:gridCol w:w="109"/>
        <w:gridCol w:w="211"/>
        <w:gridCol w:w="976"/>
        <w:gridCol w:w="158"/>
      </w:tblGrid>
      <w:tr>
        <w:trPr/>
        <w:tc>
          <w:tcPr>
            <w:tcW w:w="118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127,410 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705,590 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(54,530)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upon exercise and vesting of equity awards to cover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917,120 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1,449,810 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13,370 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13,370 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upon exercise and vesting of equity awards to cover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917,040 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1,442,610 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center"/>
        <w:rPr/>
      </w:pPr>
      <w:r>
        <w:rPr/>
      </w:r>
    </w:p>
    <w:tbl>
      <w:tblPr>
        <w:tblW w:w="10205" w:type="dxa"/>
        <w:jc w:val="center"/>
        <w:tblInd w:w="0" w:type="dxa"/>
        <w:tblLayout w:type="fixed"/>
        <w:tblCellMar>
          <w:top w:w="28" w:type="dxa"/>
          <w:left w:w="28" w:type="dxa"/>
          <w:bottom w:w="28" w:type="dxa"/>
          <w:right w:w="28" w:type="dxa"/>
        </w:tblCellMar>
      </w:tblPr>
      <w:tblGrid>
        <w:gridCol w:w="1248"/>
        <w:gridCol w:w="826"/>
        <w:gridCol w:w="828"/>
        <w:gridCol w:w="109"/>
        <w:gridCol w:w="109"/>
        <w:gridCol w:w="109"/>
        <w:gridCol w:w="221"/>
        <w:gridCol w:w="489"/>
        <w:gridCol w:w="116"/>
        <w:gridCol w:w="109"/>
        <w:gridCol w:w="109"/>
        <w:gridCol w:w="109"/>
        <w:gridCol w:w="211"/>
        <w:gridCol w:w="826"/>
        <w:gridCol w:w="109"/>
        <w:gridCol w:w="109"/>
        <w:gridCol w:w="109"/>
        <w:gridCol w:w="109"/>
        <w:gridCol w:w="242"/>
        <w:gridCol w:w="829"/>
        <w:gridCol w:w="125"/>
        <w:gridCol w:w="109"/>
        <w:gridCol w:w="109"/>
        <w:gridCol w:w="109"/>
        <w:gridCol w:w="260"/>
        <w:gridCol w:w="910"/>
        <w:gridCol w:w="136"/>
        <w:gridCol w:w="109"/>
        <w:gridCol w:w="109"/>
        <w:gridCol w:w="109"/>
        <w:gridCol w:w="211"/>
        <w:gridCol w:w="826"/>
        <w:gridCol w:w="157"/>
      </w:tblGrid>
      <w:tr>
        <w:trPr/>
        <w:tc>
          <w:tcPr>
            <w:tcW w:w="124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 xml:space="preserve">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(18,550)</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upon exercise and vesting of equity awards to cover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32,470 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686,570 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16,720 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16,720 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upon exercise and vesting of equity awards to cover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47,440 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715,270 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2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1. Basis of Presentation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TriMas Corporation ("TriMas" or the "Company"), and its consolidated subsidiaries, designs, engineers and manufactures innovative products under leading brand names for customers primarily in the consumer products and industrial markets.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and volatility in the current economic environment due to input cost inflation, supply chain disruptions, and shortages in global markets for commodities, logistics and labor. To the extent there are differences between these estimates and actual results, the Company's consolidated financial statements may be materially affected. Within the financial statements and tables presented, certain columns and rows may not add due to the use of rounded numbers for disclosure purposes.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Results of operations for interim periods are not necessarily indicative of results for the full year. The accompanying consolidated financial statements and notes thereto should be read in conjunction with the Company's 2025 Annual Report on Form 10-K.</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On March 16, 2026, the Company completed the previously announced sale of its Aerospace segment ("Aerospace"), a transaction entered into with an affiliate of Tinicum L.P., and funds managed by Blackstone, Inc. on November 4, 2025. Aerospace was sold for approximately $1,456.9 million in cash, subject to customary post-closing adjustments. The financial results of Aerospace were previously reported within the Company's Aerospace reportable segment, and are presented as discontinued operations for all periods presented in the financial statements attached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2. New Accounting Pronouncements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September 2025, the Financial Accounting Standards Board ("FASB") issued Accounting Standards Update ("ASU") 2025-06, "Intangibles—Goodwill and Other—Internal-Use Software (Subtopic 350-40): Targeted Improvements to the Accounting for Internal-Use Software" ("ASU 2025-06"), which modernizes the accounting for software costs by removing references to prescriptive and sequential software development stages. Under ASU 2025-06 an entity is required to start capitalizing software costs when management has authorized and committed to funding the software project, and it is probable that the project will be completed and the software will be used to perform the function intended. ASU 2025-06 is effective for fiscal years, and interim periods within those years, beginning after December 15, 2027, with early adoption permitted. The Company adopted ASU 2025-06 in the first quarter of 2026 with no material impact on its consolidated financial statements.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 FASB issued ASU 2025-05, "Financial Instruments—Credit Losses (Topic 326): Measurement of Credit Losses for Accounts Receivable and Contract Assets" ("ASU 2025-05"), which provides a practical expedient that assumes current conditions as of the balance sheet date remain unchanged when developing forecasts for estimating expected credit losses. Under ASU 2025-05, an entity is required to disclose that it has elected to use the practical expedient and the election should be applied prospectively. ASU 2025-05 is effective for fiscal years, and interim periods within those years, beginning after December 15, 2025, with early adoption permitted. The Company adopted ASU 2025-05 in the first quarter of 2026 with no material impact on its consolidated financial statements.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which requires disclosures, in the notes to the financial statements, about the types of expenses included in certain expense captions presented on the income statement. ASU 2024-03 is effective for fiscal years beginning after December 15, 2026, and interim periods within fiscal years beginning after December 15, 2027, with early adoption permitted. The Company is in the process of assessing the impact of adoption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3. Discontinued Operations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16, 2026, the Company completed the previously announced sale of Aerospace to an affiliate of Tinicum L.P., and funds managed by Blackstone, Inc., pursuant to an Equity Purchase Agreement dated as of November 4, 2025 (the "Purchase Agreement"), for a purchase price of approximately $1,456.9 million, subject to certain adjustments as set forth in the Purchase Agreement which the Company expects to be finalized during 2026.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recognized net proceeds of $1,241.8 million, which represents the purchase price, less estimated tax payments of approximately $194.5 million, and transaction costs of $20.2 million. The Company recorded a pre-tax gain on the sale of $1,040.0 million. The Company's liability for unpaid estimated tax payments is included in accounts payable in the accompanying consolidated balance sheet.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net cash proceeds were invested in liquid instruments, including U.S. Treasury</w:t>
        <w:noBreakHyphen/>
        <w:t>backed money market funds and cash deposits with high</w:t>
        <w:noBreakHyphen/>
        <w:t>credit</w:t>
        <w:noBreakHyphen/>
        <w:t>quality financial institutions designated as Globally Systemically Important Banks. These investments earn interest at an average rate of 3.7%, and qualify as permitted investments under the Company’s credit agreement. The Company intends to maintain these investments until they are deployed for organic growth initiatives, strategically aligned acquisition opportunities, share repurchases, or a combination thereof.</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historical results for Aerospace are reported in the accompanying consolidated statement of income as a discontinued operation and the assets and liabilities have been retrospectively reclassified to assets and liabilities of discontinued operations in the accompanying consolidated balance sheet.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carrying value of the assets and liabilities held in discontinued operations were as follows (dollars in thousands):</w:t>
      </w:r>
    </w:p>
    <w:tbl>
      <w:tblPr>
        <w:tblW w:w="5366" w:type="dxa"/>
        <w:jc w:val="left"/>
        <w:tblInd w:w="0" w:type="dxa"/>
        <w:tblLayout w:type="fixed"/>
        <w:tblCellMar>
          <w:top w:w="28" w:type="dxa"/>
          <w:left w:w="28" w:type="dxa"/>
          <w:bottom w:w="28" w:type="dxa"/>
          <w:right w:w="28" w:type="dxa"/>
        </w:tblCellMar>
      </w:tblPr>
      <w:tblGrid>
        <w:gridCol w:w="1242"/>
        <w:gridCol w:w="1098"/>
        <w:gridCol w:w="1110"/>
        <w:gridCol w:w="109"/>
        <w:gridCol w:w="109"/>
        <w:gridCol w:w="109"/>
        <w:gridCol w:w="281"/>
        <w:gridCol w:w="1103"/>
        <w:gridCol w:w="205"/>
      </w:tblGrid>
      <w:tr>
        <w:trPr/>
        <w:tc>
          <w:tcPr>
            <w:tcW w:w="12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113,950 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176,280 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90,780 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77,530 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443,450 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16,370</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6,280</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Results of discontinued operations are summarized as follows (dollars in thousands):</w:t>
      </w:r>
    </w:p>
    <w:tbl>
      <w:tblPr>
        <w:tblW w:w="10205" w:type="dxa"/>
        <w:jc w:val="center"/>
        <w:tblInd w:w="0" w:type="dxa"/>
        <w:tblLayout w:type="fixed"/>
        <w:tblCellMar>
          <w:top w:w="28" w:type="dxa"/>
          <w:left w:w="28" w:type="dxa"/>
          <w:bottom w:w="28" w:type="dxa"/>
          <w:right w:w="28" w:type="dxa"/>
        </w:tblCellMar>
      </w:tblPr>
      <w:tblGrid>
        <w:gridCol w:w="1845"/>
        <w:gridCol w:w="1221"/>
        <w:gridCol w:w="1240"/>
        <w:gridCol w:w="109"/>
        <w:gridCol w:w="109"/>
        <w:gridCol w:w="109"/>
        <w:gridCol w:w="211"/>
        <w:gridCol w:w="78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845"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4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dispositions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60" w:after="160"/>
        <w:jc w:val="both"/>
        <w:rPr/>
      </w:pPr>
      <w:r>
        <w:rPr>
          <w:rFonts w:ascii="Times New Roman;serif" w:hAnsi="Times New Roman;serif"/>
          <w:b w:val="false"/>
          <w:color w:val="000000"/>
          <w:sz w:val="20"/>
        </w:rPr>
        <w:t>See Note 20, "</w:t>
      </w:r>
      <w:r>
        <w:rPr>
          <w:rFonts w:ascii="Times New Roman;serif" w:hAnsi="Times New Roman;serif"/>
          <w:b w:val="false"/>
          <w:i/>
          <w:color w:val="000000"/>
          <w:sz w:val="20"/>
        </w:rPr>
        <w:t>Income Taxes</w:t>
      </w:r>
      <w:r>
        <w:rPr>
          <w:rFonts w:ascii="Times New Roman;serif" w:hAnsi="Times New Roman;serif"/>
          <w:b w:val="false"/>
          <w:color w:val="000000"/>
          <w:sz w:val="20"/>
        </w:rPr>
        <w:t>," for additional information on income tax expense for the three and six months ended June 30, 2026.</w:t>
      </w:r>
    </w:p>
    <w:p>
      <w:pPr>
        <w:pStyle w:val="TextBody"/>
        <w:bidi w:val="0"/>
        <w:spacing w:lineRule="auto" w:line="26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depreciation, amortization, capital expenditures, and significant cash flow items of the discontinued operations were as follows (dollars in thousands): </w:t>
      </w:r>
    </w:p>
    <w:tbl>
      <w:tblPr>
        <w:tblW w:w="7204" w:type="dxa"/>
        <w:jc w:val="left"/>
        <w:tblInd w:w="0" w:type="dxa"/>
        <w:tblLayout w:type="fixed"/>
        <w:tblCellMar>
          <w:top w:w="28" w:type="dxa"/>
          <w:left w:w="28" w:type="dxa"/>
          <w:bottom w:w="28" w:type="dxa"/>
          <w:right w:w="28" w:type="dxa"/>
        </w:tblCellMar>
      </w:tblPr>
      <w:tblGrid>
        <w:gridCol w:w="1572"/>
        <w:gridCol w:w="1378"/>
        <w:gridCol w:w="1385"/>
        <w:gridCol w:w="109"/>
        <w:gridCol w:w="109"/>
        <w:gridCol w:w="109"/>
        <w:gridCol w:w="263"/>
        <w:gridCol w:w="787"/>
        <w:gridCol w:w="109"/>
        <w:gridCol w:w="109"/>
        <w:gridCol w:w="109"/>
        <w:gridCol w:w="109"/>
        <w:gridCol w:w="211"/>
        <w:gridCol w:w="691"/>
        <w:gridCol w:w="154"/>
      </w:tblGrid>
      <w:tr>
        <w:trPr/>
        <w:tc>
          <w:tcPr>
            <w:tcW w:w="1572"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discontinued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dispositions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discontinued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businesses,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4. Revenue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disaggregated net sales by primary market served (dollars in thousands):</w:t>
      </w:r>
    </w:p>
    <w:tbl>
      <w:tblPr>
        <w:tblW w:w="7631" w:type="dxa"/>
        <w:jc w:val="center"/>
        <w:tblInd w:w="0" w:type="dxa"/>
        <w:tblLayout w:type="fixed"/>
        <w:tblCellMar>
          <w:top w:w="28" w:type="dxa"/>
          <w:left w:w="28" w:type="dxa"/>
          <w:bottom w:w="28" w:type="dxa"/>
          <w:right w:w="28" w:type="dxa"/>
        </w:tblCellMar>
      </w:tblPr>
      <w:tblGrid>
        <w:gridCol w:w="614"/>
        <w:gridCol w:w="539"/>
        <w:gridCol w:w="541"/>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Customer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Packaging segment earns revenues from the consumer products (comprised of the beauty and personal care, food and beverage, home care, pharmaceutical, nutraceutical and medical submarkets) and industrial markets. The Specialty Products segment earns revenues from a variety of submarkets within the industrial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Contract Assets and Contract Liabilities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has contract assets and contract liabilities primarily related to in-process tooling projects for long-term supply arrangements with a contractual guarantee for reimbursement by the customer. Contract assets primarily consist of capitalized costs related to customer-owned tooling contracts, wherein the Company has not yet met performance obligations. Contract liabilities include deferred tooling revenue, where the performance obligation was not met. The performance obligation is satisfied and cost of goods sold is recognized and released from the balance sheet when control of the tooling is transferred to the customer.</w:t>
      </w:r>
    </w:p>
    <w:p>
      <w:pPr>
        <w:pStyle w:val="TextBody"/>
        <w:bidi w:val="0"/>
        <w:spacing w:lineRule="auto" w:line="288" w:before="160" w:after="80"/>
        <w:jc w:val="both"/>
        <w:rPr>
          <w:rFonts w:ascii="Times New Roman;serif" w:hAnsi="Times New Roman;serif"/>
          <w:b w:val="false"/>
          <w:color w:val="000000"/>
          <w:sz w:val="20"/>
        </w:rPr>
      </w:pPr>
      <w:r>
        <w:rPr>
          <w:rFonts w:ascii="Times New Roman;serif" w:hAnsi="Times New Roman;serif"/>
          <w:b w:val="false"/>
          <w:color w:val="000000"/>
          <w:sz w:val="20"/>
        </w:rPr>
        <w:t>The opening and closing balances of the Company’s contract assets and contract liabilities are as follows (dollars in thousands):</w:t>
      </w:r>
    </w:p>
    <w:tbl>
      <w:tblPr>
        <w:tblW w:w="5048" w:type="dxa"/>
        <w:jc w:val="left"/>
        <w:tblInd w:w="0" w:type="dxa"/>
        <w:tblLayout w:type="fixed"/>
        <w:tblCellMar>
          <w:top w:w="28" w:type="dxa"/>
          <w:left w:w="28" w:type="dxa"/>
          <w:bottom w:w="28" w:type="dxa"/>
          <w:right w:w="28" w:type="dxa"/>
        </w:tblCellMar>
      </w:tblPr>
      <w:tblGrid>
        <w:gridCol w:w="597"/>
        <w:gridCol w:w="525"/>
        <w:gridCol w:w="528"/>
        <w:gridCol w:w="109"/>
        <w:gridCol w:w="109"/>
        <w:gridCol w:w="109"/>
        <w:gridCol w:w="260"/>
        <w:gridCol w:w="760"/>
        <w:gridCol w:w="134"/>
        <w:gridCol w:w="109"/>
        <w:gridCol w:w="109"/>
        <w:gridCol w:w="109"/>
        <w:gridCol w:w="342"/>
        <w:gridCol w:w="999"/>
        <w:gridCol w:w="249"/>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recognized $7.1 million of revenue that was recorded as a contract liability as of December 31, 2025. The remainder of the change in the contract liability balance was primarily due to additional deferrals from new billings.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5. Realignment Actions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2026 Realignment Actions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incurred realignment charges in its Packaging segment and corporate office, primarily for severance, as well as related to the closure and consolidation of its Atkins, Arkansas facility into other locations. In connection with these actions, the Company recorded pre-tax realignment charges of $2.1 million and $6.2 million during the three and six months ended June 30, 2026, respectively. Pre-tax realignment charges recorded during the three months ended June 30, 2026, consist of $1.4 million related to facility move and consolidation costs, $0.5 million related to charges to accelerate the depreciation of certain fixed assets, and $0.2 million for employee-related costs. Pre-tax realignment charges recorded during the six months ended June 30, 2026, consist of $4.3 million for employee-related costs including $0.5 million of non-cash compensation expense, $1.4 million related to facility move and consolidation costs, and $0.5 million related to charges to accelerate the depreciation of certain fixed assets. For the three months ended June 30, 2026, $1.9 million and $0.2 million of these charges were included in cost of sales and selling, general and administrative expenses, respectively, in the accompanying consolidated statement of income. For the six months ended June 30, 2026, $1.9 million and $4.3 million of these charges were included in cost of sales and selling, general and administrative expenses, respectively, in the accompanying consolidated statement of income.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2025 Realignment 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recorded $0.7 million and $4.5 million, respectively, of realignment costs related to actions to reorganize its corporate office, primarily for severance and consulting costs, including $1.5 million of non-cash compensation expense during the six months ended June 30, 2025. These charges were included in selling, general and administrative expenses in the accompanying consolidated statement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6. Acquisitions and Sale of Business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On February 17, 2025, the Company acquired the aerospace business ("GMT Aerospace") of GMT Gummi-Metall-Technik GmbH for a purchase price of $37.7 million. The fair value of assets acquired and liabilities assumed included $15.5 million of goodwill, $4.6 million of intangible assets, $0.2 million of property and equipment, and $17.4 million of net working capital. GMT Aerospace was part of the Aerospace segment, which has been presented as discontinued operations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Sale of Business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31, 2025, the Company completed the sale of its Arrow Engine business within the Specialty Products segment for net cash proceeds of $21.0 million. As a result, the Company recorded a pre-tax gain of $5.3 million for the six months ended June 30, 2025, and $0.1 million for the three months ended September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7. Goodwill and Other Intangible Assets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for the six months ended June 30, 2026 are summarized as follows (dollars in thousands):</w:t>
      </w:r>
    </w:p>
    <w:tbl>
      <w:tblPr>
        <w:tblW w:w="8818" w:type="dxa"/>
        <w:jc w:val="left"/>
        <w:tblInd w:w="0" w:type="dxa"/>
        <w:tblLayout w:type="fixed"/>
        <w:tblCellMar>
          <w:top w:w="28" w:type="dxa"/>
          <w:left w:w="28" w:type="dxa"/>
          <w:bottom w:w="28" w:type="dxa"/>
          <w:right w:w="28" w:type="dxa"/>
        </w:tblCellMar>
      </w:tblPr>
      <w:tblGrid>
        <w:gridCol w:w="1478"/>
        <w:gridCol w:w="1298"/>
        <w:gridCol w:w="1303"/>
        <w:gridCol w:w="211"/>
        <w:gridCol w:w="826"/>
        <w:gridCol w:w="109"/>
        <w:gridCol w:w="109"/>
        <w:gridCol w:w="109"/>
        <w:gridCol w:w="109"/>
        <w:gridCol w:w="109"/>
        <w:gridCol w:w="109"/>
        <w:gridCol w:w="345"/>
        <w:gridCol w:w="1007"/>
        <w:gridCol w:w="178"/>
        <w:gridCol w:w="109"/>
        <w:gridCol w:w="109"/>
        <w:gridCol w:w="109"/>
        <w:gridCol w:w="211"/>
        <w:gridCol w:w="826"/>
        <w:gridCol w:w="154"/>
      </w:tblGrid>
      <w:tr>
        <w:trPr/>
        <w:tc>
          <w:tcPr>
            <w:tcW w:w="147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Packaging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Specialty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 losses at June 30,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i/>
          <w:color w:val="000000"/>
          <w:sz w:val="20"/>
        </w:rPr>
      </w:pPr>
      <w:r>
        <w:rPr>
          <w:rFonts w:ascii="Times New Roman;serif" w:hAnsi="Times New Roman;serif"/>
          <w:b w:val="false"/>
          <w:i/>
          <w:color w:val="000000"/>
          <w:sz w:val="20"/>
        </w:rPr>
        <w:t>Other Intangible Assets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amortizes its other intangible assets over periods ranging from one to 30 years. The gross carrying amounts and accumulated amortization of the Company's other intangibles are summarized below (dollars in thousands): </w:t>
      </w:r>
    </w:p>
    <w:tbl>
      <w:tblPr>
        <w:tblW w:w="10205" w:type="dxa"/>
        <w:jc w:val="center"/>
        <w:tblInd w:w="0" w:type="dxa"/>
        <w:tblLayout w:type="fixed"/>
        <w:tblCellMar>
          <w:top w:w="28" w:type="dxa"/>
          <w:left w:w="28" w:type="dxa"/>
          <w:bottom w:w="28" w:type="dxa"/>
          <w:right w:w="28" w:type="dxa"/>
        </w:tblCellMar>
      </w:tblPr>
      <w:tblGrid>
        <w:gridCol w:w="1011"/>
        <w:gridCol w:w="675"/>
        <w:gridCol w:w="680"/>
        <w:gridCol w:w="109"/>
        <w:gridCol w:w="109"/>
        <w:gridCol w:w="109"/>
        <w:gridCol w:w="288"/>
        <w:gridCol w:w="1131"/>
        <w:gridCol w:w="148"/>
        <w:gridCol w:w="109"/>
        <w:gridCol w:w="109"/>
        <w:gridCol w:w="109"/>
        <w:gridCol w:w="294"/>
        <w:gridCol w:w="1227"/>
        <w:gridCol w:w="151"/>
        <w:gridCol w:w="109"/>
        <w:gridCol w:w="109"/>
        <w:gridCol w:w="109"/>
        <w:gridCol w:w="288"/>
        <w:gridCol w:w="1131"/>
        <w:gridCol w:w="148"/>
        <w:gridCol w:w="109"/>
        <w:gridCol w:w="109"/>
        <w:gridCol w:w="109"/>
        <w:gridCol w:w="291"/>
        <w:gridCol w:w="1214"/>
        <w:gridCol w:w="220"/>
      </w:tblGrid>
      <w:tr>
        <w:trPr/>
        <w:tc>
          <w:tcPr>
            <w:tcW w:w="10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Intangible Category by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r>
      <w:tr>
        <w:trPr/>
        <w:tc>
          <w:tcPr>
            <w:tcW w:w="2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Customer relationships, 5 – 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98,020 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Customer relationships, 15 – 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(39,280)</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137,300 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(112,580)</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(111,090)</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Technology and other, 1 – 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(12,140)</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Technology and other, 17 – 30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(39,740)</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technology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55,140 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(52,150)</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55,230 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(51,880)</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Trademark/Trade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237,700 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(164,730)</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239,520 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(162,970)</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as included in the accompanying consolidated statement of income is summarized as follows (dollars in thousands):</w:t>
      </w:r>
    </w:p>
    <w:tbl>
      <w:tblPr>
        <w:tblW w:w="10205" w:type="dxa"/>
        <w:jc w:val="left"/>
        <w:tblInd w:w="0" w:type="dxa"/>
        <w:tblLayout w:type="fixed"/>
        <w:tblCellMar>
          <w:top w:w="28" w:type="dxa"/>
          <w:left w:w="28" w:type="dxa"/>
          <w:bottom w:w="28" w:type="dxa"/>
          <w:right w:w="28" w:type="dxa"/>
        </w:tblCellMar>
      </w:tblPr>
      <w:tblGrid>
        <w:gridCol w:w="1823"/>
        <w:gridCol w:w="1555"/>
        <w:gridCol w:w="1559"/>
        <w:gridCol w:w="109"/>
        <w:gridCol w:w="109"/>
        <w:gridCol w:w="109"/>
        <w:gridCol w:w="225"/>
        <w:gridCol w:w="659"/>
        <w:gridCol w:w="116"/>
        <w:gridCol w:w="116"/>
        <w:gridCol w:w="116"/>
        <w:gridCol w:w="116"/>
        <w:gridCol w:w="225"/>
        <w:gridCol w:w="659"/>
        <w:gridCol w:w="116"/>
        <w:gridCol w:w="109"/>
        <w:gridCol w:w="109"/>
        <w:gridCol w:w="109"/>
        <w:gridCol w:w="212"/>
        <w:gridCol w:w="620"/>
        <w:gridCol w:w="109"/>
        <w:gridCol w:w="109"/>
        <w:gridCol w:w="109"/>
        <w:gridCol w:w="109"/>
        <w:gridCol w:w="212"/>
        <w:gridCol w:w="620"/>
        <w:gridCol w:w="166"/>
      </w:tblGrid>
      <w:tr>
        <w:trPr/>
        <w:tc>
          <w:tcPr>
            <w:tcW w:w="1823"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4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other, included in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 included in 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8. Inventories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consist of the following components (dollars in thousands): </w:t>
      </w:r>
    </w:p>
    <w:tbl>
      <w:tblPr>
        <w:tblW w:w="4912" w:type="dxa"/>
        <w:jc w:val="left"/>
        <w:tblInd w:w="0" w:type="dxa"/>
        <w:tblLayout w:type="fixed"/>
        <w:tblCellMar>
          <w:top w:w="28" w:type="dxa"/>
          <w:left w:w="28" w:type="dxa"/>
          <w:bottom w:w="28" w:type="dxa"/>
          <w:right w:w="28" w:type="dxa"/>
        </w:tblCellMar>
      </w:tblPr>
      <w:tblGrid>
        <w:gridCol w:w="549"/>
        <w:gridCol w:w="482"/>
        <w:gridCol w:w="484"/>
        <w:gridCol w:w="109"/>
        <w:gridCol w:w="109"/>
        <w:gridCol w:w="109"/>
        <w:gridCol w:w="212"/>
        <w:gridCol w:w="833"/>
        <w:gridCol w:w="109"/>
        <w:gridCol w:w="109"/>
        <w:gridCol w:w="109"/>
        <w:gridCol w:w="109"/>
        <w:gridCol w:w="281"/>
        <w:gridCol w:w="1103"/>
        <w:gridCol w:w="205"/>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39,050 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108,720 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9. Property and Equipment, Net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Property and equipment consists of the following components (dollars in thousands): </w:t>
      </w:r>
    </w:p>
    <w:tbl>
      <w:tblPr>
        <w:tblW w:w="6127" w:type="dxa"/>
        <w:jc w:val="left"/>
        <w:tblInd w:w="0" w:type="dxa"/>
        <w:tblLayout w:type="fixed"/>
        <w:tblCellMar>
          <w:top w:w="28" w:type="dxa"/>
          <w:left w:w="28" w:type="dxa"/>
          <w:bottom w:w="28" w:type="dxa"/>
          <w:right w:w="28" w:type="dxa"/>
        </w:tblCellMar>
      </w:tblPr>
      <w:tblGrid>
        <w:gridCol w:w="988"/>
        <w:gridCol w:w="869"/>
        <w:gridCol w:w="873"/>
        <w:gridCol w:w="109"/>
        <w:gridCol w:w="109"/>
        <w:gridCol w:w="109"/>
        <w:gridCol w:w="212"/>
        <w:gridCol w:w="833"/>
        <w:gridCol w:w="109"/>
        <w:gridCol w:w="109"/>
        <w:gridCol w:w="109"/>
        <w:gridCol w:w="109"/>
        <w:gridCol w:w="281"/>
        <w:gridCol w:w="1103"/>
        <w:gridCol w:w="205"/>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450,960 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524,840 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277,330 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247,510 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left"/>
        <w:rPr>
          <w:rFonts w:ascii="Times New Roman;serif" w:hAnsi="Times New Roman;serif"/>
          <w:b w:val="false"/>
          <w:color w:val="000000"/>
          <w:sz w:val="20"/>
        </w:rPr>
      </w:pPr>
      <w:r>
        <w:rPr>
          <w:rFonts w:ascii="Times New Roman;serif" w:hAnsi="Times New Roman;serif"/>
          <w:b w:val="false"/>
          <w:color w:val="000000"/>
          <w:sz w:val="20"/>
        </w:rPr>
        <w:t>Depreciation expense as included in the accompanying consolidated statement of income is as follows (dollars in thousands):</w:t>
      </w:r>
    </w:p>
    <w:tbl>
      <w:tblPr>
        <w:tblW w:w="10205" w:type="dxa"/>
        <w:jc w:val="left"/>
        <w:tblInd w:w="0" w:type="dxa"/>
        <w:tblLayout w:type="fixed"/>
        <w:tblCellMar>
          <w:top w:w="28" w:type="dxa"/>
          <w:left w:w="28" w:type="dxa"/>
          <w:bottom w:w="28" w:type="dxa"/>
          <w:right w:w="28" w:type="dxa"/>
        </w:tblCellMar>
      </w:tblPr>
      <w:tblGrid>
        <w:gridCol w:w="1744"/>
        <w:gridCol w:w="1499"/>
        <w:gridCol w:w="1503"/>
        <w:gridCol w:w="109"/>
        <w:gridCol w:w="109"/>
        <w:gridCol w:w="109"/>
        <w:gridCol w:w="225"/>
        <w:gridCol w:w="658"/>
        <w:gridCol w:w="116"/>
        <w:gridCol w:w="116"/>
        <w:gridCol w:w="116"/>
        <w:gridCol w:w="116"/>
        <w:gridCol w:w="225"/>
        <w:gridCol w:w="658"/>
        <w:gridCol w:w="116"/>
        <w:gridCol w:w="109"/>
        <w:gridCol w:w="109"/>
        <w:gridCol w:w="109"/>
        <w:gridCol w:w="211"/>
        <w:gridCol w:w="721"/>
        <w:gridCol w:w="109"/>
        <w:gridCol w:w="109"/>
        <w:gridCol w:w="109"/>
        <w:gridCol w:w="109"/>
        <w:gridCol w:w="211"/>
        <w:gridCol w:w="721"/>
        <w:gridCol w:w="159"/>
      </w:tblGrid>
      <w:tr>
        <w:trPr/>
        <w:tc>
          <w:tcPr>
            <w:tcW w:w="174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4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included in 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included in 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10. Long-term Debt </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long-term debt consists of the following (dollars in thousands): </w:t>
      </w:r>
    </w:p>
    <w:tbl>
      <w:tblPr>
        <w:tblW w:w="6501" w:type="dxa"/>
        <w:jc w:val="left"/>
        <w:tblInd w:w="0" w:type="dxa"/>
        <w:tblLayout w:type="fixed"/>
        <w:tblCellMar>
          <w:top w:w="28" w:type="dxa"/>
          <w:left w:w="28" w:type="dxa"/>
          <w:bottom w:w="28" w:type="dxa"/>
          <w:right w:w="28" w:type="dxa"/>
        </w:tblCellMar>
      </w:tblPr>
      <w:tblGrid>
        <w:gridCol w:w="1124"/>
        <w:gridCol w:w="988"/>
        <w:gridCol w:w="992"/>
        <w:gridCol w:w="109"/>
        <w:gridCol w:w="109"/>
        <w:gridCol w:w="109"/>
        <w:gridCol w:w="212"/>
        <w:gridCol w:w="833"/>
        <w:gridCol w:w="109"/>
        <w:gridCol w:w="109"/>
        <w:gridCol w:w="109"/>
        <w:gridCol w:w="109"/>
        <w:gridCol w:w="281"/>
        <w:gridCol w:w="1103"/>
        <w:gridCol w:w="205"/>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4.125% Senior Notes due April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72,790 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469,170 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left"/>
        <w:rPr>
          <w:rFonts w:ascii="Times New Roman;serif" w:hAnsi="Times New Roman;serif"/>
          <w:b w:val="false"/>
          <w:i/>
          <w:color w:val="000000"/>
          <w:sz w:val="20"/>
        </w:rPr>
      </w:pPr>
      <w:r>
        <w:rPr>
          <w:rFonts w:ascii="Times New Roman;serif" w:hAnsi="Times New Roman;serif"/>
          <w:b w:val="false"/>
          <w:i/>
          <w:color w:val="000000"/>
          <w:sz w:val="20"/>
        </w:rPr>
        <w:t>Senior Notes</w:t>
      </w:r>
    </w:p>
    <w:p>
      <w:pPr>
        <w:pStyle w:val="TextBody"/>
        <w:bidi w:val="0"/>
        <w:spacing w:lineRule="auto" w:line="288" w:before="0" w:after="0"/>
        <w:jc w:val="both"/>
        <w:rPr/>
      </w:pPr>
      <w:r>
        <w:rPr>
          <w:rFonts w:ascii="Times New Roman;serif" w:hAnsi="Times New Roman;serif"/>
          <w:b w:val="false"/>
          <w:color w:val="000000"/>
          <w:sz w:val="20"/>
        </w:rPr>
        <w:t xml:space="preserve">In March 2021, the Company issued $400.0 million aggregate principal amount of 4.125% senior notes due April 15, 2029, ("Senior Notes") at par value in a private placement under Rule 144A of the Securities Act of 1933, as amended ("Securities Act").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in right of payment with all existing and future senior indebtedness and effectively subordinated to all existing and future secured indebtedness to the extent of the value of the assets securing such indebtedness.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may redeem all or part of the Senior Notes at par (100% of principal amount), plus accrued and unpaid interest, if any, to the redemption date.</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March 2025, the Company amended its existing credit agreement ("Credit Agreement") to extend the maturity date. The Company incurred fees and expenses of $1.3 million during the six months ended June 30, 2025 related to the amendment, all of which was capitalized as debt issuance costs. The Company also recorded $0.1 million of non-cash expense related to the write-off of previously capitalized deferred financing fees in the six months ended June 30, 2025. The Credit Agreement consists of a $250.0 million senior secured revolving credit facility, which permits borrowings denominated in specific foreign currencies, subject to a $125.0 million sub limit, maturing on March 31, 2030.</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is subject to benchmark interest rates determined based on the currency denomination of borrowings, with British pound sterling borrowings subject to the Sterling Overnight Index Average, Euro borrowings to the Euro InterBank Offered Rate and U.S. dollar borrowings subject to the Secured Overnight Financing Rate, each plus a spread that ranges from 1.375% to 2.00% based upon the leverage ratio, as defined, as of the most recent determination date. The Company's revolving credit facility allows for the issuance of letters of credit, not to exceed $40.0 million in aggregate.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had no amounts outstanding under its revolving credit facility and had $243.8 million available after giving effect to $6.2 million of letters of credit issued and outstanding. At December 31, 2025, the Company had $72.8 million outstanding under its revolving credit facility and had $171.2 million available after giving effect to $6.0 million of letters of credit issued and outstanding. After consideration of leverage restrictions contained in the Credit Agreement, as of June 30, 2026, the Company had $203.6 million of borrowing capacity available for general corporate purposes. The Company's borrowing capacity was not reduced by leverage restrictions contained in the Credit Agreement as of December 31, 2025.</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debt under the Credit Agreement is an obligation of the Company and certain of its domestic subsidiaries and is secured by substantially all of the assets of such parties. Borrowings under the $125.0 million (equivalent) foreign currency sub limit of the $250.0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any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In December 2025 and March 2026, the Company amended the Credit Agreement to update certain definitions used in ratio and indebtedness calculations due to the sale of the Aerospace segment. At June 30, 2026, the Company was in compliance with its financial covenants contained in the Credit Agreement.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Other Revolving Loan Facility</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May 2021, the Company, through one of its non-U.S. subsidiaries, entered into a revolving loan facility with a borrowing capacity of $4 million. The facility is guaranteed by TriMas Corporation. There were no borrowings outstanding on this loan facility as of June 30, 2026, or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Fair Value of Debt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valuations of the Senior Notes and revolving credit facility were determined based on Level 2 inputs under the fair value hierarchy, as defined. The carrying amounts and fair values were as follows (dollars in thousands):</w:t>
      </w:r>
    </w:p>
    <w:tbl>
      <w:tblPr>
        <w:tblW w:w="9747" w:type="dxa"/>
        <w:jc w:val="center"/>
        <w:tblInd w:w="0" w:type="dxa"/>
        <w:tblLayout w:type="fixed"/>
        <w:tblCellMar>
          <w:top w:w="28" w:type="dxa"/>
          <w:left w:w="28" w:type="dxa"/>
          <w:bottom w:w="28" w:type="dxa"/>
          <w:right w:w="28" w:type="dxa"/>
        </w:tblCellMar>
      </w:tblPr>
      <w:tblGrid>
        <w:gridCol w:w="1124"/>
        <w:gridCol w:w="988"/>
        <w:gridCol w:w="992"/>
        <w:gridCol w:w="109"/>
        <w:gridCol w:w="109"/>
        <w:gridCol w:w="109"/>
        <w:gridCol w:w="276"/>
        <w:gridCol w:w="1081"/>
        <w:gridCol w:w="142"/>
        <w:gridCol w:w="109"/>
        <w:gridCol w:w="109"/>
        <w:gridCol w:w="109"/>
        <w:gridCol w:w="211"/>
        <w:gridCol w:w="826"/>
        <w:gridCol w:w="109"/>
        <w:gridCol w:w="109"/>
        <w:gridCol w:w="109"/>
        <w:gridCol w:w="109"/>
        <w:gridCol w:w="276"/>
        <w:gridCol w:w="1081"/>
        <w:gridCol w:w="142"/>
        <w:gridCol w:w="109"/>
        <w:gridCol w:w="109"/>
        <w:gridCol w:w="109"/>
        <w:gridCol w:w="211"/>
        <w:gridCol w:w="826"/>
        <w:gridCol w:w="154"/>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4.125% Senior Notes due April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72,790 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11. Derivative Instruments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Derivatives Designated as Hedging Instruments</w:t>
      </w:r>
    </w:p>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The Company uses cross-currency swap contracts to hedge its net investment in Euro-denominated assets against future volatility in the exchange rate between the U.S. dollar and the Euro. By doing so, the Company synthetically converts a portion of its U.S. dollar-based long-term debt into Euro-denominated long-term debt.</w:t>
      </w:r>
    </w:p>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cross-currency swap agreement effective as of June 27, 2024, with a notional amount of $75.0 million and a contract period end date of October 15, 2027. Under the terms of the agreement, the Company is to receive net interest payments at a fixed rate of approximately 1.43% of the notional amount. At inception, the cross-currency swap was designated as a net investment hedge.</w:t>
      </w:r>
    </w:p>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2024, the Company entered into a cross-currency swap agreement effective as of April 15, 2024, with a notional amount of $75.0 million and a contract period end date of April 15, 2029. Under the terms of the agreement, the Company is to receive net interest payments at a fixed rate of approximately 1.06% of the notional amount. At inception, the cross-currency swap was designated as a net investment hedge. At designation, the cross-currency swap had an inception date non-zero fair value equal to a $4.9 million liability, which offset the inception date non-zero fair value of a $75.0 million foreign currency exchange forward contract entered into on the same date.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fair value carrying amount of the Company's derivatives designated as hedging instruments are recorded as follows (dollars in thousands): </w:t>
      </w:r>
    </w:p>
    <w:tbl>
      <w:tblPr>
        <w:tblW w:w="9725" w:type="dxa"/>
        <w:jc w:val="left"/>
        <w:tblInd w:w="0" w:type="dxa"/>
        <w:tblLayout w:type="fixed"/>
        <w:tblCellMar>
          <w:top w:w="28" w:type="dxa"/>
          <w:left w:w="28" w:type="dxa"/>
          <w:bottom w:w="28" w:type="dxa"/>
          <w:right w:w="28" w:type="dxa"/>
        </w:tblCellMar>
      </w:tblPr>
      <w:tblGrid>
        <w:gridCol w:w="1367"/>
        <w:gridCol w:w="1203"/>
        <w:gridCol w:w="1210"/>
        <w:gridCol w:w="109"/>
        <w:gridCol w:w="109"/>
        <w:gridCol w:w="109"/>
        <w:gridCol w:w="739"/>
        <w:gridCol w:w="739"/>
        <w:gridCol w:w="742"/>
        <w:gridCol w:w="109"/>
        <w:gridCol w:w="109"/>
        <w:gridCol w:w="109"/>
        <w:gridCol w:w="218"/>
        <w:gridCol w:w="824"/>
        <w:gridCol w:w="112"/>
        <w:gridCol w:w="109"/>
        <w:gridCol w:w="109"/>
        <w:gridCol w:w="109"/>
        <w:gridCol w:w="289"/>
        <w:gridCol w:w="1090"/>
        <w:gridCol w:w="211"/>
      </w:tblGrid>
      <w:tr>
        <w:trPr/>
        <w:tc>
          <w:tcPr>
            <w:tcW w:w="136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 / (Liability) Derivatives</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Sheet Caption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917" w:type="dxa"/>
            <w:gridSpan w:val="6"/>
            <w:tcBorders/>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income recognized in accumulated other comprehensive income (loss) ("AOCI") on derivative contracts designated as hedging instruments as of June 30, 2026 and December 31, 2025, and the amounts reclassified from AOCI into earnings for the six months ended June 30, 2026 and 2025 (dollars in thousands):</w:t>
      </w:r>
    </w:p>
    <w:tbl>
      <w:tblPr>
        <w:tblW w:w="10205" w:type="dxa"/>
        <w:jc w:val="left"/>
        <w:tblInd w:w="0" w:type="dxa"/>
        <w:tblLayout w:type="fixed"/>
        <w:tblCellMar>
          <w:top w:w="28" w:type="dxa"/>
          <w:left w:w="28" w:type="dxa"/>
          <w:bottom w:w="28" w:type="dxa"/>
          <w:right w:w="28" w:type="dxa"/>
        </w:tblCellMar>
      </w:tblPr>
      <w:tblGrid>
        <w:gridCol w:w="674"/>
        <w:gridCol w:w="369"/>
        <w:gridCol w:w="371"/>
        <w:gridCol w:w="257"/>
        <w:gridCol w:w="753"/>
        <w:gridCol w:w="133"/>
        <w:gridCol w:w="133"/>
        <w:gridCol w:w="133"/>
        <w:gridCol w:w="133"/>
        <w:gridCol w:w="257"/>
        <w:gridCol w:w="753"/>
        <w:gridCol w:w="133"/>
        <w:gridCol w:w="109"/>
        <w:gridCol w:w="109"/>
        <w:gridCol w:w="109"/>
        <w:gridCol w:w="540"/>
        <w:gridCol w:w="487"/>
        <w:gridCol w:w="489"/>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406"/>
        <w:gridCol w:w="160"/>
      </w:tblGrid>
      <w:tr>
        <w:trPr/>
        <w:tc>
          <w:tcPr>
            <w:tcW w:w="67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Income Recognized in AOCI on Derivatives (Effective Portion,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 of Income (Loss) Reclassified </w:t>
              <w:br/>
              <w:t>from AOCI into Earnings</w:t>
            </w:r>
          </w:p>
        </w:tc>
      </w:tr>
      <w:tr>
        <w:trPr/>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of Income (Loss) Reclassified from AOCI into Earnings (Effective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 xml:space="preserve">June 30,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 xml:space="preserve">June 30, </w:t>
            </w:r>
          </w:p>
        </w:tc>
      </w:tr>
      <w:tr>
        <w:trPr/>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Investment Hedges</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Over the next 12 months, the Company does not expect to reclassify any pre-tax deferred amounts from AOCI into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Derivatives Not Designated as Hedging Instruments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was party to foreign currency exchange forward contracts to economically hedge changes in foreign currency rates with notional amounts of $108.1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Euro and British pound, U.S. dollar and Mexican peso, U.S. dollar and Chinese yuan, as well as between the Brazilian Real and the British pound, and have various settlement dates through September 2026. These contracts are not designated as hedge instruments; therefore, gains and losses on these contracts are recognized each period directly into the consolidated statement of income.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effects of derivatives not designated as hedging instruments on the Company's consolidated statement of income (dollars in thousands):</w:t>
      </w:r>
    </w:p>
    <w:tbl>
      <w:tblPr>
        <w:tblW w:w="10205" w:type="dxa"/>
        <w:jc w:val="left"/>
        <w:tblInd w:w="0" w:type="dxa"/>
        <w:tblLayout w:type="fixed"/>
        <w:tblCellMar>
          <w:top w:w="28" w:type="dxa"/>
          <w:left w:w="28" w:type="dxa"/>
          <w:bottom w:w="28" w:type="dxa"/>
          <w:right w:w="28" w:type="dxa"/>
        </w:tblCellMar>
      </w:tblPr>
      <w:tblGrid>
        <w:gridCol w:w="853"/>
        <w:gridCol w:w="751"/>
        <w:gridCol w:w="753"/>
        <w:gridCol w:w="109"/>
        <w:gridCol w:w="109"/>
        <w:gridCol w:w="109"/>
        <w:gridCol w:w="855"/>
        <w:gridCol w:w="855"/>
        <w:gridCol w:w="858"/>
        <w:gridCol w:w="109"/>
        <w:gridCol w:w="109"/>
        <w:gridCol w:w="109"/>
        <w:gridCol w:w="211"/>
        <w:gridCol w:w="504"/>
        <w:gridCol w:w="109"/>
        <w:gridCol w:w="109"/>
        <w:gridCol w:w="109"/>
        <w:gridCol w:w="109"/>
        <w:gridCol w:w="211"/>
        <w:gridCol w:w="654"/>
        <w:gridCol w:w="109"/>
        <w:gridCol w:w="109"/>
        <w:gridCol w:w="109"/>
        <w:gridCol w:w="109"/>
        <w:gridCol w:w="211"/>
        <w:gridCol w:w="504"/>
        <w:gridCol w:w="109"/>
        <w:gridCol w:w="109"/>
        <w:gridCol w:w="109"/>
        <w:gridCol w:w="109"/>
        <w:gridCol w:w="211"/>
        <w:gridCol w:w="654"/>
        <w:gridCol w:w="158"/>
      </w:tblGrid>
      <w:tr>
        <w:trPr/>
        <w:tc>
          <w:tcPr>
            <w:tcW w:w="85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of Income (Loss) Recognized in Earnings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Amount of Income (Loss) Recognized in </w:t>
              <w:br/>
              <w:t>Earnings on Derivatives</w:t>
            </w:r>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 xml:space="preserve">June 30,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 xml:space="preserve">June 30, </w:t>
            </w:r>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i/>
          <w:color w:val="000000"/>
          <w:sz w:val="20"/>
        </w:rPr>
      </w:pPr>
      <w:r>
        <w:rPr>
          <w:rFonts w:ascii="Times New Roman;serif" w:hAnsi="Times New Roman;serif"/>
          <w:b w:val="false"/>
          <w:i/>
          <w:color w:val="000000"/>
          <w:sz w:val="20"/>
        </w:rPr>
        <w:t>Fair Value of Derivatives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June 30, 2026 and December 31, 2025 are shown below (dollars in thousands):  </w:t>
      </w:r>
    </w:p>
    <w:tbl>
      <w:tblPr>
        <w:tblW w:w="10205" w:type="dxa"/>
        <w:jc w:val="center"/>
        <w:tblInd w:w="0" w:type="dxa"/>
        <w:tblLayout w:type="fixed"/>
        <w:tblCellMar>
          <w:top w:w="28" w:type="dxa"/>
          <w:left w:w="28" w:type="dxa"/>
          <w:bottom w:w="28" w:type="dxa"/>
          <w:right w:w="28" w:type="dxa"/>
        </w:tblCellMar>
      </w:tblPr>
      <w:tblGrid>
        <w:gridCol w:w="584"/>
        <w:gridCol w:w="513"/>
        <w:gridCol w:w="519"/>
        <w:gridCol w:w="109"/>
        <w:gridCol w:w="109"/>
        <w:gridCol w:w="109"/>
        <w:gridCol w:w="305"/>
        <w:gridCol w:w="305"/>
        <w:gridCol w:w="306"/>
        <w:gridCol w:w="109"/>
        <w:gridCol w:w="109"/>
        <w:gridCol w:w="109"/>
        <w:gridCol w:w="226"/>
        <w:gridCol w:w="813"/>
        <w:gridCol w:w="117"/>
        <w:gridCol w:w="109"/>
        <w:gridCol w:w="109"/>
        <w:gridCol w:w="109"/>
        <w:gridCol w:w="491"/>
        <w:gridCol w:w="948"/>
        <w:gridCol w:w="258"/>
        <w:gridCol w:w="109"/>
        <w:gridCol w:w="109"/>
        <w:gridCol w:w="109"/>
        <w:gridCol w:w="304"/>
        <w:gridCol w:w="1105"/>
        <w:gridCol w:w="157"/>
        <w:gridCol w:w="109"/>
        <w:gridCol w:w="109"/>
        <w:gridCol w:w="109"/>
        <w:gridCol w:w="440"/>
        <w:gridCol w:w="848"/>
        <w:gridCol w:w="331"/>
      </w:tblGrid>
      <w:tr>
        <w:trPr/>
        <w:tc>
          <w:tcPr>
            <w:tcW w:w="58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Frequency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 /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Quoted Prices in Active 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Unobservable Inputs</w:t>
              <w:br/>
              <w:t>(Level 3)</w:t>
            </w:r>
          </w:p>
        </w:tc>
      </w:tr>
      <w:tr>
        <w:trPr/>
        <w:tc>
          <w:tcPr>
            <w:tcW w:w="1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Cross-currency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12. Leases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lease obligations are non-cancelable operating leases for certain equipment and facilities. The Company's finance leases are for certain equipment for its operations in The Netherlands. Leases with an initial term of 12 months or less are not recorded on the balance sheet; expense related to these leases is recognized on a straight-line basis over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Company's leases are shown below (dollars in thousands):</w:t>
      </w:r>
    </w:p>
    <w:tbl>
      <w:tblPr>
        <w:tblW w:w="8420" w:type="dxa"/>
        <w:jc w:val="left"/>
        <w:tblInd w:w="0" w:type="dxa"/>
        <w:tblLayout w:type="fixed"/>
        <w:tblCellMar>
          <w:top w:w="28" w:type="dxa"/>
          <w:left w:w="28" w:type="dxa"/>
          <w:bottom w:w="28" w:type="dxa"/>
          <w:right w:w="28" w:type="dxa"/>
        </w:tblCellMar>
      </w:tblPr>
      <w:tblGrid>
        <w:gridCol w:w="661"/>
        <w:gridCol w:w="581"/>
        <w:gridCol w:w="587"/>
        <w:gridCol w:w="109"/>
        <w:gridCol w:w="109"/>
        <w:gridCol w:w="109"/>
        <w:gridCol w:w="954"/>
        <w:gridCol w:w="954"/>
        <w:gridCol w:w="957"/>
        <w:gridCol w:w="109"/>
        <w:gridCol w:w="109"/>
        <w:gridCol w:w="109"/>
        <w:gridCol w:w="234"/>
        <w:gridCol w:w="800"/>
        <w:gridCol w:w="121"/>
        <w:gridCol w:w="109"/>
        <w:gridCol w:w="109"/>
        <w:gridCol w:w="109"/>
        <w:gridCol w:w="309"/>
        <w:gridCol w:w="1056"/>
        <w:gridCol w:w="225"/>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and equipment, net</w:t>
            </w:r>
            <w:r>
              <w:rPr>
                <w:color w:val="000000"/>
              </w:rPr>
              <w:t xml:space="preserve">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38,440 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33,950 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40,880 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35,910 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left"/>
        <w:rPr>
          <w:rFonts w:ascii="Times New Roman;serif" w:hAnsi="Times New Roman;serif"/>
          <w:b w:val="false"/>
          <w:color w:val="000000"/>
          <w:sz w:val="12"/>
        </w:rPr>
      </w:pPr>
      <w:r>
        <w:rPr>
          <w:rFonts w:ascii="Times New Roman;serif" w:hAnsi="Times New Roman;serif"/>
          <w:b w:val="false"/>
          <w:color w:val="000000"/>
          <w:sz w:val="12"/>
        </w:rPr>
        <w:t>__________________________</w:t>
      </w:r>
    </w:p>
    <w:p>
      <w:pPr>
        <w:pStyle w:val="TextBody"/>
        <w:bidi w:val="0"/>
        <w:spacing w:lineRule="auto" w:line="288" w:before="160" w:after="160"/>
        <w:ind w:left="0" w:right="0" w:hanging="450"/>
        <w:jc w:val="both"/>
        <w:rPr/>
      </w:pPr>
      <w:r>
        <w:rPr>
          <w:rFonts w:ascii="Times New Roman;serif" w:hAnsi="Times New Roman;serif"/>
          <w:b w:val="false"/>
          <w:color w:val="000000"/>
          <w:sz w:val="10"/>
        </w:rPr>
        <w:t>(a)     </w:t>
      </w:r>
      <w:r>
        <w:rPr>
          <w:rFonts w:ascii="Times New Roman;serif" w:hAnsi="Times New Roman;serif"/>
          <w:b w:val="false"/>
          <w:color w:val="000000"/>
          <w:sz w:val="16"/>
        </w:rPr>
        <w:t xml:space="preserve">Finance leases were recorded net of accumulated depreciation of $0.8 million and $0.7 million as of June 30, 2026 and December 31, 2025, respectively.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are as follows (dollars in thousands):</w:t>
      </w:r>
    </w:p>
    <w:tbl>
      <w:tblPr>
        <w:tblW w:w="10205" w:type="dxa"/>
        <w:jc w:val="left"/>
        <w:tblInd w:w="0" w:type="dxa"/>
        <w:tblLayout w:type="fixed"/>
        <w:tblCellMar>
          <w:top w:w="28" w:type="dxa"/>
          <w:left w:w="28" w:type="dxa"/>
          <w:bottom w:w="28" w:type="dxa"/>
          <w:right w:w="28" w:type="dxa"/>
        </w:tblCellMar>
      </w:tblPr>
      <w:tblGrid>
        <w:gridCol w:w="821"/>
        <w:gridCol w:w="587"/>
        <w:gridCol w:w="591"/>
        <w:gridCol w:w="109"/>
        <w:gridCol w:w="109"/>
        <w:gridCol w:w="109"/>
        <w:gridCol w:w="1060"/>
        <w:gridCol w:w="813"/>
        <w:gridCol w:w="815"/>
        <w:gridCol w:w="109"/>
        <w:gridCol w:w="109"/>
        <w:gridCol w:w="109"/>
        <w:gridCol w:w="219"/>
        <w:gridCol w:w="639"/>
        <w:gridCol w:w="113"/>
        <w:gridCol w:w="113"/>
        <w:gridCol w:w="113"/>
        <w:gridCol w:w="113"/>
        <w:gridCol w:w="219"/>
        <w:gridCol w:w="639"/>
        <w:gridCol w:w="113"/>
        <w:gridCol w:w="109"/>
        <w:gridCol w:w="109"/>
        <w:gridCol w:w="109"/>
        <w:gridCol w:w="211"/>
        <w:gridCol w:w="618"/>
        <w:gridCol w:w="109"/>
        <w:gridCol w:w="109"/>
        <w:gridCol w:w="109"/>
        <w:gridCol w:w="109"/>
        <w:gridCol w:w="211"/>
        <w:gridCol w:w="618"/>
        <w:gridCol w:w="162"/>
      </w:tblGrid>
      <w:tr>
        <w:trPr/>
        <w:tc>
          <w:tcPr>
            <w:tcW w:w="82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1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Statement of Income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and 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of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variable and other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and 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5,920 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left"/>
        <w:rPr>
          <w:rFonts w:ascii="Times New Roman;serif" w:hAnsi="Times New Roman;serif"/>
          <w:b w:val="false"/>
          <w:color w:val="000000"/>
          <w:sz w:val="20"/>
        </w:rPr>
      </w:pPr>
      <w:r>
        <w:rPr>
          <w:rFonts w:ascii="Times New Roman;serif" w:hAnsi="Times New Roman;serif"/>
          <w:b w:val="false"/>
          <w:color w:val="000000"/>
          <w:sz w:val="20"/>
        </w:rPr>
        <w:t>Maturities of lease liabilities are as follows (dollars in thousands):</w:t>
      </w:r>
    </w:p>
    <w:tbl>
      <w:tblPr>
        <w:tblW w:w="7884" w:type="dxa"/>
        <w:jc w:val="center"/>
        <w:tblInd w:w="0" w:type="dxa"/>
        <w:tblLayout w:type="fixed"/>
        <w:tblCellMar>
          <w:top w:w="28" w:type="dxa"/>
          <w:left w:w="28" w:type="dxa"/>
          <w:bottom w:w="28" w:type="dxa"/>
          <w:right w:w="28" w:type="dxa"/>
        </w:tblCellMar>
      </w:tblPr>
      <w:tblGrid>
        <w:gridCol w:w="1625"/>
        <w:gridCol w:w="1427"/>
        <w:gridCol w:w="1433"/>
        <w:gridCol w:w="109"/>
        <w:gridCol w:w="109"/>
        <w:gridCol w:w="109"/>
        <w:gridCol w:w="292"/>
        <w:gridCol w:w="998"/>
        <w:gridCol w:w="150"/>
        <w:gridCol w:w="109"/>
        <w:gridCol w:w="109"/>
        <w:gridCol w:w="109"/>
        <w:gridCol w:w="280"/>
        <w:gridCol w:w="820"/>
        <w:gridCol w:w="205"/>
      </w:tblGrid>
      <w:tr>
        <w:trPr/>
        <w:tc>
          <w:tcPr>
            <w:tcW w:w="1625"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Leases</w:t>
            </w:r>
          </w:p>
        </w:tc>
      </w:tr>
      <w:tr>
        <w:trPr/>
        <w:tc>
          <w:tcPr>
            <w:tcW w:w="4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(excluding the 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39,830 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the Company's leases are as follows (dollars in thousands):</w:t>
      </w:r>
    </w:p>
    <w:tbl>
      <w:tblPr>
        <w:tblW w:w="10205" w:type="dxa"/>
        <w:jc w:val="left"/>
        <w:tblInd w:w="0" w:type="dxa"/>
        <w:tblLayout w:type="fixed"/>
        <w:tblCellMar>
          <w:top w:w="28" w:type="dxa"/>
          <w:left w:w="28" w:type="dxa"/>
          <w:bottom w:w="28" w:type="dxa"/>
          <w:right w:w="28" w:type="dxa"/>
        </w:tblCellMar>
      </w:tblPr>
      <w:tblGrid>
        <w:gridCol w:w="1851"/>
        <w:gridCol w:w="1623"/>
        <w:gridCol w:w="1632"/>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1851"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w:t>
              <w:br/>
              <w:t xml:space="preserve">June 30, </w:t>
            </w:r>
          </w:p>
        </w:tc>
      </w:tr>
      <w:tr>
        <w:trPr/>
        <w:tc>
          <w:tcPr>
            <w:tcW w:w="5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assets obtained in exchange for new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weighted-average remaining lease term of the Company's operating leases and finance leases as of June 30, 2026 is 5.5 years and 1.1 years, respectively. The weighted-average discount rate for the operating leases and finance leases as of June 30, 2026 is 4.7% and 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Other Long-term Liabilities</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Other long-term liabilities consist of the following components (dollars in thousands):</w:t>
      </w:r>
    </w:p>
    <w:tbl>
      <w:tblPr>
        <w:tblW w:w="6654" w:type="dxa"/>
        <w:jc w:val="left"/>
        <w:tblInd w:w="0" w:type="dxa"/>
        <w:tblLayout w:type="fixed"/>
        <w:tblCellMar>
          <w:top w:w="28" w:type="dxa"/>
          <w:left w:w="28" w:type="dxa"/>
          <w:bottom w:w="28" w:type="dxa"/>
          <w:right w:w="28" w:type="dxa"/>
        </w:tblCellMar>
      </w:tblPr>
      <w:tblGrid>
        <w:gridCol w:w="1179"/>
        <w:gridCol w:w="1036"/>
        <w:gridCol w:w="1040"/>
        <w:gridCol w:w="109"/>
        <w:gridCol w:w="109"/>
        <w:gridCol w:w="109"/>
        <w:gridCol w:w="234"/>
        <w:gridCol w:w="800"/>
        <w:gridCol w:w="121"/>
        <w:gridCol w:w="109"/>
        <w:gridCol w:w="109"/>
        <w:gridCol w:w="109"/>
        <w:gridCol w:w="309"/>
        <w:gridCol w:w="1056"/>
        <w:gridCol w:w="225"/>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asbestos-related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60,660 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65,840 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14. Commitments and Contingencies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Asbestos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was a party to 655 pending cases involving an aggregate of 5,197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 </w:t>
      </w:r>
    </w:p>
    <w:tbl>
      <w:tblPr>
        <w:tblW w:w="10205" w:type="dxa"/>
        <w:jc w:val="center"/>
        <w:tblInd w:w="0" w:type="dxa"/>
        <w:tblLayout w:type="fixed"/>
        <w:tblCellMar>
          <w:top w:w="28" w:type="dxa"/>
          <w:left w:w="28" w:type="dxa"/>
          <w:bottom w:w="28" w:type="dxa"/>
          <w:right w:w="28" w:type="dxa"/>
        </w:tblCellMar>
      </w:tblPr>
      <w:tblGrid>
        <w:gridCol w:w="807"/>
        <w:gridCol w:w="345"/>
        <w:gridCol w:w="346"/>
        <w:gridCol w:w="109"/>
        <w:gridCol w:w="109"/>
        <w:gridCol w:w="109"/>
        <w:gridCol w:w="329"/>
        <w:gridCol w:w="298"/>
        <w:gridCol w:w="299"/>
        <w:gridCol w:w="109"/>
        <w:gridCol w:w="109"/>
        <w:gridCol w:w="109"/>
        <w:gridCol w:w="262"/>
        <w:gridCol w:w="231"/>
        <w:gridCol w:w="232"/>
        <w:gridCol w:w="109"/>
        <w:gridCol w:w="109"/>
        <w:gridCol w:w="109"/>
        <w:gridCol w:w="285"/>
        <w:gridCol w:w="285"/>
        <w:gridCol w:w="286"/>
        <w:gridCol w:w="109"/>
        <w:gridCol w:w="109"/>
        <w:gridCol w:w="109"/>
        <w:gridCol w:w="215"/>
        <w:gridCol w:w="215"/>
        <w:gridCol w:w="216"/>
        <w:gridCol w:w="109"/>
        <w:gridCol w:w="109"/>
        <w:gridCol w:w="109"/>
        <w:gridCol w:w="309"/>
        <w:gridCol w:w="307"/>
        <w:gridCol w:w="254"/>
        <w:gridCol w:w="109"/>
        <w:gridCol w:w="109"/>
        <w:gridCol w:w="109"/>
        <w:gridCol w:w="212"/>
        <w:gridCol w:w="724"/>
        <w:gridCol w:w="109"/>
        <w:gridCol w:w="109"/>
        <w:gridCol w:w="109"/>
        <w:gridCol w:w="109"/>
        <w:gridCol w:w="211"/>
        <w:gridCol w:w="976"/>
        <w:gridCol w:w="163"/>
      </w:tblGrid>
      <w:tr>
        <w:trPr/>
        <w:tc>
          <w:tcPr>
            <w:tcW w:w="80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Claims</w:t>
              <w:br/>
              <w:t>pending at</w:t>
              <w:br/>
              <w:t>beginning of</w:t>
              <w:br/>
              <w:t xml:space="preserve">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Claims filed</w:t>
              <w:br/>
              <w:t>during</w:t>
              <w:br/>
              <w:t xml:space="preserve">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Claims</w:t>
              <w:br/>
              <w:t>dismissed</w:t>
              <w:br/>
              <w:t>during</w:t>
              <w:br/>
              <w:t xml:space="preserve">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Claims</w:t>
              <w:br/>
              <w:t>settled</w:t>
              <w:br/>
              <w:t>during</w:t>
              <w:br/>
              <w:t xml:space="preserve">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Claims</w:t>
              <w:br/>
              <w:t>pending at</w:t>
              <w:br/>
              <w:t>end of</w:t>
              <w:br/>
              <w:t xml:space="preserve">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br/>
              <w:t>settlement</w:t>
              <w:br/>
              <w:t>amount per</w:t>
              <w:br/>
              <w:t>claim during</w:t>
              <w:br/>
              <w:t xml:space="preserve">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defense</w:t>
              <w:br/>
              <w:t>costs during</w:t>
              <w:br/>
              <w:t xml:space="preserve">period </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5,197 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1,090,000 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Ended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acquired various companies to distribute its products that had distributed gaskets of other manufacturers prior to acquisition. The Company believes that many of its pending cases relate to locations at which none of its gaskets were distributed or used.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5,197 claims pending at June 30, 2026, 40 set forth specific amounts of damages (other than those stating the statutory minimum or maximum). At June 30, 2026, of the 40 claims that set forth specific amounts, there were no claims seeking more than $5 million for punitive damages. Below is a breakdown of the compensatory damages sought for those claims seeking specific amounts:</w:t>
      </w:r>
    </w:p>
    <w:tbl>
      <w:tblPr>
        <w:tblW w:w="8937" w:type="dxa"/>
        <w:jc w:val="center"/>
        <w:tblInd w:w="0" w:type="dxa"/>
        <w:tblLayout w:type="fixed"/>
        <w:tblCellMar>
          <w:top w:w="28" w:type="dxa"/>
          <w:left w:w="28" w:type="dxa"/>
          <w:bottom w:w="28" w:type="dxa"/>
          <w:right w:w="28" w:type="dxa"/>
        </w:tblCellMar>
      </w:tblPr>
      <w:tblGrid>
        <w:gridCol w:w="1395"/>
        <w:gridCol w:w="1227"/>
        <w:gridCol w:w="1232"/>
        <w:gridCol w:w="109"/>
        <w:gridCol w:w="109"/>
        <w:gridCol w:w="109"/>
        <w:gridCol w:w="109"/>
        <w:gridCol w:w="109"/>
        <w:gridCol w:w="178"/>
        <w:gridCol w:w="178"/>
        <w:gridCol w:w="178"/>
        <w:gridCol w:w="178"/>
        <w:gridCol w:w="325"/>
        <w:gridCol w:w="325"/>
        <w:gridCol w:w="325"/>
        <w:gridCol w:w="109"/>
        <w:gridCol w:w="109"/>
        <w:gridCol w:w="109"/>
        <w:gridCol w:w="324"/>
        <w:gridCol w:w="324"/>
        <w:gridCol w:w="326"/>
        <w:gridCol w:w="109"/>
        <w:gridCol w:w="109"/>
        <w:gridCol w:w="109"/>
        <w:gridCol w:w="174"/>
        <w:gridCol w:w="174"/>
        <w:gridCol w:w="176"/>
        <w:gridCol w:w="109"/>
        <w:gridCol w:w="109"/>
        <w:gridCol w:w="109"/>
        <w:gridCol w:w="109"/>
        <w:gridCol w:w="109"/>
        <w:gridCol w:w="154"/>
      </w:tblGrid>
      <w:tr>
        <w:trPr/>
        <w:tc>
          <w:tcPr>
            <w:tcW w:w="139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Compensatory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550" w:type="dxa"/>
            <w:gridSpan w:val="12"/>
            <w:tcBorders/>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Range of damages sought (dollars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$0.0 to $0.6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$0.6 to $5.0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$5.0+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claims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Relatively few claims have reached the discovery stage and even fewer claims have gone past the discovery stage. Total settlement costs (exclusive of defense costs) for all such cases, some of which were filed over 30 years ago, have been $14.6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a liability for asbestos-related claims, which includes both known and unknown claims, based on a study from the Company’s third-party actuary, the Company's review of the study, as well as the Company’s own review of asbestos claims and claim resolution activity.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2025, the Company commissioned its actuary to update the asbestos study based on data as of July 31, 2025, which yielded a range of possible future liability of $36.6 million to $48.9 million, before consideration of any potential insurance recoveries. The Company did not believe any amount within the range of potential outcomes represented a better estimate than another given the many factors and assumptions inherent in the projections, and therefore recorded a pre-tax charge of $8.0 million to increase the liability estimate to $36.6 million, at the low end of the range. As of June 30, 2026, and December 31, 2025, the Company’s total asbestos-related liability was $34.6 million and $35.5 million, respectively, and is included in accrued liabilities and other long-term liabilities in the accompanying consolidated balance sheet. It is reasonably possible that a change in the estimate could occur in the near term.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(CIP) agreement (entered into in 2006) with its first level excess carriers regarding the coverage to be provided to the Company for asbestos-related claims. The CIP agreement makes asbestos defense costs and indemnity insurance coverage available to the Company that might otherwise be disputed by the carriers and provides a methodology for the administration of such expenses. Prior to the commencement of coverage under this agreement, the Company was solely responsible for defense costs and indemnity payments. During 2025, the Company reached the threshold of qualified future settlements required to commence excess carrier insurance coverage under the CIP agreement and began transitioning the administration and settlement of asbestos defense costs and indemnity payments to the insurance carriers. During the three months ended December 31, 2025, the Company reassessed the facts and circumstances surrounding the CIP agreement with the consortium of insurance companies and deemed the realization of the claim for loss recovery probable and reasonably estimable and recognized an insurance recovery asset of $35.8 million, which was commensurate with the assumptions used to calculate the asbestos liability. As of June 30, 2026, and December 31, 2025, the Company's total insurance recovery asset was $33.8 million and $34.7 million. The Company will continue to reassess its estimate of insurance recoveries and corresponding accounting for any such recoveries as the facts and circumstances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the asbestos liability and insurance recovery asset for the six months ended June 30, 2026 and 2025 are summarized as follows (dollars in thousands):</w:t>
      </w:r>
    </w:p>
    <w:tbl>
      <w:tblPr>
        <w:tblW w:w="7914" w:type="dxa"/>
        <w:jc w:val="left"/>
        <w:tblInd w:w="0" w:type="dxa"/>
        <w:tblLayout w:type="fixed"/>
        <w:tblCellMar>
          <w:top w:w="28" w:type="dxa"/>
          <w:left w:w="28" w:type="dxa"/>
          <w:bottom w:w="28" w:type="dxa"/>
          <w:right w:w="28" w:type="dxa"/>
        </w:tblCellMar>
      </w:tblPr>
      <w:tblGrid>
        <w:gridCol w:w="885"/>
        <w:gridCol w:w="778"/>
        <w:gridCol w:w="781"/>
        <w:gridCol w:w="109"/>
        <w:gridCol w:w="109"/>
        <w:gridCol w:w="109"/>
        <w:gridCol w:w="280"/>
        <w:gridCol w:w="1059"/>
        <w:gridCol w:w="145"/>
        <w:gridCol w:w="109"/>
        <w:gridCol w:w="109"/>
        <w:gridCol w:w="109"/>
        <w:gridCol w:w="425"/>
        <w:gridCol w:w="1455"/>
        <w:gridCol w:w="219"/>
        <w:gridCol w:w="109"/>
        <w:gridCol w:w="109"/>
        <w:gridCol w:w="109"/>
        <w:gridCol w:w="211"/>
        <w:gridCol w:w="541"/>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Asbestos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Insurance Recovery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(35,530)</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(34,590)</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w:t>
            </w:r>
          </w:p>
        </w:tc>
        <w:tc>
          <w:tcPr>
            <w:tcW w:w="14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2,820 </w:t>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169" w:type="dxa"/>
        <w:jc w:val="left"/>
        <w:tblInd w:w="0" w:type="dxa"/>
        <w:tblLayout w:type="fixed"/>
        <w:tblCellMar>
          <w:top w:w="28" w:type="dxa"/>
          <w:left w:w="28" w:type="dxa"/>
          <w:bottom w:w="28" w:type="dxa"/>
          <w:right w:w="28" w:type="dxa"/>
        </w:tblCellMar>
      </w:tblPr>
      <w:tblGrid>
        <w:gridCol w:w="885"/>
        <w:gridCol w:w="778"/>
        <w:gridCol w:w="781"/>
        <w:gridCol w:w="109"/>
        <w:gridCol w:w="109"/>
        <w:gridCol w:w="109"/>
        <w:gridCol w:w="280"/>
        <w:gridCol w:w="1059"/>
        <w:gridCol w:w="145"/>
        <w:gridCol w:w="109"/>
        <w:gridCol w:w="109"/>
        <w:gridCol w:w="109"/>
        <w:gridCol w:w="609"/>
        <w:gridCol w:w="1173"/>
        <w:gridCol w:w="317"/>
        <w:gridCol w:w="109"/>
        <w:gridCol w:w="109"/>
        <w:gridCol w:w="109"/>
        <w:gridCol w:w="211"/>
        <w:gridCol w:w="79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Asbestos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Insurance Recovery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(29,660)</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w:t>
            </w:r>
          </w:p>
        </w:tc>
        <w:tc>
          <w:tcPr>
            <w:tcW w:w="14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Claims and Litigation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other claims and litigation in the ordinary course of business, but does not believe that any such claim or litigation will have a material adverse effect on its financial position and results of operations or cash flows.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Environmental</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is responsible for environmental remediation at currently or previously owned facilities and waste sites, including sites defined under the Comprehensive Environmental Response, Compensation, and Liability Act, commonly referred to as “Superfund” for which the Company has been named a potential responsible party. During the six months ended June 30, 2026, and June 30, 2025, the Company recorded no charges related to environmental remediation costs. As of June 30, 2026, and December 31, 2025, the Company’s total environmental remediation obligation was $9.1 million and $9.4 million, respectively, which is primarily recorded within other long-term liabilities within the accompanying balance sheet. The accrual is primarily based on environmental cost estimates provided by third parties and represents the best estimate of the Company’s proportionate share of costs to be incurred for site remediation efforts. Actual costs incurred resulting from the ultimate resolution of these uncertainties could exceed the amount accrued.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15. Segment Information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defines its segments consistent with how internally reported financial information is regularly reviewed by TriMas' President and Chief Executive Officer (chief operating decision maker) to analyze financial performance, make decisions, and allocate resources. TriMas reports its operations in two segments: Packaging and Specialty Products. Each of these segments has discrete financial information that is regularly evaluated by the chief operating decision maker. The chief operating decision maker uses segment operating profit when assessing segment performance, determining resource and capital allocation and developing overall strategic direction of the Company. The chief operating decision maker analyzes segment operating profit on a monthly basis by comparing actual results to forecasted and budgeted expectations to assess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See below for more information regarding the types of products and services provided within each reportable segment: </w:t>
      </w:r>
    </w:p>
    <w:p>
      <w:pPr>
        <w:pStyle w:val="TextBody"/>
        <w:bidi w:val="0"/>
        <w:spacing w:lineRule="auto" w:line="288" w:before="160" w:after="160"/>
        <w:jc w:val="both"/>
        <w:rPr/>
      </w:pPr>
      <w:r>
        <w:rPr>
          <w:rFonts w:ascii="Times New Roman;serif" w:hAnsi="Times New Roman;serif"/>
          <w:b/>
          <w:color w:val="000000"/>
          <w:sz w:val="20"/>
        </w:rPr>
        <w:t xml:space="preserve">Packaging – </w:t>
      </w:r>
      <w:r>
        <w:rPr>
          <w:rFonts w:ascii="Times New Roman;serif" w:hAnsi="Times New Roman;serif"/>
          <w:b w:val="false"/>
          <w:color w:val="000000"/>
          <w:sz w:val="20"/>
        </w:rPr>
        <w:t xml:space="preserve">TriMas' Packaging business develops and manufactures a broad array of dispensing products (such as foaming pumps, lotion, hand soap and sanitizer pumps, beverage dispensers, perfume sprayers, nasal sprayers and trigger sprayers), polymeric and steel caps and closures (such as food lids, flip-top closures, child resistant caps, beverage closures, fragrance and cosmetic caps, drum and pail closures, and flexible spouts), polymeric jar products, fully integrated dispensers for fill-ready bag-in-box applications, and consumable vascular delivery and diagnostic test components. These products serve a variety of consumer products submarkets including, but not limited to, beauty and personal care, food and beverage, home care, and life sciences (such as pharmaceutical, nutraceutical and medical), as well as industrial markets (including agricultural). </w:t>
      </w:r>
    </w:p>
    <w:p>
      <w:pPr>
        <w:pStyle w:val="TextBody"/>
        <w:bidi w:val="0"/>
        <w:spacing w:lineRule="auto" w:line="288" w:before="160" w:after="160"/>
        <w:jc w:val="both"/>
        <w:rPr/>
      </w:pPr>
      <w:r>
        <w:rPr>
          <w:rFonts w:ascii="Times New Roman;serif" w:hAnsi="Times New Roman;serif"/>
          <w:b/>
          <w:color w:val="000000"/>
          <w:sz w:val="20"/>
        </w:rPr>
        <w:t xml:space="preserve">Specialty Products – </w:t>
      </w:r>
      <w:r>
        <w:rPr>
          <w:rFonts w:ascii="Times New Roman;serif" w:hAnsi="Times New Roman;serif"/>
          <w:b w:val="false"/>
          <w:color w:val="000000"/>
          <w:sz w:val="20"/>
        </w:rPr>
        <w:t>TriMas' Specialty Products segment, which includes the Norris Cylinder business, designs, manufactures and distributes highly-engineered steel cylinders for use within industrial and aerospace markets. On January 31, 2025, the Company completed the divestiture of its Arrow Engine business within its Specialty Products segment. The Arrow Engine business manufactured and distributed natural gas-fired engines for remote power generation applications and compression systems for use within the North American industrial oil and gas markets.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Corporate consists of the corporate office and related corporate activities. Corporate expenses primarily include compensation, benefits, professional services, information technology and other administrative costs. Corporate assets consist primarily of cash and cash equivalents, unallocated deferred tax assets and prepaid assets. Corporate expenses and assets reconcile reportable segment information to the consolidated totals.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Segment activity is as follows (dollars in thousands):</w:t>
      </w:r>
    </w:p>
    <w:tbl>
      <w:tblPr>
        <w:tblW w:w="8950" w:type="dxa"/>
        <w:jc w:val="left"/>
        <w:tblInd w:w="0" w:type="dxa"/>
        <w:tblLayout w:type="fixed"/>
        <w:tblCellMar>
          <w:top w:w="28" w:type="dxa"/>
          <w:left w:w="28" w:type="dxa"/>
          <w:bottom w:w="28" w:type="dxa"/>
          <w:right w:w="28" w:type="dxa"/>
        </w:tblCellMar>
      </w:tblPr>
      <w:tblGrid>
        <w:gridCol w:w="1352"/>
        <w:gridCol w:w="1189"/>
        <w:gridCol w:w="1193"/>
        <w:gridCol w:w="109"/>
        <w:gridCol w:w="109"/>
        <w:gridCol w:w="109"/>
        <w:gridCol w:w="211"/>
        <w:gridCol w:w="826"/>
        <w:gridCol w:w="109"/>
        <w:gridCol w:w="109"/>
        <w:gridCol w:w="109"/>
        <w:gridCol w:w="109"/>
        <w:gridCol w:w="109"/>
        <w:gridCol w:w="109"/>
        <w:gridCol w:w="340"/>
        <w:gridCol w:w="1164"/>
        <w:gridCol w:w="176"/>
        <w:gridCol w:w="109"/>
        <w:gridCol w:w="109"/>
        <w:gridCol w:w="109"/>
        <w:gridCol w:w="211"/>
        <w:gridCol w:w="826"/>
        <w:gridCol w:w="154"/>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Packaging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Specialty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net </w:t>
            </w:r>
            <w:r>
              <w:rPr>
                <w:rFonts w:ascii="Times New Roman;serif" w:hAnsi="Times New Roman;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w:t>
            </w:r>
            <w:r>
              <w:rPr>
                <w:rFonts w:ascii="Times New Roman;serif" w:hAnsi="Times New Roman;serif"/>
                <w:b w:val="false"/>
                <w:color w:val="000000"/>
                <w:sz w:val="13"/>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8951" w:type="dxa"/>
        <w:jc w:val="left"/>
        <w:tblInd w:w="0" w:type="dxa"/>
        <w:tblLayout w:type="fixed"/>
        <w:tblCellMar>
          <w:top w:w="28" w:type="dxa"/>
          <w:left w:w="28" w:type="dxa"/>
          <w:bottom w:w="28" w:type="dxa"/>
          <w:right w:w="28" w:type="dxa"/>
        </w:tblCellMar>
      </w:tblPr>
      <w:tblGrid>
        <w:gridCol w:w="1353"/>
        <w:gridCol w:w="1189"/>
        <w:gridCol w:w="1193"/>
        <w:gridCol w:w="109"/>
        <w:gridCol w:w="109"/>
        <w:gridCol w:w="109"/>
        <w:gridCol w:w="211"/>
        <w:gridCol w:w="826"/>
        <w:gridCol w:w="109"/>
        <w:gridCol w:w="109"/>
        <w:gridCol w:w="109"/>
        <w:gridCol w:w="109"/>
        <w:gridCol w:w="109"/>
        <w:gridCol w:w="109"/>
        <w:gridCol w:w="340"/>
        <w:gridCol w:w="1164"/>
        <w:gridCol w:w="176"/>
        <w:gridCol w:w="109"/>
        <w:gridCol w:w="109"/>
        <w:gridCol w:w="109"/>
        <w:gridCol w:w="211"/>
        <w:gridCol w:w="826"/>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Packaging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Specialty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w:t>
            </w:r>
            <w:r>
              <w:rPr>
                <w:rFonts w:ascii="Times New Roman;serif" w:hAnsi="Times New Roman;serif"/>
                <w:b w:val="false"/>
                <w:color w:val="000000"/>
                <w:sz w:val="13"/>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net </w:t>
            </w:r>
            <w:r>
              <w:rPr>
                <w:rFonts w:ascii="Times New Roman;serif" w:hAnsi="Times New Roman;serif"/>
                <w:b w:val="false"/>
                <w:color w:val="000000"/>
                <w:sz w:val="13"/>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(49,860)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color w:val="000000"/>
              </w:rPr>
              <w:t xml:space="preserve">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w:t>
            </w:r>
            <w:r>
              <w:rPr>
                <w:rFonts w:ascii="Times New Roman;serif" w:hAnsi="Times New Roman;serif"/>
                <w:b w:val="false"/>
                <w:color w:val="000000"/>
                <w:sz w:val="13"/>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160" w:after="160"/>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 xml:space="preserve">Other segment items for each reportable segment includes net gain (loss) on dispositions of assets. </w:t>
      </w:r>
    </w:p>
    <w:p>
      <w:pPr>
        <w:pStyle w:val="TextBody"/>
        <w:bidi w:val="0"/>
        <w:spacing w:lineRule="auto" w:line="288" w:before="160" w:after="160"/>
        <w:ind w:left="0" w:right="0" w:hanging="180"/>
        <w:jc w:val="both"/>
        <w:rPr/>
      </w:pPr>
      <w:r>
        <w:rPr>
          <w:rFonts w:ascii="Times New Roman;serif" w:hAnsi="Times New Roman;serif"/>
          <w:b w:val="false"/>
          <w:color w:val="000000"/>
          <w:sz w:val="10"/>
        </w:rPr>
        <w:t>(b)</w:t>
      </w:r>
      <w:r>
        <w:rPr>
          <w:color w:val="000000"/>
        </w:rPr>
        <w:t xml:space="preserve"> </w:t>
      </w:r>
      <w:r>
        <w:rPr>
          <w:rFonts w:ascii="Times New Roman;serif" w:hAnsi="Times New Roman;serif"/>
          <w:b w:val="false"/>
          <w:color w:val="000000"/>
          <w:sz w:val="16"/>
        </w:rPr>
        <w:t>Includes $0.9 million of mergers, acquisition, diligence and transaction costs and $0.7 million of system implementation costs.</w:t>
      </w:r>
    </w:p>
    <w:p>
      <w:pPr>
        <w:pStyle w:val="TextBody"/>
        <w:bidi w:val="0"/>
        <w:spacing w:lineRule="auto" w:line="288" w:before="160" w:after="160"/>
        <w:ind w:left="0" w:right="0" w:hanging="180"/>
        <w:jc w:val="both"/>
        <w:rPr/>
      </w:pPr>
      <w:r>
        <w:rPr>
          <w:rFonts w:ascii="Times New Roman;serif" w:hAnsi="Times New Roman;serif"/>
          <w:b w:val="false"/>
          <w:color w:val="000000"/>
          <w:sz w:val="10"/>
        </w:rPr>
        <w:t>(c)</w:t>
      </w:r>
      <w:r>
        <w:rPr>
          <w:color w:val="000000"/>
        </w:rPr>
        <w:t xml:space="preserve"> </w:t>
      </w:r>
      <w:r>
        <w:rPr>
          <w:rFonts w:ascii="Times New Roman;serif" w:hAnsi="Times New Roman;serif"/>
          <w:b w:val="false"/>
          <w:color w:val="000000"/>
          <w:sz w:val="16"/>
        </w:rPr>
        <w:t>Includes $10.9 million of interest income on the invested cash proceeds from the sale of Aerospace.</w:t>
      </w:r>
    </w:p>
    <w:p>
      <w:pPr>
        <w:pStyle w:val="TextBody"/>
        <w:bidi w:val="0"/>
        <w:spacing w:lineRule="auto" w:line="288" w:before="160" w:after="160"/>
        <w:ind w:left="0" w:right="0" w:hanging="180"/>
        <w:jc w:val="both"/>
        <w:rPr/>
      </w:pPr>
      <w:r>
        <w:rPr>
          <w:rFonts w:ascii="Times New Roman;serif" w:hAnsi="Times New Roman;serif"/>
          <w:b w:val="false"/>
          <w:color w:val="000000"/>
          <w:sz w:val="10"/>
        </w:rPr>
        <w:t>(d)</w:t>
      </w:r>
      <w:r>
        <w:rPr>
          <w:color w:val="000000"/>
        </w:rPr>
        <w:t xml:space="preserve"> </w:t>
      </w:r>
      <w:r>
        <w:rPr>
          <w:rFonts w:ascii="Times New Roman;serif" w:hAnsi="Times New Roman;serif"/>
          <w:b w:val="false"/>
          <w:color w:val="000000"/>
          <w:sz w:val="16"/>
        </w:rPr>
        <w:t>Includes $2.2 million of realignment, severance and consulting costs and $1.4 million of system implementation costs.</w:t>
      </w:r>
    </w:p>
    <w:p>
      <w:pPr>
        <w:pStyle w:val="TextBody"/>
        <w:bidi w:val="0"/>
        <w:spacing w:lineRule="auto" w:line="288" w:before="160" w:after="160"/>
        <w:ind w:left="0" w:right="0" w:hanging="180"/>
        <w:jc w:val="both"/>
        <w:rPr/>
      </w:pPr>
      <w:r>
        <w:rPr>
          <w:rFonts w:ascii="Times New Roman;serif" w:hAnsi="Times New Roman;serif"/>
          <w:b w:val="false"/>
          <w:color w:val="000000"/>
          <w:sz w:val="10"/>
        </w:rPr>
        <w:t>(e)</w:t>
      </w:r>
      <w:r>
        <w:rPr>
          <w:color w:val="000000"/>
        </w:rPr>
        <w:t xml:space="preserve"> </w:t>
      </w:r>
      <w:r>
        <w:rPr>
          <w:rFonts w:ascii="Times New Roman;serif" w:hAnsi="Times New Roman;serif"/>
          <w:b w:val="false"/>
          <w:color w:val="000000"/>
          <w:sz w:val="16"/>
        </w:rPr>
        <w:t>Includes $1.8 million of system implementation costs, $1.4 million of realignment and severance costs, and $0.9 million of mergers, acquisition, diligence and transaction costs.</w:t>
      </w:r>
    </w:p>
    <w:p>
      <w:pPr>
        <w:pStyle w:val="TextBody"/>
        <w:bidi w:val="0"/>
        <w:spacing w:lineRule="auto" w:line="288" w:before="160" w:after="160"/>
        <w:ind w:left="0" w:right="0" w:hanging="180"/>
        <w:jc w:val="both"/>
        <w:rPr/>
      </w:pPr>
      <w:r>
        <w:rPr>
          <w:rFonts w:ascii="Times New Roman;serif" w:hAnsi="Times New Roman;serif"/>
          <w:b w:val="false"/>
          <w:color w:val="000000"/>
          <w:sz w:val="10"/>
        </w:rPr>
        <w:t>(f)</w:t>
      </w:r>
      <w:r>
        <w:rPr>
          <w:color w:val="000000"/>
        </w:rPr>
        <w:t xml:space="preserve"> </w:t>
      </w:r>
      <w:r>
        <w:rPr>
          <w:rFonts w:ascii="Times New Roman;serif" w:hAnsi="Times New Roman;serif"/>
          <w:b w:val="false"/>
          <w:color w:val="000000"/>
          <w:sz w:val="16"/>
        </w:rPr>
        <w:t>Includes $12.9 million of interest income on the invested cash proceeds from the sale of Aerospace.</w:t>
      </w:r>
    </w:p>
    <w:p>
      <w:pPr>
        <w:pStyle w:val="TextBody"/>
        <w:bidi w:val="0"/>
        <w:spacing w:lineRule="auto" w:line="288" w:before="160" w:after="160"/>
        <w:ind w:left="0" w:right="0" w:hanging="180"/>
        <w:jc w:val="both"/>
        <w:rPr/>
      </w:pPr>
      <w:r>
        <w:rPr>
          <w:rFonts w:ascii="Times New Roman;serif" w:hAnsi="Times New Roman;serif"/>
          <w:b w:val="false"/>
          <w:color w:val="000000"/>
          <w:sz w:val="10"/>
        </w:rPr>
        <w:t>(g)</w:t>
      </w:r>
      <w:r>
        <w:rPr>
          <w:color w:val="000000"/>
        </w:rPr>
        <w:t xml:space="preserve"> </w:t>
      </w:r>
      <w:r>
        <w:rPr>
          <w:rFonts w:ascii="Times New Roman;serif" w:hAnsi="Times New Roman;serif"/>
          <w:b w:val="false"/>
          <w:color w:val="000000"/>
          <w:sz w:val="16"/>
        </w:rPr>
        <w:t>Includes $7.0 million of realignment, severance and consulting costs, $5.3 million gain on the sale of Arrow Engine, $2.4 million of system implementation costs and $0.3 million of mergers, acquisition, diligence and transaction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tbl>
      <w:tblPr>
        <w:tblW w:w="8141" w:type="dxa"/>
        <w:jc w:val="left"/>
        <w:tblInd w:w="0" w:type="dxa"/>
        <w:tblLayout w:type="fixed"/>
        <w:tblCellMar>
          <w:top w:w="28" w:type="dxa"/>
          <w:left w:w="28" w:type="dxa"/>
          <w:bottom w:w="28" w:type="dxa"/>
          <w:right w:w="28" w:type="dxa"/>
        </w:tblCellMar>
      </w:tblPr>
      <w:tblGrid>
        <w:gridCol w:w="989"/>
        <w:gridCol w:w="868"/>
        <w:gridCol w:w="872"/>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br/>
              <w:t xml:space="preserve">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w:t>
              <w:br/>
              <w:t xml:space="preserve">June 30, </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160"/>
        <w:ind w:left="0" w:right="0" w:hanging="180"/>
        <w:jc w:val="center"/>
        <w:rPr/>
      </w:pPr>
      <w:r>
        <w:rPr/>
      </w:r>
    </w:p>
    <w:tbl>
      <w:tblPr>
        <w:tblW w:w="5353" w:type="dxa"/>
        <w:jc w:val="center"/>
        <w:tblInd w:w="0" w:type="dxa"/>
        <w:tblLayout w:type="fixed"/>
        <w:tblCellMar>
          <w:top w:w="28" w:type="dxa"/>
          <w:left w:w="28" w:type="dxa"/>
          <w:bottom w:w="28" w:type="dxa"/>
          <w:right w:w="28" w:type="dxa"/>
        </w:tblCellMar>
      </w:tblPr>
      <w:tblGrid>
        <w:gridCol w:w="591"/>
        <w:gridCol w:w="520"/>
        <w:gridCol w:w="523"/>
        <w:gridCol w:w="109"/>
        <w:gridCol w:w="109"/>
        <w:gridCol w:w="109"/>
        <w:gridCol w:w="211"/>
        <w:gridCol w:w="976"/>
        <w:gridCol w:w="109"/>
        <w:gridCol w:w="109"/>
        <w:gridCol w:w="109"/>
        <w:gridCol w:w="109"/>
        <w:gridCol w:w="278"/>
        <w:gridCol w:w="1288"/>
        <w:gridCol w:w="203"/>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855,080 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73,890 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112,660 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1,041,630 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hanging="180"/>
        <w:jc w:val="both"/>
        <w:rPr/>
      </w:pPr>
      <w:r>
        <w:rPr>
          <w:rFonts w:ascii="Times New Roman;serif" w:hAnsi="Times New Roman;serif"/>
          <w:b w:val="false"/>
          <w:color w:val="000000"/>
          <w:sz w:val="10"/>
        </w:rPr>
        <w:t>(a)</w:t>
      </w:r>
      <w:r>
        <w:rPr>
          <w:color w:val="000000"/>
        </w:rPr>
        <w:t xml:space="preserve"> </w:t>
      </w:r>
      <w:r>
        <w:rPr>
          <w:rFonts w:ascii="Times New Roman;serif" w:hAnsi="Times New Roman;serif"/>
          <w:b w:val="false"/>
          <w:color w:val="000000"/>
          <w:sz w:val="16"/>
        </w:rPr>
        <w:t>Corporate total assets as of June 30, 2026, includes $1,212.9 million of cash, primarily due to proceeds received on the sale of the Company's Aerospace segment and a $33.8 million asbestos-related insurance recovery asset. Corporate total assets as of December 31, 2025, includes a $53.9 million deferred tax asset as a result of the planned divestiture of Aerospace and a $34.7 million asbestos-related insurance recovery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16. Equity Awards </w:t>
      </w:r>
    </w:p>
    <w:p>
      <w:pPr>
        <w:pStyle w:val="TextBody"/>
        <w:bidi w:val="0"/>
        <w:spacing w:lineRule="auto" w:line="288" w:before="60" w:after="160"/>
        <w:jc w:val="both"/>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Information related to stock options at June 30, 2026 is as follows:</w:t>
      </w:r>
    </w:p>
    <w:tbl>
      <w:tblPr>
        <w:tblW w:w="10205" w:type="dxa"/>
        <w:jc w:val="left"/>
        <w:tblInd w:w="0" w:type="dxa"/>
        <w:tblLayout w:type="fixed"/>
        <w:tblCellMar>
          <w:top w:w="28" w:type="dxa"/>
          <w:left w:w="28" w:type="dxa"/>
          <w:bottom w:w="28" w:type="dxa"/>
          <w:right w:w="28" w:type="dxa"/>
        </w:tblCellMar>
      </w:tblPr>
      <w:tblGrid>
        <w:gridCol w:w="685"/>
        <w:gridCol w:w="601"/>
        <w:gridCol w:w="605"/>
        <w:gridCol w:w="109"/>
        <w:gridCol w:w="109"/>
        <w:gridCol w:w="109"/>
        <w:gridCol w:w="413"/>
        <w:gridCol w:w="413"/>
        <w:gridCol w:w="326"/>
        <w:gridCol w:w="109"/>
        <w:gridCol w:w="109"/>
        <w:gridCol w:w="109"/>
        <w:gridCol w:w="403"/>
        <w:gridCol w:w="1180"/>
        <w:gridCol w:w="210"/>
        <w:gridCol w:w="109"/>
        <w:gridCol w:w="109"/>
        <w:gridCol w:w="109"/>
        <w:gridCol w:w="773"/>
        <w:gridCol w:w="773"/>
        <w:gridCol w:w="775"/>
        <w:gridCol w:w="109"/>
        <w:gridCol w:w="109"/>
        <w:gridCol w:w="109"/>
        <w:gridCol w:w="273"/>
        <w:gridCol w:w="1263"/>
        <w:gridCol w:w="204"/>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w:t>
              <w:b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Option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w:t>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3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2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3"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4,520,000 </w:t>
            </w:r>
          </w:p>
        </w:tc>
        <w:tc>
          <w:tcPr>
            <w:tcW w:w="20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$3.7 million of unrecognized compensation cost related to stock options that is expected to be recorded over a weighted average period of 1.4 years. </w:t>
      </w:r>
    </w:p>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The Company recognized approximately $0.7 million and $1.5 million of stock-based compensation expense related to stock options during the three and six months ended June 30, 2026, respectively, and $0.1 million of stock-based compensation expense related to stock options during the three and six months ended June 30, 2025. The stock-based compensation expense is included in selling, general and administrative expenses in the accompanying consolidated statement of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60" w:after="160"/>
        <w:jc w:val="both"/>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awarded the following restricted stock units ("RSUs") during the six months ended June 30, 2026: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Granted 82,145 RSUs to certain employees, which are subject only to a service condition and vest ratably over two or three years so long as the employee remains with the Company;</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Granted 22,824 RSUs to its non-employee independent directors, which fully vest one year from date of grant so long as the director and/or Company does not terminate the director's service prior to the vesting date;</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Issued 640 RSUs related to director fee deferrals as certain of the Company's directors elected to defer all or a portion of their director fees and to receive the amount in Company common stock at a future date; and</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Issued 14 RSUs to certain employees related to dividend equivalent rights on existing equity awards.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2026, the Company also awarded 39,379 performance-based RSUs to certain Company key employees which vest three years from the grant date as long as the employee remains with the Company. These awards are initially earned 50% based upon the Company's achievement of an earnings per share ("EPS") metric and 50% based upon the Company's return on invested capital ("ROIC") metric over a period beginning January 1, 2026 and ending December 31, 2028. The total EPS and ROIC performance-based RSUs initially earned shall be subject to modification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3.74% and annualized volatility of 29.5%. Depending on the performance achieved for these two metrics, the amount of shares earned, if any, can vary for each metric from 0% of the target award to a maximum of 220% of the target.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following disclosures related to restricted stock units include both continuing and discontinued operations.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related to RSUs at June 30, 2026 is as follows: </w:t>
      </w:r>
    </w:p>
    <w:tbl>
      <w:tblPr>
        <w:tblW w:w="10205" w:type="dxa"/>
        <w:jc w:val="left"/>
        <w:tblInd w:w="0" w:type="dxa"/>
        <w:tblLayout w:type="fixed"/>
        <w:tblCellMar>
          <w:top w:w="28" w:type="dxa"/>
          <w:left w:w="28" w:type="dxa"/>
          <w:bottom w:w="28" w:type="dxa"/>
          <w:right w:w="28" w:type="dxa"/>
        </w:tblCellMar>
      </w:tblPr>
      <w:tblGrid>
        <w:gridCol w:w="621"/>
        <w:gridCol w:w="545"/>
        <w:gridCol w:w="548"/>
        <w:gridCol w:w="109"/>
        <w:gridCol w:w="109"/>
        <w:gridCol w:w="109"/>
        <w:gridCol w:w="713"/>
        <w:gridCol w:w="452"/>
        <w:gridCol w:w="453"/>
        <w:gridCol w:w="109"/>
        <w:gridCol w:w="109"/>
        <w:gridCol w:w="109"/>
        <w:gridCol w:w="415"/>
        <w:gridCol w:w="1212"/>
        <w:gridCol w:w="214"/>
        <w:gridCol w:w="109"/>
        <w:gridCol w:w="109"/>
        <w:gridCol w:w="109"/>
        <w:gridCol w:w="668"/>
        <w:gridCol w:w="668"/>
        <w:gridCol w:w="670"/>
        <w:gridCol w:w="109"/>
        <w:gridCol w:w="109"/>
        <w:gridCol w:w="109"/>
        <w:gridCol w:w="249"/>
        <w:gridCol w:w="1278"/>
        <w:gridCol w:w="191"/>
      </w:tblGrid>
      <w:tr>
        <w:trPr/>
        <w:tc>
          <w:tcPr>
            <w:tcW w:w="6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Unvested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Intrinsic Value</w:t>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1,009,137 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145,002 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(357,513)</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(173,156)</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623,470 </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28,070,000 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$6.9 million of unrecognized compensation cost related to unvested RSUs that is expected to be recorded over a weighted average period of 2.1 years.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stock-based compensation expense related to RSUs from continuing operations of $1.6 million and $4.0 million for the three and six months ended June 30, 2026, respectively, and $1.6 million and $4.1 million for the three and six months ended June 30, 2025, respectively. The stock-based compensation expense from continuing operations is included in selling, general and administrative expenses in the accompanying consolidated statement of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17. Earnings per Share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(loss) is divided by the weighted average number of common shares outstanding during the period to calculate basic earnings (loss) per share. Diluted earnings (loss) per share is calculated to give effect to RSUs and stock options. The following table summarizes the dilutive effect of RSUs and stock options on common stock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1073"/>
        <w:gridCol w:w="940"/>
        <w:gridCol w:w="947"/>
        <w:gridCol w:w="109"/>
        <w:gridCol w:w="109"/>
        <w:gridCol w:w="109"/>
        <w:gridCol w:w="750"/>
        <w:gridCol w:w="331"/>
        <w:gridCol w:w="229"/>
        <w:gridCol w:w="229"/>
        <w:gridCol w:w="229"/>
        <w:gridCol w:w="229"/>
        <w:gridCol w:w="750"/>
        <w:gridCol w:w="331"/>
        <w:gridCol w:w="229"/>
        <w:gridCol w:w="109"/>
        <w:gridCol w:w="109"/>
        <w:gridCol w:w="109"/>
        <w:gridCol w:w="726"/>
        <w:gridCol w:w="355"/>
        <w:gridCol w:w="206"/>
        <w:gridCol w:w="206"/>
        <w:gridCol w:w="206"/>
        <w:gridCol w:w="206"/>
        <w:gridCol w:w="726"/>
        <w:gridCol w:w="355"/>
        <w:gridCol w:w="298"/>
      </w:tblGrid>
      <w:tr>
        <w:trPr/>
        <w:tc>
          <w:tcPr>
            <w:tcW w:w="107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2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2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35,877,517 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40,647,361 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36,651,820 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40,626,325 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324,279 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282,500 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418,970 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313,473 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36,211,032 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40,929,861 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37,075,408 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40,939,798 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Anti-dilutive shares excluded from the computation of diluted earnings per share for the three and six months ended June 30, 2026, were 800,000 and 850,000 shares, respectively. Anti-dilutive shares excluded from the computation of diluted earnings per share for the three and six months ended June 30, 2025, were 80,957 and 42,969 shares, respectively. </w:t>
      </w:r>
    </w:p>
    <w:p>
      <w:pPr>
        <w:pStyle w:val="TextBody"/>
        <w:bidi w:val="0"/>
        <w:spacing w:lineRule="auto" w:line="288" w:before="160" w:after="160"/>
        <w:jc w:val="both"/>
        <w:rPr/>
      </w:pPr>
      <w:r>
        <w:rPr>
          <w:rFonts w:ascii="Times New Roman;serif" w:hAnsi="Times New Roman;serif"/>
          <w:b w:val="false"/>
          <w:color w:val="000000"/>
          <w:sz w:val="20"/>
        </w:rPr>
        <w:t xml:space="preserve">In February 2026, the Company announced its Board of Directors had authorized the Company to increase the purchase of its common stock up to $150 million in the aggregate, adding to the $48.9 million remaining under the previous authorization. In the three and six months ended June 30, 2026, the Company purchased 509,264 and 1,996,321 shares of its outstanding common stock for $18.9 million and $73.5 million, respectively. During the three and six months ended June 30, 2025, the Company purchased 85,729 and 106,220 shares of its outstanding common stock for $1.8 million and $2.3 million, respectively.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Company had $76.5 million remaining under the repurchase authorization. </w:t>
      </w:r>
    </w:p>
    <w:p>
      <w:pPr>
        <w:pStyle w:val="TextBody"/>
        <w:bidi w:val="0"/>
        <w:spacing w:lineRule="auto" w:line="288" w:before="160" w:after="160"/>
        <w:jc w:val="both"/>
        <w:rPr/>
      </w:pPr>
      <w:r>
        <w:rPr>
          <w:rFonts w:ascii="Times New Roman;serif" w:hAnsi="Times New Roman;serif"/>
          <w:b w:val="false"/>
          <w:color w:val="000000"/>
          <w:sz w:val="20"/>
          <w:shd w:fill="FFFFFF" w:val="clear"/>
        </w:rPr>
        <w:t xml:space="preserve">Holders of common stock are entitled to dividends at the discretion of the Company's Board of Directors. During the three and </w:t>
      </w:r>
      <w:r>
        <w:rPr>
          <w:rFonts w:ascii="Times New Roman;serif" w:hAnsi="Times New Roman;serif"/>
          <w:b w:val="false"/>
          <w:color w:val="000000"/>
          <w:sz w:val="20"/>
        </w:rPr>
        <w:t xml:space="preserve">six months ended June 30, 2026, </w:t>
      </w:r>
      <w:r>
        <w:rPr>
          <w:rFonts w:ascii="Times New Roman;serif" w:hAnsi="Times New Roman;serif"/>
          <w:b w:val="false"/>
          <w:color w:val="000000"/>
          <w:sz w:val="20"/>
          <w:shd w:fill="FFFFFF" w:val="clear"/>
        </w:rPr>
        <w:t xml:space="preserve">the Company's quarterly cash dividends declared were </w:t>
      </w:r>
      <w:r>
        <w:rPr>
          <w:rFonts w:ascii="Times New Roman;serif" w:hAnsi="Times New Roman;serif"/>
          <w:b w:val="false"/>
          <w:color w:val="000000"/>
          <w:sz w:val="20"/>
        </w:rPr>
        <w:t>$0.04</w:t>
      </w:r>
      <w:r>
        <w:rPr>
          <w:color w:val="000000"/>
          <w:shd w:fill="FFFFFF" w:val="clear"/>
        </w:rPr>
        <w:t xml:space="preserve"> </w:t>
      </w:r>
      <w:r>
        <w:rPr>
          <w:rFonts w:ascii="Times New Roman;serif" w:hAnsi="Times New Roman;serif"/>
          <w:b w:val="false"/>
          <w:color w:val="000000"/>
          <w:sz w:val="20"/>
          <w:shd w:fill="FFFFFF" w:val="clear"/>
        </w:rPr>
        <w:t xml:space="preserve">per share of common stock and total dividends declared and paid on common shares </w:t>
      </w:r>
      <w:r>
        <w:rPr>
          <w:rFonts w:ascii="Times New Roman;serif" w:hAnsi="Times New Roman;serif"/>
          <w:b w:val="false"/>
          <w:color w:val="000000"/>
          <w:sz w:val="20"/>
        </w:rPr>
        <w:t>were $1.4 million and $2.9 million, respectively</w:t>
      </w:r>
      <w:r>
        <w:rPr>
          <w:rFonts w:ascii="Times New Roman;serif" w:hAnsi="Times New Roman;serif"/>
          <w:b w:val="false"/>
          <w:color w:val="000000"/>
          <w:sz w:val="20"/>
          <w:shd w:fill="FFFFFF" w:val="clear"/>
        </w:rPr>
        <w:t xml:space="preserve">. In the three and </w:t>
      </w:r>
      <w:r>
        <w:rPr>
          <w:rFonts w:ascii="Times New Roman;serif" w:hAnsi="Times New Roman;serif"/>
          <w:b w:val="false"/>
          <w:color w:val="000000"/>
          <w:sz w:val="20"/>
        </w:rPr>
        <w:t>six months ended June 30, 2025, the Company's quarterly cash dividends declared were $0.04 per share of common stock and total dividends declared and paid on common shares were $1.7 million and $3.3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18. Defined Benefit Plans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Net periodic pension benefit costs for the Company's defined benefit pension plans cover certain foreign employees, union hourly employees and salaried employees. The components of net periodic benefit cost are as follows (dollars in thousands): </w:t>
      </w:r>
    </w:p>
    <w:tbl>
      <w:tblPr>
        <w:tblW w:w="8175" w:type="dxa"/>
        <w:jc w:val="left"/>
        <w:tblInd w:w="0" w:type="dxa"/>
        <w:tblLayout w:type="fixed"/>
        <w:tblCellMar>
          <w:top w:w="28" w:type="dxa"/>
          <w:left w:w="28" w:type="dxa"/>
          <w:bottom w:w="28" w:type="dxa"/>
          <w:right w:w="28" w:type="dxa"/>
        </w:tblCellMar>
      </w:tblPr>
      <w:tblGrid>
        <w:gridCol w:w="1025"/>
        <w:gridCol w:w="900"/>
        <w:gridCol w:w="909"/>
        <w:gridCol w:w="109"/>
        <w:gridCol w:w="109"/>
        <w:gridCol w:w="109"/>
        <w:gridCol w:w="270"/>
        <w:gridCol w:w="596"/>
        <w:gridCol w:w="139"/>
        <w:gridCol w:w="139"/>
        <w:gridCol w:w="139"/>
        <w:gridCol w:w="139"/>
        <w:gridCol w:w="270"/>
        <w:gridCol w:w="596"/>
        <w:gridCol w:w="139"/>
        <w:gridCol w:w="109"/>
        <w:gridCol w:w="109"/>
        <w:gridCol w:w="109"/>
        <w:gridCol w:w="228"/>
        <w:gridCol w:w="666"/>
        <w:gridCol w:w="117"/>
        <w:gridCol w:w="117"/>
        <w:gridCol w:w="117"/>
        <w:gridCol w:w="117"/>
        <w:gridCol w:w="228"/>
        <w:gridCol w:w="504"/>
        <w:gridCol w:w="166"/>
      </w:tblGrid>
      <w:tr>
        <w:trPr/>
        <w:tc>
          <w:tcPr>
            <w:tcW w:w="10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and curtailment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pPr>
      <w:r>
        <w:rPr>
          <w:rFonts w:ascii="Times New Roman;serif" w:hAnsi="Times New Roman;serif"/>
          <w:b w:val="false"/>
          <w:color w:val="000000"/>
          <w:sz w:val="20"/>
        </w:rPr>
        <w:t>The service cost component of net periodic benefit cost is recorded in cost of goods sold and selling, general and administrative expenses, while non-service cost components are recorded in other income (expense), net in the accompanying consolidated statement of income. The service cost related to discontinued operations included in the table above was $0.1 million for the six months ended June 30, 2026, and $0.1 million for the t</w:t>
      </w:r>
      <w:r>
        <w:rPr>
          <w:rFonts w:ascii="Times New Roman;serif" w:hAnsi="Times New Roman;serif"/>
          <w:b w:val="false"/>
          <w:color w:val="000000"/>
          <w:sz w:val="20"/>
          <w:shd w:fill="FFFFFF" w:val="clear"/>
        </w:rPr>
        <w:t xml:space="preserve">hree and </w:t>
      </w:r>
      <w:r>
        <w:rPr>
          <w:rFonts w:ascii="Times New Roman;serif" w:hAnsi="Times New Roman;serif"/>
          <w:b w:val="false"/>
          <w:color w:val="000000"/>
          <w:sz w:val="20"/>
        </w:rPr>
        <w:t>six months ended June 30, 2025.</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recognized a non-cash, pre-tax settlement charge of $1.7 million which was recorded within the results of discontinued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Company contributed $0.3 million to its continuing operations defined benefit pension plans during the six months ended June 30, 2026. The Company expects to contribute $0.5 million to its continuing operations defined benefit pension plans for the full year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19. Other Comprehensive Income (Loss)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Changes in AOCI by component for the six months ended June 30, 2026 are summarized as follows, net of tax (dollars in thousands):</w:t>
      </w:r>
    </w:p>
    <w:tbl>
      <w:tblPr>
        <w:tblW w:w="10205" w:type="dxa"/>
        <w:jc w:val="left"/>
        <w:tblInd w:w="0" w:type="dxa"/>
        <w:tblLayout w:type="fixed"/>
        <w:tblCellMar>
          <w:top w:w="28" w:type="dxa"/>
          <w:left w:w="28" w:type="dxa"/>
          <w:bottom w:w="28" w:type="dxa"/>
          <w:right w:w="28" w:type="dxa"/>
        </w:tblCellMar>
      </w:tblPr>
      <w:tblGrid>
        <w:gridCol w:w="1297"/>
        <w:gridCol w:w="930"/>
        <w:gridCol w:w="933"/>
        <w:gridCol w:w="109"/>
        <w:gridCol w:w="109"/>
        <w:gridCol w:w="109"/>
        <w:gridCol w:w="295"/>
        <w:gridCol w:w="940"/>
        <w:gridCol w:w="152"/>
        <w:gridCol w:w="109"/>
        <w:gridCol w:w="109"/>
        <w:gridCol w:w="109"/>
        <w:gridCol w:w="348"/>
        <w:gridCol w:w="1016"/>
        <w:gridCol w:w="181"/>
        <w:gridCol w:w="109"/>
        <w:gridCol w:w="109"/>
        <w:gridCol w:w="109"/>
        <w:gridCol w:w="370"/>
        <w:gridCol w:w="1210"/>
        <w:gridCol w:w="191"/>
        <w:gridCol w:w="109"/>
        <w:gridCol w:w="109"/>
        <w:gridCol w:w="109"/>
        <w:gridCol w:w="211"/>
        <w:gridCol w:w="663"/>
        <w:gridCol w:w="160"/>
      </w:tblGrid>
      <w:tr>
        <w:trPr/>
        <w:tc>
          <w:tcPr>
            <w:tcW w:w="129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unrealized gains (losses) arising during the period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Net realized losses reclassified to net income </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3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7,150 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left"/>
        <w:rPr>
          <w:rFonts w:ascii="Times New Roman;serif" w:hAnsi="Times New Roman;serif"/>
          <w:b w:val="false"/>
          <w:color w:val="000000"/>
          <w:sz w:val="12"/>
        </w:rPr>
      </w:pPr>
      <w:r>
        <w:rPr>
          <w:rFonts w:ascii="Times New Roman;serif" w:hAnsi="Times New Roman;serif"/>
          <w:b w:val="false"/>
          <w:color w:val="000000"/>
          <w:sz w:val="12"/>
        </w:rPr>
        <w:t>__________________________</w:t>
      </w:r>
    </w:p>
    <w:p>
      <w:pPr>
        <w:pStyle w:val="TextBody"/>
        <w:bidi w:val="0"/>
        <w:spacing w:lineRule="auto" w:line="288" w:before="160" w:after="160"/>
        <w:ind w:left="0" w:right="0" w:hanging="360"/>
        <w:jc w:val="both"/>
        <w:rPr/>
      </w:pPr>
      <w:r>
        <w:rPr>
          <w:rFonts w:ascii="Times New Roman;serif" w:hAnsi="Times New Roman;serif"/>
          <w:b w:val="false"/>
          <w:color w:val="000000"/>
          <w:sz w:val="10"/>
        </w:rPr>
        <w:t>(a)    </w:t>
      </w:r>
      <w:r>
        <w:rPr>
          <w:rFonts w:ascii="Times New Roman;serif" w:hAnsi="Times New Roman;serif"/>
          <w:b w:val="false"/>
          <w:color w:val="000000"/>
          <w:sz w:val="16"/>
        </w:rPr>
        <w:t>Defined benefit plans, net of income tax of $0.1 million. See Note 18, "</w:t>
      </w:r>
      <w:r>
        <w:rPr>
          <w:rFonts w:ascii="Times New Roman;serif" w:hAnsi="Times New Roman;serif"/>
          <w:b w:val="false"/>
          <w:i/>
          <w:color w:val="000000"/>
          <w:sz w:val="16"/>
        </w:rPr>
        <w:t>Defined Benefit Plans</w:t>
      </w:r>
      <w:r>
        <w:rPr>
          <w:rFonts w:ascii="Times New Roman;serif" w:hAnsi="Times New Roman;serif"/>
          <w:b w:val="false"/>
          <w:color w:val="000000"/>
          <w:sz w:val="16"/>
        </w:rPr>
        <w:t>," for additional details. Derivative instruments, net of income tax of $0.8 million. See Note 11, "</w:t>
      </w:r>
      <w:r>
        <w:rPr>
          <w:rFonts w:ascii="Times New Roman;serif" w:hAnsi="Times New Roman;serif"/>
          <w:b w:val="false"/>
          <w:i/>
          <w:color w:val="000000"/>
          <w:sz w:val="16"/>
        </w:rPr>
        <w:t>Derivative Instruments</w:t>
      </w:r>
      <w:r>
        <w:rPr>
          <w:rFonts w:ascii="Times New Roman;serif" w:hAnsi="Times New Roman;serif"/>
          <w:b w:val="false"/>
          <w:color w:val="000000"/>
          <w:sz w:val="16"/>
        </w:rPr>
        <w:t>," for further details.</w:t>
      </w:r>
    </w:p>
    <w:p>
      <w:pPr>
        <w:pStyle w:val="TextBody"/>
        <w:bidi w:val="0"/>
        <w:spacing w:lineRule="auto" w:line="288" w:before="160" w:after="160"/>
        <w:ind w:left="0" w:right="0" w:hanging="360"/>
        <w:jc w:val="both"/>
        <w:rPr/>
      </w:pPr>
      <w:r>
        <w:rPr>
          <w:rFonts w:ascii="Times New Roman;serif" w:hAnsi="Times New Roman;serif"/>
          <w:b w:val="false"/>
          <w:color w:val="000000"/>
          <w:sz w:val="10"/>
        </w:rPr>
        <w:t>(b)     </w:t>
      </w:r>
      <w:r>
        <w:rPr>
          <w:rFonts w:ascii="Times New Roman;serif" w:hAnsi="Times New Roman;serif"/>
          <w:b w:val="false"/>
          <w:color w:val="000000"/>
          <w:sz w:val="16"/>
        </w:rPr>
        <w:t>Defined benefit plans, net of income tax of $0.4 million. See Note 18, "</w:t>
      </w:r>
      <w:r>
        <w:rPr>
          <w:rFonts w:ascii="Times New Roman;serif" w:hAnsi="Times New Roman;serif"/>
          <w:b w:val="false"/>
          <w:i/>
          <w:color w:val="000000"/>
          <w:sz w:val="16"/>
        </w:rPr>
        <w:t>Defined Benefit Plans</w:t>
      </w:r>
      <w:r>
        <w:rPr>
          <w:rFonts w:ascii="Times New Roman;serif" w:hAnsi="Times New Roman;serif"/>
          <w:b w:val="false"/>
          <w:color w:val="000000"/>
          <w:sz w:val="16"/>
        </w:rPr>
        <w:t xml:space="preserve">," for additional details.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Changes in AOCI by component for the six months ended June 30, 2025 are summarized as follows, net of tax (dollars in thousands):</w:t>
      </w:r>
    </w:p>
    <w:tbl>
      <w:tblPr>
        <w:tblW w:w="10205" w:type="dxa"/>
        <w:jc w:val="center"/>
        <w:tblInd w:w="0" w:type="dxa"/>
        <w:tblLayout w:type="fixed"/>
        <w:tblCellMar>
          <w:top w:w="28" w:type="dxa"/>
          <w:left w:w="28" w:type="dxa"/>
          <w:bottom w:w="28" w:type="dxa"/>
          <w:right w:w="28" w:type="dxa"/>
        </w:tblCellMar>
      </w:tblPr>
      <w:tblGrid>
        <w:gridCol w:w="1280"/>
        <w:gridCol w:w="906"/>
        <w:gridCol w:w="909"/>
        <w:gridCol w:w="109"/>
        <w:gridCol w:w="109"/>
        <w:gridCol w:w="109"/>
        <w:gridCol w:w="292"/>
        <w:gridCol w:w="929"/>
        <w:gridCol w:w="150"/>
        <w:gridCol w:w="109"/>
        <w:gridCol w:w="109"/>
        <w:gridCol w:w="109"/>
        <w:gridCol w:w="309"/>
        <w:gridCol w:w="1058"/>
        <w:gridCol w:w="160"/>
        <w:gridCol w:w="109"/>
        <w:gridCol w:w="109"/>
        <w:gridCol w:w="109"/>
        <w:gridCol w:w="339"/>
        <w:gridCol w:w="1253"/>
        <w:gridCol w:w="175"/>
        <w:gridCol w:w="109"/>
        <w:gridCol w:w="109"/>
        <w:gridCol w:w="109"/>
        <w:gridCol w:w="211"/>
        <w:gridCol w:w="767"/>
        <w:gridCol w:w="159"/>
      </w:tblGrid>
      <w:tr>
        <w:trPr/>
        <w:tc>
          <w:tcPr>
            <w:tcW w:w="128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(8,010)</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(26,840)</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unrealized gains (losses) arising during the period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realized losses reclassified to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(12,730)</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33,880 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3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(7,990)</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ind w:left="0" w:right="0" w:hanging="180"/>
        <w:jc w:val="left"/>
        <w:rPr>
          <w:rFonts w:ascii="Times New Roman;serif" w:hAnsi="Times New Roman;serif"/>
          <w:b w:val="false"/>
          <w:color w:val="000000"/>
          <w:sz w:val="12"/>
        </w:rPr>
      </w:pPr>
      <w:r>
        <w:rPr>
          <w:rFonts w:ascii="Times New Roman;serif" w:hAnsi="Times New Roman;serif"/>
          <w:b w:val="false"/>
          <w:color w:val="000000"/>
          <w:sz w:val="12"/>
        </w:rPr>
        <w:t>__________________________</w:t>
      </w:r>
    </w:p>
    <w:p>
      <w:pPr>
        <w:pStyle w:val="TextBody"/>
        <w:bidi w:val="0"/>
        <w:spacing w:lineRule="auto" w:line="288" w:before="160" w:after="160"/>
        <w:ind w:left="0" w:right="0" w:hanging="360"/>
        <w:jc w:val="both"/>
        <w:rPr/>
      </w:pPr>
      <w:r>
        <w:rPr>
          <w:rFonts w:ascii="Times New Roman;serif" w:hAnsi="Times New Roman;serif"/>
          <w:b w:val="false"/>
          <w:color w:val="000000"/>
          <w:sz w:val="10"/>
        </w:rPr>
        <w:t>(a)     </w:t>
      </w:r>
      <w:r>
        <w:rPr>
          <w:rFonts w:ascii="Times New Roman;serif" w:hAnsi="Times New Roman;serif"/>
          <w:b w:val="false"/>
          <w:color w:val="000000"/>
          <w:sz w:val="16"/>
        </w:rPr>
        <w:t>Derivative instruments, net of income tax of $4.1 million. See Note 11, "</w:t>
      </w:r>
      <w:r>
        <w:rPr>
          <w:rFonts w:ascii="Times New Roman;serif" w:hAnsi="Times New Roman;serif"/>
          <w:b w:val="false"/>
          <w:i/>
          <w:color w:val="000000"/>
          <w:sz w:val="16"/>
        </w:rPr>
        <w:t>Derivative Instruments</w:t>
      </w:r>
      <w:r>
        <w:rPr>
          <w:rFonts w:ascii="Times New Roman;serif" w:hAnsi="Times New Roman;serif"/>
          <w:b w:val="false"/>
          <w:color w:val="000000"/>
          <w:sz w:val="16"/>
        </w:rPr>
        <w:t>,"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20. Income Taxes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income tax rate for the three months ended June 30, 2026 and 2025 was (272.3)% and 22.5%, respectively. The Company recorded an income tax benefit of $49.2 million for the three months ended June 30, 2026, compared to income tax expense of $0.7 million for the same period in the prior year. The significantly lower effective tax rate in the second quarter of 2026 was primarily driven by the misapplication of income tax accounting guidance related to allocation of tax provision in the first quarter of 2026 that resulted in tax expense of $53.9 million being reported in the results of continuing operations. The $53.9 million of tax expense was subsequently reported as an out-of-period adjustment in the second quarter of 2026 in the results of discontinued operations. There was no change to the total Company tax expense in either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income tax rate for the six months ended June 30, 2026 and 2025 was 24.7% and 23.7%, respectively. The Company recorded income tax expense of $5.1 million and $1.4 million for the six months ended June 30, 2026 and 2025, respectively. The increase in the effective tax rate was primarily driven by the jurisdictional mix of earnings and the impact of certain permanent tax benefits recognized in the prior year period. Those benefits had a proportionately greater effect on the prior year effective tax rate due to the significantly lower level of pre-tax income in that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TRIMAS CORPORATION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21. Subsequent Events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On July 23, 2026, the Company announced that its Board of Directors had declared a cash dividend of $0.04 per share of TriMas Corporation common stock, which will be payable on August 13, 2026, to shareholders of record as of the close of business on August 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The statements in the discussion and analysis regarding industry outlook, our expectations regarding the performance of our business and the other non-historical statements in the discussion and analysis are forward-looking statements.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both"/>
        <w:rPr/>
      </w:pPr>
      <w:r>
        <w:rPr/>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16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TriMas designs, develops and manufactures a diverse set of products primarily for the consumer products and industrial markets through its TriMas Packaging and Specialty Products groups. Our wide range of innovative products are designed and engineered to solve application-specific challenges that our customers face. We believe our businesses share important and distinguishing characteristics, including: innovative product technologies and features; a high-degree of customer approved processes and qualifications; established distribution networks; modest capital investment requirements; strong cash flow conversion and long-term growth opportunities. While the majority of our revenue is in the United States, we manufacture and supply products globally to a wide range of companies. We report our business activity in two segments: Packaging and Specialty Products.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On March 16, 2026, we completed the previously announced sale of Aerospace to an affiliate of Tinicum L.P., and funds managed by Blackstone, Inc., pursuant to an Equity Purchase Agreement dated as of November 4, 2025 (the "Purchase Agreement"), for a purchase price of approximately $1,456.9 million, subject to certain adjustments as set forth in the Purchase Agreement which we expect to be finalized during 2026. The historical results for Aerospace are reported in our consolidated statement of income and consolidated balance sheet as a discontinued operation for all periods presented in the financial statements.</w:t>
      </w:r>
    </w:p>
    <w:p>
      <w:pPr>
        <w:pStyle w:val="TextBody"/>
        <w:bidi w:val="0"/>
        <w:spacing w:lineRule="auto" w:line="288" w:before="160" w:after="160"/>
        <w:jc w:val="both"/>
        <w:rPr/>
      </w:pPr>
      <w:r>
        <w:rPr>
          <w:rFonts w:ascii="Times New Roman;serif" w:hAnsi="Times New Roman;serif"/>
          <w:b w:val="false"/>
          <w:i/>
          <w:color w:val="000000"/>
          <w:sz w:val="20"/>
          <w:shd w:fill="FFFFFF" w:val="clear"/>
        </w:rPr>
        <w:t>Key Factors Affecting Our Reported Results</w:t>
      </w:r>
      <w:r>
        <w:rPr>
          <w:color w:val="000000"/>
          <w:shd w:fill="FFFFFF" w:val="clear"/>
        </w:rPr>
        <w:t xml:space="preserve">   </w:t>
      </w:r>
    </w:p>
    <w:p>
      <w:pPr>
        <w:pStyle w:val="TextBody"/>
        <w:bidi w:val="0"/>
        <w:spacing w:lineRule="auto" w:line="288" w:before="16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Demand for the products our businesses produce and results of operations depend upon general economic conditions. We serve customers in industries that are highly competitive, and that may be significantly impacted by changes in economic or geopolitical conditions.</w:t>
      </w:r>
    </w:p>
    <w:p>
      <w:pPr>
        <w:pStyle w:val="TextBody"/>
        <w:bidi w:val="0"/>
        <w:spacing w:lineRule="auto" w:line="288" w:before="160" w:after="160"/>
        <w:jc w:val="both"/>
        <w:rPr/>
      </w:pPr>
      <w:r>
        <w:rPr>
          <w:rFonts w:ascii="Times New Roman;serif" w:hAnsi="Times New Roman;serif"/>
          <w:b w:val="false"/>
          <w:color w:val="000000"/>
          <w:sz w:val="20"/>
          <w:shd w:fill="FFFFFF" w:val="clear"/>
        </w:rPr>
        <w:t xml:space="preserve">Our </w:t>
      </w:r>
      <w:r>
        <w:rPr>
          <w:rFonts w:ascii="Times New Roman;serif" w:hAnsi="Times New Roman;serif"/>
          <w:b w:val="false"/>
          <w:color w:val="000000"/>
          <w:sz w:val="20"/>
        </w:rPr>
        <w:t xml:space="preserve">results of operations have been materially impacted by macroeconomic conditions over the past few years, including cost inflation (raw materials, wage rates and freight) and a lack of material, and in certain regions, skilled labor availability. In 2025, the U.S. government implemented tariffs under the International Emergency Economic Powers Act (“IEEPA”), which created uncertainty regarding material costs, future tariffs, including any retaliatory tariffs imposed by other countries, or other potential governmental actions. These tariffs have increased the costs of certain products sourced from non-U.S. countries.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As a result of the decision of the U.S. Supreme Court in February 2026, we are entitled to a refund of tariffs previously paid on certain imported product under IEEPA. To date, the changes in the tariffs, on an overall basis, have not had a significant impact on our results of operations. We will continue to monitor the situation and evaluate the impact of any replacement tariffs or policy changes on our business, including the potential for cost recovery and future tariff exposure.</w:t>
      </w:r>
    </w:p>
    <w:p>
      <w:pPr>
        <w:pStyle w:val="TextBody"/>
        <w:bidi w:val="0"/>
        <w:spacing w:lineRule="auto" w:line="288" w:before="160" w:after="160"/>
        <w:jc w:val="both"/>
        <w:rPr/>
      </w:pPr>
      <w:r>
        <w:rPr>
          <w:rFonts w:ascii="Times New Roman;serif" w:hAnsi="Times New Roman;serif"/>
          <w:b w:val="false"/>
          <w:color w:val="000000"/>
          <w:sz w:val="20"/>
          <w:shd w:fill="FFFFFF" w:val="clear"/>
        </w:rPr>
        <w:t xml:space="preserve">Overall, our </w:t>
      </w:r>
      <w:r>
        <w:rPr>
          <w:rFonts w:ascii="Times New Roman;serif" w:hAnsi="Times New Roman;serif"/>
          <w:b w:val="false"/>
          <w:color w:val="000000"/>
          <w:sz w:val="20"/>
        </w:rPr>
        <w:t>second quarter</w:t>
      </w:r>
      <w:r>
        <w:rPr>
          <w:color w:val="000000"/>
          <w:shd w:fill="FFFFFF" w:val="clear"/>
        </w:rPr>
        <w:t xml:space="preserve"> </w:t>
      </w:r>
      <w:r>
        <w:rPr>
          <w:rFonts w:ascii="Times New Roman;serif" w:hAnsi="Times New Roman;serif"/>
          <w:b w:val="false"/>
          <w:color w:val="000000"/>
          <w:sz w:val="20"/>
          <w:shd w:fill="FFFFFF" w:val="clear"/>
        </w:rPr>
        <w:t xml:space="preserve">2026 net sales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rPr>
        <w:t>$2.8 million, or 1.6%,</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second quarter</w:t>
      </w:r>
      <w:r>
        <w:rPr>
          <w:color w:val="000000"/>
          <w:shd w:fill="FFFFFF" w:val="clear"/>
        </w:rPr>
        <w:t xml:space="preserve"> </w:t>
      </w:r>
      <w:r>
        <w:rPr>
          <w:rFonts w:ascii="Times New Roman;serif" w:hAnsi="Times New Roman;serif"/>
          <w:b w:val="false"/>
          <w:color w:val="000000"/>
          <w:sz w:val="20"/>
          <w:shd w:fill="FFFFFF" w:val="clear"/>
        </w:rPr>
        <w:t xml:space="preserve">2025. </w:t>
      </w:r>
      <w:r>
        <w:rPr>
          <w:rFonts w:ascii="Times New Roman;serif" w:hAnsi="Times New Roman;serif"/>
          <w:b w:val="false"/>
          <w:color w:val="000000"/>
          <w:sz w:val="20"/>
        </w:rPr>
        <w:t>Net sales increased 10.2% in our Specialty Products segment as compared to the prior year quarter due to increased market demand for steel cylinders. O</w:t>
      </w:r>
      <w:r>
        <w:rPr>
          <w:rFonts w:ascii="Times New Roman;serif" w:hAnsi="Times New Roman;serif"/>
          <w:b w:val="false"/>
          <w:color w:val="000000"/>
          <w:sz w:val="20"/>
          <w:shd w:fill="FFFFFF" w:val="clear"/>
        </w:rPr>
        <w:t xml:space="preserve">rganic sales decreased </w:t>
      </w:r>
      <w:r>
        <w:rPr>
          <w:rFonts w:ascii="Times New Roman;serif" w:hAnsi="Times New Roman;serif"/>
          <w:b w:val="false"/>
          <w:color w:val="000000"/>
          <w:sz w:val="20"/>
        </w:rPr>
        <w:t>2.1%</w:t>
      </w:r>
      <w:r>
        <w:rPr>
          <w:color w:val="000000"/>
          <w:shd w:fill="FFFFFF" w:val="clear"/>
        </w:rPr>
        <w:t xml:space="preserve"> </w:t>
      </w:r>
      <w:r>
        <w:rPr>
          <w:rFonts w:ascii="Times New Roman;serif" w:hAnsi="Times New Roman;serif"/>
          <w:b w:val="false"/>
          <w:color w:val="000000"/>
          <w:sz w:val="20"/>
          <w:shd w:fill="FFFFFF" w:val="clear"/>
        </w:rPr>
        <w:t xml:space="preserve">within our Packaging segment, compared to </w:t>
      </w:r>
      <w:r>
        <w:rPr>
          <w:rFonts w:ascii="Times New Roman;serif" w:hAnsi="Times New Roman;serif"/>
          <w:b w:val="false"/>
          <w:color w:val="000000"/>
          <w:sz w:val="20"/>
        </w:rPr>
        <w:t>second quarter</w:t>
      </w:r>
      <w:r>
        <w:rPr>
          <w:color w:val="000000"/>
          <w:shd w:fill="FFFFFF" w:val="clear"/>
        </w:rPr>
        <w:t xml:space="preserve"> </w:t>
      </w:r>
      <w:r>
        <w:rPr>
          <w:rFonts w:ascii="Times New Roman;serif" w:hAnsi="Times New Roman;serif"/>
          <w:b w:val="false"/>
          <w:color w:val="000000"/>
          <w:sz w:val="20"/>
          <w:shd w:fill="FFFFFF" w:val="clear"/>
        </w:rPr>
        <w:t>2025, due to</w:t>
      </w:r>
      <w:r>
        <w:rPr>
          <w:color w:val="000000"/>
        </w:rPr>
        <w:t xml:space="preserve"> </w:t>
      </w:r>
      <w:r>
        <w:rPr>
          <w:rFonts w:ascii="Times New Roman;serif" w:hAnsi="Times New Roman;serif"/>
          <w:b w:val="false"/>
          <w:color w:val="000000"/>
          <w:sz w:val="20"/>
        </w:rPr>
        <w:t>volatility in certain of our end markets</w:t>
      </w:r>
      <w:r>
        <w:rPr>
          <w:rFonts w:ascii="Times New Roman;serif" w:hAnsi="Times New Roman;serif"/>
          <w:b w:val="false"/>
          <w:color w:val="000000"/>
          <w:sz w:val="20"/>
          <w:shd w:fill="FFFFFF" w:val="clear"/>
        </w:rPr>
        <w:t xml:space="preserve">. Our overall sales increase included </w:t>
      </w:r>
      <w:r>
        <w:rPr>
          <w:rFonts w:ascii="Times New Roman;serif" w:hAnsi="Times New Roman;serif"/>
          <w:b w:val="false"/>
          <w:color w:val="000000"/>
          <w:sz w:val="20"/>
        </w:rPr>
        <w:t>$2.9 million of currency exchange, as our reported results in U.S. dollars were favorably impacted as a result of a weakening U.S. dollar relative to foreign currencies.</w:t>
      </w:r>
    </w:p>
    <w:p>
      <w:pPr>
        <w:pStyle w:val="TextBody"/>
        <w:bidi w:val="0"/>
        <w:spacing w:lineRule="auto" w:line="288" w:before="160" w:after="160"/>
        <w:jc w:val="both"/>
        <w:rPr/>
      </w:pPr>
      <w:r>
        <w:rPr>
          <w:rFonts w:ascii="Times New Roman;serif" w:hAnsi="Times New Roman;serif"/>
          <w:b w:val="false"/>
          <w:color w:val="000000"/>
          <w:sz w:val="20"/>
          <w:shd w:fill="FFFFFF" w:val="clear"/>
        </w:rPr>
        <w:t xml:space="preserve">The most significant drivers affecting our financial results in second quarter 2026 compared with second quarter 2025, other than as directly impacted by sales changes, were </w:t>
      </w:r>
      <w:r>
        <w:rPr>
          <w:rFonts w:ascii="Times New Roman;serif" w:hAnsi="Times New Roman;serif"/>
          <w:b w:val="false"/>
          <w:color w:val="000000"/>
          <w:sz w:val="20"/>
        </w:rPr>
        <w:t>realignment costs related to the closure and consolidation of our Atkins, Arkansas facility, interest income earned on the invested cash proceeds from the sale of our Aerospace business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and a decrease in our effective tax rate.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second quarter 2026, we recorded $2.1 million of realignment costs related to the closure and consolidation of our Atkins, Arkansas facility into other locations within our Packaging segment, including $1.4 million related to facility move and consolidation costs and $0.5 million related to charges to accelerate the depreciation of certain fixed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first quarter 2026, we invested the cash proceeds from the sale of our Aerospace business in highly liquid instruments, including U.S. Treasury</w:t>
        <w:noBreakHyphen/>
        <w:t>backed money market funds and cash deposits that earned interest at a rate of approximately 3.7% during second quarter. During the three months ended June 30, 2026, we earned interest income of $10.9 million.</w:t>
      </w:r>
    </w:p>
    <w:p>
      <w:pPr>
        <w:pStyle w:val="TextBody"/>
        <w:bidi w:val="0"/>
        <w:spacing w:lineRule="auto" w:line="288" w:before="160" w:after="160"/>
        <w:jc w:val="both"/>
        <w:rPr/>
      </w:pPr>
      <w:r>
        <w:rPr>
          <w:rFonts w:ascii="Times New Roman;serif" w:hAnsi="Times New Roman;serif"/>
          <w:b w:val="false"/>
          <w:color w:val="000000"/>
          <w:sz w:val="20"/>
        </w:rPr>
        <w:t xml:space="preserve">The effective income tax rate for second quarter 2026 was (272.3)% as compared to 22.5% for second quarter 2025. See the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section below for additional information.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significantly lower effective tax rate in the second quarter of 2026 was primarily driven by the misapplication of income tax accounting guidance related to allocation of tax provision in the first quarter of 2026 that resulted in tax expense of $53.9 million being reported in the results of continuing operations. The $53.9 million of tax expense was subsequently reported as an out-of-period adjustment in the second quarter of 2026 in the results of discontinued operations. There was no change to the total Company tax expense in either period. </w:t>
      </w:r>
    </w:p>
    <w:p>
      <w:pPr>
        <w:pStyle w:val="TextBody"/>
        <w:bidi w:val="0"/>
        <w:spacing w:lineRule="auto" w:line="288" w:before="160" w:after="16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Additional Key Risks that May Affect Our Reported Results</w:t>
      </w:r>
    </w:p>
    <w:p>
      <w:pPr>
        <w:pStyle w:val="TextBody"/>
        <w:bidi w:val="0"/>
        <w:spacing w:lineRule="auto" w:line="288" w:before="16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executed meaningful realignment actions over the past few years to address variable and structural costs where demand has fallen. We will continue to assess and take further actions if required. As a result of the current period of macroeconomic inflation and uncertainty, including uncertainty regarding the scope and duration of current and future tariffs and trade actions, and the potential impact of such factors to our future results of operations, as well as if there is an impact to TriMas' overall performance and market capitalization, we may record additional cash and non-cash charges related to further realignment actions, asset impairments, including impairments to our goodwill, intangible assets, fixed assets, inventory or customer receivable account balances.</w:t>
      </w:r>
    </w:p>
    <w:p>
      <w:pPr>
        <w:pStyle w:val="TextBody"/>
        <w:bidi w:val="0"/>
        <w:spacing w:lineRule="auto" w:line="288" w:before="16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believe our capital structure is in a strong position. We have sufficient cash and available liquidity under our revolving credit facility to meet our debt service obligations, capital expenditure requirements and other short-term and long-term obligations for the foreseeable future. </w:t>
      </w:r>
    </w:p>
    <w:p>
      <w:pPr>
        <w:pStyle w:val="TextBody"/>
        <w:bidi w:val="0"/>
        <w:spacing w:lineRule="auto" w:line="288" w:before="16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Critical factors affecting our ability to succeed include: our ability to generate organic growth through product development, cross-selling and extending product-line offerings, and our ability to quickly and cost-effectively introduce and successfully launch new products; our ability to recognize the benefits of and effectively deploy the net proceeds from the sale of Aerospace, our ability to acquire and integrate companies or products that supplement existing product lines, add adjacent distribution channels and new customers, or expand our geographic coverage; our ability to manage our cost structure more efficiently via supply chain management, internal sourcing and/or purchasing of materials, selective outsourcing and/or purchasing of support functions, working capital management, and greater leverage of our administrative functions; and our ability to absorb, or recover via commercial actions, inflationary or other cost increases, including tariffs and duties.</w:t>
      </w:r>
    </w:p>
    <w:p>
      <w:pPr>
        <w:pStyle w:val="TextBody"/>
        <w:bidi w:val="0"/>
        <w:spacing w:lineRule="auto" w:line="288" w:before="160" w:after="160"/>
        <w:jc w:val="both"/>
        <w:rPr/>
      </w:pPr>
      <w:r>
        <w:rPr>
          <w:rFonts w:ascii="Times New Roman;serif" w:hAnsi="Times New Roman;serif"/>
          <w:b w:val="false"/>
          <w:color w:val="000000"/>
          <w:sz w:val="20"/>
          <w:shd w:fill="FFFFFF" w:val="clear"/>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w:t>
      </w:r>
      <w:r>
        <w:rPr>
          <w:color w:val="000000"/>
        </w:rPr>
        <w:t xml:space="preserve"> </w:t>
      </w:r>
      <w:r>
        <w:rPr>
          <w:rFonts w:ascii="Times New Roman;serif" w:hAnsi="Times New Roman;serif"/>
          <w:b w:val="false"/>
          <w:color w:val="000000"/>
          <w:sz w:val="20"/>
        </w:rPr>
        <w:t>A growing amount of our sales is derived from international sources, which exposes us to certain risks, including currency risks.</w:t>
      </w:r>
    </w:p>
    <w:p>
      <w:pPr>
        <w:pStyle w:val="TextBody"/>
        <w:bidi w:val="0"/>
        <w:spacing w:lineRule="auto" w:line="288" w:before="160" w:after="160"/>
        <w:jc w:val="both"/>
        <w:rPr/>
      </w:pPr>
      <w:r>
        <w:rPr>
          <w:rFonts w:ascii="Times New Roman;serif" w:hAnsi="Times New Roman;serif"/>
          <w:b w:val="false"/>
          <w:color w:val="000000"/>
          <w:sz w:val="20"/>
          <w:shd w:fill="FFFFFF" w:val="clear"/>
        </w:rPr>
        <w:t>We are sensitive to price movements and availability of our raw materials supply. Our largest raw material purchases are for polypropylene, polyethylene, steel, aluminum, and other oil and metal-based purchased components, the costs for each of which are subject to volatility. There has also been volatility in certain of our input costs as a direct and indirect result of foreign trade policy as well as from geopolitical conditions. We will continue to take actions to mitigate such increases, including implementing commercial pricing adjustments, holding extra inventories, resourcing to alternate suppliers and insourcing of previously sourced products. If suppliers or subcontractors fail to meet contractu</w:t>
      </w:r>
      <w:r>
        <w:rPr>
          <w:rFonts w:ascii="Times New Roman;serif" w:hAnsi="Times New Roman;serif"/>
          <w:b w:val="false"/>
          <w:color w:val="000000"/>
          <w:sz w:val="20"/>
        </w:rPr>
        <w:t xml:space="preserve">al requirements, we may be unable to secure acceptable alternatives on reasonable terms or in time to meet customer commitments, which could result in increased costs and penalties, the assertion of force majeure clauses in contracts with customers and disruptions to our operations. </w:t>
      </w:r>
      <w:r>
        <w:rPr>
          <w:rFonts w:ascii="Times New Roman;serif" w:hAnsi="Times New Roman;serif"/>
          <w:b w:val="false"/>
          <w:color w:val="000000"/>
          <w:sz w:val="20"/>
          <w:shd w:fill="FFFFFF" w:val="clear"/>
        </w:rPr>
        <w:t>Although we believe we are generally able to mitigate the impact of higher commodity costs and supply disruptions over time, we may experience additional material costs and disruptions in supply in the future and may not be able to pass along higher costs to our customers in the form of price increases or otherwise mitigate the impacts to our operating results.</w:t>
      </w:r>
    </w:p>
    <w:p>
      <w:pPr>
        <w:pStyle w:val="TextBody"/>
        <w:bidi w:val="0"/>
        <w:spacing w:lineRule="auto" w:line="288" w:before="16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Although we have escalator/de-escalator clauses in commercial contracts with certain of our customers to address fluctuations in input costs, or can modify prices based on market conditions to recover higher costs, our price increases generally lag the underlying input cost increase, and we cannot be assured of full cost recovery in the open market. If input costs increase at rapid rates, our ability to recover cost increases on a timely basis is made more difficult by the lag nature of these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Oil-based commodity costs are a significant driver of raw materials and purchased components used within our Packaging segment. As such, an increase in crude oil prices often is a precursor to rising polymeric raw material costs, for which we may experience a contractual commercial recovery lag. During 2026, geopolitical instability in the Middle East has contributed to volatility in global energy and logistics markets. These conditions have led to increased oil-based commodity costs, including resin and other input costs, which began to affect us in second quarter 2026. </w:t>
      </w:r>
    </w:p>
    <w:p>
      <w:pPr>
        <w:pStyle w:val="TextBody"/>
        <w:bidi w:val="0"/>
        <w:spacing w:lineRule="auto" w:line="288" w:before="160" w:after="160"/>
        <w:jc w:val="both"/>
        <w:rPr/>
      </w:pPr>
      <w:r>
        <w:rPr>
          <w:rFonts w:ascii="Times New Roman;serif" w:hAnsi="Times New Roman;serif"/>
          <w:b w:val="false"/>
          <w:color w:val="000000"/>
          <w:sz w:val="20"/>
        </w:rPr>
        <w:t>Each year our businesses target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r>
        <w:rPr>
          <w:rFonts w:ascii="Times New Roman;serif" w:hAnsi="Times New Roman;serif"/>
          <w:b w:val="false"/>
          <w:color w:val="000000"/>
          <w:sz w:val="20"/>
          <w:shd w:fill="FFFFFF" w:val="clear"/>
        </w:rPr>
        <w:t>.</w:t>
      </w:r>
    </w:p>
    <w:p>
      <w:pPr>
        <w:pStyle w:val="TextBody"/>
        <w:bidi w:val="0"/>
        <w:spacing w:lineRule="auto" w:line="288" w:before="160" w:after="160"/>
        <w:jc w:val="both"/>
        <w:rPr/>
      </w:pPr>
      <w:r>
        <w:rPr>
          <w:rFonts w:ascii="Times New Roman;serif" w:hAnsi="Times New Roman;serif"/>
          <w:b w:val="false"/>
          <w:color w:val="000000"/>
          <w:sz w:val="20"/>
          <w:shd w:fill="FFFFFF" w:val="clear"/>
        </w:rPr>
        <w:t xml:space="preserve">We continue to evaluate alternatives to redeploy the cash generated by our businesses, one of which includes returning capital to our shareholders. </w:t>
      </w:r>
      <w:r>
        <w:rPr>
          <w:rFonts w:ascii="Times New Roman;serif" w:hAnsi="Times New Roman;serif"/>
          <w:b w:val="false"/>
          <w:color w:val="000000"/>
          <w:sz w:val="20"/>
        </w:rPr>
        <w:t>In February 2026, our Board of Directors authorized us to increase the purchase of our common stock up to $150 million in the aggregate, adding to the $48.9 million remaining under the previous authorization</w:t>
      </w:r>
      <w:r>
        <w:rPr>
          <w:rFonts w:ascii="Times New Roman;serif" w:hAnsi="Times New Roman;serif"/>
          <w:b w:val="false"/>
          <w:color w:val="000000"/>
          <w:sz w:val="20"/>
          <w:shd w:fill="FFFFFF" w:val="clear"/>
        </w:rPr>
        <w:t xml:space="preserve">. During </w:t>
      </w:r>
      <w:r>
        <w:rPr>
          <w:rFonts w:ascii="Times New Roman;serif" w:hAnsi="Times New Roman;serif"/>
          <w:b w:val="false"/>
          <w:color w:val="000000"/>
          <w:sz w:val="20"/>
        </w:rPr>
        <w:t>second quarter</w:t>
      </w:r>
      <w:r>
        <w:rPr>
          <w:color w:val="000000"/>
          <w:shd w:fill="FFFFFF" w:val="clear"/>
        </w:rPr>
        <w:t xml:space="preserve"> </w:t>
      </w:r>
      <w:r>
        <w:rPr>
          <w:rFonts w:ascii="Times New Roman;serif" w:hAnsi="Times New Roman;serif"/>
          <w:b w:val="false"/>
          <w:color w:val="000000"/>
          <w:sz w:val="20"/>
          <w:shd w:fill="FFFFFF" w:val="clear"/>
        </w:rPr>
        <w:t xml:space="preserve">2026, 509,264 shares were purchased.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we had $76.5 million remaining under the repurchase authorization. </w:t>
      </w:r>
    </w:p>
    <w:p>
      <w:pPr>
        <w:pStyle w:val="TextBody"/>
        <w:bidi w:val="0"/>
        <w:spacing w:lineRule="auto" w:line="288" w:before="160" w:after="160"/>
        <w:jc w:val="both"/>
        <w:rPr/>
      </w:pPr>
      <w:r>
        <w:rPr>
          <w:rFonts w:ascii="Times New Roman;serif" w:hAnsi="Times New Roman;serif"/>
          <w:b w:val="false"/>
          <w:color w:val="000000"/>
          <w:sz w:val="20"/>
          <w:shd w:fill="FFFFFF" w:val="clear"/>
        </w:rPr>
        <w:t xml:space="preserve">In addition, in </w:t>
      </w:r>
      <w:r>
        <w:rPr>
          <w:rFonts w:ascii="Times New Roman;serif" w:hAnsi="Times New Roman;serif"/>
          <w:b w:val="false"/>
          <w:color w:val="000000"/>
          <w:sz w:val="20"/>
        </w:rPr>
        <w:t>second quarter</w:t>
      </w:r>
      <w:r>
        <w:rPr>
          <w:color w:val="000000"/>
          <w:shd w:fill="FFFFFF" w:val="clear"/>
        </w:rPr>
        <w:t xml:space="preserve"> </w:t>
      </w:r>
      <w:r>
        <w:rPr>
          <w:rFonts w:ascii="Times New Roman;serif" w:hAnsi="Times New Roman;serif"/>
          <w:b w:val="false"/>
          <w:color w:val="000000"/>
          <w:sz w:val="20"/>
          <w:shd w:fill="FFFFFF" w:val="clear"/>
        </w:rPr>
        <w:t xml:space="preserve">2026, we declared dividends of $0.04 per share of common stock and paid dividends of </w:t>
      </w:r>
      <w:r>
        <w:rPr>
          <w:rFonts w:ascii="Times New Roman;serif" w:hAnsi="Times New Roman;serif"/>
          <w:b w:val="false"/>
          <w:color w:val="000000"/>
          <w:sz w:val="20"/>
        </w:rPr>
        <w:t>$1.4 million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We will continue to evaluate opportunities to return capital to shareholders through the purchase of our common stock, as well as dividends, depending on market conditions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Segment Information and Supplemental Analysis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financial information for our reportable segments for the three months ended June 30, 2026 and 2025 (dollars in thousands): </w:t>
      </w:r>
    </w:p>
    <w:tbl>
      <w:tblPr>
        <w:tblW w:w="10065" w:type="dxa"/>
        <w:jc w:val="left"/>
        <w:tblInd w:w="0" w:type="dxa"/>
        <w:tblLayout w:type="fixed"/>
        <w:tblCellMar>
          <w:top w:w="28" w:type="dxa"/>
          <w:left w:w="28" w:type="dxa"/>
          <w:bottom w:w="28" w:type="dxa"/>
          <w:right w:w="28" w:type="dxa"/>
        </w:tblCellMar>
      </w:tblPr>
      <w:tblGrid>
        <w:gridCol w:w="1440"/>
        <w:gridCol w:w="1266"/>
        <w:gridCol w:w="1283"/>
        <w:gridCol w:w="211"/>
        <w:gridCol w:w="826"/>
        <w:gridCol w:w="109"/>
        <w:gridCol w:w="109"/>
        <w:gridCol w:w="109"/>
        <w:gridCol w:w="109"/>
        <w:gridCol w:w="353"/>
        <w:gridCol w:w="293"/>
        <w:gridCol w:w="733"/>
        <w:gridCol w:w="109"/>
        <w:gridCol w:w="109"/>
        <w:gridCol w:w="109"/>
        <w:gridCol w:w="211"/>
        <w:gridCol w:w="826"/>
        <w:gridCol w:w="109"/>
        <w:gridCol w:w="109"/>
        <w:gridCol w:w="109"/>
        <w:gridCol w:w="109"/>
        <w:gridCol w:w="335"/>
        <w:gridCol w:w="281"/>
        <w:gridCol w:w="808"/>
      </w:tblGrid>
      <w:tr>
        <w:trPr/>
        <w:tc>
          <w:tcPr>
            <w:tcW w:w="144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a Percentage</w:t>
              <w:br/>
              <w:t xml:space="preserve">of Net Sales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a Percentage</w:t>
              <w:br/>
              <w:t xml:space="preserve">of Net Sales </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 (Loss)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detail on the year-over-year sales growth percentages for our reportable segments for the three months ended June 30, 2026 as compared to the three months ended June 30, 2025: </w:t>
      </w:r>
    </w:p>
    <w:tbl>
      <w:tblPr>
        <w:tblW w:w="9164" w:type="dxa"/>
        <w:jc w:val="left"/>
        <w:tblInd w:w="0" w:type="dxa"/>
        <w:tblLayout w:type="fixed"/>
        <w:tblCellMar>
          <w:top w:w="28" w:type="dxa"/>
          <w:left w:w="28" w:type="dxa"/>
          <w:bottom w:w="28" w:type="dxa"/>
          <w:right w:w="28" w:type="dxa"/>
        </w:tblCellMar>
      </w:tblPr>
      <w:tblGrid>
        <w:gridCol w:w="1042"/>
        <w:gridCol w:w="916"/>
        <w:gridCol w:w="921"/>
        <w:gridCol w:w="109"/>
        <w:gridCol w:w="109"/>
        <w:gridCol w:w="109"/>
        <w:gridCol w:w="254"/>
        <w:gridCol w:w="257"/>
        <w:gridCol w:w="422"/>
        <w:gridCol w:w="169"/>
        <w:gridCol w:w="169"/>
        <w:gridCol w:w="169"/>
        <w:gridCol w:w="169"/>
        <w:gridCol w:w="169"/>
        <w:gridCol w:w="227"/>
        <w:gridCol w:w="227"/>
        <w:gridCol w:w="567"/>
        <w:gridCol w:w="169"/>
        <w:gridCol w:w="169"/>
        <w:gridCol w:w="169"/>
        <w:gridCol w:w="329"/>
        <w:gridCol w:w="329"/>
        <w:gridCol w:w="826"/>
        <w:gridCol w:w="109"/>
        <w:gridCol w:w="109"/>
        <w:gridCol w:w="109"/>
        <w:gridCol w:w="254"/>
        <w:gridCol w:w="257"/>
        <w:gridCol w:w="330"/>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Second Quarter 2026 vs. Second Quarter 2025</w:t>
            </w:r>
          </w:p>
        </w:tc>
        <w:tc>
          <w:tcPr>
            <w:tcW w:w="1168" w:type="dxa"/>
            <w:gridSpan w:val="6"/>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Divestitures</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TriMas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financial information for our reportable segments for the six months ended June 30, 2026 and 2025 (dollars in thousands):</w:t>
      </w:r>
    </w:p>
    <w:tbl>
      <w:tblPr>
        <w:tblW w:w="10065" w:type="dxa"/>
        <w:jc w:val="left"/>
        <w:tblInd w:w="0" w:type="dxa"/>
        <w:tblLayout w:type="fixed"/>
        <w:tblCellMar>
          <w:top w:w="28" w:type="dxa"/>
          <w:left w:w="28" w:type="dxa"/>
          <w:bottom w:w="28" w:type="dxa"/>
          <w:right w:w="28" w:type="dxa"/>
        </w:tblCellMar>
      </w:tblPr>
      <w:tblGrid>
        <w:gridCol w:w="1440"/>
        <w:gridCol w:w="1266"/>
        <w:gridCol w:w="1283"/>
        <w:gridCol w:w="211"/>
        <w:gridCol w:w="826"/>
        <w:gridCol w:w="109"/>
        <w:gridCol w:w="109"/>
        <w:gridCol w:w="109"/>
        <w:gridCol w:w="109"/>
        <w:gridCol w:w="353"/>
        <w:gridCol w:w="293"/>
        <w:gridCol w:w="733"/>
        <w:gridCol w:w="109"/>
        <w:gridCol w:w="109"/>
        <w:gridCol w:w="109"/>
        <w:gridCol w:w="211"/>
        <w:gridCol w:w="826"/>
        <w:gridCol w:w="109"/>
        <w:gridCol w:w="109"/>
        <w:gridCol w:w="109"/>
        <w:gridCol w:w="109"/>
        <w:gridCol w:w="335"/>
        <w:gridCol w:w="281"/>
        <w:gridCol w:w="808"/>
      </w:tblGrid>
      <w:tr>
        <w:trPr/>
        <w:tc>
          <w:tcPr>
            <w:tcW w:w="144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a Percentage</w:t>
              <w:br/>
              <w:t xml:space="preserve">of Net Sales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a Percentage</w:t>
              <w:br/>
              <w:t xml:space="preserve">of Net Sales </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Profit (Loss)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Amortization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detail on the year-over-year sales growth percentages for our reportable segments for the six months ended June 30, 2026 as compared to the six months ended June 30, 2025: </w:t>
      </w:r>
    </w:p>
    <w:tbl>
      <w:tblPr>
        <w:tblW w:w="10205" w:type="dxa"/>
        <w:jc w:val="left"/>
        <w:tblInd w:w="0" w:type="dxa"/>
        <w:tblLayout w:type="fixed"/>
        <w:tblCellMar>
          <w:top w:w="28" w:type="dxa"/>
          <w:left w:w="28" w:type="dxa"/>
          <w:bottom w:w="28" w:type="dxa"/>
          <w:right w:w="28" w:type="dxa"/>
        </w:tblCellMar>
      </w:tblPr>
      <w:tblGrid>
        <w:gridCol w:w="1021"/>
        <w:gridCol w:w="898"/>
        <w:gridCol w:w="903"/>
        <w:gridCol w:w="109"/>
        <w:gridCol w:w="109"/>
        <w:gridCol w:w="109"/>
        <w:gridCol w:w="264"/>
        <w:gridCol w:w="263"/>
        <w:gridCol w:w="645"/>
        <w:gridCol w:w="258"/>
        <w:gridCol w:w="258"/>
        <w:gridCol w:w="258"/>
        <w:gridCol w:w="258"/>
        <w:gridCol w:w="258"/>
        <w:gridCol w:w="264"/>
        <w:gridCol w:w="264"/>
        <w:gridCol w:w="652"/>
        <w:gridCol w:w="258"/>
        <w:gridCol w:w="258"/>
        <w:gridCol w:w="258"/>
        <w:gridCol w:w="327"/>
        <w:gridCol w:w="327"/>
        <w:gridCol w:w="807"/>
        <w:gridCol w:w="109"/>
        <w:gridCol w:w="109"/>
        <w:gridCol w:w="109"/>
        <w:gridCol w:w="255"/>
        <w:gridCol w:w="256"/>
        <w:gridCol w:w="341"/>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2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7"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to Date Second Quarter 2026 vs. Year to Date Second Quarter 2025</w:t>
            </w:r>
          </w:p>
        </w:tc>
        <w:tc>
          <w:tcPr>
            <w:tcW w:w="1179" w:type="dxa"/>
            <w:gridSpan w:val="6"/>
            <w:tcBorders/>
          </w:tcPr>
          <w:p>
            <w:pPr>
              <w:pStyle w:val="TableContents"/>
              <w:bidi w:val="0"/>
              <w:spacing w:before="0" w:after="283"/>
              <w:jc w:val="left"/>
              <w:rPr>
                <w:sz w:val="4"/>
                <w:szCs w:val="4"/>
              </w:rPr>
            </w:pPr>
            <w:r>
              <w:rPr>
                <w:sz w:val="4"/>
                <w:szCs w:val="4"/>
              </w:rPr>
            </w:r>
          </w:p>
        </w:tc>
      </w:tr>
      <w:tr>
        <w:trPr/>
        <w:tc>
          <w:tcPr>
            <w:tcW w:w="2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Organic</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Divestitures</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TriMas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r>
      <w:tr>
        <w:trPr/>
        <w:tc>
          <w:tcPr>
            <w:tcW w:w="2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Results of Operations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factors impacting us during the three months ended June 30, 2026, compared with the three months ended June 30, 2025, were: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 xml:space="preserve">Increase in demand for products within our Specialty Products segment; </w:t>
      </w:r>
    </w:p>
    <w:p>
      <w:pPr>
        <w:pStyle w:val="TextBody"/>
        <w:bidi w:val="0"/>
        <w:spacing w:lineRule="auto" w:line="288" w:before="160" w:after="160"/>
        <w:ind w:left="0" w:right="0" w:hanging="360"/>
        <w:jc w:val="both"/>
        <w:rPr/>
      </w:pPr>
      <w:r>
        <w:rPr>
          <w:color w:val="000000"/>
          <w:shd w:fill="FFFFFF" w:val="clear"/>
        </w:rPr>
        <w:t>•</w:t>
      </w:r>
      <w:r>
        <w:rPr>
          <w:rFonts w:ascii="Times New Roman;serif" w:hAnsi="Times New Roman;serif"/>
          <w:b w:val="false"/>
          <w:color w:val="000000"/>
          <w:sz w:val="20"/>
        </w:rPr>
        <w:t>Realignment costs related to the closure and consolidation of our Atkins, Arkansas facility into other locations within our Packaging segment;</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Interest income earned on the invested cash proceeds from the sale of our Aerospace business; and</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A decrease in our effective tax rate in second quarter 2026 compared with second quarter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before="100" w:after="1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Three Months Ended June 30, 2026 Compared with Three Months Ended June 30, 2025 </w:t>
      </w:r>
    </w:p>
    <w:p>
      <w:pPr>
        <w:pStyle w:val="TextBody"/>
        <w:bidi w:val="0"/>
        <w:spacing w:lineRule="auto" w:line="288" w:before="160" w:after="160"/>
        <w:jc w:val="both"/>
        <w:rPr/>
      </w:pPr>
      <w:r>
        <w:rPr>
          <w:rFonts w:ascii="Times New Roman;serif" w:hAnsi="Times New Roman;serif"/>
          <w:b w:val="false"/>
          <w:color w:val="000000"/>
          <w:sz w:val="20"/>
        </w:rPr>
        <w:t xml:space="preserve">Overall, net sales increased $2.8 million, or 1.6%, to $174.6 million for the three months ended June 30, 2026, as compared with $171.8 million in the three months ended June 30, 2025. </w:t>
      </w:r>
      <w:r>
        <w:rPr>
          <w:rFonts w:ascii="Times New Roman;serif" w:hAnsi="Times New Roman;serif"/>
          <w:b w:val="false"/>
          <w:color w:val="000000"/>
          <w:sz w:val="20"/>
          <w:shd w:fill="FFFFFF" w:val="clear"/>
        </w:rPr>
        <w:t xml:space="preserve">Organic sales, excluding </w:t>
      </w:r>
      <w:r>
        <w:rPr>
          <w:rFonts w:ascii="Times New Roman;serif" w:hAnsi="Times New Roman;serif"/>
          <w:b w:val="false"/>
          <w:color w:val="000000"/>
          <w:sz w:val="20"/>
        </w:rPr>
        <w:t xml:space="preserve">the impact of currency exchange, remained relatively flat, as organic sales increased 10.2% </w:t>
      </w:r>
      <w:r>
        <w:rPr>
          <w:rFonts w:ascii="Times New Roman;serif" w:hAnsi="Times New Roman;serif"/>
          <w:b w:val="false"/>
          <w:color w:val="000000"/>
          <w:sz w:val="20"/>
          <w:shd w:fill="FFFFFF" w:val="clear"/>
        </w:rPr>
        <w:t xml:space="preserve">within our Specialty segment, </w:t>
      </w:r>
      <w:r>
        <w:rPr>
          <w:rFonts w:ascii="Times New Roman;serif" w:hAnsi="Times New Roman;serif"/>
          <w:b w:val="false"/>
          <w:color w:val="000000"/>
          <w:sz w:val="20"/>
        </w:rPr>
        <w:t xml:space="preserve">due to higher demand levels for steel cylinders, while </w:t>
      </w:r>
      <w:r>
        <w:rPr>
          <w:rFonts w:ascii="Times New Roman;serif" w:hAnsi="Times New Roman;serif"/>
          <w:b w:val="false"/>
          <w:color w:val="000000"/>
          <w:sz w:val="20"/>
          <w:shd w:fill="FFFFFF" w:val="clear"/>
        </w:rPr>
        <w:t>organic sales decreased 2.1% within our Packaging segment</w:t>
      </w:r>
      <w:r>
        <w:rPr>
          <w:rFonts w:ascii="Times New Roman;serif" w:hAnsi="Times New Roman;serif"/>
          <w:b w:val="false"/>
          <w:color w:val="000000"/>
          <w:sz w:val="20"/>
        </w:rPr>
        <w:t>. In addition, net sales increased by $2.9 million due to currency exchange, as our reported results in U.S. dollars were favorably impacted as a result of the weakening of the U.S. dollar relative to foreign currencies.</w:t>
      </w:r>
    </w:p>
    <w:p>
      <w:pPr>
        <w:pStyle w:val="TextBody"/>
        <w:bidi w:val="0"/>
        <w:spacing w:lineRule="auto" w:line="288" w:before="160" w:after="160"/>
        <w:jc w:val="both"/>
        <w:rPr/>
      </w:pPr>
      <w:r>
        <w:rPr>
          <w:rFonts w:ascii="Times New Roman;serif" w:hAnsi="Times New Roman;serif"/>
          <w:b w:val="false"/>
          <w:color w:val="000000"/>
          <w:sz w:val="20"/>
          <w:shd w:fill="FFFFFF" w:val="clear"/>
        </w:rPr>
        <w:t>Gross profit margin (gross profit as a percentage of sales) approximated 20.2% and 22.1% for the three months ended June 30, 2026 and 2025, respectively</w:t>
      </w:r>
      <w:r>
        <w:rPr>
          <w:rFonts w:ascii="Times New Roman;serif" w:hAnsi="Times New Roman;serif"/>
          <w:b w:val="false"/>
          <w:color w:val="000000"/>
          <w:sz w:val="20"/>
        </w:rPr>
        <w:t>. Gross profit margin decreased primarily due to $1.9 million of higher realignment costs related to the closure and consolidation of our Atkins, Arkansas facility within our Packaging segment, as well as due to higher production costs and manufacturing inefficiencies within our Specialty Products segment.</w:t>
      </w:r>
    </w:p>
    <w:p>
      <w:pPr>
        <w:pStyle w:val="TextBody"/>
        <w:bidi w:val="0"/>
        <w:spacing w:lineRule="auto" w:line="288" w:before="160" w:after="160"/>
        <w:jc w:val="both"/>
        <w:rPr/>
      </w:pPr>
      <w:r>
        <w:rPr>
          <w:rFonts w:ascii="Times New Roman;serif" w:hAnsi="Times New Roman;serif"/>
          <w:b w:val="false"/>
          <w:color w:val="000000"/>
          <w:sz w:val="20"/>
          <w:shd w:fill="FFFFFF" w:val="clear"/>
        </w:rPr>
        <w:t>Operating profit margin (operating profit as a p</w:t>
      </w:r>
      <w:r>
        <w:rPr>
          <w:rFonts w:ascii="Times New Roman;serif" w:hAnsi="Times New Roman;serif"/>
          <w:b w:val="false"/>
          <w:color w:val="000000"/>
          <w:sz w:val="20"/>
        </w:rPr>
        <w:t xml:space="preserve">ercentage of sales) approximated 6.2% and 4.3% for the three months ended June 30, 2026 and 2025, respectively. Operating profit increased $3.5 million to $10.9 million in the three months ended June 30, 2026, from $7.4 million for the three months ended June 30, 2025, </w:t>
      </w:r>
      <w:r>
        <w:rPr>
          <w:rFonts w:ascii="Times New Roman;serif" w:hAnsi="Times New Roman;serif"/>
          <w:b w:val="false"/>
          <w:color w:val="000000"/>
          <w:sz w:val="20"/>
          <w:shd w:fill="FFFFFF" w:val="clear"/>
        </w:rPr>
        <w:t>primarily</w:t>
      </w:r>
      <w:r>
        <w:rPr>
          <w:color w:val="000000"/>
        </w:rPr>
        <w:t xml:space="preserve"> </w:t>
      </w:r>
      <w:r>
        <w:rPr>
          <w:rFonts w:ascii="Times New Roman;serif" w:hAnsi="Times New Roman;serif"/>
          <w:b w:val="false"/>
          <w:color w:val="000000"/>
          <w:sz w:val="20"/>
        </w:rPr>
        <w:t>due to a decrease in consulting costs and costs associated with actions to reorganize the corporate office in the second quarter of 2025, as well as a decrease in employee-related costs and overall general corporate expenses. These increases were partially offset by $1.4 million of higher realignment costs, primarily related to the closure and consolidation of our Atkins, Arkansas facility within our Packaging segment, and higher production costs and manufacturing inefficiencies within our Specialty Products segment.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$0.4 million, to $4.1 million for the three months ended June 30, 2026, compared to $4.6 million for the three months ended June 30, 2025, due to a decrease in our weighted average borrowings on our revolving credit facility within the second quarter of 2026.</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Other income increased $11.1 million to $11.3 million for the three months ended June 30, 2026, as compared to $0.3 million for the three months ended June 30, 2025, primarily due to $10.9 million of interest income on the invested cash proceeds from the sale of Aerospace.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income tax rate for the three months ended June 30, 2026 and 2025 was (272.3)% and 22.5%, respectively. We recorded an income tax benefit of $49.2 million and income tax expense of $0.7 million for the three months ended June 30, 2026 and 2025, respectively. The significantly lower effective tax rate in the second quarter of 2026 was primarily driven by the misapplication of income tax accounting guidance related to allocation of tax provision in the first quarter of 2026 that resulted in tax expense of $53.9 million being reported in the results of continuing operations. The $53.9 million of tax expense was subsequently reported as an out-of-period adjustment in the second quarter of 2026 in the results of discontinued operations. There was no change to the total Company tax expense in either period.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Income from continuing operations increased $64.9 million, to $67.3 million for the three months ended June 30, 2026, as compared to $2.4 million for the three months ended June 30, 2025. The increase was primarily the result of a decrease in income tax expense of $49.9 million, an increase of $11.1 million in other income, an increase in operating profit of $3.5 million, and a decrease in interest expense of $0.4 million.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See below for a discussion of operating results by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pPr>
      <w:r>
        <w:rPr>
          <w:rFonts w:ascii="Times New Roman;serif" w:hAnsi="Times New Roman;serif"/>
          <w:b/>
          <w:i/>
          <w:color w:val="000000"/>
          <w:sz w:val="20"/>
        </w:rPr>
        <w:t xml:space="preserve">Packaging. </w:t>
      </w:r>
      <w:r>
        <w:rPr>
          <w:rFonts w:ascii="Times New Roman;serif" w:hAnsi="Times New Roman;serif"/>
          <w:b w:val="false"/>
          <w:color w:val="000000"/>
          <w:sz w:val="20"/>
        </w:rPr>
        <w:t>Net sales decreased $0.1 million, or 0.1% (of which (2.1)% was organic and 2.0% was foreign currency exchange), to $142.9 million in the three months ended June 30, 2026, as compared to $143.0 million in the three months ended June 30, 2025. Sales of products used in food and beverage applications decreased by $2.5 million, sales of dispensing products used primarily for beauty, personal care and home care applications decreased by $2.2 million, and sales of other consumer goods products decreased by $2.6 million. These decreases were partially offset by higher sales of products used in life sciences markets of $3.2 million and higher sales of products used for industrial applications of $1.2 million. Net sales increased by $2.9 million due to currency exchange, as our reported results in U.S. dollars were favorably impacted as a result of the weakening of the U.S. dollar relative to foreign currencies, as compared to second quarter 2025.</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Gross profit decreased $2.0 million to $33.6 million, or 23.5% of sales, in the three months ended June 30, 2026, as compared to $35.6 million, or 24.9% of sales, in the three months ended June 30, 2025, primarily due to $1.9 million higher realignment costs related to the closure and consolidation of our Atkins, Arkansas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$0.7 million to $14.9 million, or 10.4% of sales, in the three months ended June 30, 2026, as compared to $15.5 million, or 10.9% of sales, in the three months ended June 30, 2025, primarily due to lower employee-related costs and lower intangible asset amortization expense due to certain assets becoming fully amortized, partially offset by $0.2 million of higher realignment costs.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Operating profit decreased $1.3 million to $18.7 million, or 13.1% of sales, in the three months ended June 30, 2026, as compared to $20.0 million, or 14.0% of sales, in the three months ended June 30, 2025, primarily due to $2.1 million of higher realignment costs, partially offset by lower employee-related costs and lower intangible asset amortization expense due to certain assets becoming fully amortized.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pPr>
      <w:r>
        <w:rPr>
          <w:rFonts w:ascii="Times New Roman;serif" w:hAnsi="Times New Roman;serif"/>
          <w:b/>
          <w:i/>
          <w:color w:val="000000"/>
          <w:sz w:val="20"/>
        </w:rPr>
        <w:t>Specialty Products.</w:t>
      </w:r>
      <w:r>
        <w:rPr>
          <w:color w:val="000000"/>
        </w:rPr>
        <w:t xml:space="preserve">   </w:t>
      </w:r>
      <w:r>
        <w:rPr>
          <w:rFonts w:ascii="Times New Roman;serif" w:hAnsi="Times New Roman;serif"/>
          <w:b w:val="false"/>
          <w:color w:val="000000"/>
          <w:sz w:val="20"/>
        </w:rPr>
        <w:t xml:space="preserve">Net sales for the three months ended June 30, 2026 increased $2.9 million, or 10.2%, to $31.7 million, as compared to $28.7 million in the three months ended June 30, 2025, primarily due to higher demand and market share gains. </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Gross profit decreased $0.6 million to $1.8 million, or 5.6% of sales, in the three months ended June 30, 2026, as compared to $2.4 million, or 8.4% of sales, in the three months ended June 30, 2025, as the impact of increased steel cylinder sales was more than offset by higher production costs due to inefficient ramping up of labor and machinery to meet the higher demand levels, as well as higher material costs.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were flat at $1.1 million, or 3.4% of sales, in the three months ended June 30, 2026, as compared to $1.1 million, or 4.0% of sales, in the three months ended June 30, 2025, as the segment managed spending levels while supporting elevated market demand.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Operating profit decreased $0.6 million to $0.7 million, or 2.2% of sales, in the three months ended June 30, 2026, as compared to $1.3 million, or 4.4% of sales, in the three months ended June 30, 2025, as the impact of increased steel cylinder sales was more than offset by higher production costs and manufacturing inefficiencies.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pPr>
      <w:r>
        <w:rPr>
          <w:rFonts w:ascii="Times New Roman;serif" w:hAnsi="Times New Roman;serif"/>
          <w:b/>
          <w:i/>
          <w:color w:val="000000"/>
          <w:sz w:val="20"/>
        </w:rPr>
        <w:t>Corporate.</w:t>
      </w:r>
      <w:r>
        <w:rPr>
          <w:color w:val="000000"/>
        </w:rPr>
        <w:t>    </w:t>
      </w:r>
      <w:r>
        <w:rPr>
          <w:rFonts w:ascii="Times New Roman;serif" w:hAnsi="Times New Roman;serif"/>
          <w:b w:val="false"/>
          <w:color w:val="000000"/>
          <w:sz w:val="20"/>
        </w:rPr>
        <w:t>Corporate expenses consist of the following (dollars in millions):</w:t>
      </w:r>
    </w:p>
    <w:tbl>
      <w:tblPr>
        <w:tblW w:w="5346" w:type="dxa"/>
        <w:jc w:val="center"/>
        <w:tblInd w:w="0" w:type="dxa"/>
        <w:tblLayout w:type="fixed"/>
        <w:tblCellMar>
          <w:top w:w="28" w:type="dxa"/>
          <w:left w:w="28" w:type="dxa"/>
          <w:bottom w:w="28" w:type="dxa"/>
          <w:right w:w="28" w:type="dxa"/>
        </w:tblCellMar>
      </w:tblPr>
      <w:tblGrid>
        <w:gridCol w:w="923"/>
        <w:gridCol w:w="811"/>
        <w:gridCol w:w="816"/>
        <w:gridCol w:w="109"/>
        <w:gridCol w:w="109"/>
        <w:gridCol w:w="109"/>
        <w:gridCol w:w="270"/>
        <w:gridCol w:w="521"/>
        <w:gridCol w:w="139"/>
        <w:gridCol w:w="139"/>
        <w:gridCol w:w="139"/>
        <w:gridCol w:w="139"/>
        <w:gridCol w:w="270"/>
        <w:gridCol w:w="655"/>
        <w:gridCol w:w="197"/>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Legacy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Corporate expenses decreased $5.3 million to $8.6 million for the three months ended June 30, 2026, from $13.9 million for the three months ended June 30, 2025, due to:</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Corporate operating expenses decreased $5.9 million to $6.2 million in the three months ended June 30, 2026 from $12.1 million in the three months ended June 30, 2025, primarily due to a $2.2 million decrease related to consulting costs and costs associated with actions to reorganize the corporate office in the second quarter of 2025, a $0.8 million decrease in costs associated with upgrades to certain of our information technology applications, as well as a decrease of $3.8 million of employee-related costs and overall general corporate expenses. These decreases were partially offset by $0.9 million of higher professional fees related to mergers, acquisition, diligence and transaction costs.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Non-cash stock compensation increased $0.6 million to $2.3 million in the three months ended June 30, 2026 from $1.7 million in the three months ended June 30, 2025, primarily due to timing and estimated attainment of existing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pPr>
      <w:r>
        <w:rPr>
          <w:rFonts w:ascii="Times New Roman;serif" w:hAnsi="Times New Roman;serif"/>
          <w:b/>
          <w:i/>
          <w:color w:val="000000"/>
          <w:sz w:val="20"/>
        </w:rPr>
        <w:t>Discontinued Operations.</w:t>
      </w:r>
      <w:r>
        <w:rPr>
          <w:color w:val="000000"/>
        </w:rPr>
        <w:t>    </w:t>
      </w:r>
      <w:r>
        <w:rPr>
          <w:rFonts w:ascii="Times New Roman;serif" w:hAnsi="Times New Roman;serif"/>
          <w:b w:val="false"/>
          <w:color w:val="000000"/>
          <w:sz w:val="20"/>
        </w:rPr>
        <w:t>The results of discontinued operations consist of our Aerospace segment, for which we entered into a definitive agreement to sell on November 4, 2025. On March 16, 2026, we completed the sale for a purchase price of approximately $1,456.9 million, subject to certain adjustments as set forth in the Purchase Agreement, which adjustments we expect to be finalized during 2026. Income (loss) from discontinued operations, net of income tax expense, was a loss of $53.9 million for the three months ended June 30, 2026, as compared to income of $14.3 million for the three months ended June 30, 2025. See Note 3, "</w:t>
      </w:r>
      <w:r>
        <w:rPr>
          <w:rFonts w:ascii="Times New Roman;serif" w:hAnsi="Times New Roman;serif"/>
          <w:b w:val="false"/>
          <w:i/>
          <w:color w:val="000000"/>
          <w:sz w:val="20"/>
        </w:rPr>
        <w:t>Discontinued Operations</w:t>
      </w:r>
      <w:r>
        <w:rPr>
          <w:rFonts w:ascii="Times New Roman;serif" w:hAnsi="Times New Roman;serif"/>
          <w:b w:val="false"/>
          <w:color w:val="000000"/>
          <w:sz w:val="20"/>
        </w:rPr>
        <w:t>," included in Part I, Item 1, "</w:t>
      </w:r>
      <w:r>
        <w:rPr>
          <w:rFonts w:ascii="Times New Roman;serif" w:hAnsi="Times New Roman;serif"/>
          <w:b w:val="false"/>
          <w:i/>
          <w:color w:val="000000"/>
          <w:sz w:val="20"/>
        </w:rPr>
        <w:t>Notes to Consolidated Financial Statements</w:t>
      </w:r>
      <w:r>
        <w:rPr>
          <w:rFonts w:ascii="Times New Roman;serif" w:hAnsi="Times New Roman;serif"/>
          <w:b w:val="false"/>
          <w:color w:val="000000"/>
          <w:sz w:val="20"/>
        </w:rPr>
        <w:t>," within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Six Months Ended June 30, 2026 Compared with Six Months Ended June 30, 2025 </w:t>
      </w:r>
    </w:p>
    <w:p>
      <w:pPr>
        <w:pStyle w:val="TextBody"/>
        <w:bidi w:val="0"/>
        <w:spacing w:lineRule="auto" w:line="288" w:before="160" w:after="160"/>
        <w:jc w:val="both"/>
        <w:rPr/>
      </w:pPr>
      <w:r>
        <w:rPr>
          <w:rFonts w:ascii="Times New Roman;serif" w:hAnsi="Times New Roman;serif"/>
          <w:b w:val="false"/>
          <w:color w:val="000000"/>
          <w:sz w:val="20"/>
        </w:rPr>
        <w:t>Overall, net sales increased $18.7 million, or 5.8%, to $342.9 million for the six months ended June 30, 2026, as compared with $324.2 million in the six months ended June 30, 2025. Organic sales, excluding the impact of currency exchange and divestitures, increased $11.1 million, or 3.4%, as organic sales increased 16.0</w:t>
      </w:r>
      <w:r>
        <w:rPr>
          <w:rFonts w:ascii="Times New Roman;serif" w:hAnsi="Times New Roman;serif"/>
          <w:b w:val="false"/>
          <w:color w:val="000000"/>
          <w:sz w:val="20"/>
          <w:shd w:fill="FFFFFF" w:val="clear"/>
        </w:rPr>
        <w:t xml:space="preserve">% and 1.0% within our Specialty Products and Packaging </w:t>
      </w:r>
      <w:r>
        <w:rPr>
          <w:rFonts w:ascii="Times New Roman;serif" w:hAnsi="Times New Roman;serif"/>
          <w:b w:val="false"/>
          <w:color w:val="000000"/>
          <w:sz w:val="20"/>
        </w:rPr>
        <w:t>segments, respectively, due to end market demand improvements and growth initiatives. These increases were partially offset by the impact of the divestiture of our Arrow Engine business in our Specialty Products segment. In addition, net sales increased by $8.9 million due to currency exchange, as our reported results in U.S. dollars were favorably impacted as a result of a weakening U.S. dollar relative to foreign currencies.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Gross profit margin (gross profit as a percentage of sales) approximated 21.1% for the six months ended June 30, 2026 and 21.8% for the six months ended June 30, 2025. Gross profit margin decreased primarily due to $1.9 million of higher realignment costs related to the closure and consolidation of our Atkins, Arkansas facility within our Packaging segment. This decrease was partially offset by increased gross profit and margin from our Specialty Products segment.</w:t>
      </w:r>
    </w:p>
    <w:p>
      <w:pPr>
        <w:pStyle w:val="TextBody"/>
        <w:bidi w:val="0"/>
        <w:spacing w:lineRule="auto" w:line="288" w:before="160" w:after="160"/>
        <w:jc w:val="both"/>
        <w:rPr/>
      </w:pPr>
      <w:r>
        <w:rPr>
          <w:rFonts w:ascii="Times New Roman;serif" w:hAnsi="Times New Roman;serif"/>
          <w:b w:val="false"/>
          <w:color w:val="000000"/>
          <w:sz w:val="20"/>
        </w:rPr>
        <w:t xml:space="preserve">Operating profit margin (operating profit as a percentage of sales) approximated 5.2% and 4.5% for the six months ended June 30, 2026 and 2025, respectively. Operating profit increased $3.2 million, to $17.8 million, for the six months ended June 30, 2026, compared to $14.5 million for the six months ended June 30, 2025, </w:t>
      </w:r>
      <w:r>
        <w:rPr>
          <w:rFonts w:ascii="Times New Roman;serif" w:hAnsi="Times New Roman;serif"/>
          <w:b w:val="false"/>
          <w:color w:val="000000"/>
          <w:sz w:val="20"/>
          <w:shd w:fill="FFFFFF" w:val="clear"/>
        </w:rPr>
        <w:t>primarily</w:t>
      </w:r>
      <w:r>
        <w:rPr>
          <w:color w:val="000000"/>
        </w:rPr>
        <w:t xml:space="preserve"> </w:t>
      </w:r>
      <w:r>
        <w:rPr>
          <w:rFonts w:ascii="Times New Roman;serif" w:hAnsi="Times New Roman;serif"/>
          <w:b w:val="false"/>
          <w:color w:val="000000"/>
          <w:sz w:val="20"/>
        </w:rPr>
        <w:t>due to a decrease in consulting costs as well as a decrease in employee-related costs and overall general corporate expenses. Additionally, operating profit increased from our Specialty Products segment, as a result of increased sales of our steel cylinders. These increases were partially offset by the year-over-year impact of a $5.3 million gain on the sale of Arrow Engine in the first half of 2025 that did not recur and $1.7 million of higher realignment costs primarily related to the closure and consolidation of our Atkins, Arkansas facility within our Packaging segment.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$0.3 million, to $9.4 million, for the six months ended June 30, 2026, as compared to $9.1 million for the six months ended June 30, 2025, due to an increase in our weighted average borrowings and a higher effective interest rate on our revolving credit facility within the first half of 2026.</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Other income increased $12.0 million to $12.2 million, for the six months ended June 30, 2026, from $0.2 million for the six months ended June 30, 2025, as the $12.9 million of interest income earned on invested cash proceeds from the sale of our Aerospace business was partially offset by increased losses on foreign currency transactions.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effective income tax rate for the six months ended June 30, 2026 and 2025 was 24.7% and 23.7%, respectively. We recorded income tax expense of $5.1 million for the six months ended June 30, 2026, as compared to $1.4 million for the six months ended June 30, 2025. The increase in the effective tax rate was primarily driven by the jurisdictional mix of earnings and the impact of certain permanent tax benefits recognized in the prior year period. Those benefits had a proportionately greater effect on the prior year effective tax rate due to the significantly lower level of pre-tax income in that period.</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Income from continuing operations increased by $11.2 million, to $15.5 million for the six months ended June 30, 2026, compared to $4.4 million for the six months ended June 30, 2025. The Increase was primarily the result of an increase in other income of $12.0 million and an increase in operating profit of $3.2 million, partially offset by an increase in income tax expense of $3.8 million and an increase in interest expense of $0.3 million.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See below for a discussion of operating results by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i/>
          <w:color w:val="000000"/>
          <w:sz w:val="20"/>
        </w:rPr>
        <w:t xml:space="preserve">Packaging. </w:t>
      </w:r>
      <w:r>
        <w:rPr>
          <w:color w:val="000000"/>
        </w:rPr>
        <w:t>  </w:t>
      </w:r>
      <w:r>
        <w:rPr>
          <w:rFonts w:ascii="Times New Roman;serif" w:hAnsi="Times New Roman;serif"/>
          <w:b w:val="false"/>
          <w:color w:val="000000"/>
          <w:sz w:val="20"/>
        </w:rPr>
        <w:t>Net sales increased $11.5 million, or 4.3% (of which 1.0% was organic and 3.3% was foreign currency exchange), to $282.1 million in the six months ended June 30, 2026, as compared to $270.6 million in the six months ended June 30, 2025. The increase was driven primarily by higher sales of products used in life sciences markets of $8.2 million, partially offset by the decrease in sales of other consumer goods products of $3.6 million and decrease in sales of products used in food and beverage applications of $2.2 million. Net sales increased by $8.9 million due to currency exchange, as our reported results in U.S. dollars were favorably impacted as a result of the weakening U.S. dollar relative to foreign currencies, as compared to 2025.</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Gross profit decreased $0.8 million to $66.2 million, or 23.5% of sales, in the six months ended June 30, 2026, as compared to $67.0 million, or 24.8% of sales, in the six months ended June 30, 2025, as the $1.9 million higher realignment costs related to the closure and consolidation of our Atkins, Arkansas facility more than offset the impact of increased sales.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$3.2 million to $33.0 million, or 11.7% of sales, in the six months ended June 30, 2026, as compared to $29.8 million, or 11.0% of sales, in the six months ended June 30, 2025, primarily due to $2.9 million of higher realignment costs related to the comprehensive reorganization of our Packaging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profit decreased $4.0 million to $33.3 million, or 11.8% of sales, in the six months ended June 30, 2026, as compared to $37.2 million, or 13.8% of sales, in the six months ended June 30, 2025, primarily due to higher realignment costs, partially offset by the impact of increased sales.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pPr>
      <w:r>
        <w:rPr>
          <w:rFonts w:ascii="Times New Roman;serif" w:hAnsi="Times New Roman;serif"/>
          <w:b/>
          <w:i/>
          <w:color w:val="000000"/>
          <w:sz w:val="20"/>
        </w:rPr>
        <w:t>Specialty Products.</w:t>
      </w:r>
      <w:r>
        <w:rPr>
          <w:color w:val="000000"/>
        </w:rPr>
        <w:t>    </w:t>
      </w:r>
      <w:r>
        <w:rPr>
          <w:rFonts w:ascii="Times New Roman;serif" w:hAnsi="Times New Roman;serif"/>
          <w:b w:val="false"/>
          <w:color w:val="000000"/>
          <w:sz w:val="20"/>
        </w:rPr>
        <w:t>Net sales for the six months ended June 30, 2026 increased $7.1 million, or 13.3% (of which 16.0% was organic and (2.7)% was due to the divestiture of Arrow Engine), to $60.8 million, as compared to $53.6 million in the six months ended June 30, 2025. Sales of steel cylinders increased $8.6 million, or 16.4%, to $60.8 million, as compared to $52.2 million, primarily due to improved demand for industrial applications and market share gains. Arrow Engine contributed $1.4 million of sales in six months ended June 30, 2025. See Note 6, "</w:t>
      </w:r>
      <w:r>
        <w:rPr>
          <w:rFonts w:ascii="Times New Roman;serif" w:hAnsi="Times New Roman;serif"/>
          <w:b w:val="false"/>
          <w:i/>
          <w:color w:val="000000"/>
          <w:sz w:val="20"/>
        </w:rPr>
        <w:t>Acquisitions and Sale of Business,</w:t>
      </w:r>
      <w:r>
        <w:rPr>
          <w:rFonts w:ascii="Times New Roman;serif" w:hAnsi="Times New Roman;serif"/>
          <w:b w:val="false"/>
          <w:color w:val="000000"/>
          <w:sz w:val="20"/>
        </w:rPr>
        <w:t>" included in Part I, Item 1, "</w:t>
      </w:r>
      <w:r>
        <w:rPr>
          <w:rFonts w:ascii="Times New Roman;serif" w:hAnsi="Times New Roman;serif"/>
          <w:b w:val="false"/>
          <w:i/>
          <w:color w:val="000000"/>
          <w:sz w:val="20"/>
        </w:rPr>
        <w:t>Notes to Consolidated Financial Statements</w:t>
      </w:r>
      <w:r>
        <w:rPr>
          <w:rFonts w:ascii="Times New Roman;serif" w:hAnsi="Times New Roman;serif"/>
          <w:b w:val="false"/>
          <w:color w:val="000000"/>
          <w:sz w:val="20"/>
        </w:rPr>
        <w:t>," within this quarterly report on Form 10-Q for more information.</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Gross profit increased $2.2 million to $6.0 million, or 9.8% of sales, in the six months ended June 30, 2026, as compared to $3.8 million, or 7.0% of sales, in the six months ended June 30, 2025, primarily due to an increase in sales of our steel cylinders. The increase in gross profit from the sale of our steel cylinders was partially offset by the year-over-year impact from the divestiture of our Arrow Engine business.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decreased $1.2 million to $2.5 million, or 4.0% of sales, in the six months ended June 30, 2026, as compared to $3.7 million, or 6.8% of sales, in the six months ended June 30, 2025, primarily due to $1.2 million of incurred expenses related to our Arrow Engine business, which we divested in January 2025.</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Operating profit increased $3.4 million to $3.6 million, or 5.8% of sales, in the six months ended June 30, 2026, as compared to $0.1 million, or 0.2% of sales, in the six months ended June 30, 2025, primarily due to higher sales of our steel cylinders and lower selling, general and administrative expenses, partially offset by the year-over-year impact from the divestiture of our Arrow Engine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pPr>
      <w:r>
        <w:rPr>
          <w:rFonts w:ascii="Times New Roman;serif" w:hAnsi="Times New Roman;serif"/>
          <w:b/>
          <w:i/>
          <w:color w:val="000000"/>
          <w:sz w:val="20"/>
        </w:rPr>
        <w:t>Corporate.</w:t>
      </w:r>
      <w:r>
        <w:rPr>
          <w:color w:val="000000"/>
        </w:rPr>
        <w:t>    </w:t>
      </w:r>
      <w:r>
        <w:rPr>
          <w:rFonts w:ascii="Times New Roman;serif" w:hAnsi="Times New Roman;serif"/>
          <w:b w:val="false"/>
          <w:color w:val="000000"/>
          <w:sz w:val="20"/>
        </w:rPr>
        <w:t>Corporate expenses, net consist of the following (dollars in millions):</w:t>
      </w:r>
    </w:p>
    <w:tbl>
      <w:tblPr>
        <w:tblW w:w="5140" w:type="dxa"/>
        <w:jc w:val="center"/>
        <w:tblInd w:w="0" w:type="dxa"/>
        <w:tblLayout w:type="fixed"/>
        <w:tblCellMar>
          <w:top w:w="28" w:type="dxa"/>
          <w:left w:w="28" w:type="dxa"/>
          <w:bottom w:w="28" w:type="dxa"/>
          <w:right w:w="28" w:type="dxa"/>
        </w:tblCellMar>
      </w:tblPr>
      <w:tblGrid>
        <w:gridCol w:w="923"/>
        <w:gridCol w:w="811"/>
        <w:gridCol w:w="816"/>
        <w:gridCol w:w="109"/>
        <w:gridCol w:w="109"/>
        <w:gridCol w:w="109"/>
        <w:gridCol w:w="235"/>
        <w:gridCol w:w="569"/>
        <w:gridCol w:w="121"/>
        <w:gridCol w:w="121"/>
        <w:gridCol w:w="121"/>
        <w:gridCol w:w="121"/>
        <w:gridCol w:w="235"/>
        <w:gridCol w:w="569"/>
        <w:gridCol w:w="171"/>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Six months ended June 30, </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Legacy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both"/>
        <w:rPr>
          <w:rFonts w:ascii="Times New Roman;serif" w:hAnsi="Times New Roman;serif"/>
          <w:b w:val="false"/>
          <w:color w:val="000000"/>
          <w:sz w:val="20"/>
        </w:rPr>
      </w:pPr>
      <w:r>
        <w:rPr>
          <w:rFonts w:ascii="Times New Roman;serif" w:hAnsi="Times New Roman;serif"/>
          <w:b w:val="false"/>
          <w:color w:val="000000"/>
          <w:sz w:val="20"/>
        </w:rPr>
        <w:t>Corporate expenses decreased $3.7 million to $19.1 million for the six months ended June 30, 2026, from $22.8 million in the six months ended June 30, 2025, due to:</w:t>
      </w:r>
    </w:p>
    <w:p>
      <w:pPr>
        <w:pStyle w:val="TextBody"/>
        <w:bidi w:val="0"/>
        <w:spacing w:lineRule="auto" w:line="276" w:before="160" w:after="160"/>
        <w:ind w:left="0" w:right="0" w:hanging="360"/>
        <w:jc w:val="both"/>
        <w:rPr/>
      </w:pPr>
      <w:r>
        <w:rPr>
          <w:color w:val="000000"/>
        </w:rPr>
        <w:t>•</w:t>
      </w:r>
      <w:r>
        <w:rPr>
          <w:rFonts w:ascii="Times New Roman;serif" w:hAnsi="Times New Roman;serif"/>
          <w:b w:val="false"/>
          <w:color w:val="000000"/>
          <w:sz w:val="20"/>
        </w:rPr>
        <w:t>Corporate operating expenses decreased $10.3 million to $13.4 million in six months ended June 30, 2026 from $23.7 million in six months ended June 30, 2025, due to a $4.4 million decrease related to consulting costs and costs associated with actions to reorganize the corporate office in the first half of 2025 (exclusive of non-cash stock compensation), a $0.5 million decrease in costs associated with upgrades to certain of our information technology applications, as well as a decrease of $6.0 million in employee-related costs and overall general corporate expenses. These decreases were partially offset by a $0.6 million increase in professional fees related to mergers, acquisition, diligence and transaction costs.</w:t>
      </w:r>
    </w:p>
    <w:p>
      <w:pPr>
        <w:pStyle w:val="TextBody"/>
        <w:bidi w:val="0"/>
        <w:spacing w:lineRule="auto" w:line="276" w:before="160" w:after="283"/>
        <w:ind w:left="0" w:right="0" w:hanging="360"/>
        <w:jc w:val="both"/>
        <w:rPr/>
      </w:pPr>
      <w:r>
        <w:rPr>
          <w:color w:val="000000"/>
        </w:rPr>
        <w:t>•</w:t>
      </w:r>
      <w:r>
        <w:rPr>
          <w:rFonts w:ascii="Times New Roman;serif" w:hAnsi="Times New Roman;serif"/>
          <w:b w:val="false"/>
          <w:color w:val="000000"/>
          <w:sz w:val="20"/>
        </w:rPr>
        <w:t xml:space="preserve">Non-cash stock compensation increased $1.3 million to $5.5 million in six months ended June 30, 2026 from $4.2 million in six months ended June 30, 2025, primarily due to timing and estimated attainment of existing awards. </w:t>
      </w:r>
    </w:p>
    <w:p>
      <w:pPr>
        <w:pStyle w:val="TextBody"/>
        <w:bidi w:val="0"/>
        <w:spacing w:lineRule="auto" w:line="276" w:before="160" w:after="160"/>
        <w:ind w:left="0" w:right="0" w:hanging="360"/>
        <w:jc w:val="both"/>
        <w:rPr/>
      </w:pPr>
      <w:r>
        <w:rPr>
          <w:color w:val="000000"/>
        </w:rPr>
        <w:t>•</w:t>
      </w:r>
      <w:r>
        <w:rPr>
          <w:rFonts w:ascii="Times New Roman;serif" w:hAnsi="Times New Roman;serif"/>
          <w:b w:val="false"/>
          <w:color w:val="000000"/>
          <w:sz w:val="20"/>
        </w:rPr>
        <w:t>We recognized a $5.3 million pre-tax gain in the six months ended June 30, 2025, on the sale of our former Arrow Engine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pPr>
      <w:r>
        <w:rPr>
          <w:rFonts w:ascii="Times New Roman;serif" w:hAnsi="Times New Roman;serif"/>
          <w:b/>
          <w:i/>
          <w:color w:val="000000"/>
          <w:sz w:val="20"/>
        </w:rPr>
        <w:t>Discontinued Operations.</w:t>
      </w:r>
      <w:r>
        <w:rPr>
          <w:color w:val="000000"/>
        </w:rPr>
        <w:t>    </w:t>
      </w:r>
      <w:r>
        <w:rPr>
          <w:rFonts w:ascii="Times New Roman;serif" w:hAnsi="Times New Roman;serif"/>
          <w:b w:val="false"/>
          <w:color w:val="000000"/>
          <w:sz w:val="20"/>
        </w:rPr>
        <w:t>The results of discontinued operations consist of our Aerospace segment, for which we entered into a definitive agreement to sell on November 4, 2025. On March 16, 2026, we completed the sale for a purchase price of approximately $1,456.9 million, subject to certain adjustments as set forth in the Purchase Agreement, which adjustments we expect to be finalized during 2026. Income from discontinued operations, net of income tax expense, was $798.7 million for the six months ended June 30, 2026, as compared to $24.8 million for the six months ended June 30, 2025. See Note 3, "</w:t>
      </w:r>
      <w:r>
        <w:rPr>
          <w:rFonts w:ascii="Times New Roman;serif" w:hAnsi="Times New Roman;serif"/>
          <w:b w:val="false"/>
          <w:i/>
          <w:color w:val="000000"/>
          <w:sz w:val="20"/>
        </w:rPr>
        <w:t>Discontinued Operations</w:t>
      </w:r>
      <w:r>
        <w:rPr>
          <w:rFonts w:ascii="Times New Roman;serif" w:hAnsi="Times New Roman;serif"/>
          <w:b w:val="false"/>
          <w:color w:val="000000"/>
          <w:sz w:val="20"/>
        </w:rPr>
        <w:t>," included in Part I, Item 1, "</w:t>
      </w:r>
      <w:r>
        <w:rPr>
          <w:rFonts w:ascii="Times New Roman;serif" w:hAnsi="Times New Roman;serif"/>
          <w:b w:val="false"/>
          <w:i/>
          <w:color w:val="000000"/>
          <w:sz w:val="20"/>
        </w:rPr>
        <w:t>Notes to Consolidated Financial Statements</w:t>
      </w:r>
      <w:r>
        <w:rPr>
          <w:rFonts w:ascii="Times New Roman;serif" w:hAnsi="Times New Roman;serif"/>
          <w:b w:val="false"/>
          <w:color w:val="000000"/>
          <w:sz w:val="20"/>
        </w:rPr>
        <w:t>," within this quarterly report on Form 10-Q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60" w:after="160"/>
        <w:jc w:val="left"/>
        <w:rPr>
          <w:rFonts w:ascii="Times New Roman;serif" w:hAnsi="Times New Roman;serif"/>
          <w:b w:val="false"/>
          <w:i/>
          <w:color w:val="000000"/>
          <w:sz w:val="20"/>
        </w:rPr>
      </w:pPr>
      <w:r>
        <w:rPr>
          <w:rFonts w:ascii="Times New Roman;serif" w:hAnsi="Times New Roman;serif"/>
          <w:b w:val="false"/>
          <w:i/>
          <w:color w:val="000000"/>
          <w:sz w:val="20"/>
        </w:rPr>
        <w:t xml:space="preserve">Cash Flows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Cash flows used for operating activities were $57.9 million for the six months ended June 30, 2026, as compared to cash provided by operating activities of $39.4 million for the six months ended June 30, 2025. Significant changes in cash flows provided by operating activities and the reasons for such changes were as follows: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For the six months ended June 30, 2026, we reported a use of $192.3 million in cash flows, based on reported net income of $814.2 million, which includes a $15.5 million loss from continuing operations and $798.7 million income from discontinued operations, and after considering the effects of non-cash items related to depreciation, amortization, and gain on dispositions of assets, amortization of debt issuance costs, changes in deferred income taxes, stock-based compensation, provision for losses on accounts receivable, and other operating activities. For the six months ended June 30, 2025, we generated $54.8 million in cash flows based on reported net income of $29.1 million, which includes $4.4 million income from continuing operations and $24.8 million income from discontinued operations, and after considering the effects of similar non-cash items.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 xml:space="preserve">Increases in accounts receivable resulted in a use of cash of $48.7 million and $29.7 million for the six months ended June 30, 2026 and 2025, respectively. The increased use of cash for each of the six month periods is due primarily to the timing of sales and collection of cash related thereto within the periods. Days sales outstanding of receivables increased 14 days through the six months ended June 30, 2026 primarily due to increased sales with customers that generally have longer payment terms, and increased one day through the six months ended June 30, 2025.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We increased our investment in inventory by $15.5 million and decreased our investment in inventory by $1.3 million for the six months ended June 30, 2026 and the six months ended June 30, 2025, respectively. Our days sales in inventory decreased five days through the six months ended June 30, 2026, and decreased seven days through the six months ended June 30, 2025, as we continued to manage inventory levels, considering our supply needs, and balanced with sales growth across our segments.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 xml:space="preserve">A decrease in prepaid expenses and other assets resulted in a source of cash of $7.4 million for the six months ended June 30, 2026 and an increase in prepaid expenses resulted in a use of cash of $1.4 million for the six months ended June 30, 2025. These changes were primarily a result of the timing of payments made for income taxes and certain operating expenses.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An increase in accounts payable and accrued liabilities resulted in a source of cash of $191.2 million and $14.5 million for the six months ended June 30, 2026, and 2025, respectively. The increase in accounts payable and accrued liabilities for the six months ended June 30, 2026, includes a liability for estimated tax payments of $164.3 million related to the gain on the sale of Aerospace. Days accounts payable on hand (excluding the impact of the estimated tax payment for the six months ended June 30, 2026) decreased by 14 days through the six months ended June 30, 2026 and increased one day through the six months ended June 30, 2025. Our days accounts payable on hand fluctuate primarily as a result of the timing of payments made to suppliers and the mix of vendors and related terms.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for the six months ended June 30, 2026 was $1,423.8 million, while net cash used for investing activities was $46.0 million during the six months ended June 30, 2025. During the six months ended June 30, 2026, we invested $13.1 million in capital expenditures, as we continued our investment in growth, capacity and productivity-related capital projects. We also received combined net proceeds of $1,436.9 million from the sale of our Aerospace business and disposition of property and equipment. During the six months ended June 30, 2025, we invested $30.0 million in capital expenditures, paid $37.2 million, net of cash acquired, to acquire GMT Aerospace, and received net proceeds of $21.2 million from the sale of our Arrow Engine business and disposition of property and equipment.</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for financing activities was $153.4 million for the six months ended June 30, 2026, while net cash provided by financing activities was $13.7 million during the six months ended June 30, 2025. During the six months ended June 30, 2026, we made net repayments of $72.7 million on our revolving credit facilities, purchased $73.5 million of our outstanding common stock, used a net cash amount of $4.4 million related to our stock compensation arrangements, paid dividends of $3.0 million, and received $0.1 million related to other financing liabilities. Our reported net proceeds from borrowings on our revolving credit facilities considers the impact of foreign currency translation. During the six months ended June 30, 2025, we received net proceeds of $22.2 million from borrowings on our revolving credit facilities, paid $1.3 million for debt financing fees, purchased $2.3 million of outstanding common stock, used a net cash amount of $1.8 million related to our stock compensation arrangements, paid dividends of $3.3 million, and received $0.2 million related to other financing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 xml:space="preserve">Our Debt and Other Commitments </w:t>
      </w:r>
    </w:p>
    <w:p>
      <w:pPr>
        <w:pStyle w:val="TextBody"/>
        <w:bidi w:val="0"/>
        <w:spacing w:lineRule="auto" w:line="288" w:before="160" w:after="160"/>
        <w:jc w:val="both"/>
        <w:rPr/>
      </w:pPr>
      <w:r>
        <w:rPr>
          <w:rFonts w:ascii="Times New Roman;serif" w:hAnsi="Times New Roman;serif"/>
          <w:b w:val="false"/>
          <w:color w:val="000000"/>
          <w:sz w:val="20"/>
        </w:rPr>
        <w:t xml:space="preserve">In March 2021, we issued $400.0 million aggregate principal amount of 4.125% senior notes due April 15, 2029 ("Senior Notes") at par value in a private placement under Rule 144A of the Securities Act of 1933, as amended ("Securities Act").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in right of payment with all existing and future senior indebtedness and effectively subordinated to all existing and future secured indebtedness to the extent of the value of the assets securing such indebtedness.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may redeem all or part of the Senior Notes at par (100% of principal amount), plus accrued and unpaid interest, if any, to the redemption date.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our consolidated subsidiaries that do not guarantee the Senior Notes represented 39% of the total of guarantor and non-guarantor net sales, treating each as a consolidated group and excluding intercompany transactions between guarantor and non-guarantor subsidiaries. In addition, our non-guarantor subsidiaries represented 16% and 10% of the total guarantor and non-guarantor assets and liabilities, respectively, as of June 30, 2026, treating the guarantor and non-guarantor subsidiaries each as a consolidated group.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March 2025, we amended our existing credit agreement ("Credit Agreement") to extend the maturity date. We incurred fees and expenses of $1.3 million related to the amendment, all of which was capitalized as debt issuance costs. We also recorded $0.1 million of non-cash expense related to the write-off of previously capitalized deferred financing fees. The Credit Agreement consists of a $250.0 million senior secured revolving credit facility, which permits borrowings denominated in specific foreign currencies, subject to a $125.0 million sub limit, maturing on March 31, 2030.</w:t>
      </w:r>
    </w:p>
    <w:p>
      <w:pPr>
        <w:pStyle w:val="TextBody"/>
        <w:bidi w:val="0"/>
        <w:spacing w:lineRule="auto" w:line="288" w:before="20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is subject to benchmark interest rates determined based on the currency denomination of borrowings, with British pound sterling borrowings subject to the Sterling Overnight Index Average, Euro borrowings to the Euro InterBank Offered Rate and U.S. dollar borrowings subject to the Secured Overnight Financing Rate, each plus a spread that ranges from 1.375% to 2.00% based upon the leverage ratio, as defined, as of the most recent determination date. Our revolving credit facility allows for the issuance of letters of credit, not to exceed $40.0 million in aggregate.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permits borrowings denominated in specific foreign currencies, subject to a $125.0 million sub limit. The Credit Agreement also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June 30, 2026. If we were to complete an acquisition which qualifies for a Covenant Holiday Period, as defined in our Credit Agreement, then our permitted total net leverage ratio cannot exceed 4.50 to 1.00 during that period. Our actual total net leverage ratio was 1.77 to 1.00 at June 30, 2026. Our permitted interest expense coverage ratio under the Credit Agreement is 3.00 to 1.00 as of June 30, 2026. Our actual interest expense coverage ratio was 21.21 to 1.00 at June 30, 2026. In December 2025 and March 2026, we amended the Credit Agreement to update certain definitions used in ratio and indebtedness calculations due to the sale of the Aerospace segment. At June 30, 2026, we were in compliance with our financial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net income, as reported, which is a GAAP measure of our operating results, to Consolidated Bank EBITDA, as defined in our Credit Agreement, for the twelve months ended June 30, 2026 (dollars in thousands). We present Consolidated Bank EBITDA to show our performance under our financial covenants.</w:t>
      </w:r>
    </w:p>
    <w:tbl>
      <w:tblPr>
        <w:tblW w:w="7431" w:type="dxa"/>
        <w:jc w:val="center"/>
        <w:tblInd w:w="0" w:type="dxa"/>
        <w:tblLayout w:type="fixed"/>
        <w:tblCellMar>
          <w:top w:w="28" w:type="dxa"/>
          <w:left w:w="28" w:type="dxa"/>
          <w:bottom w:w="28" w:type="dxa"/>
          <w:right w:w="28" w:type="dxa"/>
        </w:tblCellMar>
      </w:tblPr>
      <w:tblGrid>
        <w:gridCol w:w="1649"/>
        <w:gridCol w:w="1446"/>
        <w:gridCol w:w="1465"/>
        <w:gridCol w:w="109"/>
        <w:gridCol w:w="109"/>
        <w:gridCol w:w="109"/>
        <w:gridCol w:w="109"/>
        <w:gridCol w:w="109"/>
        <w:gridCol w:w="109"/>
        <w:gridCol w:w="109"/>
        <w:gridCol w:w="109"/>
        <w:gridCol w:w="109"/>
        <w:gridCol w:w="335"/>
        <w:gridCol w:w="1311"/>
        <w:gridCol w:w="244"/>
      </w:tblGrid>
      <w:tr>
        <w:trPr/>
        <w:tc>
          <w:tcPr>
            <w:tcW w:w="164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w:t>
              <w:br/>
              <w:t> June 30, 2026</w:t>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905,200 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stipulated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214,170 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 and asset write-offs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Non-cash compensation expense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expenses or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Non-recurring expenses or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Extraordinary, non-recurring or unusual gains or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(1,052,660)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purchase accounting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Permitted dispositions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gains and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(13,130)</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Permitted dispositions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(66,550)</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Bank EBITDA, as defined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91,160 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885" w:type="dxa"/>
        <w:jc w:val="center"/>
        <w:tblInd w:w="0" w:type="dxa"/>
        <w:tblLayout w:type="fixed"/>
        <w:tblCellMar>
          <w:top w:w="28" w:type="dxa"/>
          <w:left w:w="28" w:type="dxa"/>
          <w:bottom w:w="28" w:type="dxa"/>
          <w:right w:w="28" w:type="dxa"/>
        </w:tblCellMar>
      </w:tblPr>
      <w:tblGrid>
        <w:gridCol w:w="1217"/>
        <w:gridCol w:w="1070"/>
        <w:gridCol w:w="1072"/>
        <w:gridCol w:w="212"/>
        <w:gridCol w:w="833"/>
        <w:gridCol w:w="109"/>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Indebtedness, as defined</w:t>
            </w:r>
            <w:r>
              <w:rPr>
                <w:rFonts w:ascii="Times New Roman;serif" w:hAnsi="Times New Roman;serif"/>
                <w:b w:val="false"/>
                <w:color w:val="000000"/>
                <w:sz w:val="13"/>
              </w:rPr>
              <w:t>(3)</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Bank EBITDA, as defined</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leverage ratio</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Covenant requirement</w:t>
            </w:r>
          </w:p>
        </w:tc>
        <w:tc>
          <w:tcPr>
            <w:tcW w:w="104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bl>
    <w:tbl>
      <w:tblPr>
        <w:tblW w:w="8255" w:type="dxa"/>
        <w:jc w:val="center"/>
        <w:tblInd w:w="0" w:type="dxa"/>
        <w:tblLayout w:type="fixed"/>
        <w:tblCellMar>
          <w:top w:w="28" w:type="dxa"/>
          <w:left w:w="28" w:type="dxa"/>
          <w:bottom w:w="28" w:type="dxa"/>
          <w:right w:w="28" w:type="dxa"/>
        </w:tblCellMar>
      </w:tblPr>
      <w:tblGrid>
        <w:gridCol w:w="1951"/>
        <w:gridCol w:w="1709"/>
        <w:gridCol w:w="1724"/>
        <w:gridCol w:w="109"/>
        <w:gridCol w:w="109"/>
        <w:gridCol w:w="109"/>
        <w:gridCol w:w="109"/>
        <w:gridCol w:w="109"/>
        <w:gridCol w:w="109"/>
        <w:gridCol w:w="109"/>
        <w:gridCol w:w="109"/>
        <w:gridCol w:w="109"/>
        <w:gridCol w:w="367"/>
        <w:gridCol w:w="1255"/>
        <w:gridCol w:w="268"/>
      </w:tblGrid>
      <w:tr>
        <w:trPr/>
        <w:tc>
          <w:tcPr>
            <w:tcW w:w="1951"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w:t>
              <w:br/>
              <w:t> June 30, 2026</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stipulated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(13,070)</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amounts attributable to amortization of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Cash Interest Expense, as defined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966" w:type="dxa"/>
        <w:jc w:val="center"/>
        <w:tblInd w:w="0" w:type="dxa"/>
        <w:tblLayout w:type="fixed"/>
        <w:tblCellMar>
          <w:top w:w="28" w:type="dxa"/>
          <w:left w:w="28" w:type="dxa"/>
          <w:bottom w:w="28" w:type="dxa"/>
          <w:right w:w="28" w:type="dxa"/>
        </w:tblCellMar>
      </w:tblPr>
      <w:tblGrid>
        <w:gridCol w:w="1607"/>
        <w:gridCol w:w="1412"/>
        <w:gridCol w:w="1420"/>
        <w:gridCol w:w="234"/>
        <w:gridCol w:w="800"/>
        <w:gridCol w:w="121"/>
        <w:gridCol w:w="109"/>
        <w:gridCol w:w="109"/>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Bank EBITDA, as defined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Cash Interest Expense, as defined</w:t>
            </w:r>
          </w:p>
        </w:tc>
        <w:tc>
          <w:tcPr>
            <w:tcW w:w="10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interest expense coverage ratio</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Covenant requirement</w:t>
            </w:r>
          </w:p>
        </w:tc>
        <w:tc>
          <w:tcPr>
            <w:tcW w:w="103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60" w:after="1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w:t>
      </w:r>
    </w:p>
    <w:p>
      <w:pPr>
        <w:pStyle w:val="TextBody"/>
        <w:bidi w:val="0"/>
        <w:spacing w:lineRule="auto" w:line="288" w:before="160" w:after="160"/>
        <w:ind w:left="0" w:right="0" w:hanging="360"/>
        <w:jc w:val="both"/>
        <w:rPr/>
      </w:pPr>
      <w:r>
        <w:rPr>
          <w:rFonts w:ascii="Times New Roman;serif" w:hAnsi="Times New Roman;serif"/>
          <w:b w:val="false"/>
          <w:color w:val="000000"/>
          <w:sz w:val="10"/>
        </w:rPr>
        <w:t>(1)</w:t>
      </w:r>
      <w:r>
        <w:rPr>
          <w:color w:val="000000"/>
        </w:rPr>
        <w:t>    </w:t>
      </w:r>
      <w:r>
        <w:rPr>
          <w:rFonts w:ascii="Times New Roman;serif" w:hAnsi="Times New Roman;serif"/>
          <w:b w:val="false"/>
          <w:color w:val="000000"/>
          <w:sz w:val="16"/>
        </w:rPr>
        <w:t>Non-cash compensation expenses resulting from the grant of equity awards.</w:t>
      </w:r>
    </w:p>
    <w:p>
      <w:pPr>
        <w:pStyle w:val="TextBody"/>
        <w:bidi w:val="0"/>
        <w:spacing w:lineRule="auto" w:line="288" w:before="0" w:after="0"/>
        <w:ind w:left="0" w:right="0" w:hanging="360"/>
        <w:jc w:val="both"/>
        <w:rPr/>
      </w:pPr>
      <w:r>
        <w:rPr>
          <w:rFonts w:ascii="Times New Roman;serif" w:hAnsi="Times New Roman;serif"/>
          <w:b w:val="false"/>
          <w:color w:val="000000"/>
          <w:sz w:val="10"/>
        </w:rPr>
        <w:t>(2)</w:t>
      </w:r>
      <w:r>
        <w:rPr>
          <w:color w:val="000000"/>
        </w:rPr>
        <w:t>    </w:t>
      </w:r>
      <w:r>
        <w:rPr>
          <w:rFonts w:ascii="Times New Roman;serif" w:hAnsi="Times New Roman;serif"/>
          <w:b w:val="false"/>
          <w:color w:val="000000"/>
          <w:sz w:val="16"/>
        </w:rPr>
        <w:t>Non-recurring costs and expenses relating to diligence and transaction costs, system implementation costs, and business restructuring and severance costs.</w:t>
      </w:r>
    </w:p>
    <w:p>
      <w:pPr>
        <w:pStyle w:val="TextBody"/>
        <w:bidi w:val="0"/>
        <w:spacing w:lineRule="auto" w:line="288" w:before="160" w:after="283"/>
        <w:ind w:left="0" w:right="0" w:hanging="360"/>
        <w:jc w:val="both"/>
        <w:rPr/>
      </w:pPr>
      <w:r>
        <w:rPr>
          <w:rFonts w:ascii="Times New Roman;serif" w:hAnsi="Times New Roman;serif"/>
          <w:b w:val="false"/>
          <w:color w:val="000000"/>
          <w:sz w:val="10"/>
        </w:rPr>
        <w:t>(3)</w:t>
      </w:r>
      <w:r>
        <w:rPr>
          <w:color w:val="000000"/>
        </w:rPr>
        <w:t>    </w:t>
      </w:r>
      <w:r>
        <w:rPr>
          <w:rFonts w:ascii="Times New Roman;serif" w:hAnsi="Times New Roman;serif"/>
          <w:b w:val="false"/>
          <w:color w:val="000000"/>
          <w:sz w:val="16"/>
        </w:rPr>
        <w:t>Includes $1.0 million of finance leases. The Credit Agreement allows up to $240.0 million in cash netting.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At June 30, 2026, we had no amounts outstanding under our revolving credit facility and had $243.8 million available after giving effect to $6.2 million of letters of credit issued and outstanding. At December 31, 2025, we had $72.8 million outstanding under our revolving credit facility and had $171.2 million available after giving effect to $6.0 million of letters of credit issued and outstanding. Our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After consideration of leverage restrictions contained in the Credit Agreement, as of June 30, 2026 we had $203.6 million of borrowing capacity available for general corporate purposes. Our borrowing capacity was not reduced by leverage restrictions contained in the Credit Agreement as of December 31, 2025.</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foreign subsidiaries to pay down amounts outstanding under our revolving credit facility, as applicable.</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Our weighted average borrowings during the six months ended June 30, 2026 approximated $438.9 million, compared to $436.3 million during the six months ended June 30, 2025. Our weighted average borrowings increased year-over-year primarily due to borrowings made on our revolving credit facility to fund share repurchases.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2021, we, through one of our non-U.S. subsidiaries, entered into a revolving loan facility with a borrowing capacity of $4.0 million. The facility is guaranteed by TriMas Corporation. At June 30, 2026, we had no amounts outstanding on this loan facility.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our cash on hand as of June 30, 2026 is located within the U.S. Our available funding under our revolving credit facility is $203.6 million at June 30, 2026.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 as well as dividends and share repurchases.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the majority of our cash was invested in liquid instruments, including U.S. Treasury</w:t>
        <w:noBreakHyphen/>
        <w:t>backed money market funds and cash deposits with high</w:t>
        <w:noBreakHyphen/>
        <w:t>credit</w:t>
        <w:noBreakHyphen/>
        <w:t>quality financial institutions designated as Globally Systemically Important Banks. These investments earn interest at an average rate of 3.7%, and qualify as permitted investments under our Credit Agreement. We intend to maintain these investments until they are deployed for organic growth initiatives, strategically aligned acquisition opportunities, share repurchases, or a combination thereof. During the six months ended June 30, 2026, we earned interest income of $12.9 million.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are subject to variable interest rates on our revolving credit facility, which is subject to a benchmark interest rate determined based on the currency denomination of borrowings. At June 30, 2026, we had no amounts outstanding on our revolving credit facility and, therefore, no variable rate-based borrowings outstanding.</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our long-term debt, we have other cash commitments related to leases. The majority of our lease transactions are accounted for as operating leases, and annual rent expense related thereto approximated $12.2 million in 2025. We expect leasing will continue to be an available financing option to fund future capital expenditure requirements.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In February 2026, we announced our Board of Directors had authorized us to increase the purchase of our common stock up to $150 million in the aggregate, adding to the $48.9 million remaining under the previous authorization. In the six months ended June 30, 2026, we purchased 1,996,321 shares of our outstanding common stock for an aggregate purchase price of $73.5 million. Since the initial authorization through June 30, 2026, we have purchased 11,687,751 shares of our outstanding common stock for an aggregate purchase price of $359.2 million. We will continue to evaluate opportunities to return capital to shareholders through the purchase of our common stock and the payment of dividends, depending on market conditions,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Market Risk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 </w:t>
      </w:r>
    </w:p>
    <w:p>
      <w:pPr>
        <w:pStyle w:val="TextBody"/>
        <w:bidi w:val="0"/>
        <w:spacing w:lineRule="auto" w:line="288" w:before="160" w:after="160"/>
        <w:jc w:val="both"/>
        <w:rPr/>
      </w:pPr>
      <w:r>
        <w:rPr>
          <w:rFonts w:ascii="Times New Roman;serif" w:hAnsi="Times New Roman;serif"/>
          <w:b w:val="false"/>
          <w:color w:val="000000"/>
          <w:sz w:val="20"/>
        </w:rPr>
        <w:t>We use derivative financial instruments to manage currency risks associated with our procurement activities denominated in currencies other than the functional currency of our subsidiaries and the impact of currency rate volatility on our earnings. As of June 30, 2026, we were party to foreign exchange forward and swap contracts to hedge changes in foreign currency exchange rates with notional amounts of $108.1 million. We also use cross-currency swap agreements to mitigate currency risks associated with the net investment in certain of our foreign subsidiaries. See Note 11, "</w:t>
      </w:r>
      <w:r>
        <w:rPr>
          <w:rFonts w:ascii="Times New Roman;serif" w:hAnsi="Times New Roman;serif"/>
          <w:b w:val="false"/>
          <w:i/>
          <w:color w:val="000000"/>
          <w:sz w:val="20"/>
        </w:rPr>
        <w:t>Derivative Instruments</w:t>
      </w:r>
      <w:r>
        <w:rPr>
          <w:rFonts w:ascii="Times New Roman;serif" w:hAnsi="Times New Roman;serif"/>
          <w:b w:val="false"/>
          <w:color w:val="000000"/>
          <w:sz w:val="20"/>
        </w:rPr>
        <w:t>," included in Part I, Item 1, "</w:t>
      </w:r>
      <w:r>
        <w:rPr>
          <w:rFonts w:ascii="Times New Roman;serif" w:hAnsi="Times New Roman;serif"/>
          <w:b w:val="false"/>
          <w:i/>
          <w:color w:val="000000"/>
          <w:sz w:val="20"/>
        </w:rPr>
        <w:t>Notes to Consolidated Financial Statements</w:t>
      </w:r>
      <w:r>
        <w:rPr>
          <w:rFonts w:ascii="Times New Roman;serif" w:hAnsi="Times New Roman;serif"/>
          <w:b w:val="false"/>
          <w:color w:val="000000"/>
          <w:sz w:val="20"/>
        </w:rPr>
        <w:t>," within this quarterly report on Form 10-Q for additional information.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are also subject to interest risk as it relates to our long-term debt. We have historically used interest rate swap agreements to fix the variable portion of our debt to manage this risk, when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Common Stock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TriMas is listed in the NASDAQ Global Select Market. Our stock trades under the symbol "TRS."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Credit Rating </w:t>
      </w:r>
    </w:p>
    <w:p>
      <w:pPr>
        <w:pStyle w:val="TextBody"/>
        <w:bidi w:val="0"/>
        <w:spacing w:lineRule="auto" w:line="288" w:before="160" w:after="160"/>
        <w:jc w:val="both"/>
        <w:rPr/>
      </w:pPr>
      <w:r>
        <w:rPr>
          <w:rFonts w:ascii="Times New Roman;serif" w:hAnsi="Times New Roman;serif"/>
          <w:b w:val="false"/>
          <w:color w:val="000000"/>
          <w:sz w:val="20"/>
        </w:rPr>
        <w:t xml:space="preserve">We and certain of our outstanding debt obligations are rated by Standard &amp; Poor's and Moody's. On December 18, 2025, Moody's affirmed a Ba3 rating to our Senior Notes, as presented in Note 10, </w:t>
      </w:r>
      <w:r>
        <w:rPr>
          <w:rFonts w:ascii="Times New Roman;serif" w:hAnsi="Times New Roman;serif"/>
          <w:b w:val="false"/>
          <w:i/>
          <w:color w:val="000000"/>
          <w:sz w:val="20"/>
        </w:rPr>
        <w:t>"Long-term Debt"</w:t>
      </w:r>
      <w:r>
        <w:rPr>
          <w:color w:val="000000"/>
        </w:rPr>
        <w:t xml:space="preserve"> </w:t>
      </w:r>
      <w:r>
        <w:rPr>
          <w:rFonts w:ascii="Times New Roman;serif" w:hAnsi="Times New Roman;serif"/>
          <w:b w:val="false"/>
          <w:color w:val="000000"/>
          <w:sz w:val="20"/>
        </w:rPr>
        <w:t xml:space="preserve">included in Part I, Item 1, </w:t>
      </w:r>
      <w:r>
        <w:rPr>
          <w:rFonts w:ascii="Times New Roman;serif" w:hAnsi="Times New Roman;serif"/>
          <w:b w:val="false"/>
          <w:i/>
          <w:color w:val="000000"/>
          <w:sz w:val="20"/>
        </w:rPr>
        <w:t>"Notes to Consolidated Financial Statements"</w:t>
      </w:r>
      <w:r>
        <w:rPr>
          <w:color w:val="000000"/>
        </w:rPr>
        <w:t xml:space="preserve"> </w:t>
      </w:r>
      <w:r>
        <w:rPr>
          <w:rFonts w:ascii="Times New Roman;serif" w:hAnsi="Times New Roman;serif"/>
          <w:b w:val="false"/>
          <w:color w:val="000000"/>
          <w:sz w:val="20"/>
        </w:rPr>
        <w:t>within this quarterly report on Form 10-Q. Moody's also placed the Ba2 Corporate Family Rating under review for possible downgrade on November 6, 2025 and updated its outlook to under review following the announcement of the Aerospace sale. On March 26, 2026, Standard &amp; Poor's lowered their rating of our Senior Notes to B, following the successful completion of the Aerospace divestiture. Standard &amp; Poor's also lowered the corporate credit rating to B+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Outlook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delivered financial results for the first half of 2026 consistent with our expectations, while successfully completing the divestiture of Aerospace in March, an important milestone in the continued transformation of TriMas for the future. We entered 2026 with a clear strategic focus on strengthening our core businesses, and the decisive cost actions we implemented in January are expected to support improved operating leverage as we continue to move through the year. With a more focused portfolio, enhanced financial flexibility and disciplined execution across the organization, we believe TriMas is well positioned to deliver improved performance and drive sustainable long</w:t>
        <w:noBreakHyphen/>
        <w:t>term value for our stakeholders.</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we further advanced our organizational transformation, with strategic leadership additions focused on customer success and operational excellence designed to build on the comprehensive realignment actions taken earlier in 2026 and facilitate the intended outcomes of those actions. Early in 2026, we executed a comprehensive organizational realignment to streamline operations, strengthen customer responsiveness and drive sustainable cost savings. The realignment integrates select corporate and business functions to simplify the structure, eliminates duplication and improves operational efficiency. These initiatives are expected to generate more than $10.5 million in savings in 2026 and approximately $16 million on an annualized basis.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part of this effort, TriMas Packaging restructured its commercial and operational model to eliminate silos, accelerate decision-making, and deliver more integrated customer solutions. The actions included realigning commercial resources and sales processes to improve customer engagement and growth execution, while also unifying sales teams, standardizing operations across facilities and reducing management layers to improve speed, accountability and innovation. Key initiatives include brand unification, expanded operational excellence programs, technology implementations and manufacturing footprint optimization. We also implemented a planning framework to align priorities, strengthen accountability and drive execution across our three strategic pillars. Collectively, these actions are expected to strengthen TriMas’ operating model, enhance customer satisfaction and support sustainable long-term value creation.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continue to monitor the impacts of ongoing geopolitical conditions, including the conflicts in the Middle East, on our supply chains and raw materials costs. We have been actively partnering with customers and suppliers to manage cost, supply chain and other geopolitical challenges that may impact our full year 2026 financial results if they persist and/or strengthen.</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next 12 months and for the foreseeable future. We also plan to redeploy the proceeds from the sale of Aerospace in ways that we expect will enhance long-term value to our shareholders, employees and customers, including through prioritizing organic growth investments, pursuing strategically aligned acquisition opportunities or repurchasing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Impact of New Accounting Standards </w:t>
      </w:r>
    </w:p>
    <w:p>
      <w:pPr>
        <w:pStyle w:val="TextBody"/>
        <w:bidi w:val="0"/>
        <w:spacing w:lineRule="auto" w:line="288" w:before="160" w:after="160"/>
        <w:jc w:val="both"/>
        <w:rPr/>
      </w:pPr>
      <w:r>
        <w:rPr>
          <w:rFonts w:ascii="Times New Roman;serif" w:hAnsi="Times New Roman;serif"/>
          <w:b w:val="false"/>
          <w:color w:val="000000"/>
          <w:sz w:val="20"/>
        </w:rPr>
        <w:t>See Note 2, "</w:t>
      </w:r>
      <w:r>
        <w:rPr>
          <w:rFonts w:ascii="Times New Roman;serif" w:hAnsi="Times New Roman;serif"/>
          <w:b w:val="false"/>
          <w:i/>
          <w:color w:val="000000"/>
          <w:sz w:val="20"/>
        </w:rPr>
        <w:t>New Accounting Pronouncements</w:t>
      </w:r>
      <w:r>
        <w:rPr>
          <w:rFonts w:ascii="Times New Roman;serif" w:hAnsi="Times New Roman;serif"/>
          <w:b w:val="false"/>
          <w:color w:val="000000"/>
          <w:sz w:val="20"/>
        </w:rPr>
        <w:t>," included in Part I, Item 1, "</w:t>
      </w:r>
      <w:r>
        <w:rPr>
          <w:rFonts w:ascii="Times New Roman;serif" w:hAnsi="Times New Roman;serif"/>
          <w:b w:val="false"/>
          <w:i/>
          <w:color w:val="000000"/>
          <w:sz w:val="20"/>
        </w:rPr>
        <w:t>Notes to Consolidated Financial Statements</w:t>
      </w:r>
      <w:r>
        <w:rPr>
          <w:rFonts w:ascii="Times New Roman;serif" w:hAnsi="Times New Roman;serif"/>
          <w:b w:val="false"/>
          <w:color w:val="000000"/>
          <w:sz w:val="20"/>
        </w:rPr>
        <w:t>," within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Critical Accounting Policies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 </w:t>
      </w:r>
    </w:p>
    <w:p>
      <w:pPr>
        <w:pStyle w:val="TextBody"/>
        <w:bidi w:val="0"/>
        <w:spacing w:lineRule="auto" w:line="288" w:before="160" w:after="160"/>
        <w:jc w:val="both"/>
        <w:rPr/>
      </w:pPr>
      <w:r>
        <w:rPr>
          <w:rFonts w:ascii="Times New Roman;serif" w:hAnsi="Times New Roman;serif"/>
          <w:b w:val="false"/>
          <w:color w:val="000000"/>
          <w:sz w:val="20"/>
        </w:rPr>
        <w:t>During the quarter ended June 30, 2026, there were no material changes to the items that we disclosed as our critical accounting policies in Part II, Item 7,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xml:space="preserve">," in the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lineRule="auto" w:line="288" w:before="160" w:after="160"/>
        <w:jc w:val="both"/>
        <w:rPr/>
      </w:pPr>
      <w:r>
        <w:rPr>
          <w:rFonts w:ascii="Times New Roman;serif" w:hAnsi="Times New Roman;serif"/>
          <w:b w:val="false"/>
          <w:color w:val="000000"/>
          <w:sz w:val="20"/>
        </w:rPr>
        <w:t>In the normal course of business, we are exposed to market risk associated with fluctuations in foreign currency exchange rates. We are also subject to interest risk as it relates to long-term debt. See Part I, Item 2, "</w:t>
      </w:r>
      <w:r>
        <w:rPr>
          <w:rFonts w:ascii="Times New Roman;serif" w:hAnsi="Times New Roman;serif"/>
          <w:b w:val="false"/>
          <w:i/>
          <w:color w:val="000000"/>
          <w:sz w:val="20"/>
        </w:rPr>
        <w:t>Management's Discussion and Analysis of Financial Condition and Results of Operations,</w:t>
      </w:r>
      <w:r>
        <w:rPr>
          <w:rFonts w:ascii="Times New Roman;serif" w:hAnsi="Times New Roman;serif"/>
          <w:b w:val="false"/>
          <w:color w:val="000000"/>
          <w:sz w:val="20"/>
        </w:rPr>
        <w:t>" for details about our primary market risks, and the objectives and strategies used to manage these risks. Also see Note 10, "</w:t>
      </w:r>
      <w:r>
        <w:rPr>
          <w:rFonts w:ascii="Times New Roman;serif" w:hAnsi="Times New Roman;serif"/>
          <w:b w:val="false"/>
          <w:i/>
          <w:color w:val="000000"/>
          <w:sz w:val="20"/>
        </w:rPr>
        <w:t>Long-term Debt</w:t>
      </w:r>
      <w:r>
        <w:rPr>
          <w:rFonts w:ascii="Times New Roman;serif" w:hAnsi="Times New Roman;serif"/>
          <w:b w:val="false"/>
          <w:color w:val="000000"/>
          <w:sz w:val="20"/>
        </w:rPr>
        <w:t>," and Note 11, "</w:t>
      </w:r>
      <w:r>
        <w:rPr>
          <w:rFonts w:ascii="Times New Roman;serif" w:hAnsi="Times New Roman;serif"/>
          <w:b w:val="false"/>
          <w:i/>
          <w:color w:val="000000"/>
          <w:sz w:val="20"/>
        </w:rPr>
        <w:t>Derivative Instruments</w:t>
      </w:r>
      <w:r>
        <w:rPr>
          <w:rFonts w:ascii="Times New Roman;serif" w:hAnsi="Times New Roman;serif"/>
          <w:b w:val="false"/>
          <w:color w:val="000000"/>
          <w:sz w:val="20"/>
        </w:rPr>
        <w:t>," in Part I, Item 1, "</w:t>
      </w:r>
      <w:r>
        <w:rPr>
          <w:rFonts w:ascii="Times New Roman;serif" w:hAnsi="Times New Roman;serif"/>
          <w:b w:val="false"/>
          <w:i/>
          <w:color w:val="000000"/>
          <w:sz w:val="20"/>
        </w:rPr>
        <w:t>Notes to Consolidated Financial Statements</w:t>
      </w:r>
      <w:r>
        <w:rPr>
          <w:rFonts w:ascii="Times New Roman;serif" w:hAnsi="Times New Roman;serif"/>
          <w:b w:val="false"/>
          <w:color w:val="000000"/>
          <w:sz w:val="20"/>
        </w:rPr>
        <w:t xml:space="preserve">," included within this quarterly report on Form 10-Q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disclosures.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 xml:space="preserve">Evaluation of disclosure controls and procedures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June 30, 2026, the Company's disclosure controls and procedures are effective to provide reasonable assurance that they would meet their objectives.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 xml:space="preserve">Changes in internal control over financial reporting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during the quarter ended June 30, 2026 that have materially affected, or are reasonably likely to materially affect, the Company's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PART II. OTHER INFORMATION </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TRIMAS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lineRule="auto" w:line="288" w:before="160" w:after="160"/>
        <w:jc w:val="both"/>
        <w:rPr/>
      </w:pPr>
      <w:r>
        <w:rPr>
          <w:rFonts w:ascii="Times New Roman;serif" w:hAnsi="Times New Roman;serif"/>
          <w:b w:val="false"/>
          <w:color w:val="000000"/>
          <w:sz w:val="20"/>
        </w:rPr>
        <w:t>See Note 14,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 included in Part I, Item 1, "</w:t>
      </w:r>
      <w:r>
        <w:rPr>
          <w:rFonts w:ascii="Times New Roman;serif" w:hAnsi="Times New Roman;serif"/>
          <w:b w:val="false"/>
          <w:i/>
          <w:color w:val="000000"/>
          <w:sz w:val="20"/>
        </w:rPr>
        <w:t>Notes to Consolidated Financial Statements</w:t>
      </w:r>
      <w:r>
        <w:rPr>
          <w:rFonts w:ascii="Times New Roman;serif" w:hAnsi="Times New Roman;serif"/>
          <w:b w:val="false"/>
          <w:color w:val="000000"/>
          <w:sz w:val="20"/>
        </w:rPr>
        <w:t xml:space="preserve">," within this quarterly report on Form 10-Q.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60" w:after="160"/>
        <w:jc w:val="both"/>
        <w:rPr/>
      </w:pPr>
      <w:r>
        <w:rPr>
          <w:rFonts w:ascii="Times New Roman;serif" w:hAnsi="Times New Roman;serif"/>
          <w:b w:val="false"/>
          <w:color w:val="000000"/>
          <w:sz w:val="20"/>
        </w:rPr>
        <w:t>In addition to the other information set forth in this report, you should carefully consider the factors discussed in Part I, Item 1A., "</w:t>
      </w:r>
      <w:r>
        <w:rPr>
          <w:rFonts w:ascii="Times New Roman;serif" w:hAnsi="Times New Roman;serif"/>
          <w:b w:val="false"/>
          <w:i/>
          <w:color w:val="000000"/>
          <w:sz w:val="20"/>
        </w:rPr>
        <w:t>Risk Factors</w:t>
      </w:r>
      <w:r>
        <w:rPr>
          <w:rFonts w:ascii="Times New Roman;serif" w:hAnsi="Times New Roman;serif"/>
          <w:b w:val="false"/>
          <w:color w:val="000000"/>
          <w:sz w:val="20"/>
        </w:rPr>
        <w:t xml:space="preserve">," in our 2025 Annual Report on Form 10-K, which could materially affect our business, financial condition or future results. There have been no significant changes to our risk factors as disclosed in our 2025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about purchases made by the Company, or on behalf of the Company by an affiliated purchaser, of shares of the Company's common stock during the three months ended June 30, 2026: </w:t>
      </w:r>
    </w:p>
    <w:tbl>
      <w:tblPr>
        <w:tblW w:w="10205" w:type="dxa"/>
        <w:jc w:val="center"/>
        <w:tblInd w:w="0" w:type="dxa"/>
        <w:tblLayout w:type="fixed"/>
        <w:tblCellMar>
          <w:top w:w="28" w:type="dxa"/>
          <w:left w:w="28" w:type="dxa"/>
          <w:bottom w:w="28" w:type="dxa"/>
          <w:right w:w="28" w:type="dxa"/>
        </w:tblCellMar>
      </w:tblPr>
      <w:tblGrid>
        <w:gridCol w:w="385"/>
        <w:gridCol w:w="339"/>
        <w:gridCol w:w="340"/>
        <w:gridCol w:w="109"/>
        <w:gridCol w:w="109"/>
        <w:gridCol w:w="109"/>
        <w:gridCol w:w="613"/>
        <w:gridCol w:w="445"/>
        <w:gridCol w:w="447"/>
        <w:gridCol w:w="109"/>
        <w:gridCol w:w="109"/>
        <w:gridCol w:w="109"/>
        <w:gridCol w:w="281"/>
        <w:gridCol w:w="821"/>
        <w:gridCol w:w="145"/>
        <w:gridCol w:w="109"/>
        <w:gridCol w:w="109"/>
        <w:gridCol w:w="109"/>
        <w:gridCol w:w="890"/>
        <w:gridCol w:w="768"/>
        <w:gridCol w:w="770"/>
        <w:gridCol w:w="109"/>
        <w:gridCol w:w="109"/>
        <w:gridCol w:w="109"/>
        <w:gridCol w:w="637"/>
        <w:gridCol w:w="1543"/>
        <w:gridCol w:w="473"/>
      </w:tblGrid>
      <w:tr>
        <w:trP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Total Number of Shares Purchased as Part of Publicly Announced Plans or Programs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Approximate Dollar Value of Shares that May Yet Be Purchased Under the Program (in millions) </w:t>
            </w:r>
            <w:r>
              <w:rPr>
                <w:rFonts w:ascii="Times New Roman;serif" w:hAnsi="Times New Roman;serif"/>
                <w:b/>
                <w:color w:val="000000"/>
                <w:sz w:val="12"/>
              </w:rPr>
              <w:t>(1)</w:t>
            </w:r>
          </w:p>
        </w:tc>
      </w:tr>
      <w:tr>
        <w:trPr/>
        <w:tc>
          <w:tcPr>
            <w:tcW w:w="1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to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509,264 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509,264 </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to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to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509,264 </w:t>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509,264 </w:t>
            </w:r>
          </w:p>
        </w:tc>
        <w:tc>
          <w:tcPr>
            <w:tcW w:w="7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60"/>
        <w:jc w:val="left"/>
        <w:rPr>
          <w:rFonts w:ascii="Times New Roman;serif" w:hAnsi="Times New Roman;serif"/>
          <w:b w:val="false"/>
          <w:color w:val="000000"/>
          <w:sz w:val="12"/>
        </w:rPr>
      </w:pPr>
      <w:r>
        <w:rPr>
          <w:rFonts w:ascii="Times New Roman;serif" w:hAnsi="Times New Roman;serif"/>
          <w:b w:val="false"/>
          <w:color w:val="000000"/>
          <w:sz w:val="12"/>
        </w:rPr>
        <w:t>__________________________</w:t>
      </w:r>
    </w:p>
    <w:p>
      <w:pPr>
        <w:pStyle w:val="TextBody"/>
        <w:bidi w:val="0"/>
        <w:spacing w:lineRule="auto" w:line="288" w:before="160" w:after="160"/>
        <w:ind w:left="0" w:right="0" w:hanging="360"/>
        <w:jc w:val="both"/>
        <w:rPr/>
      </w:pPr>
      <w:r>
        <w:rPr>
          <w:rFonts w:ascii="Times New Roman;serif" w:hAnsi="Times New Roman;serif"/>
          <w:b w:val="false"/>
          <w:color w:val="000000"/>
          <w:sz w:val="10"/>
        </w:rPr>
        <w:t>(1)     </w:t>
      </w:r>
      <w:r>
        <w:rPr>
          <w:rFonts w:ascii="Times New Roman;serif" w:hAnsi="Times New Roman;serif"/>
          <w:b w:val="false"/>
          <w:color w:val="000000"/>
          <w:sz w:val="16"/>
        </w:rPr>
        <w:t xml:space="preserve">In February 2026, the Company announced its Board of Directors had authorized the Company to increase the purchase of its common stock up to $150 million in the aggregate, adding to the $48.9 million remaining under the previous authorization. The previous authorization, approved in November 2025, authorized up to $150 million of purchases in the aggregate of its common stock. Pursuant to this share repurchase program, during the three months ended June 30, 2026, the Company repurchased 509,264 shares of its common stock at a cost of $18.9 million. The share repurchase program is effective and has no expiration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lineRule="auto" w:line="276" w:before="160" w:after="16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 director or officer (as defined in Rule 16a-1(f) promulgated under the Exchange Act) of the Company adopted or terminated any “Rule 10b5-1 trading arrangement” or any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Exhibits Index:</w:t>
      </w:r>
    </w:p>
    <w:tbl>
      <w:tblPr>
        <w:tblW w:w="10205" w:type="dxa"/>
        <w:jc w:val="left"/>
        <w:tblInd w:w="0" w:type="dxa"/>
        <w:tblLayout w:type="fixed"/>
        <w:tblCellMar>
          <w:top w:w="28" w:type="dxa"/>
          <w:left w:w="28" w:type="dxa"/>
          <w:bottom w:w="28" w:type="dxa"/>
          <w:right w:w="28" w:type="dxa"/>
        </w:tblCellMar>
      </w:tblPr>
      <w:tblGrid>
        <w:gridCol w:w="173"/>
        <w:gridCol w:w="152"/>
        <w:gridCol w:w="156"/>
        <w:gridCol w:w="2938"/>
        <w:gridCol w:w="2806"/>
        <w:gridCol w:w="3980"/>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938"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3980"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Fourth Amended and Restated Certificate of Incorporation of TriMas Corporation, incorporated by reference to Exhibit 3.1 to the Company's Quarterly Report on Form 10-Q filed on August 3, 2007.</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Third Amended and Restated By-laws of TriMas Corporation, incorporated by reference to Exhibit 3.1 to the Company's Current Report on Form 8-K filed on December 18, 2015.</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s_06302026xexh311.htm">
              <w:r>
                <w:rPr>
                  <w:rStyle w:val="InternetLink"/>
                  <w:rFonts w:ascii="Times New Roman;serif" w:hAnsi="Times New Roman;serif"/>
                  <w:b w:val="false"/>
                  <w:color w:val="0000FF"/>
                  <w:sz w:val="20"/>
                  <w:u w:val="single"/>
                </w:rPr>
                <w:t>Certification pursuant to 18 U.S.C. Section 1350, as adopted pursuant to Section 302 of the Sarbanes</w:t>
                <w:noBreakHyphen/>
                <w:t>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s_06302026xexh312.htm">
              <w:r>
                <w:rPr>
                  <w:rStyle w:val="InternetLink"/>
                  <w:rFonts w:ascii="Times New Roman;serif" w:hAnsi="Times New Roman;serif"/>
                  <w:b w:val="false"/>
                  <w:color w:val="0000FF"/>
                  <w:sz w:val="20"/>
                  <w:u w:val="single"/>
                </w:rPr>
                <w:t>Certification pursuant to 18 U.S.C. Section 1350, as adopted pursuant to Section 302 of the Sarbanes</w:t>
                <w:noBreakHyphen/>
                <w:t>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s_06302026xexh321.htm">
              <w:r>
                <w:rPr>
                  <w:rStyle w:val="InternetLink"/>
                  <w:rFonts w:ascii="Times New Roman;serif" w:hAnsi="Times New Roman;serif"/>
                  <w:b w:val="false"/>
                  <w:color w:val="0000FF"/>
                  <w:sz w:val="20"/>
                  <w:u w:val="single"/>
                </w:rPr>
                <w:t>Certification pursuant to 18 U.S.C. Section 1350, as adopted pursuant to Section 906 of the Sarbanes</w:t>
                <w:noBreakHyphen/>
                <w:t>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rs_06302026xexh322.htm">
              <w:r>
                <w:rPr>
                  <w:rStyle w:val="InternetLink"/>
                  <w:rFonts w:ascii="Times New Roman;serif" w:hAnsi="Times New Roman;serif"/>
                  <w:b w:val="false"/>
                  <w:color w:val="0000FF"/>
                  <w:sz w:val="20"/>
                  <w:u w:val="single"/>
                </w:rPr>
                <w:t>Certification pursuant to 18 U.S.C. Section 1350, as adopted pursuant to Section 906 of the Sarbanes</w:t>
                <w:noBreakHyphen/>
                <w:t>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materials from TriMas Corporation's Quarterly Report on Form 10-Q for the quarter ended June 30, 2026, formatted in Inline XBRL (eXtensible Business Reporting Language): (i) the Consolidated Balance Sheet, (ii) the Consolidated Statement of Income, (iii) the Consolidated Statement of Comprehensive Income, (iv) the Consolidated Statement of Cash Flows, (v) the Consolidated Statement of Shareholders' Equity, (vi) Notes to Consolidated Financial Statements, and (vii) document and entity information.</w:t>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9724"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9724"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9724"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9724"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9724"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9724"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c55f450ad29147309c567601ef3d605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6035"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366"/>
        <w:gridCol w:w="366"/>
        <w:gridCol w:w="366"/>
        <w:gridCol w:w="366"/>
        <w:gridCol w:w="366"/>
        <w:gridCol w:w="366"/>
        <w:gridCol w:w="600"/>
        <w:gridCol w:w="600"/>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TRIMAS CORPORATION (Registrant)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PAUL A. SWART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20"/>
              </w:rPr>
              <w:br/>
            </w:r>
            <w:r>
              <w:rPr>
                <w:rFonts w:ascii="Times New Roman;serif" w:hAnsi="Times New Roman;serif"/>
                <w:b w:val="false"/>
                <w:color w:val="000000"/>
                <w:sz w:val="20"/>
              </w:rPr>
              <w:t>By:</w:t>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Paul A. Swart</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(Chapter 63, Title 18 U.S.C. Section 1350(A) and (B)) </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Thomas J. Snyder, certify that: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TriMas Corporation;</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31, 2026 </w:t>
      </w:r>
    </w:p>
    <w:tbl>
      <w:tblPr>
        <w:tblW w:w="2516" w:type="dxa"/>
        <w:jc w:val="left"/>
        <w:tblInd w:w="0" w:type="dxa"/>
        <w:tblLayout w:type="fixed"/>
        <w:tblCellMar>
          <w:top w:w="28" w:type="dxa"/>
          <w:left w:w="28" w:type="dxa"/>
          <w:bottom w:w="28" w:type="dxa"/>
          <w:right w:w="28" w:type="dxa"/>
        </w:tblCellMar>
      </w:tblPr>
      <w:tblGrid>
        <w:gridCol w:w="124"/>
        <w:gridCol w:w="109"/>
        <w:gridCol w:w="109"/>
        <w:gridCol w:w="635"/>
        <w:gridCol w:w="635"/>
        <w:gridCol w:w="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J. SNYDER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Thomas J. Snyder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(Chapter 63, Title 18 U.S.C. Section 1350(A) and (B)) </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Paul A. Swart, certify that: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TriMas Corporation;</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31, 2026 </w:t>
      </w:r>
    </w:p>
    <w:tbl>
      <w:tblPr>
        <w:tblW w:w="2456" w:type="dxa"/>
        <w:jc w:val="left"/>
        <w:tblInd w:w="0" w:type="dxa"/>
        <w:tblLayout w:type="fixed"/>
        <w:tblCellMar>
          <w:top w:w="28" w:type="dxa"/>
          <w:left w:w="28" w:type="dxa"/>
          <w:bottom w:w="28" w:type="dxa"/>
          <w:right w:w="28" w:type="dxa"/>
        </w:tblCellMar>
      </w:tblPr>
      <w:tblGrid>
        <w:gridCol w:w="124"/>
        <w:gridCol w:w="109"/>
        <w:gridCol w:w="109"/>
        <w:gridCol w:w="618"/>
        <w:gridCol w:w="618"/>
        <w:gridCol w:w="8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A. SWART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Paul A. Swart</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Financial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TriMas Corporation (the “Company”) on Form 10-Q for the period ended June 30, 2026 as filed with the Securities and Exchange Commission on the date hereof (the “Report”), I, Thomas J. Snyder, Chief Executive Officer of the Company, certify, pursuant to 18 U.S.C. § 1350, as adopted pursuant to § 906 of the Sarbanes-Oxley Act of 2002, that to the best of my knowledge: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Date: July 31, 2026 </w:t>
      </w:r>
    </w:p>
    <w:tbl>
      <w:tblPr>
        <w:tblW w:w="2516" w:type="dxa"/>
        <w:jc w:val="left"/>
        <w:tblInd w:w="0" w:type="dxa"/>
        <w:tblLayout w:type="fixed"/>
        <w:tblCellMar>
          <w:top w:w="28" w:type="dxa"/>
          <w:left w:w="28" w:type="dxa"/>
          <w:bottom w:w="28" w:type="dxa"/>
          <w:right w:w="28" w:type="dxa"/>
        </w:tblCellMar>
      </w:tblPr>
      <w:tblGrid>
        <w:gridCol w:w="124"/>
        <w:gridCol w:w="109"/>
        <w:gridCol w:w="109"/>
        <w:gridCol w:w="635"/>
        <w:gridCol w:w="635"/>
        <w:gridCol w:w="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THOMAS J. SNYDER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Thomas J. Snyder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Executive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TriMas Corporation (the “Company”) on Form 10-Q for the period ended June 30, 2026 as filed with the Securities and Exchange Commission on the date hereof (the “Report”), I, Paul A. Swart, Chief Financial Officer of the Company, certify, pursuant to 18 U.S.C. § 1350, as adopted pursuant to § 906 of the Sarbanes-Oxley Act of 2002, that to the best of my knowledge: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31, 2026 </w:t>
      </w:r>
    </w:p>
    <w:tbl>
      <w:tblPr>
        <w:tblW w:w="2412" w:type="dxa"/>
        <w:jc w:val="left"/>
        <w:tblInd w:w="0" w:type="dxa"/>
        <w:tblLayout w:type="fixed"/>
        <w:tblCellMar>
          <w:top w:w="28" w:type="dxa"/>
          <w:left w:w="28" w:type="dxa"/>
          <w:bottom w:w="28" w:type="dxa"/>
          <w:right w:w="28" w:type="dxa"/>
        </w:tblCellMar>
      </w:tblPr>
      <w:tblGrid>
        <w:gridCol w:w="124"/>
        <w:gridCol w:w="109"/>
        <w:gridCol w:w="109"/>
        <w:gridCol w:w="605"/>
        <w:gridCol w:w="605"/>
        <w:gridCol w:w="8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A. SWART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Paul A. Swart</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42633/000110465907058776/a07-19157_1ex3d1.htm" TargetMode="External"/><Relationship Id="rId3" Type="http://schemas.openxmlformats.org/officeDocument/2006/relationships/hyperlink" Target="https://www.sec.gov/Archives/edgar/data/842633/000084263315000161/thirdamendedandrestatedbyl.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23576</Words>
  <Characters>130835</Characters>
  <CharactersWithSpaces>152887</CharactersWithSpaces>
  <Paragraphs>3081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