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FORM SD</w:t>
      </w:r>
    </w:p>
    <w:p>
      <w:pPr>
        <w:spacing w:after="0" w:line="2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200" w:lineRule="exact"/>
        <w:rPr>
          <w:sz w:val="24"/>
          <w:szCs w:val="24"/>
          <w:color w:val="auto"/>
        </w:rPr>
      </w:pPr>
    </w:p>
    <w:p>
      <w:pPr>
        <w:spacing w:after="0" w:line="3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TriMas Corporation</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5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001-10716</w:t>
            </w:r>
          </w:p>
        </w:tc>
        <w:tc>
          <w:tcPr>
            <w:tcW w:w="2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38-2687639</w:t>
            </w:r>
          </w:p>
        </w:tc>
      </w:tr>
      <w:tr>
        <w:trPr>
          <w:trHeight w:val="216"/>
        </w:trPr>
        <w:tc>
          <w:tcPr>
            <w:tcW w:w="35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(Commission</w:t>
            </w:r>
          </w:p>
        </w:tc>
        <w:tc>
          <w:tcPr>
            <w:tcW w:w="2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File Number)</w:t>
            </w:r>
          </w:p>
        </w:tc>
        <w:tc>
          <w:tcPr>
            <w:tcW w:w="24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91"/>
        </w:trPr>
        <w:tc>
          <w:tcPr>
            <w:tcW w:w="35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38505 Woodward Avenue, Suite 200</w:t>
            </w:r>
          </w:p>
        </w:tc>
        <w:tc>
          <w:tcPr>
            <w:tcW w:w="2940" w:type="dxa"/>
            <w:vAlign w:val="bottom"/>
          </w:tcPr>
          <w:p>
            <w:pPr>
              <w:spacing w:after="0"/>
              <w:rPr>
                <w:sz w:val="24"/>
                <w:szCs w:val="24"/>
                <w:color w:val="auto"/>
              </w:rPr>
            </w:pPr>
          </w:p>
        </w:tc>
        <w:tc>
          <w:tcPr>
            <w:tcW w:w="2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48304</w:t>
            </w:r>
          </w:p>
        </w:tc>
      </w:tr>
      <w:tr>
        <w:trPr>
          <w:trHeight w:val="220"/>
        </w:trPr>
        <w:tc>
          <w:tcPr>
            <w:tcW w:w="35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Bloomfield Hills, Michigan</w:t>
            </w:r>
          </w:p>
        </w:tc>
        <w:tc>
          <w:tcPr>
            <w:tcW w:w="2940" w:type="dxa"/>
            <w:vAlign w:val="bottom"/>
          </w:tcPr>
          <w:p>
            <w:pPr>
              <w:spacing w:after="0"/>
              <w:rPr>
                <w:sz w:val="19"/>
                <w:szCs w:val="19"/>
                <w:color w:val="auto"/>
              </w:rPr>
            </w:pPr>
          </w:p>
        </w:tc>
        <w:tc>
          <w:tcPr>
            <w:tcW w:w="24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r>
        <w:trPr>
          <w:trHeight w:val="216"/>
        </w:trPr>
        <w:tc>
          <w:tcPr>
            <w:tcW w:w="35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(Address of principal</w:t>
            </w:r>
          </w:p>
        </w:tc>
        <w:tc>
          <w:tcPr>
            <w:tcW w:w="29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3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executive offices)</w:t>
            </w:r>
          </w:p>
        </w:tc>
        <w:tc>
          <w:tcPr>
            <w:tcW w:w="294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u w:val="single" w:color="auto"/>
          <w:color w:val="auto"/>
        </w:rPr>
        <w:t>Jodi Robin, General Counsel and Secretary, 248-631-5400</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383" w:lineRule="exact"/>
        <w:rPr>
          <w:sz w:val="24"/>
          <w:szCs w:val="24"/>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335" w:lineRule="exact"/>
        <w:rPr>
          <w:sz w:val="24"/>
          <w:szCs w:val="24"/>
          <w:color w:val="auto"/>
        </w:rPr>
      </w:pPr>
    </w:p>
    <w:p>
      <w:pPr>
        <w:ind w:left="780" w:hanging="475"/>
        <w:spacing w:after="0"/>
        <w:tabs>
          <w:tab w:leader="none" w:pos="7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9"/>
          <w:szCs w:val="19"/>
          <w:color w:val="auto"/>
        </w:rPr>
        <w:t>Rule 13p-1 under the Securities Exchange Act (17 CFR 240.13p-1) for the reporting period from January 1 to December 31, 2025.</w:t>
      </w:r>
    </w:p>
    <w:p>
      <w:pPr>
        <w:spacing w:after="0" w:line="60" w:lineRule="exact"/>
        <w:rPr>
          <w:sz w:val="24"/>
          <w:szCs w:val="24"/>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20"/>
          <w:szCs w:val="20"/>
          <w:color w:val="auto"/>
        </w:rPr>
        <w:t>___</w:t>
      </w:r>
      <w:r>
        <w:rPr>
          <w:sz w:val="20"/>
          <w:szCs w:val="20"/>
          <w:color w:val="auto"/>
        </w:rPr>
        <w:tab/>
      </w:r>
      <w:r>
        <w:rPr>
          <w:rFonts w:ascii="Times New Roman" w:cs="Times New Roman" w:eastAsia="Times New Roman" w:hAnsi="Times New Roman"/>
          <w:sz w:val="20"/>
          <w:szCs w:val="20"/>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55" w:right="459" w:bottom="1440" w:gutter="0" w:footer="0" w:header="0"/>
        </w:sectPr>
      </w:pPr>
    </w:p>
    <w:bookmarkStart w:id="1" w:name="page2"/>
    <w:bookmarkEnd w:id="1"/>
    <w:p>
      <w:pPr>
        <w:ind w:left="3940"/>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TriMas Corporation ("TriMas" or the "Company"), and its consolidated subsidiaries, designs, engineers and manufactures innovative products under leading brand names for customers primarily in the consumer products and industrial markets. The Company is principally engaged in the following reportable segments with diverse products and market channels: Packaging and Specialty Products. TriMas is filing this Form SD ("Form SD") pursuant to Rule 13p-1 under the Securities Exchange Act of 1934 (the "Rule") for the reporting period January 1, 2025 to December 31, 2025 (the "Reporting Period").</w:t>
      </w:r>
    </w:p>
    <w:p>
      <w:pPr>
        <w:spacing w:after="0" w:line="2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TriMas manufactures or contracts to manufacture "products" that may contain certain "conflict minerals" (as defined below) that are necessary to the functionality or production of such products. Form SD defines "conflict minerals" as: (i)(a) columbite-tantalite (or coltan, the metal ore from which tantalum is extracted), (b) cassiterite (the metal ore from which tin is extracted), (c) gold and (d) wolframite (the metal ore from which tungsten is extracted), or their derivatives; or (ii) any other mineral or its derivatives determined by the U.S. Secretary of State to be financing conflict in the Democratic Republic of the Congo or an adjoining country (collectively, the "Covered Countries").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Disclosures</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accordance with the Rule and Form SD, TriMas has conducted a good faith reasonable country of origin inquiry ("RCOI") regarding the conflict minerals included in its products during the Reporting Period to determine whether any of such conflict minerals originated in the Covered Countries and/or whether any of such conflict minerals may be from recycled or scrap sources.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In accordance with the Rule, TriMas has filed this Form SD and the associated Conflict Minerals Report, each of which are posted to TriMas’ publicly available internet site at </w:t>
      </w:r>
      <w:r>
        <w:rPr>
          <w:rFonts w:ascii="Times New Roman" w:cs="Times New Roman" w:eastAsia="Times New Roman" w:hAnsi="Times New Roman"/>
          <w:sz w:val="20"/>
          <w:szCs w:val="20"/>
          <w:color w:val="0000FF"/>
        </w:rPr>
        <w:t>www.trimas.com.</w:t>
      </w:r>
      <w:r>
        <w:rPr>
          <w:rFonts w:ascii="Times New Roman" w:cs="Times New Roman" w:eastAsia="Times New Roman" w:hAnsi="Times New Roman"/>
          <w:sz w:val="20"/>
          <w:szCs w:val="20"/>
          <w:color w:val="auto"/>
        </w:rPr>
        <w:t xml:space="preserve"> The content on any website referred to in this Form SD is not incorporated by reference into this Form SD unless expressly noted.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 description of the RCOI and the measures TriMas took to exercise due diligence on the source and chain of custody of certain of its conflict minerals is provided in the Conflict Minerals Report attached hereto as Exhibit 1.01. The content on, or accessible through, any website referred to in this Form SD is not incorporated by reference into this Form SD unless expressly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40" w:type="dxa"/>
            <w:vAlign w:val="bottom"/>
          </w:tcPr>
          <w:p>
            <w:pPr>
              <w:spacing w:after="0"/>
              <w:rPr>
                <w:sz w:val="22"/>
                <w:szCs w:val="22"/>
                <w:color w:val="auto"/>
              </w:rPr>
            </w:pPr>
          </w:p>
        </w:tc>
        <w:tc>
          <w:tcPr>
            <w:tcW w:w="3840" w:type="dxa"/>
            <w:vAlign w:val="bottom"/>
          </w:tcPr>
          <w:p>
            <w:pPr>
              <w:ind w:left="1860"/>
              <w:spacing w:after="0"/>
              <w:rPr>
                <w:sz w:val="20"/>
                <w:szCs w:val="20"/>
                <w:color w:val="auto"/>
              </w:rPr>
            </w:pPr>
            <w:r>
              <w:rPr>
                <w:rFonts w:ascii="Times New Roman" w:cs="Times New Roman" w:eastAsia="Times New Roman" w:hAnsi="Times New Roman"/>
                <w:sz w:val="20"/>
                <w:szCs w:val="20"/>
                <w:b w:val="1"/>
                <w:bCs w:val="1"/>
                <w:color w:val="auto"/>
              </w:rPr>
              <w:t>Section 3 – Exhibits</w:t>
            </w:r>
          </w:p>
        </w:tc>
      </w:tr>
      <w:tr>
        <w:trPr>
          <w:trHeight w:val="486"/>
        </w:trPr>
        <w:tc>
          <w:tcPr>
            <w:tcW w:w="2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3.01. Exhibits.</w:t>
            </w:r>
          </w:p>
        </w:tc>
        <w:tc>
          <w:tcPr>
            <w:tcW w:w="3840" w:type="dxa"/>
            <w:vAlign w:val="bottom"/>
          </w:tcPr>
          <w:p>
            <w:pPr>
              <w:spacing w:after="0"/>
              <w:rPr>
                <w:sz w:val="24"/>
                <w:szCs w:val="24"/>
                <w:color w:val="auto"/>
              </w:rPr>
            </w:pPr>
          </w:p>
        </w:tc>
      </w:tr>
      <w:tr>
        <w:trPr>
          <w:trHeight w:val="606"/>
        </w:trPr>
        <w:tc>
          <w:tcPr>
            <w:tcW w:w="294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3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940" w:type="dxa"/>
            <w:vAlign w:val="bottom"/>
          </w:tcPr>
          <w:p>
            <w:pPr>
              <w:ind w:left="880"/>
              <w:spacing w:after="0" w:line="212" w:lineRule="exact"/>
              <w:rPr>
                <w:sz w:val="20"/>
                <w:szCs w:val="20"/>
                <w:color w:val="auto"/>
              </w:rPr>
            </w:pPr>
            <w:r>
              <w:rPr>
                <w:rFonts w:ascii="Times New Roman" w:cs="Times New Roman" w:eastAsia="Times New Roman" w:hAnsi="Times New Roman"/>
                <w:sz w:val="20"/>
                <w:szCs w:val="20"/>
                <w:color w:val="auto"/>
              </w:rPr>
              <w:t>1.01</w:t>
            </w:r>
          </w:p>
        </w:tc>
        <w:tc>
          <w:tcPr>
            <w:tcW w:w="384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Conflict Minerals Report of TriMas Corporation</w:t>
            </w:r>
          </w:p>
        </w:tc>
      </w:tr>
    </w:tbl>
    <w:p>
      <w:pPr>
        <w:sectPr>
          <w:pgSz w:w="11900" w:h="16838" w:orient="portrait"/>
          <w:cols w:equalWidth="0" w:num="1">
            <w:col w:w="11240"/>
          </w:cols>
          <w:pgMar w:left="320" w:top="1004" w:right="339" w:bottom="1440" w:gutter="0" w:footer="0" w:header="0"/>
        </w:sectPr>
      </w:pPr>
    </w:p>
    <w:bookmarkStart w:id="2" w:name="page3"/>
    <w:bookmarkEnd w:id="2"/>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80" w:type="dxa"/>
        <w:tblCellMar>
          <w:top w:w="0" w:type="dxa"/>
          <w:left w:w="0" w:type="dxa"/>
          <w:bottom w:w="0" w:type="dxa"/>
          <w:right w:w="0" w:type="dxa"/>
        </w:tblCellMar>
      </w:tblPr>
      <w:tr>
        <w:trPr>
          <w:trHeight w:val="22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TRIMAS CORPORATION</w:t>
            </w:r>
          </w:p>
        </w:tc>
        <w:tc>
          <w:tcPr>
            <w:tcW w:w="20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2"/>
        </w:trPr>
        <w:tc>
          <w:tcPr>
            <w:tcW w:w="40" w:type="dxa"/>
            <w:vAlign w:val="bottom"/>
          </w:tcPr>
          <w:p>
            <w:pPr>
              <w:spacing w:after="0"/>
              <w:rPr>
                <w:sz w:val="18"/>
                <w:szCs w:val="18"/>
                <w:color w:val="auto"/>
              </w:rPr>
            </w:pPr>
          </w:p>
        </w:tc>
        <w:tc>
          <w:tcPr>
            <w:tcW w:w="1440" w:type="dxa"/>
            <w:vAlign w:val="bottom"/>
          </w:tcPr>
          <w:p>
            <w:pPr>
              <w:ind w:left="100"/>
              <w:spacing w:after="0" w:line="212" w:lineRule="exact"/>
              <w:rPr>
                <w:sz w:val="20"/>
                <w:szCs w:val="20"/>
                <w:color w:val="auto"/>
              </w:rPr>
            </w:pPr>
            <w:r>
              <w:rPr>
                <w:rFonts w:ascii="Times New Roman" w:cs="Times New Roman" w:eastAsia="Times New Roman" w:hAnsi="Times New Roman"/>
                <w:sz w:val="20"/>
                <w:szCs w:val="20"/>
                <w:color w:val="auto"/>
                <w:w w:val="97"/>
              </w:rPr>
              <w:t>/s/ Paul A. Swart</w:t>
            </w:r>
          </w:p>
        </w:tc>
        <w:tc>
          <w:tcPr>
            <w:tcW w:w="2920" w:type="dxa"/>
            <w:vAlign w:val="bottom"/>
          </w:tcPr>
          <w:p>
            <w:pPr>
              <w:spacing w:after="0"/>
              <w:rPr>
                <w:sz w:val="18"/>
                <w:szCs w:val="18"/>
                <w:color w:val="auto"/>
              </w:rPr>
            </w:pPr>
          </w:p>
        </w:tc>
        <w:tc>
          <w:tcPr>
            <w:tcW w:w="3140" w:type="dxa"/>
            <w:vAlign w:val="bottom"/>
            <w:gridSpan w:val="2"/>
          </w:tcPr>
          <w:p>
            <w:pPr>
              <w:ind w:left="2040"/>
              <w:spacing w:after="0" w:line="212" w:lineRule="exact"/>
              <w:rPr>
                <w:sz w:val="20"/>
                <w:szCs w:val="20"/>
                <w:color w:val="auto"/>
              </w:rPr>
            </w:pPr>
            <w:r>
              <w:rPr>
                <w:rFonts w:ascii="Times New Roman" w:cs="Times New Roman" w:eastAsia="Times New Roman" w:hAnsi="Times New Roman"/>
                <w:sz w:val="20"/>
                <w:szCs w:val="20"/>
                <w:color w:val="auto"/>
                <w:w w:val="96"/>
              </w:rPr>
              <w:t>May 27, 2026</w:t>
            </w:r>
          </w:p>
        </w:tc>
      </w:tr>
      <w:tr>
        <w:trPr>
          <w:trHeight w:val="20"/>
        </w:trPr>
        <w:tc>
          <w:tcPr>
            <w:tcW w:w="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83"/>
        </w:trPr>
        <w:tc>
          <w:tcPr>
            <w:tcW w:w="44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Name: Paul A. Swart</w:t>
            </w:r>
          </w:p>
        </w:tc>
        <w:tc>
          <w:tcPr>
            <w:tcW w:w="2040" w:type="dxa"/>
            <w:vAlign w:val="bottom"/>
          </w:tcPr>
          <w:p>
            <w:pPr>
              <w:spacing w:after="0"/>
              <w:rPr>
                <w:sz w:val="24"/>
                <w:szCs w:val="24"/>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Date</w:t>
            </w:r>
          </w:p>
        </w:tc>
      </w:tr>
      <w:tr>
        <w:trPr>
          <w:trHeight w:val="270"/>
        </w:trPr>
        <w:tc>
          <w:tcPr>
            <w:tcW w:w="44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204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TriMas Corporation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Reporting Period January 1, 2025 to December 31, 2025</w:t>
      </w:r>
    </w:p>
    <w:p>
      <w:pPr>
        <w:spacing w:after="0" w:line="30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0"/>
          <w:szCs w:val="20"/>
          <w:color w:val="auto"/>
        </w:rPr>
        <w:t>TriMas Corporation (TriMas or the Company) is filing this Conflict Minerals Report (CMR) for the reporting period January 1, 2025 to December 31, 2025 (the Reporting Period) as an exhibit to its Form SD pursuant to Rule 13p-1 under the Securities Exchange Act of 1934 (the Rule). TriMas manufactures or contracts to manufacture "products" that may contain conflict minerals, as defined by the Rule, present in its supply chain that may have originated in the Democratic Republic of the Congo or an adjoining country (the Covered Countries) and may not be from recycled or scrap sources. Accordingly, TriMas is filing this CMR as an exhibit to Form SD to describe the due diligence measures taken to determine the source and chain of custody of the conflict minerals used in its products during the Reporting Period.</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On January 31, 2025, TriMas announced the successful completion of the sale of its Arrow Engine business. This CMR does not include disclosures related to the Arrow Engine business. On March 16, 2026, TriMas completed the sale of its Aerospace business. This CMR includes disclosures related to the Aerospace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Reasonable Country of Origin Inquiry</w:t>
      </w:r>
    </w:p>
    <w:p>
      <w:pPr>
        <w:spacing w:after="0" w:line="30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20"/>
          <w:szCs w:val="20"/>
          <w:color w:val="auto"/>
        </w:rPr>
        <w:t>In accordance with the Rule and Form SD, TriMas conducted a good faith reasonable country of origin inquiry (RCOI) regarding the conflict minerals included in its products during the Reporting Period to determine whether any of such conflict minerals originated in the Covered Countries and/or whether any of such conflict minerals may be from recycled or scrap sources.</w:t>
      </w:r>
    </w:p>
    <w:p>
      <w:pPr>
        <w:spacing w:after="0" w:line="21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To determine whether tin, tantalum, tungsten or gold (3TG) necessary to the functionality or production of supplier products originated in Covered Countries, TriMas retained ComplianceXL, a third-party service provider, to assist in reviewing the supply chain and identifying risks. The Company provided a list composed of suppliers associated with the in-scope products to ComplianceXL for upload to the SustainHub (SH) platform provided by iPoint.</w:t>
      </w:r>
    </w:p>
    <w:p>
      <w:pPr>
        <w:spacing w:after="0" w:line="19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To collect data on the materials' sources of origin procured by the supply chain, TriMas utilized the Conflict Minerals Reporting Template (CMRT) version 6.5 or higher to conduct a survey of all in-scope suppliers.</w:t>
      </w:r>
    </w:p>
    <w:p>
      <w:pPr>
        <w:spacing w:after="0" w:line="18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20"/>
          <w:szCs w:val="20"/>
          <w:color w:val="auto"/>
        </w:rPr>
        <w:t>During the supplier survey, the Company contacted suppliers via the SH platform, enabling users to complete and track supplier communications, and allowing suppliers to upload completed CMRTs directly to the platform for validation, assessment and management. SH also provides functionality that meets the Organization for Economic Cooperation and Development's (OECD) Guidance process expectations by evaluating the quality of each supplier response. Additionally, the metrics provided in this report, as well as the step-by-step process for supplier engagement and upstream due diligence investigations performed, are managed through this platform.</w:t>
      </w:r>
    </w:p>
    <w:p>
      <w:pPr>
        <w:spacing w:after="0" w:line="22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Via SH and the ComplianceXL team, the Company requested that all suppliers complete a CMRT. Training and education to guide suppliers on best practices and the use of this template was included. ComplianceXL monitored and tracked all communications in SH for future reporting and transparency. TriMas directly contacted suppliers that were unresponsive to ComplianceXL's communications during the diligence process and requested these suppliers complete the CMRT and submit it to ComplianceXL.</w:t>
      </w:r>
    </w:p>
    <w:p>
      <w:pPr>
        <w:sectPr>
          <w:pgSz w:w="11900" w:h="16838" w:orient="portrait"/>
          <w:cols w:equalWidth="0" w:num="1">
            <w:col w:w="11240"/>
          </w:cols>
          <w:pgMar w:left="320" w:top="788" w:right="339" w:bottom="1440" w:gutter="0" w:footer="0" w:header="0"/>
        </w:sectPr>
      </w:pPr>
    </w:p>
    <w:bookmarkStart w:id="4" w:name="page5"/>
    <w:bookmarkEnd w:id="4"/>
    <w:p>
      <w:pPr>
        <w:jc w:val="both"/>
        <w:spacing w:after="0" w:line="320" w:lineRule="auto"/>
        <w:rPr>
          <w:sz w:val="20"/>
          <w:szCs w:val="20"/>
          <w:color w:val="auto"/>
        </w:rPr>
      </w:pPr>
      <w:r>
        <w:rPr>
          <w:rFonts w:ascii="Times New Roman" w:cs="Times New Roman" w:eastAsia="Times New Roman" w:hAnsi="Times New Roman"/>
          <w:sz w:val="20"/>
          <w:szCs w:val="20"/>
          <w:color w:val="auto"/>
        </w:rPr>
        <w:t xml:space="preserve">The Company's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to identify areas that require </w:t>
      </w:r>
      <w:r>
        <w:rPr>
          <w:rFonts w:ascii="Times New Roman" w:cs="Times New Roman" w:eastAsia="Times New Roman" w:hAnsi="Times New Roman"/>
          <w:sz w:val="21"/>
          <w:szCs w:val="21"/>
          <w:color w:val="auto"/>
        </w:rPr>
        <w:t>further</w:t>
      </w:r>
      <w:r>
        <w:rPr>
          <w:rFonts w:ascii="Times New Roman" w:cs="Times New Roman" w:eastAsia="Times New Roman" w:hAnsi="Times New Roman"/>
          <w:sz w:val="20"/>
          <w:szCs w:val="20"/>
          <w:color w:val="auto"/>
        </w:rPr>
        <w:t xml:space="preserve"> classification or risk assessment, as well as understand the due diligence efforts of in-scope suppliers. The results of this data validation are shared with the suppliers to ensure they understand areas that require clarification or improvement.</w:t>
      </w:r>
    </w:p>
    <w:p>
      <w:pPr>
        <w:spacing w:after="0" w:line="2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All submitted forms are accepted and classified as valid or invalid. Suppliers are contacted regarding invalid forms and are encouraged to submit a valid form. Suppliers are also provided with guidance on how to correct validation errors in their CMRT submission and direct engagement help through ComplianceXL. Since some suppliers may remain unresponsive to feedback, TriMas tracks program gaps to account for future improvement opportunities. TriMas also continued to perform further due diligence on the source and chain of custody of the minerals in question.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Due Diligence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Design of Due Diligence</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TriMas' due diligence process is based on OECD Due Diligence Guidance for Responsible Supply Chains of Minerals from Conflict-Affected and High-Risk Areas and accompanying Supplements. The OECD Guidance applies to both upstream</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and downstream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companies in the supply chain. As TriMas is a downstream company in the supply chain, TriMas' tailored its due diligence practices accordingly. Due diligence measures undertaken by TriMas included those described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Due Diligence Performed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Establish Strong Company Management Systems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Adopt a Conflict Minerals Policy</w:t>
      </w:r>
    </w:p>
    <w:p>
      <w:pPr>
        <w:spacing w:after="0" w:line="5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 xml:space="preserve">TriMas' policies and practices, including our Responsible Sourcing and Conflict Minerals Policy (Conflict Minerals Policy), reflect our commitment to responsible sourcing and our values around human rights, ethics and environmental responsibility. Our Conflicts Minerals Policy is available on the TriMas website at </w:t>
      </w:r>
      <w:r>
        <w:rPr>
          <w:rFonts w:ascii="Times New Roman" w:cs="Times New Roman" w:eastAsia="Times New Roman" w:hAnsi="Times New Roman"/>
          <w:sz w:val="20"/>
          <w:szCs w:val="20"/>
          <w:color w:val="0000FF"/>
        </w:rPr>
        <w:t>www.trimas.com/policies</w:t>
      </w:r>
      <w:r>
        <w:rPr>
          <w:rFonts w:ascii="Times New Roman" w:cs="Times New Roman" w:eastAsia="Times New Roman" w:hAnsi="Times New Roman"/>
          <w:sz w:val="20"/>
          <w:szCs w:val="20"/>
          <w:color w:val="auto"/>
        </w:rPr>
        <w:t xml:space="preserve">. Our responsible sourcing efforts include supplier acknowledgment of the Company's Supplier Code of Conduct, which may be viewed at </w:t>
      </w:r>
      <w:r>
        <w:rPr>
          <w:rFonts w:ascii="Times New Roman" w:cs="Times New Roman" w:eastAsia="Times New Roman" w:hAnsi="Times New Roman"/>
          <w:sz w:val="20"/>
          <w:szCs w:val="20"/>
          <w:color w:val="0000FF"/>
        </w:rPr>
        <w:t>www.trimas.com/suppliers</w:t>
      </w:r>
      <w:r>
        <w:rPr>
          <w:rFonts w:ascii="Times New Roman" w:cs="Times New Roman" w:eastAsia="Times New Roman" w:hAnsi="Times New Roman"/>
          <w:sz w:val="20"/>
          <w:szCs w:val="20"/>
          <w:color w:val="auto"/>
        </w:rPr>
        <w:t>. The content on any website referred to in this CMR is not incorporated by reference into this CMR unless expressly noted.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Assemble an Internal Team to Support Supply Chain Due Diligence</w:t>
      </w:r>
    </w:p>
    <w:p>
      <w:pPr>
        <w:spacing w:after="0" w:line="5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TriMas' senior management identified individuals representing multiple TriMas departments and business units to oversee and drive conflict minerals compliance. Together with ComplianceXL, TriMas' General Counsel and Secretary worked with the Company's business units to complete tasks associated with the supplier due diligence process. Individual leads within the business units further facilitated the diligence process to collect information regarding the presence and sourcing of conflict minerals in the products supplied to TriMas.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135" w:lineRule="exact"/>
        <w:rPr>
          <w:sz w:val="20"/>
          <w:szCs w:val="20"/>
          <w:color w:val="auto"/>
        </w:rPr>
      </w:pPr>
    </w:p>
    <w:p>
      <w:pPr>
        <w:ind w:firstLine="8"/>
        <w:spacing w:after="0" w:line="217" w:lineRule="auto"/>
        <w:tabs>
          <w:tab w:leader="none" w:pos="109"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Upstream companies refer to those between the mine and smelters or refiners (SOR). As such, the companies typically include miners, local traders, or exporters from the country of mineral origin, international concentrate traders, and SORs.</w:t>
      </w:r>
    </w:p>
    <w:p>
      <w:pPr>
        <w:sectPr>
          <w:pgSz w:w="11900" w:h="16838" w:orient="portrait"/>
          <w:cols w:equalWidth="0" w:num="1">
            <w:col w:w="11240"/>
          </w:cols>
          <w:pgMar w:left="320" w:top="1062" w:right="339" w:bottom="1440" w:gutter="0" w:footer="0" w:header="0"/>
        </w:sectPr>
      </w:pPr>
    </w:p>
    <w:bookmarkStart w:id="5" w:name="page6"/>
    <w:bookmarkEnd w:id="5"/>
    <w:p>
      <w:pPr>
        <w:ind w:firstLine="8"/>
        <w:spacing w:after="0" w:line="217" w:lineRule="auto"/>
        <w:tabs>
          <w:tab w:leader="none" w:pos="113"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Downstream companies refer to those entities between the SOR and retailer. As such, the companies typically include metal traders and exchanges, component manufacturers, product manufacturers, original equipment manufacturers, and retailers.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Establish a System of Controls and Transparency Over The Supply Chain</w:t>
      </w:r>
    </w:p>
    <w:p>
      <w:pPr>
        <w:spacing w:after="0" w:line="6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To provide better transparency within TriMas' supply chain and to facilitate communication of policies and expectations, TriMas engaged ComplianceXL to complement internal management processes. The ComplianceXL and SH online system and processes are used to identify suppliers in TriMas' supply chain and to collect, store, and review information on conflict minerals sourcing practices, track information on SORs, and flag risks based on SOR sourcing practices. This system is designed to allow collection and housing of data on supply chain circumstances, which can be updated to reflect changes within the supply chain, such as new customer-supplier relationships and new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TriMas mandated compliance in its supply chain with TriMas' Conflict Minerals Policy through its contractual terms and conditions.</w:t>
      </w:r>
    </w:p>
    <w:p>
      <w:pPr>
        <w:spacing w:after="0" w:line="29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 xml:space="preserve">TriMas maintains an ethics hotline accessible at </w:t>
      </w:r>
      <w:r>
        <w:rPr>
          <w:rFonts w:ascii="Times New Roman" w:cs="Times New Roman" w:eastAsia="Times New Roman" w:hAnsi="Times New Roman"/>
          <w:sz w:val="20"/>
          <w:szCs w:val="20"/>
          <w:color w:val="0000FF"/>
        </w:rPr>
        <w:t>https://ir.trimas.com/employee-ethics-hotline-information</w:t>
      </w:r>
      <w:r>
        <w:rPr>
          <w:rFonts w:ascii="Times New Roman" w:cs="Times New Roman" w:eastAsia="Times New Roman" w:hAnsi="Times New Roman"/>
          <w:sz w:val="20"/>
          <w:szCs w:val="20"/>
          <w:color w:val="auto"/>
        </w:rPr>
        <w:t xml:space="preserve"> through which a party, including TriMas employees and suppliers, may submit reports or concerns regarding compliance, including with respect to conflict minerals.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Supplier Engagement</w:t>
      </w:r>
    </w:p>
    <w:p>
      <w:pPr>
        <w:spacing w:after="0" w:line="5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TriMas has increased its supply chain transparency by identifying risks within its supply chain. TriMas is committed to conducting business in a socially responsible manner and partnering with suppliers who are similarly committed. TriMas’ supplier compliance process requires that suppliers comply with various contract provisions, legal requirements and industrial standards under local, regional and national laws and regulations of the countries in which the suppliers conduct business. Through this process, TriMas remains engaged with its supply base from a compliance perspective.</w:t>
      </w:r>
    </w:p>
    <w:p>
      <w:pPr>
        <w:spacing w:after="0" w:line="20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During this reporting period, we utilized the CMRT to collect conflict minerals declarations from our in-scope suppliers. These declarations were uploaded into the SH web-based reporting platform. The use of these tools has allowed us to assist our suppliers in understanding our expectations and requirements, and increase the rate of responses we have received from our suppliers to our survey requests. ComplianceXL followed-up with suppliers to ensure proper completion of the CMRT, and all communication with suppliers has been documented to reflect the degree of success of these efforts.</w:t>
      </w:r>
    </w:p>
    <w:p>
      <w:pPr>
        <w:spacing w:after="0" w:line="20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To complete the RCOI, TriMas' in-scope suppliers were requested to provide information regarding the presence and sourcing of conflict minerals used in the products supplied to TriMas. The program utilized the CMRT version 6.5 or higher to conduct a survey of all in-scope suppliers.</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Suppliers were offered two options to submit the required information, either by uploading a completed CMRT or through direct submission to ComplianceXL.</w:t>
      </w:r>
    </w:p>
    <w:p>
      <w:pPr>
        <w:spacing w:after="0" w:line="18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0"/>
          <w:szCs w:val="20"/>
          <w:color w:val="auto"/>
        </w:rPr>
        <w:t>During the supplier survey, suppliers were contacted via the SH platform, operated by ComplianceXL, enabling its users to complete and track supplier communications as well as allowing suppliers to upload completed CMRT forms directly to the platform for risk assessment and management. In their responses, suppliers specified whether the information provided was at the company level or the product level. Non-responsive suppliers were contacted a minimum of 22 times by ComplianceXL. For the 2025 reporting period, TriMas received responses from 412 or 83% of its 496 surveyed suppliers. Of the 412 suppliers that provided a response, approximately 87 reported that their products contained 3TG necessary to the functionality or production of their products.</w:t>
      </w:r>
    </w:p>
    <w:p>
      <w:pPr>
        <w:sectPr>
          <w:pgSz w:w="11900" w:h="16838" w:orient="portrait"/>
          <w:cols w:equalWidth="0" w:num="1">
            <w:col w:w="11240"/>
          </w:cols>
          <w:pgMar w:left="320" w:top="873" w:right="339" w:bottom="1440" w:gutter="0" w:footer="0" w:header="0"/>
        </w:sectPr>
      </w:pPr>
    </w:p>
    <w:bookmarkStart w:id="6" w:name="page7"/>
    <w:bookmarkEnd w:id="6"/>
    <w:p>
      <w:pPr>
        <w:jc w:val="both"/>
        <w:spacing w:after="0" w:line="310" w:lineRule="auto"/>
        <w:rPr>
          <w:sz w:val="20"/>
          <w:szCs w:val="20"/>
          <w:color w:val="auto"/>
        </w:rPr>
      </w:pPr>
      <w:r>
        <w:rPr>
          <w:rFonts w:ascii="Times New Roman" w:cs="Times New Roman" w:eastAsia="Times New Roman" w:hAnsi="Times New Roman"/>
          <w:sz w:val="20"/>
          <w:szCs w:val="20"/>
          <w:color w:val="auto"/>
        </w:rPr>
        <w:t>Automated data validation on all submitted CMRTs is included in the program. The goal of data validation is to increase the accuracy of submissions and identify any contradictory answers in the CMRT. Suppliers were contacted in regards to invalid forms and were encouraged to resubmit a valid form. For the 2025 reporting period, TriMas had 4 invalid CMRTs, that could not be corrected.</w:t>
      </w:r>
    </w:p>
    <w:p>
      <w:pPr>
        <w:spacing w:after="0" w:line="20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As mentioned above, the CMRTs received allowed TriMas to collect and compile, via SH, all answers from the CMRT with respect to smelter information reflected in the CMRTs. With respect to smelter information reflected in the CMRTs, there were suppliers who did not provide smelter lists. Without having full smelter information for TriMas products from all suppliers in-scope, TriMas is unable to determine whether there is sourcing from the Covered Countries. In connection with its evaluation of the CMRTs, TriMas and ComplianceXL undertook due diligence to validate supplier reports.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Grievance Mechanism</w:t>
      </w:r>
    </w:p>
    <w:p>
      <w:pPr>
        <w:spacing w:after="0" w:line="5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 xml:space="preserve">We have established reporting mechanisms whereby employees and suppliers can report violations of the Company's policies, including our Conflict Minerals Policy through the ethics hotline on our website at </w:t>
      </w:r>
      <w:r>
        <w:rPr>
          <w:rFonts w:ascii="Times New Roman" w:cs="Times New Roman" w:eastAsia="Times New Roman" w:hAnsi="Times New Roman"/>
          <w:sz w:val="20"/>
          <w:szCs w:val="20"/>
          <w:color w:val="0000FF"/>
        </w:rPr>
        <w:t>https://ir.trimas.com/employee-ethics-hotline-information</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Records Maintenance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our Records Retention Policy, compliance records are maintained for 10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Identify and Assess Risk in Our Supply Chain</w:t>
      </w:r>
    </w:p>
    <w:p>
      <w:pPr>
        <w:spacing w:after="0" w:line="31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We rely on suppliers whose materials or components contain 3TG to provide us with information about the source of 3TG contained in those materials or components. Our direct suppliers similarly rely upon information provided by their suppliers. We believe many of our largest suppliers are suppliers to other SEC registrants that are subject to the Rule.</w:t>
      </w:r>
    </w:p>
    <w:p>
      <w:pPr>
        <w:spacing w:after="0" w:line="20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accordance with OECD Guidelines, it is important to understand risk levels associated with conflict minerals in the supply chain. Smelters that are not certified as DRC-conflict free by third-party sources such as Responsible Minerals Initiative (RMI) or the London Bullion Market Association (LBMA) Responsible Gold Programme, may pose a risk. Where a smelter is not identified as conflict free by such sources, we rate the risk as high, medium or low. This rating is based on various factors, including whether the smelter/refiner has been identified as a valid smelter/refiner and has an associated Smelter Identification Number (under the RMI, this is known as a CID), and the smelter's geographic location, including proximity to the Covered Countries.</w:t>
      </w:r>
    </w:p>
    <w:p>
      <w:pPr>
        <w:spacing w:after="0" w:line="227"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20"/>
          <w:szCs w:val="20"/>
          <w:color w:val="auto"/>
        </w:rPr>
        <w:t xml:space="preserve">We calculate supplier risk based on the chance that a supplier provides 3TGs that may originate from non-conflict free sources. The value of this risk is calculated based on the risk ratings of the smelters declared by that supplier on their </w:t>
      </w:r>
      <w:r>
        <w:rPr>
          <w:rFonts w:ascii="Times New Roman" w:cs="Times New Roman" w:eastAsia="Times New Roman" w:hAnsi="Times New Roman"/>
          <w:sz w:val="21"/>
          <w:szCs w:val="21"/>
          <w:color w:val="auto"/>
        </w:rPr>
        <w:t>CMRT.</w:t>
      </w:r>
    </w:p>
    <w:p>
      <w:pPr>
        <w:spacing w:after="0" w:line="16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Additionally, each supplier is evaluated on the strength of its conflict minerals program (further assisting in identifying risk in the supply chain). Evaluating and tracking the strength of the program can assist in making key risk mitigation decisions as the program progresses. The criteria used to evaluate the strength of a supplier's program are:</w:t>
      </w:r>
    </w:p>
    <w:p>
      <w:pPr>
        <w:spacing w:after="0" w:line="20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you have a policy in place that includes Covered Countries conflict-free sourcing?</w:t>
      </w:r>
    </w:p>
    <w:p>
      <w:pPr>
        <w:spacing w:after="0" w:line="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you implemented due diligence measures for conflict-free sourcing?</w:t>
      </w:r>
    </w:p>
    <w:p>
      <w:pPr>
        <w:spacing w:after="0" w:line="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you verify due diligence information received from your suppliers?</w:t>
      </w:r>
    </w:p>
    <w:p>
      <w:pPr>
        <w:sectPr>
          <w:pgSz w:w="11900" w:h="16838" w:orient="portrait"/>
          <w:cols w:equalWidth="0" w:num="1">
            <w:col w:w="11240"/>
          </w:cols>
          <w:pgMar w:left="320" w:top="1035" w:right="339" w:bottom="1440" w:gutter="0" w:footer="0" w:header="0"/>
        </w:sectPr>
      </w:pPr>
    </w:p>
    <w:bookmarkStart w:id="7" w:name="page8"/>
    <w:bookmarkEnd w:id="7"/>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your review process include corrective action management?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more positive the responses to these questions indicate a stronger conflict sourcing initiative.</w:t>
      </w:r>
    </w:p>
    <w:p>
      <w:pPr>
        <w:spacing w:after="0" w:line="29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As part of our risk management plan and to ensure suppliers understand our expectations, we have, through ComplianceXL, written training on conflict minerals and the CMRT. This includes instructions on completing the form and one-on-one email and phone discussions with supplier personnel.</w:t>
      </w:r>
    </w:p>
    <w:p>
      <w:pPr>
        <w:spacing w:after="0" w:line="21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In accordance with our Conflict Minerals Policy, if a supplier gives us reason to believe that it may be supplying us with 3TG from sources that may support conflict in a Covered Country, we encourage the supplier to establish an alternative source of 3TG that does not support such conflict, as provided in the OECD guidance. If we are not satisfied with the results, we may initiate steps to find replacement suppliers.</w:t>
      </w:r>
    </w:p>
    <w:p>
      <w:pPr>
        <w:spacing w:after="0" w:line="20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Once surveys were returned, ComplianceXL reviewed and attempted to match each verified SOR identified in the completed surveys to available lists of SORs that have been validated as conflict free under internationally-recognized schemes such as the RMI Responsible Minerals Assurance Process (RMAP). If an SOR was not validated by the RMAP, ComplianceXL attempted to contact the SOR to gather more information about its sourcing practices.</w:t>
      </w:r>
    </w:p>
    <w:p>
      <w:pPr>
        <w:spacing w:after="0" w:line="20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In accordance with OECD Guidelines, it is important to understand risk levels associated with conflict minerals in the supply chain. Smelters not certified Covered Country-Conflict Free may pose a risk to the supply chain. Each facility that meets the RMI definition of a smelter or refiner of a 3TGs mineral is assessed according to red flag indicators defined in the OECD Guidance.</w:t>
      </w:r>
    </w:p>
    <w:p>
      <w:pPr>
        <w:spacing w:after="0" w:line="1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part of our risk management plan under the OECD Guidance, when facilities with red flags are reported on a CMRT by one of the suppliers surveyed, risk mitigation activities are initiated. Through ComplianceXL, submissions that include any red flag facilities immediately produce a receipt instructing the supplier to take their own risk mitigation actions, including submission of a product specific CMRT to better identify the connection to products that they supply to TriMas, and escalating up to removal of these red flag smelters from their supply chain.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per the OECD Due Diligence Guidance, risk mitigation will depend on the supplier's specific context.</w:t>
      </w:r>
    </w:p>
    <w:p>
      <w:pPr>
        <w:spacing w:after="0" w:line="2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Tracing materials back to their mine of origin is a complex aspect of responsible sourcing in our supply chain. We have determined that seeking information about 3TG smelters and refiners in our supply chain represents an appropriate effort to determine the mines or locations of origin of the 3TGs in our supply chain. This was done by adopting methodology outlined by the RMI's joint industry programs and outreach initiatives and requiring our suppliers to conform with the same standards to meet the OECD Guidelines, and report to us using the CMRT. Through this industry joint effort, we made a reasonable determination of the mines or locations of origin of the 3TGs in our supply chain. We also requested that all of our suppliers support the initiative by following the sourcing initiative and working to align their declared sources with the “Known” and “Conflict Free” lists of sourced metals.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Design and Implement a Strategy to Respond to Risks</w:t>
      </w:r>
    </w:p>
    <w:p>
      <w:pPr>
        <w:spacing w:after="0" w:line="5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As part of TriMas' strategy to mitigate risk and to ensure suppliers understand our expectations, we have provided documented instructions through ComplianceXL. Responses to the reporting CMRT were reviewed with specific suppliers where clarification was needed. As described in our Conflict Minerals Policy, we intend to engage any of our</w:t>
      </w:r>
    </w:p>
    <w:p>
      <w:pPr>
        <w:sectPr>
          <w:pgSz w:w="11900" w:h="16838" w:orient="portrait"/>
          <w:cols w:equalWidth="0" w:num="1">
            <w:col w:w="11240"/>
          </w:cols>
          <w:pgMar w:left="320" w:top="792" w:right="339" w:bottom="1440" w:gutter="0" w:footer="0" w:header="0"/>
        </w:sectPr>
      </w:pPr>
    </w:p>
    <w:bookmarkStart w:id="8" w:name="page9"/>
    <w:bookmarkEnd w:id="8"/>
    <w:p>
      <w:pPr>
        <w:jc w:val="both"/>
        <w:spacing w:after="0" w:line="295" w:lineRule="auto"/>
        <w:rPr>
          <w:sz w:val="20"/>
          <w:szCs w:val="20"/>
          <w:color w:val="auto"/>
        </w:rPr>
      </w:pPr>
      <w:r>
        <w:rPr>
          <w:rFonts w:ascii="Times New Roman" w:cs="Times New Roman" w:eastAsia="Times New Roman" w:hAnsi="Times New Roman"/>
          <w:sz w:val="20"/>
          <w:szCs w:val="20"/>
          <w:color w:val="auto"/>
        </w:rPr>
        <w:t>suppliers whom we have reason to believe are supplying us with 3TG from sources that may support conflict in Covered Countries to establish an alternative source of 3TG that does not support such conflict, as provided in the OECD guidance.</w:t>
      </w:r>
    </w:p>
    <w:p>
      <w:pPr>
        <w:spacing w:after="0" w:line="2"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Suppliers that may expose the Company to unacceptable risks, either due to unacceptable responses to our inquiries or a refusal to respond, may be evaluated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Carry out Independent Third Party Audit of Supply Chain Due Diligence at Identified Points in the Supply Chain</w:t>
      </w:r>
    </w:p>
    <w:p>
      <w:pPr>
        <w:spacing w:after="0" w:line="6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TriMas does not have a direct relationship with conflict minerals smelters or refiners and as a result, TriMas does not perform direct audits of these entities in its supply chain. TriMas relies on the efforts of the industry associations that administer independent third-party smelter and refinery audit programs and encourages suppliers with more direct relationships with smelters to participate in comparable due diligence validation activities.</w:t>
      </w:r>
    </w:p>
    <w:p>
      <w:pPr>
        <w:spacing w:after="0" w:line="20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ComplianceXL conducts outreach to all smelters and refineries that are not enrolled in the RMI's RMAP on behalf of TriMas. The purpose of this outreach is to encourage participation in the RMAP and to inquire about the facility's sourcing practices and infrastructure.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Report Annually on Supply Chain Due Diligence</w:t>
      </w:r>
    </w:p>
    <w:p>
      <w:pPr>
        <w:spacing w:after="0" w:line="54"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 xml:space="preserve">TriMas' Form SD and CMR are publicly available at </w:t>
      </w:r>
      <w:r>
        <w:rPr>
          <w:rFonts w:ascii="Times New Roman" w:cs="Times New Roman" w:eastAsia="Times New Roman" w:hAnsi="Times New Roman"/>
          <w:sz w:val="20"/>
          <w:szCs w:val="20"/>
          <w:color w:val="0000FF"/>
        </w:rPr>
        <w:t>www.trimas.com</w:t>
      </w:r>
      <w:r>
        <w:rPr>
          <w:rFonts w:ascii="Times New Roman" w:cs="Times New Roman" w:eastAsia="Times New Roman" w:hAnsi="Times New Roman"/>
          <w:sz w:val="20"/>
          <w:szCs w:val="20"/>
          <w:color w:val="auto"/>
        </w:rPr>
        <w:t xml:space="preserve"> and meet the OECD recommendation to report annually on supply chain due diligence.</w:t>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Due Diligence Results</w:t>
      </w:r>
    </w:p>
    <w:p>
      <w:pPr>
        <w:spacing w:after="0" w:line="30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For the 2025 reporting period, TriMas received responses from 412 or 83% of its 496 surveyed suppliers. Of the 412 suppliers that provided a response, approximately 87 reported that their products contained 3TG necessary to the functionality or production of their products. Based on the RCOI and the due diligence measures described in this CMR, specifically that most CMRTs are at the company level and not the product level pertaining to TriMas products, TriMas was unable to determine if any of the specific SORs identified by suppliers are in its supply chain.</w:t>
      </w:r>
    </w:p>
    <w:p>
      <w:pPr>
        <w:spacing w:after="0" w:line="20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information that we received from a majority of our direct suppliers was at their company-wide level. Thus, the SORs identified by our direct suppliers may contain SORs that processed conflict minerals that our direct suppliers supplied to their other customers, but not to us. As a result, we are unable to conclusively determine whether the SORs were used to process the conflict minerals necessary to the functionality or production of our products during 2025. Because of this uncertainty, we are also unable to conclusively determine whether each of the countries of origin identified were the country of origin of conflict minerals in our products during 2025, and therefore we were also unable to determine the source and chain of custody of those conflict minerals. In addition, the third-party audits conducted by the RMI, the LBMA and the information that we receive from our direct suppliers may yield inaccurate or incomplete information. For example, the information received from our direct suppliers may be incomplete because they may not have received accurate and complete conflict minerals information from all of the suppliers in their own supply chain. We also do not have access to audit reports or detailed findings of the third-party audits conducted as part of the RMI RMAP or the LBMA Responsible Gold Programme and, as a result, are not responsible for the quality of these audits or the audit findings.</w:t>
      </w:r>
    </w:p>
    <w:p>
      <w:pPr>
        <w:spacing w:after="0" w:line="21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connection with our reasonable country of origin inquiry and due diligence, as applicable, our suppliers identified to us certain smelters and refiners as potentially having processed the necessary 3TG contained in our products in 2025. For all responses that indicated a smelter, ComplianceXL compared the facilities listed to the list of smelters maintained by the RMI. For the 2025 reporting period, we have validated 302 SORs. Appendix A lists the smelters and refiners that the suppliers we surveyed reported as being in their supply chains. We have not listed in Appendix A any SORs that we have not been able to validate. If a supplier indicated that the facility was certified as "Conflict-Free," ComplianceXL confirmed that the name was listed by RMI as a certified smelter.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Steps to Improve Due Diligence and Mitigate Risk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TriMas will work to continuously improve its supply chain due diligence efforts through the following measures:</w:t>
      </w:r>
    </w:p>
    <w:p>
      <w:pPr>
        <w:spacing w:after="0" w:line="200" w:lineRule="exact"/>
        <w:rPr>
          <w:sz w:val="20"/>
          <w:szCs w:val="20"/>
          <w:color w:val="auto"/>
        </w:rPr>
      </w:pPr>
    </w:p>
    <w:p>
      <w:pPr>
        <w:spacing w:after="0" w:line="232" w:lineRule="exact"/>
        <w:rPr>
          <w:sz w:val="20"/>
          <w:szCs w:val="20"/>
          <w:color w:val="auto"/>
        </w:rPr>
      </w:pPr>
    </w:p>
    <w:p>
      <w:pPr>
        <w:ind w:left="1480" w:right="820" w:hanging="685"/>
        <w:spacing w:after="0"/>
        <w:tabs>
          <w:tab w:leader="none" w:pos="14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Continue supply chain due diligence efforts and engagement with suppliers to identify sources of conflict minerals;</w:t>
      </w:r>
    </w:p>
    <w:p>
      <w:pPr>
        <w:spacing w:after="0" w:line="26" w:lineRule="exact"/>
        <w:rPr>
          <w:rFonts w:ascii="Times New Roman" w:cs="Times New Roman" w:eastAsia="Times New Roman" w:hAnsi="Times New Roman"/>
          <w:sz w:val="20"/>
          <w:szCs w:val="20"/>
          <w:b w:val="1"/>
          <w:bCs w:val="1"/>
          <w:color w:val="auto"/>
        </w:rPr>
      </w:pPr>
    </w:p>
    <w:p>
      <w:pPr>
        <w:ind w:left="1480" w:hanging="685"/>
        <w:spacing w:after="0"/>
        <w:tabs>
          <w:tab w:leader="none" w:pos="14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Continue to clearly communicate expectations with regard to supplier compliance, transparency and sourcing;</w:t>
      </w:r>
    </w:p>
    <w:p>
      <w:pPr>
        <w:spacing w:after="0" w:line="53" w:lineRule="exact"/>
        <w:rPr>
          <w:rFonts w:ascii="Times New Roman" w:cs="Times New Roman" w:eastAsia="Times New Roman" w:hAnsi="Times New Roman"/>
          <w:sz w:val="20"/>
          <w:szCs w:val="20"/>
          <w:b w:val="1"/>
          <w:bCs w:val="1"/>
          <w:color w:val="auto"/>
        </w:rPr>
      </w:pPr>
    </w:p>
    <w:p>
      <w:pPr>
        <w:ind w:left="1480" w:right="800" w:hanging="685"/>
        <w:spacing w:after="0"/>
        <w:tabs>
          <w:tab w:leader="none" w:pos="14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Continue to engage with suppliers that provided incomplete or uncertain smelter information or did not respond to our survey request;</w:t>
      </w:r>
    </w:p>
    <w:p>
      <w:pPr>
        <w:spacing w:after="0" w:line="26" w:lineRule="exact"/>
        <w:rPr>
          <w:rFonts w:ascii="Times New Roman" w:cs="Times New Roman" w:eastAsia="Times New Roman" w:hAnsi="Times New Roman"/>
          <w:sz w:val="20"/>
          <w:szCs w:val="20"/>
          <w:b w:val="1"/>
          <w:bCs w:val="1"/>
          <w:color w:val="auto"/>
        </w:rPr>
      </w:pPr>
    </w:p>
    <w:p>
      <w:pPr>
        <w:ind w:left="1480" w:right="800" w:hanging="685"/>
        <w:spacing w:after="0"/>
        <w:tabs>
          <w:tab w:leader="none" w:pos="14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Continue to compare RCOI results to information collected via independent conflict free smelter validation programs; and</w:t>
      </w:r>
    </w:p>
    <w:p>
      <w:pPr>
        <w:spacing w:after="0" w:line="66" w:lineRule="exact"/>
        <w:rPr>
          <w:rFonts w:ascii="Times New Roman" w:cs="Times New Roman" w:eastAsia="Times New Roman" w:hAnsi="Times New Roman"/>
          <w:sz w:val="20"/>
          <w:szCs w:val="20"/>
          <w:b w:val="1"/>
          <w:bCs w:val="1"/>
          <w:color w:val="auto"/>
        </w:rPr>
      </w:pPr>
    </w:p>
    <w:p>
      <w:pPr>
        <w:ind w:left="1480" w:right="800" w:hanging="685"/>
        <w:spacing w:after="0" w:line="183" w:lineRule="auto"/>
        <w:tabs>
          <w:tab w:leader="none" w:pos="1480" w:val="left"/>
        </w:tabs>
        <w:numPr>
          <w:ilvl w:val="0"/>
          <w:numId w:val="6"/>
        </w:numPr>
        <w:rPr>
          <w:rFonts w:ascii="Times New Roman" w:cs="Times New Roman" w:eastAsia="Times New Roman" w:hAnsi="Times New Roman"/>
          <w:sz w:val="33"/>
          <w:szCs w:val="33"/>
          <w:b w:val="1"/>
          <w:bCs w:val="1"/>
          <w:color w:val="auto"/>
          <w:vertAlign w:val="superscript"/>
        </w:rPr>
      </w:pPr>
      <w:r>
        <w:rPr>
          <w:rFonts w:ascii="Times New Roman" w:cs="Times New Roman" w:eastAsia="Times New Roman" w:hAnsi="Times New Roman"/>
          <w:sz w:val="18"/>
          <w:szCs w:val="18"/>
          <w:color w:val="auto"/>
        </w:rPr>
        <w:t>Contact smelters identified as a result of the RCOI process and request their participation in obtaining a "conflict free" designation from an industry program.</w:t>
      </w:r>
    </w:p>
    <w:p>
      <w:pPr>
        <w:sectPr>
          <w:pgSz w:w="11900" w:h="16838" w:orient="portrait"/>
          <w:cols w:equalWidth="0" w:num="1">
            <w:col w:w="11240"/>
          </w:cols>
          <w:pgMar w:left="320" w:top="10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Smelters and Refiners</w:t>
      </w:r>
    </w:p>
    <w:p>
      <w:pPr>
        <w:spacing w:after="0" w:line="27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Appendix A includes an aggregated list of smelters and refiners that our suppliers identified to us as potentially having processed the necessary 3TG contained in our products in 2025 based on information provided through the CMRT data collection process. As mentioned previously, it is understood that many supplier responses may provide more data than can be directly linked to products sold by TriMas, therefore, Appendix A may contain more smelters and refiners than those that the Company's products are being sourced from.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Smelter and Refiner Risk Evaluation</w:t>
      </w:r>
    </w:p>
    <w:p>
      <w:pPr>
        <w:spacing w:after="0" w:line="301"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auto"/>
        </w:rPr>
        <w:t>Understanding the risks associated with the smelters and refiners potentially providing material into TriMas' supply chain is an important part of the due diligence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risk categories are used for smelter evaluation and risk determination:</w:t>
      </w:r>
    </w:p>
    <w:p>
      <w:pPr>
        <w:spacing w:after="0" w:line="54"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Geo-Risk</w:t>
      </w:r>
    </w:p>
    <w:p>
      <w:pPr>
        <w:spacing w:after="0" w:line="53" w:lineRule="exact"/>
        <w:rPr>
          <w:sz w:val="20"/>
          <w:szCs w:val="20"/>
          <w:color w:val="auto"/>
        </w:rPr>
      </w:pPr>
    </w:p>
    <w:p>
      <w:pPr>
        <w:ind w:left="2580" w:hanging="304"/>
        <w:spacing w:after="0"/>
        <w:tabs>
          <w:tab w:leader="none" w:pos="2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Did the mineral originate from or has been transported through a Covered Country?</w:t>
      </w:r>
    </w:p>
    <w:p>
      <w:pPr>
        <w:spacing w:after="0" w:line="5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Status</w:t>
      </w:r>
    </w:p>
    <w:p>
      <w:pPr>
        <w:spacing w:after="0" w:line="54" w:lineRule="exact"/>
        <w:rPr>
          <w:sz w:val="20"/>
          <w:szCs w:val="20"/>
          <w:color w:val="auto"/>
        </w:rPr>
      </w:pPr>
    </w:p>
    <w:p>
      <w:pPr>
        <w:ind w:left="2600" w:right="1000" w:hanging="324"/>
        <w:spacing w:after="0" w:line="302" w:lineRule="auto"/>
        <w:tabs>
          <w:tab w:leader="none" w:pos="258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the refiner's due diligence practices been audited against a standard in conformance with the OECD Guidance?</w:t>
      </w:r>
    </w:p>
    <w:p>
      <w:pPr>
        <w:spacing w:after="0" w:line="1" w:lineRule="exact"/>
        <w:rPr>
          <w:rFonts w:ascii="Times New Roman" w:cs="Times New Roman" w:eastAsia="Times New Roman" w:hAnsi="Times New Roman"/>
          <w:sz w:val="20"/>
          <w:szCs w:val="20"/>
          <w:color w:val="auto"/>
        </w:rPr>
      </w:pPr>
    </w:p>
    <w:p>
      <w:pPr>
        <w:jc w:val="both"/>
        <w:ind w:left="2600" w:hanging="324"/>
        <w:spacing w:after="0" w:line="295" w:lineRule="auto"/>
        <w:tabs>
          <w:tab w:leader="none" w:pos="260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ComplianceXL relies on the RMI audit standard, including cross-recognition of the LBMA Good Delivery Program and the Responsible Jewelry Council Chain of Custody Certification, which are developed according to global standards, including the OECD Guidance.</w:t>
      </w:r>
    </w:p>
    <w:p>
      <w:pPr>
        <w:spacing w:after="0" w:line="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Sourcing Risk</w:t>
      </w:r>
    </w:p>
    <w:p>
      <w:pPr>
        <w:spacing w:after="0" w:line="53" w:lineRule="exact"/>
        <w:rPr>
          <w:rFonts w:ascii="Times New Roman" w:cs="Times New Roman" w:eastAsia="Times New Roman" w:hAnsi="Times New Roman"/>
          <w:sz w:val="20"/>
          <w:szCs w:val="20"/>
          <w:color w:val="auto"/>
        </w:rPr>
      </w:pPr>
    </w:p>
    <w:p>
      <w:pPr>
        <w:ind w:left="2580" w:hanging="304"/>
        <w:spacing w:after="0"/>
        <w:tabs>
          <w:tab w:leader="none" w:pos="25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evidence of any other red flag that is supported by credible sources been identified?</w:t>
      </w:r>
    </w:p>
    <w:p>
      <w:pPr>
        <w:sectPr>
          <w:pgSz w:w="11900" w:h="16838" w:orient="portrait"/>
          <w:cols w:equalWidth="0" w:num="1">
            <w:col w:w="11240"/>
          </w:cols>
          <w:pgMar w:left="320" w:top="855" w:right="33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Forward-Looking Statements</w:t>
      </w:r>
    </w:p>
    <w:p>
      <w:pPr>
        <w:spacing w:after="0" w:line="30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This report may contain forward-looking statements within the meaning of Section 27A of the Securities Act of 1933 and Section 21E of the Securities Exchange Act of 1934, including statements related to our compliance efforts.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22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These forward-looking statements are subject to various risks, uncertainties, and assumptions, including, among other matters, our customers' requirements to use certain suppliers, our suppliers' responsiveness and cooperation with our due diligence efforts, our ability to implement improvements in our conflict minerals program and our ability to identify and mitigate related risks in our supply chain. If one or more of these or other risks materialize, actual results may vary materially from those expressed in or implied by the forward-looking statements. For a more complete discussion of these and other risk factors, see our other filings with the Securities and Exchange Commission (SEC), including our Annual Report on Form 10-K for the year ended December 31, 2025. We caution you not to place undue reliance on these forward-looking statements, which speak only as of the date of this report, and we undertake no obligation to update or revise any forward-looking statement, except to the extent required by applicable law.</w:t>
      </w:r>
    </w:p>
    <w:p>
      <w:pPr>
        <w:spacing w:after="0" w:line="21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ectPr>
          <w:pgSz w:w="11900" w:h="16838" w:orient="portrait"/>
          <w:cols w:equalWidth="0" w:num="1">
            <w:col w:w="11240"/>
          </w:cols>
          <w:pgMar w:left="320" w:top="10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1400" w:type="dxa"/>
            <w:vAlign w:val="bottom"/>
            <w:tcBorders>
              <w:top w:val="single" w:sz="8" w:color="auto"/>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0"/>
                <w:szCs w:val="20"/>
                <w:b w:val="1"/>
                <w:bCs w:val="1"/>
                <w:color w:val="auto"/>
              </w:rPr>
              <w:t>Metal</w:t>
            </w:r>
          </w:p>
        </w:tc>
        <w:tc>
          <w:tcPr>
            <w:tcW w:w="4180" w:type="dxa"/>
            <w:vAlign w:val="bottom"/>
            <w:tcBorders>
              <w:top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20"/>
                <w:szCs w:val="20"/>
                <w:b w:val="1"/>
                <w:bCs w:val="1"/>
                <w:color w:val="auto"/>
              </w:rPr>
              <w:t>Smelter Name</w:t>
            </w:r>
          </w:p>
        </w:tc>
        <w:tc>
          <w:tcPr>
            <w:tcW w:w="200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Smelter Country</w:t>
            </w:r>
          </w:p>
        </w:tc>
        <w:tc>
          <w:tcPr>
            <w:tcW w:w="224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20"/>
                <w:szCs w:val="20"/>
                <w:b w:val="1"/>
                <w:bCs w:val="1"/>
                <w:color w:val="auto"/>
              </w:rPr>
              <w:t>Smelter ID</w:t>
            </w:r>
          </w:p>
        </w:tc>
        <w:tc>
          <w:tcPr>
            <w:tcW w:w="1420" w:type="dxa"/>
            <w:vAlign w:val="bottom"/>
            <w:tcBorders>
              <w:top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Status</w:t>
            </w:r>
          </w:p>
        </w:tc>
        <w:tc>
          <w:tcPr>
            <w:tcW w:w="0" w:type="dxa"/>
            <w:vAlign w:val="bottom"/>
          </w:tcPr>
          <w:p>
            <w:pPr>
              <w:spacing w:after="0"/>
              <w:rPr>
                <w:sz w:val="1"/>
                <w:szCs w:val="1"/>
                <w:color w:val="auto"/>
              </w:rPr>
            </w:pPr>
          </w:p>
        </w:tc>
      </w:tr>
      <w:tr>
        <w:trPr>
          <w:trHeight w:val="34"/>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8853 S.p.A.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CID002763</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CID002708</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CID000015</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Agosi AG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CID000035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CID000019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ARAB</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CID002560</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EMIRATES</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Alexy Metals</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CID003500</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CID000041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CID000058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Argor-Heraeus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CID000077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ASAHI METALFINE, Inc.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CID000082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CID000924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Asahi Refining USA Inc.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CID000920</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Asaka Riken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CID000090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 Traders and Refiners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CID002850</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CID003461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AG, Hamburg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CID000113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Bangalore Refinery</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CID002863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CID000128</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20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CID000157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 Hafner GmbH + Co. KG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CID000176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CID003421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CID000185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Cendres + Metaux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CID000189</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Chimet S.p.A.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CID000233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Chugai Mining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CID000264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Coimpa Industrial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CID004010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CID000401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DSC (Do Sung Corporation)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CID000359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CID000425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CID003424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CID003425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Elite Industech Co., Ltd.</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CID004755</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Emirates Gold DMCC</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UNITED ARAB</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CID002561</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EMIRATES</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Freeport Cobalt Oy</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CID003226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GG Refinery Ltd.</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TANZANIA, UNITED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CID004506</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REPUBLIC OF</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CID002852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CID000185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by Gold Colombia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CID003641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CID002030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Heimerle + Meule GmbH</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CID000694</w:t>
            </w:r>
          </w:p>
        </w:tc>
        <w:tc>
          <w:tcPr>
            <w:tcW w:w="142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CID000711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CID000707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CID004714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CID004604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Rustenburg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CID004610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CID000801</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 Co., Ltd.</w:t>
            </w:r>
          </w:p>
        </w:tc>
        <w:tc>
          <w:tcPr>
            <w:tcW w:w="20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CID000807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Istanbul Gold Refinery</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TURKEY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CID000814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Italpreziosi</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 Mint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CID000823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Copper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CID000855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CID000937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Kazzinc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CID000957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CID000969</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CID002511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Kojima Chemicals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CID000981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Zinc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CID002605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Kosak Seiren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CID000401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Kyrgyzaltyn JSC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KYRGYZSTAN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CID001029</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L'Orfebre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ANDORRA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LS MnM Inc.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CID001078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 Metal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CID000689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Marsam Metals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CID002606</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CID001113</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Matsuda Sangyo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CID001119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CID003575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CID001149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CID001152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CID001147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CID001153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CID001157</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CID001161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CID001188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CID001193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MKS PAMP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CID001352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MMTC-PAMP India Pvt.,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Modeltech Sdn Bhd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CID002857</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TURKEY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CID001220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CID001236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NH Recytech Company</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CID003189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Material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CID001259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Oegussa Oesterreichische Gold- und Silber-</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CID002779</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Scheideanstalt Gesm.b.H.</w:t>
            </w:r>
          </w:p>
        </w:tc>
        <w:tc>
          <w:tcPr>
            <w:tcW w:w="20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CID001325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CHILE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CID002919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CID001397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PX Precinox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CID001498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Rand Refinery (Pty) Ltd.</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CID001512</w:t>
            </w:r>
          </w:p>
        </w:tc>
        <w:tc>
          <w:tcPr>
            <w:tcW w:w="142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REMONDIS PMR B.V.</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CID002582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Royal Canadian Mint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CID001534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SAAMP</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Safimet S.p.A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CID002973</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SAFINA A.S.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CZECHIA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CID002290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Samduck Precious Metals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CID001555</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Sancus ZFS (L’Orfebre,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CID003529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CID001585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 Dong Huangjin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CID001916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CID001916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CID001622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CID001736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CID002516</w:t>
            </w: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CID001761</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CID004704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CID004705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CID001798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SungEel HiMetal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CID002918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T.C.A S.p.A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CID002580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CID001875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Tokuriki Honten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CID001938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TOO Tau-Ken-Altyn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CID002615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Torecom</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CID001955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CID002314</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CID001980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CID001993</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Valcambi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CID002003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WEEEREFINING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CID003615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Yamakin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CID002100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Yokohama Metal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CID002129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CID002224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CID002243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AMG Brasil</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CID001076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Asaka Riken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CID000092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CID000211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CID000261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 Block Metals, LLC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CID002504</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CID000460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CID002558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CID002557</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CID000291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CID002492</w:t>
            </w:r>
          </w:p>
        </w:tc>
        <w:tc>
          <w:tcPr>
            <w:tcW w:w="142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CID002512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CID004813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CID002842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CID003191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CID000914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Tanbre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CID000917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KEMET de Mexico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CID002539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CID001115</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Materion Newton Inc.</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CID002548</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CID001163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CID001175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CID001192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CID001277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NPM Silmet AS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ESTONIA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CID001200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PowerX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CID004054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QuantumClean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CID001508</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CID002707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Rui Da Hung</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CID001541</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Taki Chemical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CID001869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GmbH</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Japan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CID002550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Telex Metals</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CID001891</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CID001969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ULVAC Inc.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CID002861</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CID000616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CID001522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CID000292</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Beerse</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Berango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CID000228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CID003190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Tin Group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CID001070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Conecsus LLC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CID003504</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8"/>
                <w:szCs w:val="18"/>
                <w:color w:val="auto"/>
              </w:rPr>
              <w:t>CRM Fundicao De Metais E Comercio De</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CID003486</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Equipamentos Eletronicos Do Brasil Ltda</w:t>
            </w:r>
          </w:p>
        </w:tc>
        <w:tc>
          <w:tcPr>
            <w:tcW w:w="20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CRM Synergies EMEA, S.L.U.</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CID003524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Ayi Jaya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CID002570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Venus Inti Perkasa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CID001460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Venus Inti Perkasa</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CID002455</w:t>
            </w:r>
          </w:p>
        </w:tc>
        <w:tc>
          <w:tcPr>
            <w:tcW w:w="142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CID000377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Dongguan CiEXPO Environmental Engineering Co.,</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CID003356</w:t>
            </w: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00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CID000402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DS Myanmar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MYANMAR</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CID003831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Electro-Mechanical Facility of the Cao Bang Minerals</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CID002572</w:t>
            </w: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&amp; Metallurgy Joint Stock Company</w:t>
            </w:r>
          </w:p>
        </w:tc>
        <w:tc>
          <w:tcPr>
            <w:tcW w:w="200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EM Vinto</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BOLIVIA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CID000438</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vMerge w:val="continue"/>
          </w:tcPr>
          <w:p>
            <w:pPr>
              <w:spacing w:after="0"/>
              <w:rPr>
                <w:sz w:val="16"/>
                <w:szCs w:val="16"/>
                <w:color w:val="auto"/>
              </w:rPr>
            </w:pPr>
          </w:p>
        </w:tc>
        <w:tc>
          <w:tcPr>
            <w:tcW w:w="4180" w:type="dxa"/>
            <w:vAlign w:val="bottom"/>
            <w:tcBorders>
              <w:right w:val="single" w:sz="8" w:color="auto"/>
            </w:tcBorders>
            <w:vMerge w:val="continue"/>
          </w:tcPr>
          <w:p>
            <w:pPr>
              <w:spacing w:after="0"/>
              <w:rPr>
                <w:sz w:val="16"/>
                <w:szCs w:val="16"/>
                <w:color w:val="auto"/>
              </w:rPr>
            </w:pPr>
          </w:p>
        </w:tc>
        <w:tc>
          <w:tcPr>
            <w:tcW w:w="20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(PLURINATIONAL</w:t>
            </w:r>
          </w:p>
        </w:tc>
        <w:tc>
          <w:tcPr>
            <w:tcW w:w="224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STATE OF)</w:t>
            </w: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Estanho de Rondonia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CID000448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CID003582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CID000466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Fenix Metals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CID000468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CID000942</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CID000538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CID001908</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CID000555</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CID004754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CID003116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CID001231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CID002819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Luna Smelter,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CID003379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CID002468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CID001005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CID001105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Melt Metais e Ligas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CID002500</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Metallic Resources, Inc.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CID001142</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CID001173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CONGO,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CID004065</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vMerge w:val="continue"/>
          </w:tcPr>
          <w:p>
            <w:pPr>
              <w:spacing w:after="0"/>
              <w:rPr>
                <w:sz w:val="16"/>
                <w:szCs w:val="16"/>
                <w:color w:val="auto"/>
              </w:rPr>
            </w:pPr>
          </w:p>
        </w:tc>
        <w:tc>
          <w:tcPr>
            <w:tcW w:w="4180" w:type="dxa"/>
            <w:vAlign w:val="bottom"/>
            <w:tcBorders>
              <w:right w:val="single" w:sz="8" w:color="auto"/>
            </w:tcBorders>
            <w:vMerge w:val="continue"/>
          </w:tcPr>
          <w:p>
            <w:pPr>
              <w:spacing w:after="0"/>
              <w:rPr>
                <w:sz w:val="16"/>
                <w:szCs w:val="16"/>
                <w:color w:val="auto"/>
              </w:rPr>
            </w:pPr>
          </w:p>
        </w:tc>
        <w:tc>
          <w:tcPr>
            <w:tcW w:w="20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DEMOCRATIC</w:t>
            </w:r>
          </w:p>
        </w:tc>
        <w:tc>
          <w:tcPr>
            <w:tcW w:w="224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REPUBLIC OF THE</w:t>
            </w: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Minsur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CID001182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CID001191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Modeltech Sdn Bhd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CID002858</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CID001314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CID002517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BOLIVIA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CID001337</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vMerge w:val="continue"/>
          </w:tcPr>
          <w:p>
            <w:pPr>
              <w:spacing w:after="0"/>
              <w:rPr>
                <w:sz w:val="16"/>
                <w:szCs w:val="16"/>
                <w:color w:val="auto"/>
              </w:rPr>
            </w:pPr>
          </w:p>
        </w:tc>
        <w:tc>
          <w:tcPr>
            <w:tcW w:w="4180" w:type="dxa"/>
            <w:vAlign w:val="bottom"/>
            <w:tcBorders>
              <w:right w:val="single" w:sz="8" w:color="auto"/>
            </w:tcBorders>
            <w:vMerge w:val="continue"/>
          </w:tcPr>
          <w:p>
            <w:pPr>
              <w:spacing w:after="0"/>
              <w:rPr>
                <w:sz w:val="16"/>
                <w:szCs w:val="16"/>
                <w:color w:val="auto"/>
              </w:rPr>
            </w:pPr>
          </w:p>
        </w:tc>
        <w:tc>
          <w:tcPr>
            <w:tcW w:w="20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(PLURINATIONAL</w:t>
            </w:r>
          </w:p>
        </w:tc>
        <w:tc>
          <w:tcPr>
            <w:tcW w:w="224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STATE OF)</w:t>
            </w: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 Kay Metal, Inc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CID005189</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CID003409</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CID000309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Artha Cipta Langgeng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CID001399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Babel Inti Perkasa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CID001402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CID001406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Prima Tin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Serumpun</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CID003205</w:t>
            </w:r>
          </w:p>
        </w:tc>
        <w:tc>
          <w:tcPr>
            <w:tcW w:w="142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CID001421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Bukit Timah</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CID001428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Cipta Persada Mulia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CID002696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Menara Cipta Mulia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CID002835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Stania Prima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CID001453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CID003449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CID000313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Prima Timah Utama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CID001458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CID003868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Rajehan Ariq</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CID002593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Refined Bangka Tin</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CID001460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CID001463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CID001468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CID002816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Nusantara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CID001486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CID001477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Mentok</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CID001482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Tinindo Inter Nusa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CID001490</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Tommy Utama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CID001493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CID002706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Rui Da Hung</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CID001539</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Soft Metais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CID001758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Super Ligas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CID002756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Takehara PVD Materials Plant / PVD Materials Division</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CID004403</w:t>
            </w:r>
          </w:p>
        </w:tc>
        <w:tc>
          <w:tcPr>
            <w:tcW w:w="1420" w:type="dxa"/>
            <w:vAlign w:val="bottom"/>
            <w:tcBorders>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4180" w:type="dxa"/>
            <w:vAlign w:val="bottom"/>
            <w:tcBorders>
              <w:bottom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7"/>
                <w:szCs w:val="17"/>
                <w:color w:val="auto"/>
              </w:rPr>
              <w:t>of MITSUI MINING &amp; SMELTING CO., LTD.</w:t>
            </w:r>
          </w:p>
        </w:tc>
        <w:tc>
          <w:tcPr>
            <w:tcW w:w="200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CID002834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CID001898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CID002180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CID003325</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CID002036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UGANDA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CID004724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CID002158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CID003397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A.L.M.T. Corp.</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CID000004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Albasteel Industria e Comercio de Ligas Para Fundicao</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CID003427</w:t>
            </w: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00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CID002641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CID000258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Cronimet Brasil Ltda</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CID003468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CID003401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CID003609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CID000875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CID002315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CID002494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CID000568</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CID000218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 Starck Tungsten GmbH</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CID002541</w:t>
            </w:r>
          </w:p>
        </w:tc>
        <w:tc>
          <w:tcPr>
            <w:tcW w:w="1420" w:type="dxa"/>
            <w:vAlign w:val="bottom"/>
            <w:tcBorders>
              <w:top w:val="single" w:sz="8" w:color="auto"/>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CID003417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CID000766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CID000769</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Hunan Shizhuyuan Nonferrous Metals Co., Ltd.</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CID002513</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20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 New Metals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CID000825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CID002551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CID002321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CID002317</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CID002316</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CID005012</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CID004619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Kennametal Fallon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CID000966</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Kennametal Huntsville</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CID000105</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KGETS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Lianyou Metals Co., Ltd.</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CID003407</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00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CID004397</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CID002319</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CID001116</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CID001195</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Niagara Refining LLC</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UNITED STATES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CID002589</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AMERICA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CID001280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Philippine Bonway Manufacturing Industrial</w:t>
            </w: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CID004797</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0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S.P.T. spol.s r.o.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CZECHIA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CID005068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CID002538</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TAIWAN, PROVINCE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CID001764</w:t>
            </w:r>
          </w:p>
        </w:tc>
        <w:tc>
          <w:tcPr>
            <w:tcW w:w="1420" w:type="dxa"/>
            <w:vAlign w:val="bottom"/>
            <w:tcBorders>
              <w:right w:val="single" w:sz="8" w:color="auto"/>
            </w:tcBorders>
            <w:vMerge w:val="restart"/>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OF CHINA</w:t>
            </w:r>
          </w:p>
        </w:tc>
        <w:tc>
          <w:tcPr>
            <w:tcW w:w="22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CID001801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CID001901</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Tungamoy Metals Inc.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CID005248</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VIETNAM</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CID003993</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0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RUSSIAN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CID002724</w:t>
            </w: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FEDERATION</w:t>
            </w:r>
          </w:p>
        </w:tc>
        <w:tc>
          <w:tcPr>
            <w:tcW w:w="22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Uzbekistan Technological Metallurgical Complex JSC</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CID002660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CID002044</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CID002320</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Tungsten Co., Ltd.</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CID002082</w:t>
            </w:r>
          </w:p>
        </w:tc>
        <w:tc>
          <w:tcPr>
            <w:tcW w:w="1420" w:type="dxa"/>
            <w:vAlign w:val="bottom"/>
            <w:tcBorders>
              <w:bottom w:val="single" w:sz="8" w:color="auto"/>
              <w:right w:val="single" w:sz="8" w:color="auto"/>
            </w:tcBorders>
          </w:tcPr>
          <w:p>
            <w:pPr>
              <w:jc w:val="right"/>
              <w:ind w:right="1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 Conformant or actively participating in the RMI Responsible Minerals Assurance Process (as reported by RMI as of April 30, 2026).</w:t>
      </w:r>
    </w:p>
    <w:sectPr>
      <w:pgSz w:w="11900" w:h="16838" w:orient="portrait"/>
      <w:cols w:equalWidth="0" w:num="1">
        <w:col w:w="10139"/>
      </w:cols>
      <w:pgMar w:left="32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2026-05-27T16:34:30Z</dcterms:created>
  <dcterms:modified xsi:type="dcterms:W3CDTF">2026-05-27T16:34:30Z</dcterms:modified>
</cp:coreProperties>
</file>